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721" w:rsidRDefault="005B3F90" w:rsidP="003B0318">
      <w:pPr>
        <w:pStyle w:val="Heading8"/>
        <w:rPr>
          <w:noProof/>
        </w:rPr>
      </w:pPr>
      <w:bookmarkStart w:id="0" w:name="ReturnHere"/>
      <w:bookmarkStart w:id="1" w:name="_Toc455994998"/>
      <w:bookmarkStart w:id="2" w:name="_Toc456364553"/>
      <w:bookmarkStart w:id="3" w:name="_GoBack"/>
      <w:bookmarkEnd w:id="3"/>
      <w:r>
        <w:t xml:space="preserve">– </w:t>
      </w:r>
      <w:r>
        <w:rPr>
          <w:noProof/>
        </w:rPr>
        <w:t xml:space="preserve">Costing documention </w:t>
      </w:r>
      <w:bookmarkEnd w:id="0"/>
      <w:bookmarkEnd w:id="1"/>
      <w:bookmarkEnd w:id="2"/>
      <w:r w:rsidR="00DF270A">
        <w:rPr>
          <w:noProof/>
        </w:rPr>
        <w:t>for Labor’s election commitments</w:t>
      </w:r>
    </w:p>
    <w:p w:rsidR="00A65C0E" w:rsidRDefault="00A65C0E">
      <w:pPr>
        <w:pStyle w:val="TOC4"/>
        <w:rPr>
          <w:rFonts w:eastAsiaTheme="minorEastAsia"/>
          <w:lang w:eastAsia="en-AU"/>
        </w:rPr>
      </w:pPr>
      <w:r>
        <w:rPr>
          <w:rStyle w:val="Hyperlink"/>
        </w:rPr>
        <w:fldChar w:fldCharType="begin"/>
      </w:r>
      <w:r>
        <w:rPr>
          <w:rStyle w:val="Hyperlink"/>
        </w:rPr>
        <w:instrText xml:space="preserve"> TOC \h \z \t "Heading 5,4" </w:instrText>
      </w:r>
      <w:r>
        <w:rPr>
          <w:rStyle w:val="Hyperlink"/>
        </w:rPr>
        <w:fldChar w:fldCharType="separate"/>
      </w:r>
      <w:hyperlink w:anchor="_Toc458081625" w:history="1">
        <w:r w:rsidRPr="00764B0D">
          <w:rPr>
            <w:rStyle w:val="Hyperlink"/>
          </w:rPr>
          <w:t>ALP001: National Redress Scheme</w:t>
        </w:r>
        <w:r>
          <w:rPr>
            <w:webHidden/>
          </w:rPr>
          <w:tab/>
        </w:r>
        <w:r>
          <w:rPr>
            <w:webHidden/>
          </w:rPr>
          <w:fldChar w:fldCharType="begin"/>
        </w:r>
        <w:r>
          <w:rPr>
            <w:webHidden/>
          </w:rPr>
          <w:instrText xml:space="preserve"> PAGEREF _Toc458081625 \h </w:instrText>
        </w:r>
        <w:r>
          <w:rPr>
            <w:webHidden/>
          </w:rPr>
        </w:r>
        <w:r>
          <w:rPr>
            <w:webHidden/>
          </w:rPr>
          <w:fldChar w:fldCharType="separate"/>
        </w:r>
        <w:r w:rsidR="00874619">
          <w:rPr>
            <w:webHidden/>
          </w:rPr>
          <w:t>128</w:t>
        </w:r>
        <w:r>
          <w:rPr>
            <w:webHidden/>
          </w:rPr>
          <w:fldChar w:fldCharType="end"/>
        </w:r>
      </w:hyperlink>
    </w:p>
    <w:p w:rsidR="00A65C0E" w:rsidRDefault="000279D8">
      <w:pPr>
        <w:pStyle w:val="TOC4"/>
        <w:rPr>
          <w:rFonts w:eastAsiaTheme="minorEastAsia"/>
          <w:lang w:eastAsia="en-AU"/>
        </w:rPr>
      </w:pPr>
      <w:hyperlink w:anchor="_Toc458081626" w:history="1">
        <w:r w:rsidR="00A65C0E" w:rsidRPr="00764B0D">
          <w:rPr>
            <w:rStyle w:val="Hyperlink"/>
          </w:rPr>
          <w:t>ALP002: Australian Human Rights Commission – LGTBI Commissioner</w:t>
        </w:r>
        <w:r w:rsidR="00A65C0E">
          <w:rPr>
            <w:webHidden/>
          </w:rPr>
          <w:tab/>
        </w:r>
        <w:r w:rsidR="00A65C0E">
          <w:rPr>
            <w:webHidden/>
          </w:rPr>
          <w:fldChar w:fldCharType="begin"/>
        </w:r>
        <w:r w:rsidR="00A65C0E">
          <w:rPr>
            <w:webHidden/>
          </w:rPr>
          <w:instrText xml:space="preserve"> PAGEREF _Toc458081626 \h </w:instrText>
        </w:r>
        <w:r w:rsidR="00A65C0E">
          <w:rPr>
            <w:webHidden/>
          </w:rPr>
        </w:r>
        <w:r w:rsidR="00A65C0E">
          <w:rPr>
            <w:webHidden/>
          </w:rPr>
          <w:fldChar w:fldCharType="separate"/>
        </w:r>
        <w:r w:rsidR="00874619">
          <w:rPr>
            <w:webHidden/>
          </w:rPr>
          <w:t>132</w:t>
        </w:r>
        <w:r w:rsidR="00A65C0E">
          <w:rPr>
            <w:webHidden/>
          </w:rPr>
          <w:fldChar w:fldCharType="end"/>
        </w:r>
      </w:hyperlink>
    </w:p>
    <w:p w:rsidR="00A65C0E" w:rsidRDefault="000279D8">
      <w:pPr>
        <w:pStyle w:val="TOC4"/>
        <w:rPr>
          <w:rFonts w:eastAsiaTheme="minorEastAsia"/>
          <w:lang w:eastAsia="en-AU"/>
        </w:rPr>
      </w:pPr>
      <w:hyperlink w:anchor="_Toc458081627" w:history="1">
        <w:r w:rsidR="00A65C0E" w:rsidRPr="00764B0D">
          <w:rPr>
            <w:rStyle w:val="Hyperlink"/>
          </w:rPr>
          <w:t>ALP003: Abolish the Emissions Reduction Fund</w:t>
        </w:r>
        <w:r w:rsidR="00A65C0E">
          <w:rPr>
            <w:webHidden/>
          </w:rPr>
          <w:tab/>
        </w:r>
        <w:r w:rsidR="00A65C0E">
          <w:rPr>
            <w:webHidden/>
          </w:rPr>
          <w:fldChar w:fldCharType="begin"/>
        </w:r>
        <w:r w:rsidR="00A65C0E">
          <w:rPr>
            <w:webHidden/>
          </w:rPr>
          <w:instrText xml:space="preserve"> PAGEREF _Toc458081627 \h </w:instrText>
        </w:r>
        <w:r w:rsidR="00A65C0E">
          <w:rPr>
            <w:webHidden/>
          </w:rPr>
        </w:r>
        <w:r w:rsidR="00A65C0E">
          <w:rPr>
            <w:webHidden/>
          </w:rPr>
          <w:fldChar w:fldCharType="separate"/>
        </w:r>
        <w:r w:rsidR="00874619">
          <w:rPr>
            <w:webHidden/>
          </w:rPr>
          <w:t>134</w:t>
        </w:r>
        <w:r w:rsidR="00A65C0E">
          <w:rPr>
            <w:webHidden/>
          </w:rPr>
          <w:fldChar w:fldCharType="end"/>
        </w:r>
      </w:hyperlink>
    </w:p>
    <w:p w:rsidR="00A65C0E" w:rsidRDefault="000279D8">
      <w:pPr>
        <w:pStyle w:val="TOC4"/>
        <w:rPr>
          <w:rFonts w:eastAsiaTheme="minorEastAsia"/>
          <w:lang w:eastAsia="en-AU"/>
        </w:rPr>
      </w:pPr>
      <w:hyperlink w:anchor="_Toc458081628" w:history="1">
        <w:r w:rsidR="00A65C0E" w:rsidRPr="00764B0D">
          <w:rPr>
            <w:rStyle w:val="Hyperlink"/>
          </w:rPr>
          <w:t>ALP004: Abolition of the National Wind Farm Commissioner and Independent Scientific Commission on Wind Farms</w:t>
        </w:r>
        <w:r w:rsidR="00A65C0E">
          <w:rPr>
            <w:webHidden/>
          </w:rPr>
          <w:tab/>
        </w:r>
        <w:r w:rsidR="00A65C0E">
          <w:rPr>
            <w:webHidden/>
          </w:rPr>
          <w:fldChar w:fldCharType="begin"/>
        </w:r>
        <w:r w:rsidR="00A65C0E">
          <w:rPr>
            <w:webHidden/>
          </w:rPr>
          <w:instrText xml:space="preserve"> PAGEREF _Toc458081628 \h </w:instrText>
        </w:r>
        <w:r w:rsidR="00A65C0E">
          <w:rPr>
            <w:webHidden/>
          </w:rPr>
        </w:r>
        <w:r w:rsidR="00A65C0E">
          <w:rPr>
            <w:webHidden/>
          </w:rPr>
          <w:fldChar w:fldCharType="separate"/>
        </w:r>
        <w:r w:rsidR="00874619">
          <w:rPr>
            <w:webHidden/>
          </w:rPr>
          <w:t>137</w:t>
        </w:r>
        <w:r w:rsidR="00A65C0E">
          <w:rPr>
            <w:webHidden/>
          </w:rPr>
          <w:fldChar w:fldCharType="end"/>
        </w:r>
      </w:hyperlink>
    </w:p>
    <w:p w:rsidR="00A65C0E" w:rsidRDefault="000279D8">
      <w:pPr>
        <w:pStyle w:val="TOC4"/>
        <w:rPr>
          <w:rFonts w:eastAsiaTheme="minorEastAsia"/>
          <w:lang w:eastAsia="en-AU"/>
        </w:rPr>
      </w:pPr>
      <w:hyperlink w:anchor="_Toc458081629" w:history="1">
        <w:r w:rsidR="00A65C0E" w:rsidRPr="00764B0D">
          <w:rPr>
            <w:rStyle w:val="Hyperlink"/>
          </w:rPr>
          <w:t>ALP005: Cease Jobactive advertising from 1 January 2017</w:t>
        </w:r>
        <w:r w:rsidR="00A65C0E">
          <w:rPr>
            <w:webHidden/>
          </w:rPr>
          <w:tab/>
        </w:r>
        <w:r w:rsidR="00A65C0E">
          <w:rPr>
            <w:webHidden/>
          </w:rPr>
          <w:fldChar w:fldCharType="begin"/>
        </w:r>
        <w:r w:rsidR="00A65C0E">
          <w:rPr>
            <w:webHidden/>
          </w:rPr>
          <w:instrText xml:space="preserve"> PAGEREF _Toc458081629 \h </w:instrText>
        </w:r>
        <w:r w:rsidR="00A65C0E">
          <w:rPr>
            <w:webHidden/>
          </w:rPr>
        </w:r>
        <w:r w:rsidR="00A65C0E">
          <w:rPr>
            <w:webHidden/>
          </w:rPr>
          <w:fldChar w:fldCharType="separate"/>
        </w:r>
        <w:r w:rsidR="00874619">
          <w:rPr>
            <w:webHidden/>
          </w:rPr>
          <w:t>139</w:t>
        </w:r>
        <w:r w:rsidR="00A65C0E">
          <w:rPr>
            <w:webHidden/>
          </w:rPr>
          <w:fldChar w:fldCharType="end"/>
        </w:r>
      </w:hyperlink>
    </w:p>
    <w:p w:rsidR="00A65C0E" w:rsidRDefault="000279D8">
      <w:pPr>
        <w:pStyle w:val="TOC4"/>
        <w:rPr>
          <w:rFonts w:eastAsiaTheme="minorEastAsia"/>
          <w:lang w:eastAsia="en-AU"/>
        </w:rPr>
      </w:pPr>
      <w:hyperlink w:anchor="_Toc458081630" w:history="1">
        <w:r w:rsidR="00A65C0E" w:rsidRPr="00764B0D">
          <w:rPr>
            <w:rStyle w:val="Hyperlink"/>
          </w:rPr>
          <w:t>ALP006: Child Care Subsidy Communications Campaign – cessation</w:t>
        </w:r>
        <w:r w:rsidR="00A65C0E">
          <w:rPr>
            <w:webHidden/>
          </w:rPr>
          <w:tab/>
        </w:r>
        <w:r w:rsidR="00A65C0E">
          <w:rPr>
            <w:webHidden/>
          </w:rPr>
          <w:fldChar w:fldCharType="begin"/>
        </w:r>
        <w:r w:rsidR="00A65C0E">
          <w:rPr>
            <w:webHidden/>
          </w:rPr>
          <w:instrText xml:space="preserve"> PAGEREF _Toc458081630 \h </w:instrText>
        </w:r>
        <w:r w:rsidR="00A65C0E">
          <w:rPr>
            <w:webHidden/>
          </w:rPr>
        </w:r>
        <w:r w:rsidR="00A65C0E">
          <w:rPr>
            <w:webHidden/>
          </w:rPr>
          <w:fldChar w:fldCharType="separate"/>
        </w:r>
        <w:r w:rsidR="00874619">
          <w:rPr>
            <w:webHidden/>
          </w:rPr>
          <w:t>141</w:t>
        </w:r>
        <w:r w:rsidR="00A65C0E">
          <w:rPr>
            <w:webHidden/>
          </w:rPr>
          <w:fldChar w:fldCharType="end"/>
        </w:r>
      </w:hyperlink>
    </w:p>
    <w:p w:rsidR="00A65C0E" w:rsidRDefault="000279D8">
      <w:pPr>
        <w:pStyle w:val="TOC4"/>
        <w:rPr>
          <w:rFonts w:eastAsiaTheme="minorEastAsia"/>
          <w:lang w:eastAsia="en-AU"/>
        </w:rPr>
      </w:pPr>
      <w:hyperlink w:anchor="_Toc458081631" w:history="1">
        <w:r w:rsidR="00A65C0E" w:rsidRPr="00764B0D">
          <w:rPr>
            <w:rStyle w:val="Hyperlink"/>
          </w:rPr>
          <w:t xml:space="preserve">ALP007: Continuing the freeze on the Private Health Insurance Rebate and </w:t>
        </w:r>
        <w:bookmarkStart w:id="4" w:name="Here"/>
        <w:bookmarkEnd w:id="4"/>
        <w:r w:rsidR="00A65C0E" w:rsidRPr="00764B0D">
          <w:rPr>
            <w:rStyle w:val="Hyperlink"/>
          </w:rPr>
          <w:t>Medicare Levy Surcharge threshold indexation for 5 years</w:t>
        </w:r>
        <w:r w:rsidR="00A65C0E">
          <w:rPr>
            <w:webHidden/>
          </w:rPr>
          <w:tab/>
        </w:r>
        <w:r w:rsidR="00A65C0E">
          <w:rPr>
            <w:webHidden/>
          </w:rPr>
          <w:fldChar w:fldCharType="begin"/>
        </w:r>
        <w:r w:rsidR="00A65C0E">
          <w:rPr>
            <w:webHidden/>
          </w:rPr>
          <w:instrText xml:space="preserve"> PAGEREF _Toc458081631 \h </w:instrText>
        </w:r>
        <w:r w:rsidR="00A65C0E">
          <w:rPr>
            <w:webHidden/>
          </w:rPr>
        </w:r>
        <w:r w:rsidR="00A65C0E">
          <w:rPr>
            <w:webHidden/>
          </w:rPr>
          <w:fldChar w:fldCharType="separate"/>
        </w:r>
        <w:r w:rsidR="00874619">
          <w:rPr>
            <w:webHidden/>
          </w:rPr>
          <w:t>143</w:t>
        </w:r>
        <w:r w:rsidR="00A65C0E">
          <w:rPr>
            <w:webHidden/>
          </w:rPr>
          <w:fldChar w:fldCharType="end"/>
        </w:r>
      </w:hyperlink>
    </w:p>
    <w:p w:rsidR="00A65C0E" w:rsidRDefault="000279D8">
      <w:pPr>
        <w:pStyle w:val="TOC4"/>
        <w:rPr>
          <w:rFonts w:eastAsiaTheme="minorEastAsia"/>
          <w:lang w:eastAsia="en-AU"/>
        </w:rPr>
      </w:pPr>
      <w:hyperlink w:anchor="_Toc458081632" w:history="1">
        <w:r w:rsidR="00A65C0E" w:rsidRPr="00764B0D">
          <w:rPr>
            <w:rStyle w:val="Hyperlink"/>
          </w:rPr>
          <w:t>ALP008: Expanding the Mandate for the Parliamentary Budget Office</w:t>
        </w:r>
        <w:r w:rsidR="00A65C0E">
          <w:rPr>
            <w:webHidden/>
          </w:rPr>
          <w:tab/>
        </w:r>
        <w:r w:rsidR="00A65C0E">
          <w:rPr>
            <w:webHidden/>
          </w:rPr>
          <w:fldChar w:fldCharType="begin"/>
        </w:r>
        <w:r w:rsidR="00A65C0E">
          <w:rPr>
            <w:webHidden/>
          </w:rPr>
          <w:instrText xml:space="preserve"> PAGEREF _Toc458081632 \h </w:instrText>
        </w:r>
        <w:r w:rsidR="00A65C0E">
          <w:rPr>
            <w:webHidden/>
          </w:rPr>
        </w:r>
        <w:r w:rsidR="00A65C0E">
          <w:rPr>
            <w:webHidden/>
          </w:rPr>
          <w:fldChar w:fldCharType="separate"/>
        </w:r>
        <w:r w:rsidR="00874619">
          <w:rPr>
            <w:webHidden/>
          </w:rPr>
          <w:t>147</w:t>
        </w:r>
        <w:r w:rsidR="00A65C0E">
          <w:rPr>
            <w:webHidden/>
          </w:rPr>
          <w:fldChar w:fldCharType="end"/>
        </w:r>
      </w:hyperlink>
    </w:p>
    <w:p w:rsidR="00A65C0E" w:rsidRDefault="000279D8">
      <w:pPr>
        <w:pStyle w:val="TOC4"/>
        <w:rPr>
          <w:rFonts w:eastAsiaTheme="minorEastAsia"/>
          <w:lang w:eastAsia="en-AU"/>
        </w:rPr>
      </w:pPr>
      <w:hyperlink w:anchor="_Toc458081633" w:history="1">
        <w:r w:rsidR="00A65C0E" w:rsidRPr="00764B0D">
          <w:rPr>
            <w:rStyle w:val="Hyperlink"/>
          </w:rPr>
          <w:t>ALP009: Extending existing freezes on family payments thresholds to  2019–20</w:t>
        </w:r>
        <w:r w:rsidR="00A65C0E">
          <w:rPr>
            <w:webHidden/>
          </w:rPr>
          <w:tab/>
        </w:r>
        <w:r w:rsidR="00A65C0E">
          <w:rPr>
            <w:webHidden/>
          </w:rPr>
          <w:fldChar w:fldCharType="begin"/>
        </w:r>
        <w:r w:rsidR="00A65C0E">
          <w:rPr>
            <w:webHidden/>
          </w:rPr>
          <w:instrText xml:space="preserve"> PAGEREF _Toc458081633 \h </w:instrText>
        </w:r>
        <w:r w:rsidR="00A65C0E">
          <w:rPr>
            <w:webHidden/>
          </w:rPr>
        </w:r>
        <w:r w:rsidR="00A65C0E">
          <w:rPr>
            <w:webHidden/>
          </w:rPr>
          <w:fldChar w:fldCharType="separate"/>
        </w:r>
        <w:r w:rsidR="00874619">
          <w:rPr>
            <w:webHidden/>
          </w:rPr>
          <w:t>154</w:t>
        </w:r>
        <w:r w:rsidR="00A65C0E">
          <w:rPr>
            <w:webHidden/>
          </w:rPr>
          <w:fldChar w:fldCharType="end"/>
        </w:r>
      </w:hyperlink>
    </w:p>
    <w:p w:rsidR="00A65C0E" w:rsidRDefault="000279D8">
      <w:pPr>
        <w:pStyle w:val="TOC4"/>
        <w:rPr>
          <w:rFonts w:eastAsiaTheme="minorEastAsia"/>
          <w:lang w:eastAsia="en-AU"/>
        </w:rPr>
      </w:pPr>
      <w:hyperlink w:anchor="_Toc458081634" w:history="1">
        <w:r w:rsidR="00A65C0E" w:rsidRPr="00764B0D">
          <w:rPr>
            <w:rStyle w:val="Hyperlink"/>
          </w:rPr>
          <w:t>ALP010: Fine Repayment Reforms</w:t>
        </w:r>
        <w:r w:rsidR="00A65C0E">
          <w:rPr>
            <w:webHidden/>
          </w:rPr>
          <w:tab/>
        </w:r>
        <w:r w:rsidR="00A65C0E">
          <w:rPr>
            <w:webHidden/>
          </w:rPr>
          <w:fldChar w:fldCharType="begin"/>
        </w:r>
        <w:r w:rsidR="00A65C0E">
          <w:rPr>
            <w:webHidden/>
          </w:rPr>
          <w:instrText xml:space="preserve"> PAGEREF _Toc458081634 \h </w:instrText>
        </w:r>
        <w:r w:rsidR="00A65C0E">
          <w:rPr>
            <w:webHidden/>
          </w:rPr>
        </w:r>
        <w:r w:rsidR="00A65C0E">
          <w:rPr>
            <w:webHidden/>
          </w:rPr>
          <w:fldChar w:fldCharType="separate"/>
        </w:r>
        <w:r w:rsidR="00874619">
          <w:rPr>
            <w:webHidden/>
          </w:rPr>
          <w:t>158</w:t>
        </w:r>
        <w:r w:rsidR="00A65C0E">
          <w:rPr>
            <w:webHidden/>
          </w:rPr>
          <w:fldChar w:fldCharType="end"/>
        </w:r>
      </w:hyperlink>
    </w:p>
    <w:p w:rsidR="00A65C0E" w:rsidRDefault="000279D8">
      <w:pPr>
        <w:pStyle w:val="TOC4"/>
        <w:rPr>
          <w:rFonts w:eastAsiaTheme="minorEastAsia"/>
          <w:lang w:eastAsia="en-AU"/>
        </w:rPr>
      </w:pPr>
      <w:hyperlink w:anchor="_Toc458081635" w:history="1">
        <w:r w:rsidR="00A65C0E" w:rsidRPr="00764B0D">
          <w:rPr>
            <w:rStyle w:val="Hyperlink"/>
          </w:rPr>
          <w:t>ALP011: Giving the ACCC more teeth</w:t>
        </w:r>
        <w:r w:rsidR="00A65C0E">
          <w:rPr>
            <w:webHidden/>
          </w:rPr>
          <w:tab/>
        </w:r>
        <w:r w:rsidR="00A65C0E">
          <w:rPr>
            <w:webHidden/>
          </w:rPr>
          <w:fldChar w:fldCharType="begin"/>
        </w:r>
        <w:r w:rsidR="00A65C0E">
          <w:rPr>
            <w:webHidden/>
          </w:rPr>
          <w:instrText xml:space="preserve"> PAGEREF _Toc458081635 \h </w:instrText>
        </w:r>
        <w:r w:rsidR="00A65C0E">
          <w:rPr>
            <w:webHidden/>
          </w:rPr>
        </w:r>
        <w:r w:rsidR="00A65C0E">
          <w:rPr>
            <w:webHidden/>
          </w:rPr>
          <w:fldChar w:fldCharType="separate"/>
        </w:r>
        <w:r w:rsidR="00874619">
          <w:rPr>
            <w:webHidden/>
          </w:rPr>
          <w:t>161</w:t>
        </w:r>
        <w:r w:rsidR="00A65C0E">
          <w:rPr>
            <w:webHidden/>
          </w:rPr>
          <w:fldChar w:fldCharType="end"/>
        </w:r>
      </w:hyperlink>
    </w:p>
    <w:p w:rsidR="00A65C0E" w:rsidRDefault="000279D8">
      <w:pPr>
        <w:pStyle w:val="TOC4"/>
        <w:rPr>
          <w:rFonts w:eastAsiaTheme="minorEastAsia"/>
          <w:lang w:eastAsia="en-AU"/>
        </w:rPr>
      </w:pPr>
      <w:hyperlink w:anchor="_Toc458081636" w:history="1">
        <w:r w:rsidR="00A65C0E" w:rsidRPr="00764B0D">
          <w:rPr>
            <w:rStyle w:val="Hyperlink"/>
          </w:rPr>
          <w:t>ALP012: Increasing the value of penalty units under the Crimes Act</w:t>
        </w:r>
        <w:r w:rsidR="00A65C0E">
          <w:rPr>
            <w:webHidden/>
          </w:rPr>
          <w:tab/>
        </w:r>
        <w:r w:rsidR="00A65C0E">
          <w:rPr>
            <w:webHidden/>
          </w:rPr>
          <w:fldChar w:fldCharType="begin"/>
        </w:r>
        <w:r w:rsidR="00A65C0E">
          <w:rPr>
            <w:webHidden/>
          </w:rPr>
          <w:instrText xml:space="preserve"> PAGEREF _Toc458081636 \h </w:instrText>
        </w:r>
        <w:r w:rsidR="00A65C0E">
          <w:rPr>
            <w:webHidden/>
          </w:rPr>
        </w:r>
        <w:r w:rsidR="00A65C0E">
          <w:rPr>
            <w:webHidden/>
          </w:rPr>
          <w:fldChar w:fldCharType="separate"/>
        </w:r>
        <w:r w:rsidR="00874619">
          <w:rPr>
            <w:webHidden/>
          </w:rPr>
          <w:t>165</w:t>
        </w:r>
        <w:r w:rsidR="00A65C0E">
          <w:rPr>
            <w:webHidden/>
          </w:rPr>
          <w:fldChar w:fldCharType="end"/>
        </w:r>
      </w:hyperlink>
    </w:p>
    <w:p w:rsidR="00A65C0E" w:rsidRDefault="000279D8">
      <w:pPr>
        <w:pStyle w:val="TOC4"/>
        <w:rPr>
          <w:rFonts w:eastAsiaTheme="minorEastAsia"/>
          <w:lang w:eastAsia="en-AU"/>
        </w:rPr>
      </w:pPr>
      <w:hyperlink w:anchor="_Toc458081637" w:history="1">
        <w:r w:rsidR="00A65C0E" w:rsidRPr="00764B0D">
          <w:rPr>
            <w:rStyle w:val="Hyperlink"/>
          </w:rPr>
          <w:t>ALP013: Introducing a new fee category for publicly listed corporations</w:t>
        </w:r>
        <w:r w:rsidR="00A65C0E">
          <w:rPr>
            <w:webHidden/>
          </w:rPr>
          <w:tab/>
        </w:r>
        <w:r w:rsidR="00A65C0E">
          <w:rPr>
            <w:webHidden/>
          </w:rPr>
          <w:fldChar w:fldCharType="begin"/>
        </w:r>
        <w:r w:rsidR="00A65C0E">
          <w:rPr>
            <w:webHidden/>
          </w:rPr>
          <w:instrText xml:space="preserve"> PAGEREF _Toc458081637 \h </w:instrText>
        </w:r>
        <w:r w:rsidR="00A65C0E">
          <w:rPr>
            <w:webHidden/>
          </w:rPr>
        </w:r>
        <w:r w:rsidR="00A65C0E">
          <w:rPr>
            <w:webHidden/>
          </w:rPr>
          <w:fldChar w:fldCharType="separate"/>
        </w:r>
        <w:r w:rsidR="00874619">
          <w:rPr>
            <w:webHidden/>
          </w:rPr>
          <w:t>167</w:t>
        </w:r>
        <w:r w:rsidR="00A65C0E">
          <w:rPr>
            <w:webHidden/>
          </w:rPr>
          <w:fldChar w:fldCharType="end"/>
        </w:r>
      </w:hyperlink>
    </w:p>
    <w:p w:rsidR="00A65C0E" w:rsidRDefault="000279D8">
      <w:pPr>
        <w:pStyle w:val="TOC4"/>
        <w:rPr>
          <w:rFonts w:eastAsiaTheme="minorEastAsia"/>
          <w:lang w:eastAsia="en-AU"/>
        </w:rPr>
      </w:pPr>
      <w:hyperlink w:anchor="_Toc458081638" w:history="1">
        <w:r w:rsidR="00A65C0E" w:rsidRPr="00764B0D">
          <w:rPr>
            <w:rStyle w:val="Hyperlink"/>
          </w:rPr>
          <w:t>ALP014: Multinational Tax Package</w:t>
        </w:r>
        <w:r w:rsidR="00A65C0E">
          <w:rPr>
            <w:webHidden/>
          </w:rPr>
          <w:tab/>
        </w:r>
        <w:r w:rsidR="00A65C0E">
          <w:rPr>
            <w:webHidden/>
          </w:rPr>
          <w:fldChar w:fldCharType="begin"/>
        </w:r>
        <w:r w:rsidR="00A65C0E">
          <w:rPr>
            <w:webHidden/>
          </w:rPr>
          <w:instrText xml:space="preserve"> PAGEREF _Toc458081638 \h </w:instrText>
        </w:r>
        <w:r w:rsidR="00A65C0E">
          <w:rPr>
            <w:webHidden/>
          </w:rPr>
        </w:r>
        <w:r w:rsidR="00A65C0E">
          <w:rPr>
            <w:webHidden/>
          </w:rPr>
          <w:fldChar w:fldCharType="separate"/>
        </w:r>
        <w:r w:rsidR="00874619">
          <w:rPr>
            <w:webHidden/>
          </w:rPr>
          <w:t>169</w:t>
        </w:r>
        <w:r w:rsidR="00A65C0E">
          <w:rPr>
            <w:webHidden/>
          </w:rPr>
          <w:fldChar w:fldCharType="end"/>
        </w:r>
      </w:hyperlink>
    </w:p>
    <w:p w:rsidR="00A65C0E" w:rsidRDefault="000279D8">
      <w:pPr>
        <w:pStyle w:val="TOC4"/>
        <w:rPr>
          <w:rFonts w:eastAsiaTheme="minorEastAsia"/>
          <w:lang w:eastAsia="en-AU"/>
        </w:rPr>
      </w:pPr>
      <w:hyperlink w:anchor="_Toc458081639" w:history="1">
        <w:r w:rsidR="00A65C0E" w:rsidRPr="00764B0D">
          <w:rPr>
            <w:rStyle w:val="Hyperlink"/>
          </w:rPr>
          <w:t>ALP015: Negative Gearing and CGT reform</w:t>
        </w:r>
        <w:r w:rsidR="00A65C0E">
          <w:rPr>
            <w:webHidden/>
          </w:rPr>
          <w:tab/>
        </w:r>
        <w:r w:rsidR="00A65C0E">
          <w:rPr>
            <w:webHidden/>
          </w:rPr>
          <w:fldChar w:fldCharType="begin"/>
        </w:r>
        <w:r w:rsidR="00A65C0E">
          <w:rPr>
            <w:webHidden/>
          </w:rPr>
          <w:instrText xml:space="preserve"> PAGEREF _Toc458081639 \h </w:instrText>
        </w:r>
        <w:r w:rsidR="00A65C0E">
          <w:rPr>
            <w:webHidden/>
          </w:rPr>
        </w:r>
        <w:r w:rsidR="00A65C0E">
          <w:rPr>
            <w:webHidden/>
          </w:rPr>
          <w:fldChar w:fldCharType="separate"/>
        </w:r>
        <w:r w:rsidR="00874619">
          <w:rPr>
            <w:webHidden/>
          </w:rPr>
          <w:t>174</w:t>
        </w:r>
        <w:r w:rsidR="00A65C0E">
          <w:rPr>
            <w:webHidden/>
          </w:rPr>
          <w:fldChar w:fldCharType="end"/>
        </w:r>
      </w:hyperlink>
    </w:p>
    <w:p w:rsidR="00A65C0E" w:rsidRDefault="000279D8">
      <w:pPr>
        <w:pStyle w:val="TOC4"/>
        <w:rPr>
          <w:rFonts w:eastAsiaTheme="minorEastAsia"/>
          <w:lang w:eastAsia="en-AU"/>
        </w:rPr>
      </w:pPr>
      <w:hyperlink w:anchor="_Toc458081640" w:history="1">
        <w:r w:rsidR="00A65C0E" w:rsidRPr="00764B0D">
          <w:rPr>
            <w:rStyle w:val="Hyperlink"/>
          </w:rPr>
          <w:t>ALP016: Not proceeding with the marriage equality plebiscite</w:t>
        </w:r>
        <w:r w:rsidR="00A65C0E">
          <w:rPr>
            <w:webHidden/>
          </w:rPr>
          <w:tab/>
        </w:r>
        <w:r w:rsidR="00A65C0E">
          <w:rPr>
            <w:webHidden/>
          </w:rPr>
          <w:fldChar w:fldCharType="begin"/>
        </w:r>
        <w:r w:rsidR="00A65C0E">
          <w:rPr>
            <w:webHidden/>
          </w:rPr>
          <w:instrText xml:space="preserve"> PAGEREF _Toc458081640 \h </w:instrText>
        </w:r>
        <w:r w:rsidR="00A65C0E">
          <w:rPr>
            <w:webHidden/>
          </w:rPr>
        </w:r>
        <w:r w:rsidR="00A65C0E">
          <w:rPr>
            <w:webHidden/>
          </w:rPr>
          <w:fldChar w:fldCharType="separate"/>
        </w:r>
        <w:r w:rsidR="00874619">
          <w:rPr>
            <w:webHidden/>
          </w:rPr>
          <w:t>181</w:t>
        </w:r>
        <w:r w:rsidR="00A65C0E">
          <w:rPr>
            <w:webHidden/>
          </w:rPr>
          <w:fldChar w:fldCharType="end"/>
        </w:r>
      </w:hyperlink>
    </w:p>
    <w:p w:rsidR="00A65C0E" w:rsidRDefault="000279D8">
      <w:pPr>
        <w:pStyle w:val="TOC4"/>
        <w:rPr>
          <w:rFonts w:eastAsiaTheme="minorEastAsia"/>
          <w:lang w:eastAsia="en-AU"/>
        </w:rPr>
      </w:pPr>
      <w:hyperlink w:anchor="_Toc458081641" w:history="1">
        <w:r w:rsidR="00A65C0E" w:rsidRPr="00764B0D">
          <w:rPr>
            <w:rStyle w:val="Hyperlink"/>
          </w:rPr>
          <w:t>ALP017: Not proceeding with the return of the baby bonus</w:t>
        </w:r>
        <w:r w:rsidR="00A65C0E">
          <w:rPr>
            <w:webHidden/>
          </w:rPr>
          <w:tab/>
        </w:r>
        <w:r w:rsidR="00A65C0E">
          <w:rPr>
            <w:webHidden/>
          </w:rPr>
          <w:fldChar w:fldCharType="begin"/>
        </w:r>
        <w:r w:rsidR="00A65C0E">
          <w:rPr>
            <w:webHidden/>
          </w:rPr>
          <w:instrText xml:space="preserve"> PAGEREF _Toc458081641 \h </w:instrText>
        </w:r>
        <w:r w:rsidR="00A65C0E">
          <w:rPr>
            <w:webHidden/>
          </w:rPr>
        </w:r>
        <w:r w:rsidR="00A65C0E">
          <w:rPr>
            <w:webHidden/>
          </w:rPr>
          <w:fldChar w:fldCharType="separate"/>
        </w:r>
        <w:r w:rsidR="00874619">
          <w:rPr>
            <w:webHidden/>
          </w:rPr>
          <w:t>182</w:t>
        </w:r>
        <w:r w:rsidR="00A65C0E">
          <w:rPr>
            <w:webHidden/>
          </w:rPr>
          <w:fldChar w:fldCharType="end"/>
        </w:r>
      </w:hyperlink>
    </w:p>
    <w:p w:rsidR="00A65C0E" w:rsidRDefault="000279D8">
      <w:pPr>
        <w:pStyle w:val="TOC4"/>
        <w:rPr>
          <w:rFonts w:eastAsiaTheme="minorEastAsia"/>
          <w:lang w:eastAsia="en-AU"/>
        </w:rPr>
      </w:pPr>
      <w:hyperlink w:anchor="_Toc458081642" w:history="1">
        <w:r w:rsidR="00A65C0E" w:rsidRPr="00764B0D">
          <w:rPr>
            <w:rStyle w:val="Hyperlink"/>
          </w:rPr>
          <w:t>ALP018: Reduce uncommitted funding for National Water Infrastructure Development Fund by 50%</w:t>
        </w:r>
        <w:r w:rsidR="00A65C0E">
          <w:rPr>
            <w:webHidden/>
          </w:rPr>
          <w:tab/>
        </w:r>
        <w:r w:rsidR="00A65C0E">
          <w:rPr>
            <w:webHidden/>
          </w:rPr>
          <w:fldChar w:fldCharType="begin"/>
        </w:r>
        <w:r w:rsidR="00A65C0E">
          <w:rPr>
            <w:webHidden/>
          </w:rPr>
          <w:instrText xml:space="preserve"> PAGEREF _Toc458081642 \h </w:instrText>
        </w:r>
        <w:r w:rsidR="00A65C0E">
          <w:rPr>
            <w:webHidden/>
          </w:rPr>
        </w:r>
        <w:r w:rsidR="00A65C0E">
          <w:rPr>
            <w:webHidden/>
          </w:rPr>
          <w:fldChar w:fldCharType="separate"/>
        </w:r>
        <w:r w:rsidR="00874619">
          <w:rPr>
            <w:webHidden/>
          </w:rPr>
          <w:t>185</w:t>
        </w:r>
        <w:r w:rsidR="00A65C0E">
          <w:rPr>
            <w:webHidden/>
          </w:rPr>
          <w:fldChar w:fldCharType="end"/>
        </w:r>
      </w:hyperlink>
    </w:p>
    <w:p w:rsidR="00A65C0E" w:rsidRDefault="000279D8">
      <w:pPr>
        <w:pStyle w:val="TOC4"/>
        <w:rPr>
          <w:rFonts w:eastAsiaTheme="minorEastAsia"/>
          <w:lang w:eastAsia="en-AU"/>
        </w:rPr>
      </w:pPr>
      <w:hyperlink w:anchor="_Toc458081643" w:history="1">
        <w:r w:rsidR="00A65C0E" w:rsidRPr="00764B0D">
          <w:rPr>
            <w:rStyle w:val="Hyperlink"/>
          </w:rPr>
          <w:t>ALP019: Reducing FTB-A supplement by 50% for families with income greater than $100,000</w:t>
        </w:r>
        <w:r w:rsidR="00A65C0E">
          <w:rPr>
            <w:webHidden/>
          </w:rPr>
          <w:tab/>
        </w:r>
        <w:r w:rsidR="00A65C0E">
          <w:rPr>
            <w:webHidden/>
          </w:rPr>
          <w:fldChar w:fldCharType="begin"/>
        </w:r>
        <w:r w:rsidR="00A65C0E">
          <w:rPr>
            <w:webHidden/>
          </w:rPr>
          <w:instrText xml:space="preserve"> PAGEREF _Toc458081643 \h </w:instrText>
        </w:r>
        <w:r w:rsidR="00A65C0E">
          <w:rPr>
            <w:webHidden/>
          </w:rPr>
        </w:r>
        <w:r w:rsidR="00A65C0E">
          <w:rPr>
            <w:webHidden/>
          </w:rPr>
          <w:fldChar w:fldCharType="separate"/>
        </w:r>
        <w:r w:rsidR="00874619">
          <w:rPr>
            <w:webHidden/>
          </w:rPr>
          <w:t>188</w:t>
        </w:r>
        <w:r w:rsidR="00A65C0E">
          <w:rPr>
            <w:webHidden/>
          </w:rPr>
          <w:fldChar w:fldCharType="end"/>
        </w:r>
      </w:hyperlink>
    </w:p>
    <w:p w:rsidR="00A65C0E" w:rsidRDefault="000279D8">
      <w:pPr>
        <w:pStyle w:val="TOC4"/>
        <w:rPr>
          <w:rFonts w:eastAsiaTheme="minorEastAsia"/>
          <w:lang w:eastAsia="en-AU"/>
        </w:rPr>
      </w:pPr>
      <w:hyperlink w:anchor="_Toc458081644" w:history="1">
        <w:r w:rsidR="00A65C0E" w:rsidRPr="00764B0D">
          <w:rPr>
            <w:rStyle w:val="Hyperlink"/>
          </w:rPr>
          <w:t>ALP020: Reforming the Industry Growth Centres</w:t>
        </w:r>
        <w:r w:rsidR="00A65C0E">
          <w:rPr>
            <w:webHidden/>
          </w:rPr>
          <w:tab/>
        </w:r>
        <w:r w:rsidR="00A65C0E">
          <w:rPr>
            <w:webHidden/>
          </w:rPr>
          <w:fldChar w:fldCharType="begin"/>
        </w:r>
        <w:r w:rsidR="00A65C0E">
          <w:rPr>
            <w:webHidden/>
          </w:rPr>
          <w:instrText xml:space="preserve"> PAGEREF _Toc458081644 \h </w:instrText>
        </w:r>
        <w:r w:rsidR="00A65C0E">
          <w:rPr>
            <w:webHidden/>
          </w:rPr>
        </w:r>
        <w:r w:rsidR="00A65C0E">
          <w:rPr>
            <w:webHidden/>
          </w:rPr>
          <w:fldChar w:fldCharType="separate"/>
        </w:r>
        <w:r w:rsidR="00874619">
          <w:rPr>
            <w:webHidden/>
          </w:rPr>
          <w:t>191</w:t>
        </w:r>
        <w:r w:rsidR="00A65C0E">
          <w:rPr>
            <w:webHidden/>
          </w:rPr>
          <w:fldChar w:fldCharType="end"/>
        </w:r>
      </w:hyperlink>
    </w:p>
    <w:p w:rsidR="00A65C0E" w:rsidRDefault="000279D8">
      <w:pPr>
        <w:pStyle w:val="TOC4"/>
        <w:rPr>
          <w:rFonts w:eastAsiaTheme="minorEastAsia"/>
          <w:lang w:eastAsia="en-AU"/>
        </w:rPr>
      </w:pPr>
      <w:hyperlink w:anchor="_Toc458081645" w:history="1">
        <w:r w:rsidR="00A65C0E" w:rsidRPr="00764B0D">
          <w:rPr>
            <w:rStyle w:val="Hyperlink"/>
          </w:rPr>
          <w:t>ALP021: Removing the Private Health Insurance Rebate for Natural Therapies</w:t>
        </w:r>
        <w:r w:rsidR="00A65C0E">
          <w:rPr>
            <w:webHidden/>
          </w:rPr>
          <w:tab/>
        </w:r>
        <w:r w:rsidR="00A65C0E">
          <w:rPr>
            <w:webHidden/>
          </w:rPr>
          <w:fldChar w:fldCharType="begin"/>
        </w:r>
        <w:r w:rsidR="00A65C0E">
          <w:rPr>
            <w:webHidden/>
          </w:rPr>
          <w:instrText xml:space="preserve"> PAGEREF _Toc458081645 \h </w:instrText>
        </w:r>
        <w:r w:rsidR="00A65C0E">
          <w:rPr>
            <w:webHidden/>
          </w:rPr>
        </w:r>
        <w:r w:rsidR="00A65C0E">
          <w:rPr>
            <w:webHidden/>
          </w:rPr>
          <w:fldChar w:fldCharType="separate"/>
        </w:r>
        <w:r w:rsidR="00874619">
          <w:rPr>
            <w:webHidden/>
          </w:rPr>
          <w:t>194</w:t>
        </w:r>
        <w:r w:rsidR="00A65C0E">
          <w:rPr>
            <w:webHidden/>
          </w:rPr>
          <w:fldChar w:fldCharType="end"/>
        </w:r>
      </w:hyperlink>
    </w:p>
    <w:p w:rsidR="00A65C0E" w:rsidRDefault="000279D8">
      <w:pPr>
        <w:pStyle w:val="TOC4"/>
        <w:rPr>
          <w:rFonts w:eastAsiaTheme="minorEastAsia"/>
          <w:lang w:eastAsia="en-AU"/>
        </w:rPr>
      </w:pPr>
      <w:hyperlink w:anchor="_Toc458081646" w:history="1">
        <w:r w:rsidR="00A65C0E" w:rsidRPr="00764B0D">
          <w:rPr>
            <w:rStyle w:val="Hyperlink"/>
          </w:rPr>
          <w:t>ALP022: Return uncommitted funding in the Confiscated Assets Account to the Budget</w:t>
        </w:r>
        <w:r w:rsidR="00A65C0E">
          <w:rPr>
            <w:webHidden/>
          </w:rPr>
          <w:tab/>
        </w:r>
        <w:r w:rsidR="00A65C0E">
          <w:rPr>
            <w:webHidden/>
          </w:rPr>
          <w:fldChar w:fldCharType="begin"/>
        </w:r>
        <w:r w:rsidR="00A65C0E">
          <w:rPr>
            <w:webHidden/>
          </w:rPr>
          <w:instrText xml:space="preserve"> PAGEREF _Toc458081646 \h </w:instrText>
        </w:r>
        <w:r w:rsidR="00A65C0E">
          <w:rPr>
            <w:webHidden/>
          </w:rPr>
        </w:r>
        <w:r w:rsidR="00A65C0E">
          <w:rPr>
            <w:webHidden/>
          </w:rPr>
          <w:fldChar w:fldCharType="separate"/>
        </w:r>
        <w:r w:rsidR="00874619">
          <w:rPr>
            <w:webHidden/>
          </w:rPr>
          <w:t>196</w:t>
        </w:r>
        <w:r w:rsidR="00A65C0E">
          <w:rPr>
            <w:webHidden/>
          </w:rPr>
          <w:fldChar w:fldCharType="end"/>
        </w:r>
      </w:hyperlink>
    </w:p>
    <w:p w:rsidR="00A65C0E" w:rsidRDefault="000279D8">
      <w:pPr>
        <w:pStyle w:val="TOC4"/>
        <w:rPr>
          <w:rFonts w:eastAsiaTheme="minorEastAsia"/>
          <w:lang w:eastAsia="en-AU"/>
        </w:rPr>
      </w:pPr>
      <w:hyperlink w:anchor="_Toc458081647" w:history="1">
        <w:r w:rsidR="00A65C0E" w:rsidRPr="00764B0D">
          <w:rPr>
            <w:rStyle w:val="Hyperlink"/>
          </w:rPr>
          <w:t>ALP023: Royal Commission into the Financial Services Industry</w:t>
        </w:r>
        <w:r w:rsidR="00A65C0E">
          <w:rPr>
            <w:webHidden/>
          </w:rPr>
          <w:tab/>
        </w:r>
        <w:r w:rsidR="00A65C0E">
          <w:rPr>
            <w:webHidden/>
          </w:rPr>
          <w:fldChar w:fldCharType="begin"/>
        </w:r>
        <w:r w:rsidR="00A65C0E">
          <w:rPr>
            <w:webHidden/>
          </w:rPr>
          <w:instrText xml:space="preserve"> PAGEREF _Toc458081647 \h </w:instrText>
        </w:r>
        <w:r w:rsidR="00A65C0E">
          <w:rPr>
            <w:webHidden/>
          </w:rPr>
        </w:r>
        <w:r w:rsidR="00A65C0E">
          <w:rPr>
            <w:webHidden/>
          </w:rPr>
          <w:fldChar w:fldCharType="separate"/>
        </w:r>
        <w:r w:rsidR="00874619">
          <w:rPr>
            <w:webHidden/>
          </w:rPr>
          <w:t>198</w:t>
        </w:r>
        <w:r w:rsidR="00A65C0E">
          <w:rPr>
            <w:webHidden/>
          </w:rPr>
          <w:fldChar w:fldCharType="end"/>
        </w:r>
      </w:hyperlink>
    </w:p>
    <w:p w:rsidR="00A65C0E" w:rsidRDefault="000279D8">
      <w:pPr>
        <w:pStyle w:val="TOC4"/>
        <w:rPr>
          <w:rFonts w:eastAsiaTheme="minorEastAsia"/>
          <w:lang w:eastAsia="en-AU"/>
        </w:rPr>
      </w:pPr>
      <w:hyperlink w:anchor="_Toc458081648" w:history="1">
        <w:r w:rsidR="00A65C0E" w:rsidRPr="00764B0D">
          <w:rPr>
            <w:rStyle w:val="Hyperlink"/>
          </w:rPr>
          <w:t>ALP024: Scaling back the Colombo Plan</w:t>
        </w:r>
        <w:r w:rsidR="00A65C0E">
          <w:rPr>
            <w:webHidden/>
          </w:rPr>
          <w:tab/>
        </w:r>
        <w:r w:rsidR="00A65C0E">
          <w:rPr>
            <w:webHidden/>
          </w:rPr>
          <w:fldChar w:fldCharType="begin"/>
        </w:r>
        <w:r w:rsidR="00A65C0E">
          <w:rPr>
            <w:webHidden/>
          </w:rPr>
          <w:instrText xml:space="preserve"> PAGEREF _Toc458081648 \h </w:instrText>
        </w:r>
        <w:r w:rsidR="00A65C0E">
          <w:rPr>
            <w:webHidden/>
          </w:rPr>
        </w:r>
        <w:r w:rsidR="00A65C0E">
          <w:rPr>
            <w:webHidden/>
          </w:rPr>
          <w:fldChar w:fldCharType="separate"/>
        </w:r>
        <w:r w:rsidR="00874619">
          <w:rPr>
            <w:webHidden/>
          </w:rPr>
          <w:t>200</w:t>
        </w:r>
        <w:r w:rsidR="00A65C0E">
          <w:rPr>
            <w:webHidden/>
          </w:rPr>
          <w:fldChar w:fldCharType="end"/>
        </w:r>
      </w:hyperlink>
    </w:p>
    <w:p w:rsidR="00A65C0E" w:rsidRDefault="000279D8">
      <w:pPr>
        <w:pStyle w:val="TOC4"/>
        <w:rPr>
          <w:rFonts w:eastAsiaTheme="minorEastAsia"/>
          <w:lang w:eastAsia="en-AU"/>
        </w:rPr>
      </w:pPr>
      <w:hyperlink w:anchor="_Toc458081649" w:history="1">
        <w:r w:rsidR="00A65C0E" w:rsidRPr="00764B0D">
          <w:rPr>
            <w:rStyle w:val="Hyperlink"/>
          </w:rPr>
          <w:t>ALP025: Establish a Treasury Outreach Office in Perth</w:t>
        </w:r>
        <w:r w:rsidR="00A65C0E">
          <w:rPr>
            <w:webHidden/>
          </w:rPr>
          <w:tab/>
        </w:r>
        <w:r w:rsidR="00A65C0E">
          <w:rPr>
            <w:webHidden/>
          </w:rPr>
          <w:fldChar w:fldCharType="begin"/>
        </w:r>
        <w:r w:rsidR="00A65C0E">
          <w:rPr>
            <w:webHidden/>
          </w:rPr>
          <w:instrText xml:space="preserve"> PAGEREF _Toc458081649 \h </w:instrText>
        </w:r>
        <w:r w:rsidR="00A65C0E">
          <w:rPr>
            <w:webHidden/>
          </w:rPr>
        </w:r>
        <w:r w:rsidR="00A65C0E">
          <w:rPr>
            <w:webHidden/>
          </w:rPr>
          <w:fldChar w:fldCharType="separate"/>
        </w:r>
        <w:r w:rsidR="00874619">
          <w:rPr>
            <w:webHidden/>
          </w:rPr>
          <w:t>202</w:t>
        </w:r>
        <w:r w:rsidR="00A65C0E">
          <w:rPr>
            <w:webHidden/>
          </w:rPr>
          <w:fldChar w:fldCharType="end"/>
        </w:r>
      </w:hyperlink>
    </w:p>
    <w:p w:rsidR="00A65C0E" w:rsidRDefault="000279D8">
      <w:pPr>
        <w:pStyle w:val="TOC4"/>
        <w:rPr>
          <w:rFonts w:eastAsiaTheme="minorEastAsia"/>
          <w:lang w:eastAsia="en-AU"/>
        </w:rPr>
      </w:pPr>
      <w:hyperlink w:anchor="_Toc458081650" w:history="1">
        <w:r w:rsidR="00A65C0E" w:rsidRPr="00764B0D">
          <w:rPr>
            <w:rStyle w:val="Hyperlink"/>
          </w:rPr>
          <w:t>ALP026: Not proceeding with income tax cuts for high-income Australians</w:t>
        </w:r>
        <w:r w:rsidR="00A65C0E">
          <w:rPr>
            <w:webHidden/>
          </w:rPr>
          <w:tab/>
        </w:r>
        <w:r w:rsidR="00A65C0E">
          <w:rPr>
            <w:webHidden/>
          </w:rPr>
          <w:fldChar w:fldCharType="begin"/>
        </w:r>
        <w:r w:rsidR="00A65C0E">
          <w:rPr>
            <w:webHidden/>
          </w:rPr>
          <w:instrText xml:space="preserve"> PAGEREF _Toc458081650 \h </w:instrText>
        </w:r>
        <w:r w:rsidR="00A65C0E">
          <w:rPr>
            <w:webHidden/>
          </w:rPr>
        </w:r>
        <w:r w:rsidR="00A65C0E">
          <w:rPr>
            <w:webHidden/>
          </w:rPr>
          <w:fldChar w:fldCharType="separate"/>
        </w:r>
        <w:r w:rsidR="00874619">
          <w:rPr>
            <w:webHidden/>
          </w:rPr>
          <w:t>204</w:t>
        </w:r>
        <w:r w:rsidR="00A65C0E">
          <w:rPr>
            <w:webHidden/>
          </w:rPr>
          <w:fldChar w:fldCharType="end"/>
        </w:r>
      </w:hyperlink>
    </w:p>
    <w:p w:rsidR="00A65C0E" w:rsidRDefault="000279D8">
      <w:pPr>
        <w:pStyle w:val="TOC4"/>
        <w:rPr>
          <w:rFonts w:eastAsiaTheme="minorEastAsia"/>
          <w:lang w:eastAsia="en-AU"/>
        </w:rPr>
      </w:pPr>
      <w:hyperlink w:anchor="_Toc458081651" w:history="1">
        <w:r w:rsidR="00A65C0E" w:rsidRPr="00764B0D">
          <w:rPr>
            <w:rStyle w:val="Hyperlink"/>
          </w:rPr>
          <w:t>ALP027: Not proceeding with big company tax cuts</w:t>
        </w:r>
        <w:r w:rsidR="00A65C0E">
          <w:rPr>
            <w:webHidden/>
          </w:rPr>
          <w:tab/>
        </w:r>
        <w:r w:rsidR="00A65C0E">
          <w:rPr>
            <w:webHidden/>
          </w:rPr>
          <w:fldChar w:fldCharType="begin"/>
        </w:r>
        <w:r w:rsidR="00A65C0E">
          <w:rPr>
            <w:webHidden/>
          </w:rPr>
          <w:instrText xml:space="preserve"> PAGEREF _Toc458081651 \h </w:instrText>
        </w:r>
        <w:r w:rsidR="00A65C0E">
          <w:rPr>
            <w:webHidden/>
          </w:rPr>
        </w:r>
        <w:r w:rsidR="00A65C0E">
          <w:rPr>
            <w:webHidden/>
          </w:rPr>
          <w:fldChar w:fldCharType="separate"/>
        </w:r>
        <w:r w:rsidR="00874619">
          <w:rPr>
            <w:webHidden/>
          </w:rPr>
          <w:t>207</w:t>
        </w:r>
        <w:r w:rsidR="00A65C0E">
          <w:rPr>
            <w:webHidden/>
          </w:rPr>
          <w:fldChar w:fldCharType="end"/>
        </w:r>
      </w:hyperlink>
    </w:p>
    <w:p w:rsidR="00A65C0E" w:rsidRDefault="000279D8">
      <w:pPr>
        <w:pStyle w:val="TOC4"/>
        <w:rPr>
          <w:rFonts w:eastAsiaTheme="minorEastAsia"/>
          <w:lang w:eastAsia="en-AU"/>
        </w:rPr>
      </w:pPr>
      <w:hyperlink w:anchor="_Toc458081652" w:history="1">
        <w:r w:rsidR="00A65C0E" w:rsidRPr="00764B0D">
          <w:rPr>
            <w:rStyle w:val="Hyperlink"/>
          </w:rPr>
          <w:t>ALP028: Putting a $8,000 per year cap on VET FEE-HELP loans</w:t>
        </w:r>
        <w:r w:rsidR="00A65C0E">
          <w:rPr>
            <w:webHidden/>
          </w:rPr>
          <w:tab/>
        </w:r>
        <w:r w:rsidR="00A65C0E">
          <w:rPr>
            <w:webHidden/>
          </w:rPr>
          <w:fldChar w:fldCharType="begin"/>
        </w:r>
        <w:r w:rsidR="00A65C0E">
          <w:rPr>
            <w:webHidden/>
          </w:rPr>
          <w:instrText xml:space="preserve"> PAGEREF _Toc458081652 \h </w:instrText>
        </w:r>
        <w:r w:rsidR="00A65C0E">
          <w:rPr>
            <w:webHidden/>
          </w:rPr>
        </w:r>
        <w:r w:rsidR="00A65C0E">
          <w:rPr>
            <w:webHidden/>
          </w:rPr>
          <w:fldChar w:fldCharType="separate"/>
        </w:r>
        <w:r w:rsidR="00874619">
          <w:rPr>
            <w:webHidden/>
          </w:rPr>
          <w:t>216</w:t>
        </w:r>
        <w:r w:rsidR="00A65C0E">
          <w:rPr>
            <w:webHidden/>
          </w:rPr>
          <w:fldChar w:fldCharType="end"/>
        </w:r>
      </w:hyperlink>
    </w:p>
    <w:p w:rsidR="00A65C0E" w:rsidRDefault="000279D8">
      <w:pPr>
        <w:pStyle w:val="TOC4"/>
        <w:rPr>
          <w:rFonts w:eastAsiaTheme="minorEastAsia"/>
          <w:lang w:eastAsia="en-AU"/>
        </w:rPr>
      </w:pPr>
      <w:hyperlink w:anchor="_Toc458081653" w:history="1">
        <w:r w:rsidR="00A65C0E" w:rsidRPr="00764B0D">
          <w:rPr>
            <w:rStyle w:val="Hyperlink"/>
          </w:rPr>
          <w:t>ALP029: Removing rebate for PHI junk policies</w:t>
        </w:r>
        <w:r w:rsidR="00A65C0E">
          <w:rPr>
            <w:webHidden/>
          </w:rPr>
          <w:tab/>
        </w:r>
        <w:r w:rsidR="00A65C0E">
          <w:rPr>
            <w:webHidden/>
          </w:rPr>
          <w:fldChar w:fldCharType="begin"/>
        </w:r>
        <w:r w:rsidR="00A65C0E">
          <w:rPr>
            <w:webHidden/>
          </w:rPr>
          <w:instrText xml:space="preserve"> PAGEREF _Toc458081653 \h </w:instrText>
        </w:r>
        <w:r w:rsidR="00A65C0E">
          <w:rPr>
            <w:webHidden/>
          </w:rPr>
        </w:r>
        <w:r w:rsidR="00A65C0E">
          <w:rPr>
            <w:webHidden/>
          </w:rPr>
          <w:fldChar w:fldCharType="separate"/>
        </w:r>
        <w:r w:rsidR="00874619">
          <w:rPr>
            <w:webHidden/>
          </w:rPr>
          <w:t>222</w:t>
        </w:r>
        <w:r w:rsidR="00A65C0E">
          <w:rPr>
            <w:webHidden/>
          </w:rPr>
          <w:fldChar w:fldCharType="end"/>
        </w:r>
      </w:hyperlink>
    </w:p>
    <w:p w:rsidR="00A65C0E" w:rsidRDefault="000279D8">
      <w:pPr>
        <w:pStyle w:val="TOC4"/>
        <w:rPr>
          <w:rFonts w:eastAsiaTheme="minorEastAsia"/>
          <w:lang w:eastAsia="en-AU"/>
        </w:rPr>
      </w:pPr>
      <w:hyperlink w:anchor="_Toc458081654" w:history="1">
        <w:r w:rsidR="00A65C0E" w:rsidRPr="00764B0D">
          <w:rPr>
            <w:rStyle w:val="Hyperlink"/>
          </w:rPr>
          <w:t>ALP030: Capping deductions for managing tax affairs at $5,000</w:t>
        </w:r>
        <w:r w:rsidR="00A65C0E">
          <w:rPr>
            <w:webHidden/>
          </w:rPr>
          <w:tab/>
        </w:r>
        <w:r w:rsidR="00A65C0E">
          <w:rPr>
            <w:webHidden/>
          </w:rPr>
          <w:fldChar w:fldCharType="begin"/>
        </w:r>
        <w:r w:rsidR="00A65C0E">
          <w:rPr>
            <w:webHidden/>
          </w:rPr>
          <w:instrText xml:space="preserve"> PAGEREF _Toc458081654 \h </w:instrText>
        </w:r>
        <w:r w:rsidR="00A65C0E">
          <w:rPr>
            <w:webHidden/>
          </w:rPr>
        </w:r>
        <w:r w:rsidR="00A65C0E">
          <w:rPr>
            <w:webHidden/>
          </w:rPr>
          <w:fldChar w:fldCharType="separate"/>
        </w:r>
        <w:r w:rsidR="00874619">
          <w:rPr>
            <w:webHidden/>
          </w:rPr>
          <w:t>224</w:t>
        </w:r>
        <w:r w:rsidR="00A65C0E">
          <w:rPr>
            <w:webHidden/>
          </w:rPr>
          <w:fldChar w:fldCharType="end"/>
        </w:r>
      </w:hyperlink>
    </w:p>
    <w:p w:rsidR="00A65C0E" w:rsidRDefault="000279D8">
      <w:pPr>
        <w:pStyle w:val="TOC4"/>
        <w:rPr>
          <w:rFonts w:eastAsiaTheme="minorEastAsia"/>
          <w:lang w:eastAsia="en-AU"/>
        </w:rPr>
      </w:pPr>
      <w:hyperlink w:anchor="_Toc458081655" w:history="1">
        <w:r w:rsidR="00A65C0E" w:rsidRPr="00764B0D">
          <w:rPr>
            <w:rStyle w:val="Hyperlink"/>
          </w:rPr>
          <w:t>ALP031: Apprentice Ready</w:t>
        </w:r>
        <w:r w:rsidR="00A65C0E">
          <w:rPr>
            <w:webHidden/>
          </w:rPr>
          <w:tab/>
        </w:r>
        <w:r w:rsidR="00A65C0E">
          <w:rPr>
            <w:webHidden/>
          </w:rPr>
          <w:fldChar w:fldCharType="begin"/>
        </w:r>
        <w:r w:rsidR="00A65C0E">
          <w:rPr>
            <w:webHidden/>
          </w:rPr>
          <w:instrText xml:space="preserve"> PAGEREF _Toc458081655 \h </w:instrText>
        </w:r>
        <w:r w:rsidR="00A65C0E">
          <w:rPr>
            <w:webHidden/>
          </w:rPr>
        </w:r>
        <w:r w:rsidR="00A65C0E">
          <w:rPr>
            <w:webHidden/>
          </w:rPr>
          <w:fldChar w:fldCharType="separate"/>
        </w:r>
        <w:r w:rsidR="00874619">
          <w:rPr>
            <w:webHidden/>
          </w:rPr>
          <w:t>226</w:t>
        </w:r>
        <w:r w:rsidR="00A65C0E">
          <w:rPr>
            <w:webHidden/>
          </w:rPr>
          <w:fldChar w:fldCharType="end"/>
        </w:r>
      </w:hyperlink>
    </w:p>
    <w:p w:rsidR="00A65C0E" w:rsidRDefault="000279D8">
      <w:pPr>
        <w:pStyle w:val="TOC4"/>
        <w:rPr>
          <w:rFonts w:eastAsiaTheme="minorEastAsia"/>
          <w:lang w:eastAsia="en-AU"/>
        </w:rPr>
      </w:pPr>
      <w:hyperlink w:anchor="_Toc458081656" w:history="1">
        <w:r w:rsidR="00A65C0E" w:rsidRPr="00764B0D">
          <w:rPr>
            <w:rStyle w:val="Hyperlink"/>
          </w:rPr>
          <w:t>ALP032: Asian Language Scholarships</w:t>
        </w:r>
        <w:r w:rsidR="00A65C0E">
          <w:rPr>
            <w:webHidden/>
          </w:rPr>
          <w:tab/>
        </w:r>
        <w:r w:rsidR="00A65C0E">
          <w:rPr>
            <w:webHidden/>
          </w:rPr>
          <w:fldChar w:fldCharType="begin"/>
        </w:r>
        <w:r w:rsidR="00A65C0E">
          <w:rPr>
            <w:webHidden/>
          </w:rPr>
          <w:instrText xml:space="preserve"> PAGEREF _Toc458081656 \h </w:instrText>
        </w:r>
        <w:r w:rsidR="00A65C0E">
          <w:rPr>
            <w:webHidden/>
          </w:rPr>
        </w:r>
        <w:r w:rsidR="00A65C0E">
          <w:rPr>
            <w:webHidden/>
          </w:rPr>
          <w:fldChar w:fldCharType="separate"/>
        </w:r>
        <w:r w:rsidR="00874619">
          <w:rPr>
            <w:webHidden/>
          </w:rPr>
          <w:t>229</w:t>
        </w:r>
        <w:r w:rsidR="00A65C0E">
          <w:rPr>
            <w:webHidden/>
          </w:rPr>
          <w:fldChar w:fldCharType="end"/>
        </w:r>
      </w:hyperlink>
    </w:p>
    <w:p w:rsidR="00A65C0E" w:rsidRDefault="000279D8">
      <w:pPr>
        <w:pStyle w:val="TOC4"/>
        <w:rPr>
          <w:rFonts w:eastAsiaTheme="minorEastAsia"/>
          <w:lang w:eastAsia="en-AU"/>
        </w:rPr>
      </w:pPr>
      <w:hyperlink w:anchor="_Toc458081657" w:history="1">
        <w:r w:rsidR="00A65C0E" w:rsidRPr="00764B0D">
          <w:rPr>
            <w:rStyle w:val="Hyperlink"/>
          </w:rPr>
          <w:t>ALP033: HECS Free STEM Degrees</w:t>
        </w:r>
        <w:r w:rsidR="00A65C0E">
          <w:rPr>
            <w:webHidden/>
          </w:rPr>
          <w:tab/>
        </w:r>
        <w:r w:rsidR="00A65C0E">
          <w:rPr>
            <w:webHidden/>
          </w:rPr>
          <w:fldChar w:fldCharType="begin"/>
        </w:r>
        <w:r w:rsidR="00A65C0E">
          <w:rPr>
            <w:webHidden/>
          </w:rPr>
          <w:instrText xml:space="preserve"> PAGEREF _Toc458081657 \h </w:instrText>
        </w:r>
        <w:r w:rsidR="00A65C0E">
          <w:rPr>
            <w:webHidden/>
          </w:rPr>
        </w:r>
        <w:r w:rsidR="00A65C0E">
          <w:rPr>
            <w:webHidden/>
          </w:rPr>
          <w:fldChar w:fldCharType="separate"/>
        </w:r>
        <w:r w:rsidR="00874619">
          <w:rPr>
            <w:webHidden/>
          </w:rPr>
          <w:t>232</w:t>
        </w:r>
        <w:r w:rsidR="00A65C0E">
          <w:rPr>
            <w:webHidden/>
          </w:rPr>
          <w:fldChar w:fldCharType="end"/>
        </w:r>
      </w:hyperlink>
    </w:p>
    <w:p w:rsidR="00A65C0E" w:rsidRDefault="000279D8">
      <w:pPr>
        <w:pStyle w:val="TOC4"/>
        <w:rPr>
          <w:rFonts w:eastAsiaTheme="minorEastAsia"/>
          <w:lang w:eastAsia="en-AU"/>
        </w:rPr>
      </w:pPr>
      <w:hyperlink w:anchor="_Toc458081658" w:history="1">
        <w:r w:rsidR="00A65C0E" w:rsidRPr="00764B0D">
          <w:rPr>
            <w:rStyle w:val="Hyperlink"/>
          </w:rPr>
          <w:t>ALP034: Higher Education Package</w:t>
        </w:r>
        <w:r w:rsidR="00A65C0E">
          <w:rPr>
            <w:webHidden/>
          </w:rPr>
          <w:tab/>
        </w:r>
        <w:r w:rsidR="00A65C0E">
          <w:rPr>
            <w:webHidden/>
          </w:rPr>
          <w:fldChar w:fldCharType="begin"/>
        </w:r>
        <w:r w:rsidR="00A65C0E">
          <w:rPr>
            <w:webHidden/>
          </w:rPr>
          <w:instrText xml:space="preserve"> PAGEREF _Toc458081658 \h </w:instrText>
        </w:r>
        <w:r w:rsidR="00A65C0E">
          <w:rPr>
            <w:webHidden/>
          </w:rPr>
        </w:r>
        <w:r w:rsidR="00A65C0E">
          <w:rPr>
            <w:webHidden/>
          </w:rPr>
          <w:fldChar w:fldCharType="separate"/>
        </w:r>
        <w:r w:rsidR="00874619">
          <w:rPr>
            <w:webHidden/>
          </w:rPr>
          <w:t>237</w:t>
        </w:r>
        <w:r w:rsidR="00A65C0E">
          <w:rPr>
            <w:webHidden/>
          </w:rPr>
          <w:fldChar w:fldCharType="end"/>
        </w:r>
      </w:hyperlink>
    </w:p>
    <w:p w:rsidR="00A65C0E" w:rsidRDefault="000279D8">
      <w:pPr>
        <w:pStyle w:val="TOC4"/>
        <w:rPr>
          <w:rFonts w:eastAsiaTheme="minorEastAsia"/>
          <w:lang w:eastAsia="en-AU"/>
        </w:rPr>
      </w:pPr>
      <w:hyperlink w:anchor="_Toc458081659" w:history="1">
        <w:r w:rsidR="00A65C0E" w:rsidRPr="00764B0D">
          <w:rPr>
            <w:rStyle w:val="Hyperlink"/>
          </w:rPr>
          <w:t>ALP035: Not proceeding with changes to the Research Training Scheme - student contributions</w:t>
        </w:r>
        <w:r w:rsidR="00A65C0E">
          <w:rPr>
            <w:webHidden/>
          </w:rPr>
          <w:tab/>
        </w:r>
        <w:r w:rsidR="00A65C0E">
          <w:rPr>
            <w:webHidden/>
          </w:rPr>
          <w:fldChar w:fldCharType="begin"/>
        </w:r>
        <w:r w:rsidR="00A65C0E">
          <w:rPr>
            <w:webHidden/>
          </w:rPr>
          <w:instrText xml:space="preserve"> PAGEREF _Toc458081659 \h </w:instrText>
        </w:r>
        <w:r w:rsidR="00A65C0E">
          <w:rPr>
            <w:webHidden/>
          </w:rPr>
        </w:r>
        <w:r w:rsidR="00A65C0E">
          <w:rPr>
            <w:webHidden/>
          </w:rPr>
          <w:fldChar w:fldCharType="separate"/>
        </w:r>
        <w:r w:rsidR="00874619">
          <w:rPr>
            <w:webHidden/>
          </w:rPr>
          <w:t>243</w:t>
        </w:r>
        <w:r w:rsidR="00A65C0E">
          <w:rPr>
            <w:webHidden/>
          </w:rPr>
          <w:fldChar w:fldCharType="end"/>
        </w:r>
      </w:hyperlink>
    </w:p>
    <w:p w:rsidR="00A65C0E" w:rsidRDefault="000279D8">
      <w:pPr>
        <w:pStyle w:val="TOC4"/>
        <w:rPr>
          <w:rFonts w:eastAsiaTheme="minorEastAsia"/>
          <w:lang w:eastAsia="en-AU"/>
        </w:rPr>
      </w:pPr>
      <w:hyperlink w:anchor="_Toc458081660" w:history="1">
        <w:r w:rsidR="00A65C0E" w:rsidRPr="00764B0D">
          <w:rPr>
            <w:rStyle w:val="Hyperlink"/>
          </w:rPr>
          <w:t>ALP036: STEM Teaching Scholarships</w:t>
        </w:r>
        <w:r w:rsidR="00A65C0E">
          <w:rPr>
            <w:webHidden/>
          </w:rPr>
          <w:tab/>
        </w:r>
        <w:r w:rsidR="00A65C0E">
          <w:rPr>
            <w:webHidden/>
          </w:rPr>
          <w:fldChar w:fldCharType="begin"/>
        </w:r>
        <w:r w:rsidR="00A65C0E">
          <w:rPr>
            <w:webHidden/>
          </w:rPr>
          <w:instrText xml:space="preserve"> PAGEREF _Toc458081660 \h </w:instrText>
        </w:r>
        <w:r w:rsidR="00A65C0E">
          <w:rPr>
            <w:webHidden/>
          </w:rPr>
        </w:r>
        <w:r w:rsidR="00A65C0E">
          <w:rPr>
            <w:webHidden/>
          </w:rPr>
          <w:fldChar w:fldCharType="separate"/>
        </w:r>
        <w:r w:rsidR="00874619">
          <w:rPr>
            <w:webHidden/>
          </w:rPr>
          <w:t>248</w:t>
        </w:r>
        <w:r w:rsidR="00A65C0E">
          <w:rPr>
            <w:webHidden/>
          </w:rPr>
          <w:fldChar w:fldCharType="end"/>
        </w:r>
      </w:hyperlink>
    </w:p>
    <w:p w:rsidR="00A65C0E" w:rsidRDefault="000279D8">
      <w:pPr>
        <w:pStyle w:val="TOC4"/>
        <w:rPr>
          <w:rFonts w:eastAsiaTheme="minorEastAsia"/>
          <w:lang w:eastAsia="en-AU"/>
        </w:rPr>
      </w:pPr>
      <w:hyperlink w:anchor="_Toc458081661" w:history="1">
        <w:r w:rsidR="00A65C0E" w:rsidRPr="00764B0D">
          <w:rPr>
            <w:rStyle w:val="Hyperlink"/>
          </w:rPr>
          <w:t>ALP037: Tools for Your Trade</w:t>
        </w:r>
        <w:r w:rsidR="00A65C0E">
          <w:rPr>
            <w:webHidden/>
          </w:rPr>
          <w:tab/>
        </w:r>
        <w:r w:rsidR="00A65C0E">
          <w:rPr>
            <w:webHidden/>
          </w:rPr>
          <w:fldChar w:fldCharType="begin"/>
        </w:r>
        <w:r w:rsidR="00A65C0E">
          <w:rPr>
            <w:webHidden/>
          </w:rPr>
          <w:instrText xml:space="preserve"> PAGEREF _Toc458081661 \h </w:instrText>
        </w:r>
        <w:r w:rsidR="00A65C0E">
          <w:rPr>
            <w:webHidden/>
          </w:rPr>
        </w:r>
        <w:r w:rsidR="00A65C0E">
          <w:rPr>
            <w:webHidden/>
          </w:rPr>
          <w:fldChar w:fldCharType="separate"/>
        </w:r>
        <w:r w:rsidR="00874619">
          <w:rPr>
            <w:webHidden/>
          </w:rPr>
          <w:t>250</w:t>
        </w:r>
        <w:r w:rsidR="00A65C0E">
          <w:rPr>
            <w:webHidden/>
          </w:rPr>
          <w:fldChar w:fldCharType="end"/>
        </w:r>
      </w:hyperlink>
    </w:p>
    <w:p w:rsidR="00A65C0E" w:rsidRDefault="000279D8">
      <w:pPr>
        <w:pStyle w:val="TOC4"/>
        <w:rPr>
          <w:rFonts w:eastAsiaTheme="minorEastAsia"/>
          <w:lang w:eastAsia="en-AU"/>
        </w:rPr>
      </w:pPr>
      <w:hyperlink w:anchor="_Toc458081662" w:history="1">
        <w:r w:rsidR="00A65C0E" w:rsidRPr="00764B0D">
          <w:rPr>
            <w:rStyle w:val="Hyperlink"/>
          </w:rPr>
          <w:t>ALP038: Water Safe</w:t>
        </w:r>
        <w:r w:rsidR="00A65C0E">
          <w:rPr>
            <w:webHidden/>
          </w:rPr>
          <w:tab/>
        </w:r>
        <w:r w:rsidR="00A65C0E">
          <w:rPr>
            <w:webHidden/>
          </w:rPr>
          <w:fldChar w:fldCharType="begin"/>
        </w:r>
        <w:r w:rsidR="00A65C0E">
          <w:rPr>
            <w:webHidden/>
          </w:rPr>
          <w:instrText xml:space="preserve"> PAGEREF _Toc458081662 \h </w:instrText>
        </w:r>
        <w:r w:rsidR="00A65C0E">
          <w:rPr>
            <w:webHidden/>
          </w:rPr>
        </w:r>
        <w:r w:rsidR="00A65C0E">
          <w:rPr>
            <w:webHidden/>
          </w:rPr>
          <w:fldChar w:fldCharType="separate"/>
        </w:r>
        <w:r w:rsidR="00874619">
          <w:rPr>
            <w:webHidden/>
          </w:rPr>
          <w:t>256</w:t>
        </w:r>
        <w:r w:rsidR="00A65C0E">
          <w:rPr>
            <w:webHidden/>
          </w:rPr>
          <w:fldChar w:fldCharType="end"/>
        </w:r>
      </w:hyperlink>
    </w:p>
    <w:p w:rsidR="00A65C0E" w:rsidRDefault="000279D8">
      <w:pPr>
        <w:pStyle w:val="TOC4"/>
        <w:rPr>
          <w:rFonts w:eastAsiaTheme="minorEastAsia"/>
          <w:lang w:eastAsia="en-AU"/>
        </w:rPr>
      </w:pPr>
      <w:hyperlink w:anchor="_Toc458081663" w:history="1">
        <w:r w:rsidR="00A65C0E" w:rsidRPr="00764B0D">
          <w:rPr>
            <w:rStyle w:val="Hyperlink"/>
          </w:rPr>
          <w:t>ALP039: Your Child. Our Future. Needs-Based School Funding</w:t>
        </w:r>
        <w:r w:rsidR="00A65C0E">
          <w:rPr>
            <w:webHidden/>
          </w:rPr>
          <w:tab/>
        </w:r>
        <w:r w:rsidR="00A65C0E">
          <w:rPr>
            <w:webHidden/>
          </w:rPr>
          <w:fldChar w:fldCharType="begin"/>
        </w:r>
        <w:r w:rsidR="00A65C0E">
          <w:rPr>
            <w:webHidden/>
          </w:rPr>
          <w:instrText xml:space="preserve"> PAGEREF _Toc458081663 \h </w:instrText>
        </w:r>
        <w:r w:rsidR="00A65C0E">
          <w:rPr>
            <w:webHidden/>
          </w:rPr>
        </w:r>
        <w:r w:rsidR="00A65C0E">
          <w:rPr>
            <w:webHidden/>
          </w:rPr>
          <w:fldChar w:fldCharType="separate"/>
        </w:r>
        <w:r w:rsidR="00874619">
          <w:rPr>
            <w:webHidden/>
          </w:rPr>
          <w:t>258</w:t>
        </w:r>
        <w:r w:rsidR="00A65C0E">
          <w:rPr>
            <w:webHidden/>
          </w:rPr>
          <w:fldChar w:fldCharType="end"/>
        </w:r>
      </w:hyperlink>
    </w:p>
    <w:p w:rsidR="00A65C0E" w:rsidRDefault="000279D8">
      <w:pPr>
        <w:pStyle w:val="TOC4"/>
        <w:rPr>
          <w:rFonts w:eastAsiaTheme="minorEastAsia"/>
          <w:lang w:eastAsia="en-AU"/>
        </w:rPr>
      </w:pPr>
      <w:hyperlink w:anchor="_Toc458081664" w:history="1">
        <w:r w:rsidR="00A65C0E" w:rsidRPr="00764B0D">
          <w:rPr>
            <w:rStyle w:val="Hyperlink"/>
          </w:rPr>
          <w:t>ALP040: Your Child. Our Future. Support for Students with Disability</w:t>
        </w:r>
        <w:r w:rsidR="00A65C0E">
          <w:rPr>
            <w:webHidden/>
          </w:rPr>
          <w:tab/>
        </w:r>
        <w:r w:rsidR="00A65C0E">
          <w:rPr>
            <w:webHidden/>
          </w:rPr>
          <w:fldChar w:fldCharType="begin"/>
        </w:r>
        <w:r w:rsidR="00A65C0E">
          <w:rPr>
            <w:webHidden/>
          </w:rPr>
          <w:instrText xml:space="preserve"> PAGEREF _Toc458081664 \h </w:instrText>
        </w:r>
        <w:r w:rsidR="00A65C0E">
          <w:rPr>
            <w:webHidden/>
          </w:rPr>
        </w:r>
        <w:r w:rsidR="00A65C0E">
          <w:rPr>
            <w:webHidden/>
          </w:rPr>
          <w:fldChar w:fldCharType="separate"/>
        </w:r>
        <w:r w:rsidR="00874619">
          <w:rPr>
            <w:webHidden/>
          </w:rPr>
          <w:t>262</w:t>
        </w:r>
        <w:r w:rsidR="00A65C0E">
          <w:rPr>
            <w:webHidden/>
          </w:rPr>
          <w:fldChar w:fldCharType="end"/>
        </w:r>
      </w:hyperlink>
    </w:p>
    <w:p w:rsidR="00A65C0E" w:rsidRDefault="000279D8">
      <w:pPr>
        <w:pStyle w:val="TOC4"/>
        <w:rPr>
          <w:rFonts w:eastAsiaTheme="minorEastAsia"/>
          <w:lang w:eastAsia="en-AU"/>
        </w:rPr>
      </w:pPr>
      <w:hyperlink w:anchor="_Toc458081665" w:history="1">
        <w:r w:rsidR="00A65C0E" w:rsidRPr="00764B0D">
          <w:rPr>
            <w:rStyle w:val="Hyperlink"/>
          </w:rPr>
          <w:t>ALP041: ATSI Teaching Scholarships</w:t>
        </w:r>
        <w:r w:rsidR="00A65C0E">
          <w:rPr>
            <w:webHidden/>
          </w:rPr>
          <w:tab/>
        </w:r>
        <w:r w:rsidR="00A65C0E">
          <w:rPr>
            <w:webHidden/>
          </w:rPr>
          <w:fldChar w:fldCharType="begin"/>
        </w:r>
        <w:r w:rsidR="00A65C0E">
          <w:rPr>
            <w:webHidden/>
          </w:rPr>
          <w:instrText xml:space="preserve"> PAGEREF _Toc458081665 \h </w:instrText>
        </w:r>
        <w:r w:rsidR="00A65C0E">
          <w:rPr>
            <w:webHidden/>
          </w:rPr>
        </w:r>
        <w:r w:rsidR="00A65C0E">
          <w:rPr>
            <w:webHidden/>
          </w:rPr>
          <w:fldChar w:fldCharType="separate"/>
        </w:r>
        <w:r w:rsidR="00874619">
          <w:rPr>
            <w:webHidden/>
          </w:rPr>
          <w:t>268</w:t>
        </w:r>
        <w:r w:rsidR="00A65C0E">
          <w:rPr>
            <w:webHidden/>
          </w:rPr>
          <w:fldChar w:fldCharType="end"/>
        </w:r>
      </w:hyperlink>
    </w:p>
    <w:p w:rsidR="00A65C0E" w:rsidRDefault="000279D8">
      <w:pPr>
        <w:pStyle w:val="TOC4"/>
        <w:rPr>
          <w:rFonts w:eastAsiaTheme="minorEastAsia"/>
          <w:lang w:eastAsia="en-AU"/>
        </w:rPr>
      </w:pPr>
      <w:hyperlink w:anchor="_Toc458081666" w:history="1">
        <w:r w:rsidR="00A65C0E" w:rsidRPr="00764B0D">
          <w:rPr>
            <w:rStyle w:val="Hyperlink"/>
          </w:rPr>
          <w:t>ALP042: Child care – more assistance for families sooner</w:t>
        </w:r>
        <w:r w:rsidR="00A65C0E">
          <w:rPr>
            <w:webHidden/>
          </w:rPr>
          <w:tab/>
        </w:r>
        <w:r w:rsidR="00A65C0E">
          <w:rPr>
            <w:webHidden/>
          </w:rPr>
          <w:fldChar w:fldCharType="begin"/>
        </w:r>
        <w:r w:rsidR="00A65C0E">
          <w:rPr>
            <w:webHidden/>
          </w:rPr>
          <w:instrText xml:space="preserve"> PAGEREF _Toc458081666 \h </w:instrText>
        </w:r>
        <w:r w:rsidR="00A65C0E">
          <w:rPr>
            <w:webHidden/>
          </w:rPr>
        </w:r>
        <w:r w:rsidR="00A65C0E">
          <w:rPr>
            <w:webHidden/>
          </w:rPr>
          <w:fldChar w:fldCharType="separate"/>
        </w:r>
        <w:r w:rsidR="00874619">
          <w:rPr>
            <w:webHidden/>
          </w:rPr>
          <w:t>271</w:t>
        </w:r>
        <w:r w:rsidR="00A65C0E">
          <w:rPr>
            <w:webHidden/>
          </w:rPr>
          <w:fldChar w:fldCharType="end"/>
        </w:r>
      </w:hyperlink>
    </w:p>
    <w:p w:rsidR="00A65C0E" w:rsidRDefault="000279D8">
      <w:pPr>
        <w:pStyle w:val="TOC4"/>
        <w:rPr>
          <w:rFonts w:eastAsiaTheme="minorEastAsia"/>
          <w:lang w:eastAsia="en-AU"/>
        </w:rPr>
      </w:pPr>
      <w:hyperlink w:anchor="_Toc458081667" w:history="1">
        <w:r w:rsidR="00A65C0E" w:rsidRPr="00764B0D">
          <w:rPr>
            <w:rStyle w:val="Hyperlink"/>
          </w:rPr>
          <w:t>ALP043: National Parks Trigger</w:t>
        </w:r>
        <w:r w:rsidR="00A65C0E">
          <w:rPr>
            <w:webHidden/>
          </w:rPr>
          <w:tab/>
        </w:r>
        <w:r w:rsidR="00A65C0E">
          <w:rPr>
            <w:webHidden/>
          </w:rPr>
          <w:fldChar w:fldCharType="begin"/>
        </w:r>
        <w:r w:rsidR="00A65C0E">
          <w:rPr>
            <w:webHidden/>
          </w:rPr>
          <w:instrText xml:space="preserve"> PAGEREF _Toc458081667 \h </w:instrText>
        </w:r>
        <w:r w:rsidR="00A65C0E">
          <w:rPr>
            <w:webHidden/>
          </w:rPr>
        </w:r>
        <w:r w:rsidR="00A65C0E">
          <w:rPr>
            <w:webHidden/>
          </w:rPr>
          <w:fldChar w:fldCharType="separate"/>
        </w:r>
        <w:r w:rsidR="00874619">
          <w:rPr>
            <w:webHidden/>
          </w:rPr>
          <w:t>275</w:t>
        </w:r>
        <w:r w:rsidR="00A65C0E">
          <w:rPr>
            <w:webHidden/>
          </w:rPr>
          <w:fldChar w:fldCharType="end"/>
        </w:r>
      </w:hyperlink>
    </w:p>
    <w:p w:rsidR="00A65C0E" w:rsidRDefault="000279D8">
      <w:pPr>
        <w:pStyle w:val="TOC4"/>
        <w:rPr>
          <w:rFonts w:eastAsiaTheme="minorEastAsia"/>
          <w:lang w:eastAsia="en-AU"/>
        </w:rPr>
      </w:pPr>
      <w:hyperlink w:anchor="_Toc458081668" w:history="1">
        <w:r w:rsidR="00A65C0E" w:rsidRPr="00764B0D">
          <w:rPr>
            <w:rStyle w:val="Hyperlink"/>
          </w:rPr>
          <w:t>ALP044: Retaining the Climate Change Authority</w:t>
        </w:r>
        <w:r w:rsidR="00A65C0E">
          <w:rPr>
            <w:webHidden/>
          </w:rPr>
          <w:tab/>
        </w:r>
        <w:r w:rsidR="00A65C0E">
          <w:rPr>
            <w:webHidden/>
          </w:rPr>
          <w:fldChar w:fldCharType="begin"/>
        </w:r>
        <w:r w:rsidR="00A65C0E">
          <w:rPr>
            <w:webHidden/>
          </w:rPr>
          <w:instrText xml:space="preserve"> PAGEREF _Toc458081668 \h </w:instrText>
        </w:r>
        <w:r w:rsidR="00A65C0E">
          <w:rPr>
            <w:webHidden/>
          </w:rPr>
        </w:r>
        <w:r w:rsidR="00A65C0E">
          <w:rPr>
            <w:webHidden/>
          </w:rPr>
          <w:fldChar w:fldCharType="separate"/>
        </w:r>
        <w:r w:rsidR="00874619">
          <w:rPr>
            <w:webHidden/>
          </w:rPr>
          <w:t>278</w:t>
        </w:r>
        <w:r w:rsidR="00A65C0E">
          <w:rPr>
            <w:webHidden/>
          </w:rPr>
          <w:fldChar w:fldCharType="end"/>
        </w:r>
      </w:hyperlink>
    </w:p>
    <w:p w:rsidR="00A65C0E" w:rsidRDefault="000279D8">
      <w:pPr>
        <w:pStyle w:val="TOC4"/>
        <w:rPr>
          <w:rFonts w:eastAsiaTheme="minorEastAsia"/>
          <w:lang w:eastAsia="en-AU"/>
        </w:rPr>
      </w:pPr>
      <w:hyperlink w:anchor="_Toc458081669" w:history="1">
        <w:r w:rsidR="00A65C0E" w:rsidRPr="00764B0D">
          <w:rPr>
            <w:rStyle w:val="Hyperlink"/>
          </w:rPr>
          <w:t>ALP045: Water Trigger</w:t>
        </w:r>
        <w:r w:rsidR="00A65C0E">
          <w:rPr>
            <w:webHidden/>
          </w:rPr>
          <w:tab/>
        </w:r>
        <w:r w:rsidR="00A65C0E">
          <w:rPr>
            <w:webHidden/>
          </w:rPr>
          <w:fldChar w:fldCharType="begin"/>
        </w:r>
        <w:r w:rsidR="00A65C0E">
          <w:rPr>
            <w:webHidden/>
          </w:rPr>
          <w:instrText xml:space="preserve"> PAGEREF _Toc458081669 \h </w:instrText>
        </w:r>
        <w:r w:rsidR="00A65C0E">
          <w:rPr>
            <w:webHidden/>
          </w:rPr>
        </w:r>
        <w:r w:rsidR="00A65C0E">
          <w:rPr>
            <w:webHidden/>
          </w:rPr>
          <w:fldChar w:fldCharType="separate"/>
        </w:r>
        <w:r w:rsidR="00874619">
          <w:rPr>
            <w:webHidden/>
          </w:rPr>
          <w:t>280</w:t>
        </w:r>
        <w:r w:rsidR="00A65C0E">
          <w:rPr>
            <w:webHidden/>
          </w:rPr>
          <w:fldChar w:fldCharType="end"/>
        </w:r>
      </w:hyperlink>
    </w:p>
    <w:p w:rsidR="00A65C0E" w:rsidRDefault="000279D8">
      <w:pPr>
        <w:pStyle w:val="TOC4"/>
        <w:rPr>
          <w:rFonts w:eastAsiaTheme="minorEastAsia"/>
          <w:lang w:eastAsia="en-AU"/>
        </w:rPr>
      </w:pPr>
      <w:hyperlink w:anchor="_Toc458081670" w:history="1">
        <w:r w:rsidR="00A65C0E" w:rsidRPr="00764B0D">
          <w:rPr>
            <w:rStyle w:val="Hyperlink"/>
          </w:rPr>
          <w:t>ALP046: World Heritage Listings</w:t>
        </w:r>
        <w:r w:rsidR="00A65C0E">
          <w:rPr>
            <w:webHidden/>
          </w:rPr>
          <w:tab/>
        </w:r>
        <w:r w:rsidR="00A65C0E">
          <w:rPr>
            <w:webHidden/>
          </w:rPr>
          <w:fldChar w:fldCharType="begin"/>
        </w:r>
        <w:r w:rsidR="00A65C0E">
          <w:rPr>
            <w:webHidden/>
          </w:rPr>
          <w:instrText xml:space="preserve"> PAGEREF _Toc458081670 \h </w:instrText>
        </w:r>
        <w:r w:rsidR="00A65C0E">
          <w:rPr>
            <w:webHidden/>
          </w:rPr>
        </w:r>
        <w:r w:rsidR="00A65C0E">
          <w:rPr>
            <w:webHidden/>
          </w:rPr>
          <w:fldChar w:fldCharType="separate"/>
        </w:r>
        <w:r w:rsidR="00874619">
          <w:rPr>
            <w:webHidden/>
          </w:rPr>
          <w:t>283</w:t>
        </w:r>
        <w:r w:rsidR="00A65C0E">
          <w:rPr>
            <w:webHidden/>
          </w:rPr>
          <w:fldChar w:fldCharType="end"/>
        </w:r>
      </w:hyperlink>
    </w:p>
    <w:p w:rsidR="00A65C0E" w:rsidRDefault="000279D8">
      <w:pPr>
        <w:pStyle w:val="TOC4"/>
        <w:rPr>
          <w:rFonts w:eastAsiaTheme="minorEastAsia"/>
          <w:lang w:eastAsia="en-AU"/>
        </w:rPr>
      </w:pPr>
      <w:hyperlink w:anchor="_Toc458081671" w:history="1">
        <w:r w:rsidR="00A65C0E" w:rsidRPr="00764B0D">
          <w:rPr>
            <w:rStyle w:val="Hyperlink"/>
          </w:rPr>
          <w:t>ALP047: Increasing funding for the Clean Energy Regulator</w:t>
        </w:r>
        <w:r w:rsidR="00A65C0E">
          <w:rPr>
            <w:webHidden/>
          </w:rPr>
          <w:tab/>
        </w:r>
        <w:r w:rsidR="00A65C0E">
          <w:rPr>
            <w:webHidden/>
          </w:rPr>
          <w:fldChar w:fldCharType="begin"/>
        </w:r>
        <w:r w:rsidR="00A65C0E">
          <w:rPr>
            <w:webHidden/>
          </w:rPr>
          <w:instrText xml:space="preserve"> PAGEREF _Toc458081671 \h </w:instrText>
        </w:r>
        <w:r w:rsidR="00A65C0E">
          <w:rPr>
            <w:webHidden/>
          </w:rPr>
        </w:r>
        <w:r w:rsidR="00A65C0E">
          <w:rPr>
            <w:webHidden/>
          </w:rPr>
          <w:fldChar w:fldCharType="separate"/>
        </w:r>
        <w:r w:rsidR="00874619">
          <w:rPr>
            <w:webHidden/>
          </w:rPr>
          <w:t>286</w:t>
        </w:r>
        <w:r w:rsidR="00A65C0E">
          <w:rPr>
            <w:webHidden/>
          </w:rPr>
          <w:fldChar w:fldCharType="end"/>
        </w:r>
      </w:hyperlink>
    </w:p>
    <w:p w:rsidR="00A65C0E" w:rsidRDefault="000279D8">
      <w:pPr>
        <w:pStyle w:val="TOC4"/>
        <w:rPr>
          <w:rFonts w:eastAsiaTheme="minorEastAsia"/>
          <w:lang w:eastAsia="en-AU"/>
        </w:rPr>
      </w:pPr>
      <w:hyperlink w:anchor="_Toc458081672" w:history="1">
        <w:r w:rsidR="00A65C0E" w:rsidRPr="00764B0D">
          <w:rPr>
            <w:rStyle w:val="Hyperlink"/>
          </w:rPr>
          <w:t>ALP048: Chemical contamination at Defence sites</w:t>
        </w:r>
        <w:r w:rsidR="00A65C0E">
          <w:rPr>
            <w:webHidden/>
          </w:rPr>
          <w:tab/>
        </w:r>
        <w:r w:rsidR="00A65C0E">
          <w:rPr>
            <w:webHidden/>
          </w:rPr>
          <w:fldChar w:fldCharType="begin"/>
        </w:r>
        <w:r w:rsidR="00A65C0E">
          <w:rPr>
            <w:webHidden/>
          </w:rPr>
          <w:instrText xml:space="preserve"> PAGEREF _Toc458081672 \h </w:instrText>
        </w:r>
        <w:r w:rsidR="00A65C0E">
          <w:rPr>
            <w:webHidden/>
          </w:rPr>
        </w:r>
        <w:r w:rsidR="00A65C0E">
          <w:rPr>
            <w:webHidden/>
          </w:rPr>
          <w:fldChar w:fldCharType="separate"/>
        </w:r>
        <w:r w:rsidR="00874619">
          <w:rPr>
            <w:webHidden/>
          </w:rPr>
          <w:t>288</w:t>
        </w:r>
        <w:r w:rsidR="00A65C0E">
          <w:rPr>
            <w:webHidden/>
          </w:rPr>
          <w:fldChar w:fldCharType="end"/>
        </w:r>
      </w:hyperlink>
    </w:p>
    <w:p w:rsidR="00A65C0E" w:rsidRDefault="000279D8">
      <w:pPr>
        <w:pStyle w:val="TOC4"/>
        <w:rPr>
          <w:rFonts w:eastAsiaTheme="minorEastAsia"/>
          <w:lang w:eastAsia="en-AU"/>
        </w:rPr>
      </w:pPr>
      <w:hyperlink w:anchor="_Toc458081673" w:history="1">
        <w:r w:rsidR="00A65C0E" w:rsidRPr="00764B0D">
          <w:rPr>
            <w:rStyle w:val="Hyperlink"/>
          </w:rPr>
          <w:t>ALP049: Foreign Aid – stopping the clock</w:t>
        </w:r>
        <w:r w:rsidR="00A65C0E">
          <w:rPr>
            <w:webHidden/>
          </w:rPr>
          <w:tab/>
        </w:r>
        <w:r w:rsidR="00A65C0E">
          <w:rPr>
            <w:webHidden/>
          </w:rPr>
          <w:fldChar w:fldCharType="begin"/>
        </w:r>
        <w:r w:rsidR="00A65C0E">
          <w:rPr>
            <w:webHidden/>
          </w:rPr>
          <w:instrText xml:space="preserve"> PAGEREF _Toc458081673 \h </w:instrText>
        </w:r>
        <w:r w:rsidR="00A65C0E">
          <w:rPr>
            <w:webHidden/>
          </w:rPr>
        </w:r>
        <w:r w:rsidR="00A65C0E">
          <w:rPr>
            <w:webHidden/>
          </w:rPr>
          <w:fldChar w:fldCharType="separate"/>
        </w:r>
        <w:r w:rsidR="00874619">
          <w:rPr>
            <w:webHidden/>
          </w:rPr>
          <w:t>293</w:t>
        </w:r>
        <w:r w:rsidR="00A65C0E">
          <w:rPr>
            <w:webHidden/>
          </w:rPr>
          <w:fldChar w:fldCharType="end"/>
        </w:r>
      </w:hyperlink>
    </w:p>
    <w:p w:rsidR="00A65C0E" w:rsidRDefault="000279D8">
      <w:pPr>
        <w:pStyle w:val="TOC4"/>
        <w:rPr>
          <w:rFonts w:eastAsiaTheme="minorEastAsia"/>
          <w:lang w:eastAsia="en-AU"/>
        </w:rPr>
      </w:pPr>
      <w:hyperlink w:anchor="_Toc458081674" w:history="1">
        <w:r w:rsidR="00A65C0E" w:rsidRPr="00764B0D">
          <w:rPr>
            <w:rStyle w:val="Hyperlink"/>
          </w:rPr>
          <w:t>ALP050: Increasing the Humanitarian Intake</w:t>
        </w:r>
        <w:r w:rsidR="00A65C0E">
          <w:rPr>
            <w:webHidden/>
          </w:rPr>
          <w:tab/>
        </w:r>
        <w:r w:rsidR="00A65C0E">
          <w:rPr>
            <w:webHidden/>
          </w:rPr>
          <w:fldChar w:fldCharType="begin"/>
        </w:r>
        <w:r w:rsidR="00A65C0E">
          <w:rPr>
            <w:webHidden/>
          </w:rPr>
          <w:instrText xml:space="preserve"> PAGEREF _Toc458081674 \h </w:instrText>
        </w:r>
        <w:r w:rsidR="00A65C0E">
          <w:rPr>
            <w:webHidden/>
          </w:rPr>
        </w:r>
        <w:r w:rsidR="00A65C0E">
          <w:rPr>
            <w:webHidden/>
          </w:rPr>
          <w:fldChar w:fldCharType="separate"/>
        </w:r>
        <w:r w:rsidR="00874619">
          <w:rPr>
            <w:webHidden/>
          </w:rPr>
          <w:t>296</w:t>
        </w:r>
        <w:r w:rsidR="00A65C0E">
          <w:rPr>
            <w:webHidden/>
          </w:rPr>
          <w:fldChar w:fldCharType="end"/>
        </w:r>
      </w:hyperlink>
    </w:p>
    <w:p w:rsidR="00A65C0E" w:rsidRDefault="000279D8">
      <w:pPr>
        <w:pStyle w:val="TOC4"/>
        <w:rPr>
          <w:rFonts w:eastAsiaTheme="minorEastAsia"/>
          <w:lang w:eastAsia="en-AU"/>
        </w:rPr>
      </w:pPr>
      <w:hyperlink w:anchor="_Toc458081675" w:history="1">
        <w:r w:rsidR="00A65C0E" w:rsidRPr="00764B0D">
          <w:rPr>
            <w:rStyle w:val="Hyperlink"/>
          </w:rPr>
          <w:t>ALP051: Labor's Plan for a Fairer Temporary Work Visa System</w:t>
        </w:r>
        <w:r w:rsidR="00A65C0E">
          <w:rPr>
            <w:webHidden/>
          </w:rPr>
          <w:tab/>
        </w:r>
        <w:r w:rsidR="00A65C0E">
          <w:rPr>
            <w:webHidden/>
          </w:rPr>
          <w:fldChar w:fldCharType="begin"/>
        </w:r>
        <w:r w:rsidR="00A65C0E">
          <w:rPr>
            <w:webHidden/>
          </w:rPr>
          <w:instrText xml:space="preserve"> PAGEREF _Toc458081675 \h </w:instrText>
        </w:r>
        <w:r w:rsidR="00A65C0E">
          <w:rPr>
            <w:webHidden/>
          </w:rPr>
        </w:r>
        <w:r w:rsidR="00A65C0E">
          <w:rPr>
            <w:webHidden/>
          </w:rPr>
          <w:fldChar w:fldCharType="separate"/>
        </w:r>
        <w:r w:rsidR="00874619">
          <w:rPr>
            <w:webHidden/>
          </w:rPr>
          <w:t>301</w:t>
        </w:r>
        <w:r w:rsidR="00A65C0E">
          <w:rPr>
            <w:webHidden/>
          </w:rPr>
          <w:fldChar w:fldCharType="end"/>
        </w:r>
      </w:hyperlink>
    </w:p>
    <w:p w:rsidR="00A65C0E" w:rsidRDefault="000279D8">
      <w:pPr>
        <w:pStyle w:val="TOC4"/>
        <w:rPr>
          <w:rFonts w:eastAsiaTheme="minorEastAsia"/>
          <w:lang w:eastAsia="en-AU"/>
        </w:rPr>
      </w:pPr>
      <w:hyperlink w:anchor="_Toc458081676" w:history="1">
        <w:r w:rsidR="00A65C0E" w:rsidRPr="00764B0D">
          <w:rPr>
            <w:rStyle w:val="Hyperlink"/>
          </w:rPr>
          <w:t>ALP052: Office of Multicultural Affairs</w:t>
        </w:r>
        <w:r w:rsidR="00A65C0E">
          <w:rPr>
            <w:webHidden/>
          </w:rPr>
          <w:tab/>
        </w:r>
        <w:r w:rsidR="00A65C0E">
          <w:rPr>
            <w:webHidden/>
          </w:rPr>
          <w:fldChar w:fldCharType="begin"/>
        </w:r>
        <w:r w:rsidR="00A65C0E">
          <w:rPr>
            <w:webHidden/>
          </w:rPr>
          <w:instrText xml:space="preserve"> PAGEREF _Toc458081676 \h </w:instrText>
        </w:r>
        <w:r w:rsidR="00A65C0E">
          <w:rPr>
            <w:webHidden/>
          </w:rPr>
        </w:r>
        <w:r w:rsidR="00A65C0E">
          <w:rPr>
            <w:webHidden/>
          </w:rPr>
          <w:fldChar w:fldCharType="separate"/>
        </w:r>
        <w:r w:rsidR="00874619">
          <w:rPr>
            <w:webHidden/>
          </w:rPr>
          <w:t>310</w:t>
        </w:r>
        <w:r w:rsidR="00A65C0E">
          <w:rPr>
            <w:webHidden/>
          </w:rPr>
          <w:fldChar w:fldCharType="end"/>
        </w:r>
      </w:hyperlink>
    </w:p>
    <w:p w:rsidR="00A65C0E" w:rsidRDefault="000279D8">
      <w:pPr>
        <w:pStyle w:val="TOC4"/>
        <w:rPr>
          <w:rFonts w:eastAsiaTheme="minorEastAsia"/>
          <w:lang w:eastAsia="en-AU"/>
        </w:rPr>
      </w:pPr>
      <w:hyperlink w:anchor="_Toc458081677" w:history="1">
        <w:r w:rsidR="00A65C0E" w:rsidRPr="00764B0D">
          <w:rPr>
            <w:rStyle w:val="Hyperlink"/>
          </w:rPr>
          <w:t>ALP053: Doubling Indigenous Rangers by 2020–21</w:t>
        </w:r>
        <w:r w:rsidR="00A65C0E">
          <w:rPr>
            <w:webHidden/>
          </w:rPr>
          <w:tab/>
        </w:r>
        <w:r w:rsidR="00A65C0E">
          <w:rPr>
            <w:webHidden/>
          </w:rPr>
          <w:fldChar w:fldCharType="begin"/>
        </w:r>
        <w:r w:rsidR="00A65C0E">
          <w:rPr>
            <w:webHidden/>
          </w:rPr>
          <w:instrText xml:space="preserve"> PAGEREF _Toc458081677 \h </w:instrText>
        </w:r>
        <w:r w:rsidR="00A65C0E">
          <w:rPr>
            <w:webHidden/>
          </w:rPr>
        </w:r>
        <w:r w:rsidR="00A65C0E">
          <w:rPr>
            <w:webHidden/>
          </w:rPr>
          <w:fldChar w:fldCharType="separate"/>
        </w:r>
        <w:r w:rsidR="00874619">
          <w:rPr>
            <w:webHidden/>
          </w:rPr>
          <w:t>312</w:t>
        </w:r>
        <w:r w:rsidR="00A65C0E">
          <w:rPr>
            <w:webHidden/>
          </w:rPr>
          <w:fldChar w:fldCharType="end"/>
        </w:r>
      </w:hyperlink>
    </w:p>
    <w:p w:rsidR="00A65C0E" w:rsidRDefault="000279D8">
      <w:pPr>
        <w:pStyle w:val="TOC4"/>
        <w:rPr>
          <w:rFonts w:eastAsiaTheme="minorEastAsia"/>
          <w:lang w:eastAsia="en-AU"/>
        </w:rPr>
      </w:pPr>
      <w:hyperlink w:anchor="_Toc458081678" w:history="1">
        <w:r w:rsidR="00A65C0E" w:rsidRPr="00764B0D">
          <w:rPr>
            <w:rStyle w:val="Hyperlink"/>
          </w:rPr>
          <w:t>ALP054: Infrastructure Financing Facility</w:t>
        </w:r>
        <w:r w:rsidR="00A65C0E">
          <w:rPr>
            <w:webHidden/>
          </w:rPr>
          <w:tab/>
        </w:r>
        <w:r w:rsidR="00A65C0E">
          <w:rPr>
            <w:webHidden/>
          </w:rPr>
          <w:fldChar w:fldCharType="begin"/>
        </w:r>
        <w:r w:rsidR="00A65C0E">
          <w:rPr>
            <w:webHidden/>
          </w:rPr>
          <w:instrText xml:space="preserve"> PAGEREF _Toc458081678 \h </w:instrText>
        </w:r>
        <w:r w:rsidR="00A65C0E">
          <w:rPr>
            <w:webHidden/>
          </w:rPr>
        </w:r>
        <w:r w:rsidR="00A65C0E">
          <w:rPr>
            <w:webHidden/>
          </w:rPr>
          <w:fldChar w:fldCharType="separate"/>
        </w:r>
        <w:r w:rsidR="00874619">
          <w:rPr>
            <w:webHidden/>
          </w:rPr>
          <w:t>314</w:t>
        </w:r>
        <w:r w:rsidR="00A65C0E">
          <w:rPr>
            <w:webHidden/>
          </w:rPr>
          <w:fldChar w:fldCharType="end"/>
        </w:r>
      </w:hyperlink>
    </w:p>
    <w:p w:rsidR="00A65C0E" w:rsidRDefault="000279D8">
      <w:pPr>
        <w:pStyle w:val="TOC4"/>
        <w:rPr>
          <w:rFonts w:eastAsiaTheme="minorEastAsia"/>
          <w:lang w:eastAsia="en-AU"/>
        </w:rPr>
      </w:pPr>
      <w:hyperlink w:anchor="_Toc458081679" w:history="1">
        <w:r w:rsidR="00A65C0E" w:rsidRPr="00764B0D">
          <w:rPr>
            <w:rStyle w:val="Hyperlink"/>
          </w:rPr>
          <w:t>ALP055: Australian Institute of Marine Science Vessel</w:t>
        </w:r>
        <w:r w:rsidR="00A65C0E">
          <w:rPr>
            <w:webHidden/>
          </w:rPr>
          <w:tab/>
        </w:r>
        <w:r w:rsidR="00A65C0E">
          <w:rPr>
            <w:webHidden/>
          </w:rPr>
          <w:fldChar w:fldCharType="begin"/>
        </w:r>
        <w:r w:rsidR="00A65C0E">
          <w:rPr>
            <w:webHidden/>
          </w:rPr>
          <w:instrText xml:space="preserve"> PAGEREF _Toc458081679 \h </w:instrText>
        </w:r>
        <w:r w:rsidR="00A65C0E">
          <w:rPr>
            <w:webHidden/>
          </w:rPr>
        </w:r>
        <w:r w:rsidR="00A65C0E">
          <w:rPr>
            <w:webHidden/>
          </w:rPr>
          <w:fldChar w:fldCharType="separate"/>
        </w:r>
        <w:r w:rsidR="00874619">
          <w:rPr>
            <w:webHidden/>
          </w:rPr>
          <w:t>320</w:t>
        </w:r>
        <w:r w:rsidR="00A65C0E">
          <w:rPr>
            <w:webHidden/>
          </w:rPr>
          <w:fldChar w:fldCharType="end"/>
        </w:r>
      </w:hyperlink>
    </w:p>
    <w:p w:rsidR="00A65C0E" w:rsidRDefault="000279D8">
      <w:pPr>
        <w:pStyle w:val="TOC4"/>
        <w:rPr>
          <w:rFonts w:eastAsiaTheme="minorEastAsia"/>
          <w:lang w:eastAsia="en-AU"/>
        </w:rPr>
      </w:pPr>
      <w:hyperlink w:anchor="_Toc458081680" w:history="1">
        <w:r w:rsidR="00A65C0E" w:rsidRPr="00764B0D">
          <w:rPr>
            <w:rStyle w:val="Hyperlink"/>
          </w:rPr>
          <w:t>ALP056: Early Stage Venture Capital Limited Partnerships</w:t>
        </w:r>
        <w:r w:rsidR="00A65C0E">
          <w:rPr>
            <w:webHidden/>
          </w:rPr>
          <w:tab/>
        </w:r>
        <w:r w:rsidR="00A65C0E">
          <w:rPr>
            <w:webHidden/>
          </w:rPr>
          <w:fldChar w:fldCharType="begin"/>
        </w:r>
        <w:r w:rsidR="00A65C0E">
          <w:rPr>
            <w:webHidden/>
          </w:rPr>
          <w:instrText xml:space="preserve"> PAGEREF _Toc458081680 \h </w:instrText>
        </w:r>
        <w:r w:rsidR="00A65C0E">
          <w:rPr>
            <w:webHidden/>
          </w:rPr>
        </w:r>
        <w:r w:rsidR="00A65C0E">
          <w:rPr>
            <w:webHidden/>
          </w:rPr>
          <w:fldChar w:fldCharType="separate"/>
        </w:r>
        <w:r w:rsidR="00874619">
          <w:rPr>
            <w:webHidden/>
          </w:rPr>
          <w:t>322</w:t>
        </w:r>
        <w:r w:rsidR="00A65C0E">
          <w:rPr>
            <w:webHidden/>
          </w:rPr>
          <w:fldChar w:fldCharType="end"/>
        </w:r>
      </w:hyperlink>
    </w:p>
    <w:p w:rsidR="00A65C0E" w:rsidRDefault="000279D8">
      <w:pPr>
        <w:pStyle w:val="TOC4"/>
        <w:rPr>
          <w:rFonts w:eastAsiaTheme="minorEastAsia"/>
          <w:lang w:eastAsia="en-AU"/>
        </w:rPr>
      </w:pPr>
      <w:hyperlink w:anchor="_Toc458081681" w:history="1">
        <w:r w:rsidR="00A65C0E" w:rsidRPr="00764B0D">
          <w:rPr>
            <w:rStyle w:val="Hyperlink"/>
          </w:rPr>
          <w:t>ALP057: Future Research Excellence</w:t>
        </w:r>
        <w:r w:rsidR="00A65C0E">
          <w:rPr>
            <w:webHidden/>
          </w:rPr>
          <w:tab/>
        </w:r>
        <w:r w:rsidR="00A65C0E">
          <w:rPr>
            <w:webHidden/>
          </w:rPr>
          <w:fldChar w:fldCharType="begin"/>
        </w:r>
        <w:r w:rsidR="00A65C0E">
          <w:rPr>
            <w:webHidden/>
          </w:rPr>
          <w:instrText xml:space="preserve"> PAGEREF _Toc458081681 \h </w:instrText>
        </w:r>
        <w:r w:rsidR="00A65C0E">
          <w:rPr>
            <w:webHidden/>
          </w:rPr>
        </w:r>
        <w:r w:rsidR="00A65C0E">
          <w:rPr>
            <w:webHidden/>
          </w:rPr>
          <w:fldChar w:fldCharType="separate"/>
        </w:r>
        <w:r w:rsidR="00874619">
          <w:rPr>
            <w:webHidden/>
          </w:rPr>
          <w:t>324</w:t>
        </w:r>
        <w:r w:rsidR="00A65C0E">
          <w:rPr>
            <w:webHidden/>
          </w:rPr>
          <w:fldChar w:fldCharType="end"/>
        </w:r>
      </w:hyperlink>
    </w:p>
    <w:p w:rsidR="00A65C0E" w:rsidRDefault="000279D8">
      <w:pPr>
        <w:pStyle w:val="TOC4"/>
        <w:rPr>
          <w:rFonts w:eastAsiaTheme="minorEastAsia"/>
          <w:lang w:eastAsia="en-AU"/>
        </w:rPr>
      </w:pPr>
      <w:hyperlink w:anchor="_Toc458081682" w:history="1">
        <w:r w:rsidR="00A65C0E" w:rsidRPr="00764B0D">
          <w:rPr>
            <w:rStyle w:val="Hyperlink"/>
          </w:rPr>
          <w:t>ALP058: Graduate Startup Entrepreneurial Visa</w:t>
        </w:r>
        <w:r w:rsidR="00A65C0E">
          <w:rPr>
            <w:webHidden/>
          </w:rPr>
          <w:tab/>
        </w:r>
        <w:r w:rsidR="00A65C0E">
          <w:rPr>
            <w:webHidden/>
          </w:rPr>
          <w:fldChar w:fldCharType="begin"/>
        </w:r>
        <w:r w:rsidR="00A65C0E">
          <w:rPr>
            <w:webHidden/>
          </w:rPr>
          <w:instrText xml:space="preserve"> PAGEREF _Toc458081682 \h </w:instrText>
        </w:r>
        <w:r w:rsidR="00A65C0E">
          <w:rPr>
            <w:webHidden/>
          </w:rPr>
        </w:r>
        <w:r w:rsidR="00A65C0E">
          <w:rPr>
            <w:webHidden/>
          </w:rPr>
          <w:fldChar w:fldCharType="separate"/>
        </w:r>
        <w:r w:rsidR="00874619">
          <w:rPr>
            <w:webHidden/>
          </w:rPr>
          <w:t>328</w:t>
        </w:r>
        <w:r w:rsidR="00A65C0E">
          <w:rPr>
            <w:webHidden/>
          </w:rPr>
          <w:fldChar w:fldCharType="end"/>
        </w:r>
      </w:hyperlink>
    </w:p>
    <w:p w:rsidR="00A65C0E" w:rsidRDefault="000279D8">
      <w:pPr>
        <w:pStyle w:val="TOC4"/>
        <w:rPr>
          <w:rFonts w:eastAsiaTheme="minorEastAsia"/>
          <w:lang w:eastAsia="en-AU"/>
        </w:rPr>
      </w:pPr>
      <w:hyperlink w:anchor="_Toc458081683" w:history="1">
        <w:r w:rsidR="00A65C0E" w:rsidRPr="00764B0D">
          <w:rPr>
            <w:rStyle w:val="Hyperlink"/>
          </w:rPr>
          <w:t>ALP059: RV Investigator</w:t>
        </w:r>
        <w:r w:rsidR="00A65C0E">
          <w:rPr>
            <w:webHidden/>
          </w:rPr>
          <w:tab/>
        </w:r>
        <w:r w:rsidR="00A65C0E">
          <w:rPr>
            <w:webHidden/>
          </w:rPr>
          <w:fldChar w:fldCharType="begin"/>
        </w:r>
        <w:r w:rsidR="00A65C0E">
          <w:rPr>
            <w:webHidden/>
          </w:rPr>
          <w:instrText xml:space="preserve"> PAGEREF _Toc458081683 \h </w:instrText>
        </w:r>
        <w:r w:rsidR="00A65C0E">
          <w:rPr>
            <w:webHidden/>
          </w:rPr>
        </w:r>
        <w:r w:rsidR="00A65C0E">
          <w:rPr>
            <w:webHidden/>
          </w:rPr>
          <w:fldChar w:fldCharType="separate"/>
        </w:r>
        <w:r w:rsidR="00874619">
          <w:rPr>
            <w:webHidden/>
          </w:rPr>
          <w:t>332</w:t>
        </w:r>
        <w:r w:rsidR="00A65C0E">
          <w:rPr>
            <w:webHidden/>
          </w:rPr>
          <w:fldChar w:fldCharType="end"/>
        </w:r>
      </w:hyperlink>
    </w:p>
    <w:p w:rsidR="00A65C0E" w:rsidRDefault="000279D8">
      <w:pPr>
        <w:pStyle w:val="TOC4"/>
        <w:rPr>
          <w:rFonts w:eastAsiaTheme="minorEastAsia"/>
          <w:lang w:eastAsia="en-AU"/>
        </w:rPr>
      </w:pPr>
      <w:hyperlink w:anchor="_Toc458081684" w:history="1">
        <w:r w:rsidR="00A65C0E" w:rsidRPr="00764B0D">
          <w:rPr>
            <w:rStyle w:val="Hyperlink"/>
          </w:rPr>
          <w:t>ALP060: Smart Investment Fund</w:t>
        </w:r>
        <w:r w:rsidR="00A65C0E">
          <w:rPr>
            <w:webHidden/>
          </w:rPr>
          <w:tab/>
        </w:r>
        <w:r w:rsidR="00A65C0E">
          <w:rPr>
            <w:webHidden/>
          </w:rPr>
          <w:fldChar w:fldCharType="begin"/>
        </w:r>
        <w:r w:rsidR="00A65C0E">
          <w:rPr>
            <w:webHidden/>
          </w:rPr>
          <w:instrText xml:space="preserve"> PAGEREF _Toc458081684 \h </w:instrText>
        </w:r>
        <w:r w:rsidR="00A65C0E">
          <w:rPr>
            <w:webHidden/>
          </w:rPr>
        </w:r>
        <w:r w:rsidR="00A65C0E">
          <w:rPr>
            <w:webHidden/>
          </w:rPr>
          <w:fldChar w:fldCharType="separate"/>
        </w:r>
        <w:r w:rsidR="00874619">
          <w:rPr>
            <w:webHidden/>
          </w:rPr>
          <w:t>334</w:t>
        </w:r>
        <w:r w:rsidR="00A65C0E">
          <w:rPr>
            <w:webHidden/>
          </w:rPr>
          <w:fldChar w:fldCharType="end"/>
        </w:r>
      </w:hyperlink>
    </w:p>
    <w:p w:rsidR="00A65C0E" w:rsidRDefault="000279D8">
      <w:pPr>
        <w:pStyle w:val="TOC4"/>
        <w:rPr>
          <w:rFonts w:eastAsiaTheme="minorEastAsia"/>
          <w:lang w:eastAsia="en-AU"/>
        </w:rPr>
      </w:pPr>
      <w:hyperlink w:anchor="_Toc458081685" w:history="1">
        <w:r w:rsidR="00A65C0E" w:rsidRPr="00764B0D">
          <w:rPr>
            <w:rStyle w:val="Hyperlink"/>
          </w:rPr>
          <w:t>ALP061: Start-up and Entrepreneur Visas</w:t>
        </w:r>
        <w:r w:rsidR="00A65C0E">
          <w:rPr>
            <w:webHidden/>
          </w:rPr>
          <w:tab/>
        </w:r>
        <w:r w:rsidR="00A65C0E">
          <w:rPr>
            <w:webHidden/>
          </w:rPr>
          <w:fldChar w:fldCharType="begin"/>
        </w:r>
        <w:r w:rsidR="00A65C0E">
          <w:rPr>
            <w:webHidden/>
          </w:rPr>
          <w:instrText xml:space="preserve"> PAGEREF _Toc458081685 \h </w:instrText>
        </w:r>
        <w:r w:rsidR="00A65C0E">
          <w:rPr>
            <w:webHidden/>
          </w:rPr>
        </w:r>
        <w:r w:rsidR="00A65C0E">
          <w:rPr>
            <w:webHidden/>
          </w:rPr>
          <w:fldChar w:fldCharType="separate"/>
        </w:r>
        <w:r w:rsidR="00874619">
          <w:rPr>
            <w:webHidden/>
          </w:rPr>
          <w:t>339</w:t>
        </w:r>
        <w:r w:rsidR="00A65C0E">
          <w:rPr>
            <w:webHidden/>
          </w:rPr>
          <w:fldChar w:fldCharType="end"/>
        </w:r>
      </w:hyperlink>
    </w:p>
    <w:p w:rsidR="00A65C0E" w:rsidRDefault="000279D8">
      <w:pPr>
        <w:pStyle w:val="TOC4"/>
        <w:rPr>
          <w:rFonts w:eastAsiaTheme="minorEastAsia"/>
          <w:lang w:eastAsia="en-AU"/>
        </w:rPr>
      </w:pPr>
      <w:hyperlink w:anchor="_Toc458081686" w:history="1">
        <w:r w:rsidR="00A65C0E" w:rsidRPr="00764B0D">
          <w:rPr>
            <w:rStyle w:val="Hyperlink"/>
          </w:rPr>
          <w:t>ALP062: Startup Year</w:t>
        </w:r>
        <w:r w:rsidR="00A65C0E">
          <w:rPr>
            <w:webHidden/>
          </w:rPr>
          <w:tab/>
        </w:r>
        <w:r w:rsidR="00A65C0E">
          <w:rPr>
            <w:webHidden/>
          </w:rPr>
          <w:fldChar w:fldCharType="begin"/>
        </w:r>
        <w:r w:rsidR="00A65C0E">
          <w:rPr>
            <w:webHidden/>
          </w:rPr>
          <w:instrText xml:space="preserve"> PAGEREF _Toc458081686 \h </w:instrText>
        </w:r>
        <w:r w:rsidR="00A65C0E">
          <w:rPr>
            <w:webHidden/>
          </w:rPr>
        </w:r>
        <w:r w:rsidR="00A65C0E">
          <w:rPr>
            <w:webHidden/>
          </w:rPr>
          <w:fldChar w:fldCharType="separate"/>
        </w:r>
        <w:r w:rsidR="00874619">
          <w:rPr>
            <w:webHidden/>
          </w:rPr>
          <w:t>342</w:t>
        </w:r>
        <w:r w:rsidR="00A65C0E">
          <w:rPr>
            <w:webHidden/>
          </w:rPr>
          <w:fldChar w:fldCharType="end"/>
        </w:r>
      </w:hyperlink>
    </w:p>
    <w:p w:rsidR="00A65C0E" w:rsidRDefault="000279D8">
      <w:pPr>
        <w:pStyle w:val="TOC4"/>
        <w:rPr>
          <w:rFonts w:eastAsiaTheme="minorEastAsia"/>
          <w:lang w:eastAsia="en-AU"/>
        </w:rPr>
      </w:pPr>
      <w:hyperlink w:anchor="_Toc458081687" w:history="1">
        <w:r w:rsidR="00A65C0E" w:rsidRPr="00764B0D">
          <w:rPr>
            <w:rStyle w:val="Hyperlink"/>
          </w:rPr>
          <w:t>ALP063: Domestic Gas National Interest Test</w:t>
        </w:r>
        <w:r w:rsidR="00A65C0E">
          <w:rPr>
            <w:webHidden/>
          </w:rPr>
          <w:tab/>
        </w:r>
        <w:r w:rsidR="00A65C0E">
          <w:rPr>
            <w:webHidden/>
          </w:rPr>
          <w:fldChar w:fldCharType="begin"/>
        </w:r>
        <w:r w:rsidR="00A65C0E">
          <w:rPr>
            <w:webHidden/>
          </w:rPr>
          <w:instrText xml:space="preserve"> PAGEREF _Toc458081687 \h </w:instrText>
        </w:r>
        <w:r w:rsidR="00A65C0E">
          <w:rPr>
            <w:webHidden/>
          </w:rPr>
        </w:r>
        <w:r w:rsidR="00A65C0E">
          <w:rPr>
            <w:webHidden/>
          </w:rPr>
          <w:fldChar w:fldCharType="separate"/>
        </w:r>
        <w:r w:rsidR="00874619">
          <w:rPr>
            <w:webHidden/>
          </w:rPr>
          <w:t>349</w:t>
        </w:r>
        <w:r w:rsidR="00A65C0E">
          <w:rPr>
            <w:webHidden/>
          </w:rPr>
          <w:fldChar w:fldCharType="end"/>
        </w:r>
      </w:hyperlink>
    </w:p>
    <w:p w:rsidR="00A65C0E" w:rsidRDefault="000279D8">
      <w:pPr>
        <w:pStyle w:val="TOC4"/>
        <w:rPr>
          <w:rFonts w:eastAsiaTheme="minorEastAsia"/>
          <w:lang w:eastAsia="en-AU"/>
        </w:rPr>
      </w:pPr>
      <w:hyperlink w:anchor="_Toc458081688" w:history="1">
        <w:r w:rsidR="00A65C0E" w:rsidRPr="00764B0D">
          <w:rPr>
            <w:rStyle w:val="Hyperlink"/>
          </w:rPr>
          <w:t>ALP064: Doubling funding for the AIP Authority and appointing an AIP Board</w:t>
        </w:r>
        <w:r w:rsidR="00A65C0E">
          <w:rPr>
            <w:webHidden/>
          </w:rPr>
          <w:tab/>
        </w:r>
        <w:r w:rsidR="00A65C0E">
          <w:rPr>
            <w:webHidden/>
          </w:rPr>
          <w:fldChar w:fldCharType="begin"/>
        </w:r>
        <w:r w:rsidR="00A65C0E">
          <w:rPr>
            <w:webHidden/>
          </w:rPr>
          <w:instrText xml:space="preserve"> PAGEREF _Toc458081688 \h </w:instrText>
        </w:r>
        <w:r w:rsidR="00A65C0E">
          <w:rPr>
            <w:webHidden/>
          </w:rPr>
        </w:r>
        <w:r w:rsidR="00A65C0E">
          <w:rPr>
            <w:webHidden/>
          </w:rPr>
          <w:fldChar w:fldCharType="separate"/>
        </w:r>
        <w:r w:rsidR="00874619">
          <w:rPr>
            <w:webHidden/>
          </w:rPr>
          <w:t>351</w:t>
        </w:r>
        <w:r w:rsidR="00A65C0E">
          <w:rPr>
            <w:webHidden/>
          </w:rPr>
          <w:fldChar w:fldCharType="end"/>
        </w:r>
      </w:hyperlink>
    </w:p>
    <w:p w:rsidR="00A65C0E" w:rsidRDefault="000279D8">
      <w:pPr>
        <w:pStyle w:val="TOC4"/>
        <w:rPr>
          <w:rFonts w:eastAsiaTheme="minorEastAsia"/>
          <w:lang w:eastAsia="en-AU"/>
        </w:rPr>
      </w:pPr>
      <w:hyperlink w:anchor="_Toc458081689" w:history="1">
        <w:r w:rsidR="00A65C0E" w:rsidRPr="00764B0D">
          <w:rPr>
            <w:rStyle w:val="Hyperlink"/>
            <w:lang w:val="fr-FR"/>
          </w:rPr>
          <w:t>ALP065: National Automotive Supplier</w:t>
        </w:r>
        <w:r w:rsidR="00A65C0E" w:rsidRPr="00764B0D">
          <w:rPr>
            <w:rStyle w:val="Hyperlink"/>
          </w:rPr>
          <w:t xml:space="preserve"> Advocate</w:t>
        </w:r>
        <w:r w:rsidR="00A65C0E">
          <w:rPr>
            <w:webHidden/>
          </w:rPr>
          <w:tab/>
        </w:r>
        <w:r w:rsidR="00A65C0E">
          <w:rPr>
            <w:webHidden/>
          </w:rPr>
          <w:fldChar w:fldCharType="begin"/>
        </w:r>
        <w:r w:rsidR="00A65C0E">
          <w:rPr>
            <w:webHidden/>
          </w:rPr>
          <w:instrText xml:space="preserve"> PAGEREF _Toc458081689 \h </w:instrText>
        </w:r>
        <w:r w:rsidR="00A65C0E">
          <w:rPr>
            <w:webHidden/>
          </w:rPr>
        </w:r>
        <w:r w:rsidR="00A65C0E">
          <w:rPr>
            <w:webHidden/>
          </w:rPr>
          <w:fldChar w:fldCharType="separate"/>
        </w:r>
        <w:r w:rsidR="00874619">
          <w:rPr>
            <w:webHidden/>
          </w:rPr>
          <w:t>353</w:t>
        </w:r>
        <w:r w:rsidR="00A65C0E">
          <w:rPr>
            <w:webHidden/>
          </w:rPr>
          <w:fldChar w:fldCharType="end"/>
        </w:r>
      </w:hyperlink>
    </w:p>
    <w:p w:rsidR="00A65C0E" w:rsidRDefault="000279D8">
      <w:pPr>
        <w:pStyle w:val="TOC4"/>
        <w:rPr>
          <w:rFonts w:eastAsiaTheme="minorEastAsia"/>
          <w:lang w:eastAsia="en-AU"/>
        </w:rPr>
      </w:pPr>
      <w:hyperlink w:anchor="_Toc458081690" w:history="1">
        <w:r w:rsidR="00A65C0E" w:rsidRPr="00764B0D">
          <w:rPr>
            <w:rStyle w:val="Hyperlink"/>
          </w:rPr>
          <w:t>ALP066: National Steel Supplier Advocate</w:t>
        </w:r>
        <w:r w:rsidR="00A65C0E">
          <w:rPr>
            <w:webHidden/>
          </w:rPr>
          <w:tab/>
        </w:r>
        <w:r w:rsidR="00A65C0E">
          <w:rPr>
            <w:webHidden/>
          </w:rPr>
          <w:fldChar w:fldCharType="begin"/>
        </w:r>
        <w:r w:rsidR="00A65C0E">
          <w:rPr>
            <w:webHidden/>
          </w:rPr>
          <w:instrText xml:space="preserve"> PAGEREF _Toc458081690 \h </w:instrText>
        </w:r>
        <w:r w:rsidR="00A65C0E">
          <w:rPr>
            <w:webHidden/>
          </w:rPr>
        </w:r>
        <w:r w:rsidR="00A65C0E">
          <w:rPr>
            <w:webHidden/>
          </w:rPr>
          <w:fldChar w:fldCharType="separate"/>
        </w:r>
        <w:r w:rsidR="00874619">
          <w:rPr>
            <w:webHidden/>
          </w:rPr>
          <w:t>355</w:t>
        </w:r>
        <w:r w:rsidR="00A65C0E">
          <w:rPr>
            <w:webHidden/>
          </w:rPr>
          <w:fldChar w:fldCharType="end"/>
        </w:r>
      </w:hyperlink>
    </w:p>
    <w:p w:rsidR="00A65C0E" w:rsidRDefault="000279D8">
      <w:pPr>
        <w:pStyle w:val="TOC4"/>
        <w:rPr>
          <w:rFonts w:eastAsiaTheme="minorEastAsia"/>
          <w:lang w:eastAsia="en-AU"/>
        </w:rPr>
      </w:pPr>
      <w:hyperlink w:anchor="_Toc458081691" w:history="1">
        <w:r w:rsidR="00A65C0E" w:rsidRPr="00764B0D">
          <w:rPr>
            <w:rStyle w:val="Hyperlink"/>
          </w:rPr>
          <w:t>ALP067: New Jobs Tax Cut, Working Futures, and Uncommitted wage subsidy funding</w:t>
        </w:r>
        <w:r w:rsidR="00A65C0E">
          <w:rPr>
            <w:webHidden/>
          </w:rPr>
          <w:tab/>
        </w:r>
        <w:r w:rsidR="00A65C0E">
          <w:rPr>
            <w:webHidden/>
          </w:rPr>
          <w:fldChar w:fldCharType="begin"/>
        </w:r>
        <w:r w:rsidR="00A65C0E">
          <w:rPr>
            <w:webHidden/>
          </w:rPr>
          <w:instrText xml:space="preserve"> PAGEREF _Toc458081691 \h </w:instrText>
        </w:r>
        <w:r w:rsidR="00A65C0E">
          <w:rPr>
            <w:webHidden/>
          </w:rPr>
        </w:r>
        <w:r w:rsidR="00A65C0E">
          <w:rPr>
            <w:webHidden/>
          </w:rPr>
          <w:fldChar w:fldCharType="separate"/>
        </w:r>
        <w:r w:rsidR="00874619">
          <w:rPr>
            <w:webHidden/>
          </w:rPr>
          <w:t>357</w:t>
        </w:r>
        <w:r w:rsidR="00A65C0E">
          <w:rPr>
            <w:webHidden/>
          </w:rPr>
          <w:fldChar w:fldCharType="end"/>
        </w:r>
      </w:hyperlink>
    </w:p>
    <w:p w:rsidR="00A65C0E" w:rsidRDefault="000279D8">
      <w:pPr>
        <w:pStyle w:val="TOC4"/>
        <w:rPr>
          <w:rFonts w:eastAsiaTheme="minorEastAsia"/>
          <w:lang w:eastAsia="en-AU"/>
        </w:rPr>
      </w:pPr>
      <w:hyperlink w:anchor="_Toc458081692" w:history="1">
        <w:r w:rsidR="00A65C0E" w:rsidRPr="00764B0D">
          <w:rPr>
            <w:rStyle w:val="Hyperlink"/>
          </w:rPr>
          <w:t>ALP068: Retain the Seafarer Tax Offset</w:t>
        </w:r>
        <w:r w:rsidR="00A65C0E">
          <w:rPr>
            <w:webHidden/>
          </w:rPr>
          <w:tab/>
        </w:r>
        <w:r w:rsidR="00A65C0E">
          <w:rPr>
            <w:webHidden/>
          </w:rPr>
          <w:fldChar w:fldCharType="begin"/>
        </w:r>
        <w:r w:rsidR="00A65C0E">
          <w:rPr>
            <w:webHidden/>
          </w:rPr>
          <w:instrText xml:space="preserve"> PAGEREF _Toc458081692 \h </w:instrText>
        </w:r>
        <w:r w:rsidR="00A65C0E">
          <w:rPr>
            <w:webHidden/>
          </w:rPr>
        </w:r>
        <w:r w:rsidR="00A65C0E">
          <w:rPr>
            <w:webHidden/>
          </w:rPr>
          <w:fldChar w:fldCharType="separate"/>
        </w:r>
        <w:r w:rsidR="00874619">
          <w:rPr>
            <w:webHidden/>
          </w:rPr>
          <w:t>366</w:t>
        </w:r>
        <w:r w:rsidR="00A65C0E">
          <w:rPr>
            <w:webHidden/>
          </w:rPr>
          <w:fldChar w:fldCharType="end"/>
        </w:r>
      </w:hyperlink>
    </w:p>
    <w:p w:rsidR="00A65C0E" w:rsidRDefault="000279D8">
      <w:pPr>
        <w:pStyle w:val="TOC4"/>
        <w:rPr>
          <w:rFonts w:eastAsiaTheme="minorEastAsia"/>
          <w:lang w:eastAsia="en-AU"/>
        </w:rPr>
      </w:pPr>
      <w:hyperlink w:anchor="_Toc458081693" w:history="1">
        <w:r w:rsidR="00A65C0E" w:rsidRPr="00764B0D">
          <w:rPr>
            <w:rStyle w:val="Hyperlink"/>
          </w:rPr>
          <w:t>ALP069: Small Business Ombudsman - Access to Justice</w:t>
        </w:r>
        <w:r w:rsidR="00A65C0E">
          <w:rPr>
            <w:webHidden/>
          </w:rPr>
          <w:tab/>
        </w:r>
        <w:r w:rsidR="00A65C0E">
          <w:rPr>
            <w:webHidden/>
          </w:rPr>
          <w:fldChar w:fldCharType="begin"/>
        </w:r>
        <w:r w:rsidR="00A65C0E">
          <w:rPr>
            <w:webHidden/>
          </w:rPr>
          <w:instrText xml:space="preserve"> PAGEREF _Toc458081693 \h </w:instrText>
        </w:r>
        <w:r w:rsidR="00A65C0E">
          <w:rPr>
            <w:webHidden/>
          </w:rPr>
        </w:r>
        <w:r w:rsidR="00A65C0E">
          <w:rPr>
            <w:webHidden/>
          </w:rPr>
          <w:fldChar w:fldCharType="separate"/>
        </w:r>
        <w:r w:rsidR="00874619">
          <w:rPr>
            <w:webHidden/>
          </w:rPr>
          <w:t>367</w:t>
        </w:r>
        <w:r w:rsidR="00A65C0E">
          <w:rPr>
            <w:webHidden/>
          </w:rPr>
          <w:fldChar w:fldCharType="end"/>
        </w:r>
      </w:hyperlink>
    </w:p>
    <w:p w:rsidR="00A65C0E" w:rsidRDefault="000279D8">
      <w:pPr>
        <w:pStyle w:val="TOC4"/>
        <w:rPr>
          <w:rFonts w:eastAsiaTheme="minorEastAsia"/>
          <w:lang w:eastAsia="en-AU"/>
        </w:rPr>
      </w:pPr>
      <w:hyperlink w:anchor="_Toc458081694" w:history="1">
        <w:r w:rsidR="00A65C0E" w:rsidRPr="00764B0D">
          <w:rPr>
            <w:rStyle w:val="Hyperlink"/>
          </w:rPr>
          <w:t>ALP070: Maintaining the Fair Entitlements Guarantee</w:t>
        </w:r>
        <w:r w:rsidR="00A65C0E">
          <w:rPr>
            <w:webHidden/>
          </w:rPr>
          <w:tab/>
        </w:r>
        <w:r w:rsidR="00A65C0E">
          <w:rPr>
            <w:webHidden/>
          </w:rPr>
          <w:fldChar w:fldCharType="begin"/>
        </w:r>
        <w:r w:rsidR="00A65C0E">
          <w:rPr>
            <w:webHidden/>
          </w:rPr>
          <w:instrText xml:space="preserve"> PAGEREF _Toc458081694 \h </w:instrText>
        </w:r>
        <w:r w:rsidR="00A65C0E">
          <w:rPr>
            <w:webHidden/>
          </w:rPr>
        </w:r>
        <w:r w:rsidR="00A65C0E">
          <w:rPr>
            <w:webHidden/>
          </w:rPr>
          <w:fldChar w:fldCharType="separate"/>
        </w:r>
        <w:r w:rsidR="00874619">
          <w:rPr>
            <w:webHidden/>
          </w:rPr>
          <w:t>369</w:t>
        </w:r>
        <w:r w:rsidR="00A65C0E">
          <w:rPr>
            <w:webHidden/>
          </w:rPr>
          <w:fldChar w:fldCharType="end"/>
        </w:r>
      </w:hyperlink>
    </w:p>
    <w:p w:rsidR="00A65C0E" w:rsidRDefault="000279D8">
      <w:pPr>
        <w:pStyle w:val="TOC4"/>
        <w:rPr>
          <w:rFonts w:eastAsiaTheme="minorEastAsia"/>
          <w:lang w:eastAsia="en-AU"/>
        </w:rPr>
      </w:pPr>
      <w:hyperlink w:anchor="_Toc458081695" w:history="1">
        <w:r w:rsidR="00A65C0E" w:rsidRPr="00764B0D">
          <w:rPr>
            <w:rStyle w:val="Hyperlink"/>
          </w:rPr>
          <w:t>ALP071: National Affordable Housing Strategy</w:t>
        </w:r>
        <w:r w:rsidR="00A65C0E">
          <w:rPr>
            <w:webHidden/>
          </w:rPr>
          <w:tab/>
        </w:r>
        <w:r w:rsidR="00A65C0E">
          <w:rPr>
            <w:webHidden/>
          </w:rPr>
          <w:fldChar w:fldCharType="begin"/>
        </w:r>
        <w:r w:rsidR="00A65C0E">
          <w:rPr>
            <w:webHidden/>
          </w:rPr>
          <w:instrText xml:space="preserve"> PAGEREF _Toc458081695 \h </w:instrText>
        </w:r>
        <w:r w:rsidR="00A65C0E">
          <w:rPr>
            <w:webHidden/>
          </w:rPr>
        </w:r>
        <w:r w:rsidR="00A65C0E">
          <w:rPr>
            <w:webHidden/>
          </w:rPr>
          <w:fldChar w:fldCharType="separate"/>
        </w:r>
        <w:r w:rsidR="00874619">
          <w:rPr>
            <w:webHidden/>
          </w:rPr>
          <w:t>371</w:t>
        </w:r>
        <w:r w:rsidR="00A65C0E">
          <w:rPr>
            <w:webHidden/>
          </w:rPr>
          <w:fldChar w:fldCharType="end"/>
        </w:r>
      </w:hyperlink>
    </w:p>
    <w:p w:rsidR="00A65C0E" w:rsidRDefault="000279D8">
      <w:pPr>
        <w:pStyle w:val="TOC4"/>
        <w:rPr>
          <w:rFonts w:eastAsiaTheme="minorEastAsia"/>
          <w:lang w:eastAsia="en-AU"/>
        </w:rPr>
      </w:pPr>
      <w:hyperlink w:anchor="_Toc458081696" w:history="1">
        <w:r w:rsidR="00A65C0E" w:rsidRPr="00764B0D">
          <w:rPr>
            <w:rStyle w:val="Hyperlink"/>
          </w:rPr>
          <w:t>ALP072: Not proceeding with applying the One-Week Ordinary Waiting Period to all Working Age Payments</w:t>
        </w:r>
        <w:r w:rsidR="00A65C0E">
          <w:rPr>
            <w:webHidden/>
          </w:rPr>
          <w:tab/>
        </w:r>
        <w:r w:rsidR="00A65C0E">
          <w:rPr>
            <w:webHidden/>
          </w:rPr>
          <w:fldChar w:fldCharType="begin"/>
        </w:r>
        <w:r w:rsidR="00A65C0E">
          <w:rPr>
            <w:webHidden/>
          </w:rPr>
          <w:instrText xml:space="preserve"> PAGEREF _Toc458081696 \h </w:instrText>
        </w:r>
        <w:r w:rsidR="00A65C0E">
          <w:rPr>
            <w:webHidden/>
          </w:rPr>
        </w:r>
        <w:r w:rsidR="00A65C0E">
          <w:rPr>
            <w:webHidden/>
          </w:rPr>
          <w:fldChar w:fldCharType="separate"/>
        </w:r>
        <w:r w:rsidR="00874619">
          <w:rPr>
            <w:webHidden/>
          </w:rPr>
          <w:t>374</w:t>
        </w:r>
        <w:r w:rsidR="00A65C0E">
          <w:rPr>
            <w:webHidden/>
          </w:rPr>
          <w:fldChar w:fldCharType="end"/>
        </w:r>
      </w:hyperlink>
    </w:p>
    <w:p w:rsidR="00A65C0E" w:rsidRDefault="000279D8">
      <w:pPr>
        <w:pStyle w:val="TOC4"/>
        <w:rPr>
          <w:rFonts w:eastAsiaTheme="minorEastAsia"/>
          <w:lang w:eastAsia="en-AU"/>
        </w:rPr>
      </w:pPr>
      <w:hyperlink w:anchor="_Toc458081697" w:history="1">
        <w:r w:rsidR="00A65C0E" w:rsidRPr="00764B0D">
          <w:rPr>
            <w:rStyle w:val="Hyperlink"/>
          </w:rPr>
          <w:t>ALP073: Not proceeding with changes to pension portability</w:t>
        </w:r>
        <w:r w:rsidR="00A65C0E">
          <w:rPr>
            <w:webHidden/>
          </w:rPr>
          <w:tab/>
        </w:r>
        <w:r w:rsidR="00A65C0E">
          <w:rPr>
            <w:webHidden/>
          </w:rPr>
          <w:fldChar w:fldCharType="begin"/>
        </w:r>
        <w:r w:rsidR="00A65C0E">
          <w:rPr>
            <w:webHidden/>
          </w:rPr>
          <w:instrText xml:space="preserve"> PAGEREF _Toc458081697 \h </w:instrText>
        </w:r>
        <w:r w:rsidR="00A65C0E">
          <w:rPr>
            <w:webHidden/>
          </w:rPr>
        </w:r>
        <w:r w:rsidR="00A65C0E">
          <w:rPr>
            <w:webHidden/>
          </w:rPr>
          <w:fldChar w:fldCharType="separate"/>
        </w:r>
        <w:r w:rsidR="00874619">
          <w:rPr>
            <w:webHidden/>
          </w:rPr>
          <w:t>377</w:t>
        </w:r>
        <w:r w:rsidR="00A65C0E">
          <w:rPr>
            <w:webHidden/>
          </w:rPr>
          <w:fldChar w:fldCharType="end"/>
        </w:r>
      </w:hyperlink>
    </w:p>
    <w:p w:rsidR="00A65C0E" w:rsidRDefault="000279D8">
      <w:pPr>
        <w:pStyle w:val="TOC4"/>
        <w:rPr>
          <w:rFonts w:eastAsiaTheme="minorEastAsia"/>
          <w:lang w:eastAsia="en-AU"/>
        </w:rPr>
      </w:pPr>
      <w:hyperlink w:anchor="_Toc458081698" w:history="1">
        <w:r w:rsidR="00A65C0E" w:rsidRPr="00764B0D">
          <w:rPr>
            <w:rStyle w:val="Hyperlink"/>
          </w:rPr>
          <w:t>ALP074: Not proceeding with the Divorce Tax</w:t>
        </w:r>
        <w:r w:rsidR="00A65C0E">
          <w:rPr>
            <w:webHidden/>
          </w:rPr>
          <w:tab/>
        </w:r>
        <w:r w:rsidR="00A65C0E">
          <w:rPr>
            <w:webHidden/>
          </w:rPr>
          <w:fldChar w:fldCharType="begin"/>
        </w:r>
        <w:r w:rsidR="00A65C0E">
          <w:rPr>
            <w:webHidden/>
          </w:rPr>
          <w:instrText xml:space="preserve"> PAGEREF _Toc458081698 \h </w:instrText>
        </w:r>
        <w:r w:rsidR="00A65C0E">
          <w:rPr>
            <w:webHidden/>
          </w:rPr>
        </w:r>
        <w:r w:rsidR="00A65C0E">
          <w:rPr>
            <w:webHidden/>
          </w:rPr>
          <w:fldChar w:fldCharType="separate"/>
        </w:r>
        <w:r w:rsidR="00874619">
          <w:rPr>
            <w:webHidden/>
          </w:rPr>
          <w:t>380</w:t>
        </w:r>
        <w:r w:rsidR="00A65C0E">
          <w:rPr>
            <w:webHidden/>
          </w:rPr>
          <w:fldChar w:fldCharType="end"/>
        </w:r>
      </w:hyperlink>
    </w:p>
    <w:p w:rsidR="00A65C0E" w:rsidRDefault="000279D8">
      <w:pPr>
        <w:pStyle w:val="TOC4"/>
        <w:rPr>
          <w:rFonts w:eastAsiaTheme="minorEastAsia"/>
          <w:lang w:eastAsia="en-AU"/>
        </w:rPr>
      </w:pPr>
      <w:hyperlink w:anchor="_Toc458081699" w:history="1">
        <w:r w:rsidR="00A65C0E" w:rsidRPr="00764B0D">
          <w:rPr>
            <w:rStyle w:val="Hyperlink"/>
          </w:rPr>
          <w:t>ALP075: Not proceeding with the four week waiting period for income support for young people</w:t>
        </w:r>
        <w:r w:rsidR="00A65C0E">
          <w:rPr>
            <w:webHidden/>
          </w:rPr>
          <w:tab/>
        </w:r>
        <w:r w:rsidR="00A65C0E">
          <w:rPr>
            <w:webHidden/>
          </w:rPr>
          <w:fldChar w:fldCharType="begin"/>
        </w:r>
        <w:r w:rsidR="00A65C0E">
          <w:rPr>
            <w:webHidden/>
          </w:rPr>
          <w:instrText xml:space="preserve"> PAGEREF _Toc458081699 \h </w:instrText>
        </w:r>
        <w:r w:rsidR="00A65C0E">
          <w:rPr>
            <w:webHidden/>
          </w:rPr>
        </w:r>
        <w:r w:rsidR="00A65C0E">
          <w:rPr>
            <w:webHidden/>
          </w:rPr>
          <w:fldChar w:fldCharType="separate"/>
        </w:r>
        <w:r w:rsidR="00874619">
          <w:rPr>
            <w:webHidden/>
          </w:rPr>
          <w:t>383</w:t>
        </w:r>
        <w:r w:rsidR="00A65C0E">
          <w:rPr>
            <w:webHidden/>
          </w:rPr>
          <w:fldChar w:fldCharType="end"/>
        </w:r>
      </w:hyperlink>
    </w:p>
    <w:p w:rsidR="00A65C0E" w:rsidRDefault="000279D8">
      <w:pPr>
        <w:pStyle w:val="TOC4"/>
        <w:rPr>
          <w:rFonts w:eastAsiaTheme="minorEastAsia"/>
          <w:lang w:eastAsia="en-AU"/>
        </w:rPr>
      </w:pPr>
      <w:hyperlink w:anchor="_Toc458081700" w:history="1">
        <w:r w:rsidR="00A65C0E" w:rsidRPr="00764B0D">
          <w:rPr>
            <w:rStyle w:val="Hyperlink"/>
          </w:rPr>
          <w:t>ALP076: Not proceeding with the Government's changes to Paid Parental Leave</w:t>
        </w:r>
        <w:r w:rsidR="00A65C0E">
          <w:rPr>
            <w:webHidden/>
          </w:rPr>
          <w:tab/>
        </w:r>
        <w:r w:rsidR="00A65C0E">
          <w:rPr>
            <w:webHidden/>
          </w:rPr>
          <w:fldChar w:fldCharType="begin"/>
        </w:r>
        <w:r w:rsidR="00A65C0E">
          <w:rPr>
            <w:webHidden/>
          </w:rPr>
          <w:instrText xml:space="preserve"> PAGEREF _Toc458081700 \h </w:instrText>
        </w:r>
        <w:r w:rsidR="00A65C0E">
          <w:rPr>
            <w:webHidden/>
          </w:rPr>
        </w:r>
        <w:r w:rsidR="00A65C0E">
          <w:rPr>
            <w:webHidden/>
          </w:rPr>
          <w:fldChar w:fldCharType="separate"/>
        </w:r>
        <w:r w:rsidR="00874619">
          <w:rPr>
            <w:webHidden/>
          </w:rPr>
          <w:t>386</w:t>
        </w:r>
        <w:r w:rsidR="00A65C0E">
          <w:rPr>
            <w:webHidden/>
          </w:rPr>
          <w:fldChar w:fldCharType="end"/>
        </w:r>
      </w:hyperlink>
    </w:p>
    <w:p w:rsidR="00A65C0E" w:rsidRDefault="000279D8">
      <w:pPr>
        <w:pStyle w:val="TOC4"/>
        <w:rPr>
          <w:rFonts w:eastAsiaTheme="minorEastAsia"/>
          <w:lang w:eastAsia="en-AU"/>
        </w:rPr>
      </w:pPr>
      <w:hyperlink w:anchor="_Toc458081701" w:history="1">
        <w:r w:rsidR="00A65C0E" w:rsidRPr="00764B0D">
          <w:rPr>
            <w:rStyle w:val="Hyperlink"/>
          </w:rPr>
          <w:t>ALP077: Not proceeding with the increasing the age of eligibility for Newstart Allowance and Sickness Allowance</w:t>
        </w:r>
        <w:r w:rsidR="00A65C0E">
          <w:rPr>
            <w:webHidden/>
          </w:rPr>
          <w:tab/>
        </w:r>
        <w:r w:rsidR="00A65C0E">
          <w:rPr>
            <w:webHidden/>
          </w:rPr>
          <w:fldChar w:fldCharType="begin"/>
        </w:r>
        <w:r w:rsidR="00A65C0E">
          <w:rPr>
            <w:webHidden/>
          </w:rPr>
          <w:instrText xml:space="preserve"> PAGEREF _Toc458081701 \h </w:instrText>
        </w:r>
        <w:r w:rsidR="00A65C0E">
          <w:rPr>
            <w:webHidden/>
          </w:rPr>
        </w:r>
        <w:r w:rsidR="00A65C0E">
          <w:rPr>
            <w:webHidden/>
          </w:rPr>
          <w:fldChar w:fldCharType="separate"/>
        </w:r>
        <w:r w:rsidR="00874619">
          <w:rPr>
            <w:webHidden/>
          </w:rPr>
          <w:t>390</w:t>
        </w:r>
        <w:r w:rsidR="00A65C0E">
          <w:rPr>
            <w:webHidden/>
          </w:rPr>
          <w:fldChar w:fldCharType="end"/>
        </w:r>
      </w:hyperlink>
    </w:p>
    <w:p w:rsidR="00A65C0E" w:rsidRDefault="000279D8">
      <w:pPr>
        <w:pStyle w:val="TOC4"/>
        <w:rPr>
          <w:rFonts w:eastAsiaTheme="minorEastAsia"/>
          <w:lang w:eastAsia="en-AU"/>
        </w:rPr>
      </w:pPr>
      <w:hyperlink w:anchor="_Toc458081702" w:history="1">
        <w:r w:rsidR="00A65C0E" w:rsidRPr="00764B0D">
          <w:rPr>
            <w:rStyle w:val="Hyperlink"/>
          </w:rPr>
          <w:t>ALP078: Reversing cuts to Family Payments</w:t>
        </w:r>
        <w:r w:rsidR="00A65C0E">
          <w:rPr>
            <w:webHidden/>
          </w:rPr>
          <w:tab/>
        </w:r>
        <w:r w:rsidR="00A65C0E">
          <w:rPr>
            <w:webHidden/>
          </w:rPr>
          <w:fldChar w:fldCharType="begin"/>
        </w:r>
        <w:r w:rsidR="00A65C0E">
          <w:rPr>
            <w:webHidden/>
          </w:rPr>
          <w:instrText xml:space="preserve"> PAGEREF _Toc458081702 \h </w:instrText>
        </w:r>
        <w:r w:rsidR="00A65C0E">
          <w:rPr>
            <w:webHidden/>
          </w:rPr>
        </w:r>
        <w:r w:rsidR="00A65C0E">
          <w:rPr>
            <w:webHidden/>
          </w:rPr>
          <w:fldChar w:fldCharType="separate"/>
        </w:r>
        <w:r w:rsidR="00874619">
          <w:rPr>
            <w:webHidden/>
          </w:rPr>
          <w:t>393</w:t>
        </w:r>
        <w:r w:rsidR="00A65C0E">
          <w:rPr>
            <w:webHidden/>
          </w:rPr>
          <w:fldChar w:fldCharType="end"/>
        </w:r>
      </w:hyperlink>
    </w:p>
    <w:p w:rsidR="00A65C0E" w:rsidRDefault="000279D8">
      <w:pPr>
        <w:pStyle w:val="TOC4"/>
        <w:rPr>
          <w:rFonts w:eastAsiaTheme="minorEastAsia"/>
          <w:lang w:eastAsia="en-AU"/>
        </w:rPr>
      </w:pPr>
      <w:hyperlink w:anchor="_Toc458081703" w:history="1">
        <w:r w:rsidR="00A65C0E" w:rsidRPr="00764B0D">
          <w:rPr>
            <w:rStyle w:val="Hyperlink"/>
          </w:rPr>
          <w:t>ALP079: Young Carer Bursary Program</w:t>
        </w:r>
        <w:r w:rsidR="00A65C0E">
          <w:rPr>
            <w:webHidden/>
          </w:rPr>
          <w:tab/>
        </w:r>
        <w:r w:rsidR="00A65C0E">
          <w:rPr>
            <w:webHidden/>
          </w:rPr>
          <w:fldChar w:fldCharType="begin"/>
        </w:r>
        <w:r w:rsidR="00A65C0E">
          <w:rPr>
            <w:webHidden/>
          </w:rPr>
          <w:instrText xml:space="preserve"> PAGEREF _Toc458081703 \h </w:instrText>
        </w:r>
        <w:r w:rsidR="00A65C0E">
          <w:rPr>
            <w:webHidden/>
          </w:rPr>
        </w:r>
        <w:r w:rsidR="00A65C0E">
          <w:rPr>
            <w:webHidden/>
          </w:rPr>
          <w:fldChar w:fldCharType="separate"/>
        </w:r>
        <w:r w:rsidR="00874619">
          <w:rPr>
            <w:webHidden/>
          </w:rPr>
          <w:t>397</w:t>
        </w:r>
        <w:r w:rsidR="00A65C0E">
          <w:rPr>
            <w:webHidden/>
          </w:rPr>
          <w:fldChar w:fldCharType="end"/>
        </w:r>
      </w:hyperlink>
    </w:p>
    <w:p w:rsidR="00A65C0E" w:rsidRDefault="000279D8">
      <w:pPr>
        <w:pStyle w:val="TOC4"/>
        <w:rPr>
          <w:rFonts w:eastAsiaTheme="minorEastAsia"/>
          <w:lang w:eastAsia="en-AU"/>
        </w:rPr>
      </w:pPr>
      <w:hyperlink w:anchor="_Toc458081704" w:history="1">
        <w:r w:rsidR="00A65C0E" w:rsidRPr="00764B0D">
          <w:rPr>
            <w:rStyle w:val="Hyperlink"/>
          </w:rPr>
          <w:t>ALP080: Not proceeding with the abolition of the Pensioner Education Supplement</w:t>
        </w:r>
        <w:r w:rsidR="00A65C0E">
          <w:rPr>
            <w:webHidden/>
          </w:rPr>
          <w:tab/>
        </w:r>
        <w:r w:rsidR="00A65C0E">
          <w:rPr>
            <w:webHidden/>
          </w:rPr>
          <w:fldChar w:fldCharType="begin"/>
        </w:r>
        <w:r w:rsidR="00A65C0E">
          <w:rPr>
            <w:webHidden/>
          </w:rPr>
          <w:instrText xml:space="preserve"> PAGEREF _Toc458081704 \h </w:instrText>
        </w:r>
        <w:r w:rsidR="00A65C0E">
          <w:rPr>
            <w:webHidden/>
          </w:rPr>
        </w:r>
        <w:r w:rsidR="00A65C0E">
          <w:rPr>
            <w:webHidden/>
          </w:rPr>
          <w:fldChar w:fldCharType="separate"/>
        </w:r>
        <w:r w:rsidR="00874619">
          <w:rPr>
            <w:webHidden/>
          </w:rPr>
          <w:t>399</w:t>
        </w:r>
        <w:r w:rsidR="00A65C0E">
          <w:rPr>
            <w:webHidden/>
          </w:rPr>
          <w:fldChar w:fldCharType="end"/>
        </w:r>
      </w:hyperlink>
    </w:p>
    <w:p w:rsidR="00A65C0E" w:rsidRDefault="000279D8">
      <w:pPr>
        <w:pStyle w:val="TOC4"/>
        <w:rPr>
          <w:rFonts w:eastAsiaTheme="minorEastAsia"/>
          <w:lang w:eastAsia="en-AU"/>
        </w:rPr>
      </w:pPr>
      <w:hyperlink w:anchor="_Toc458081705" w:history="1">
        <w:r w:rsidR="00A65C0E" w:rsidRPr="00764B0D">
          <w:rPr>
            <w:rStyle w:val="Hyperlink"/>
          </w:rPr>
          <w:t>ALP081: Not proceeding with the abolition of the Education Entry Payment</w:t>
        </w:r>
        <w:r w:rsidR="00A65C0E">
          <w:rPr>
            <w:webHidden/>
          </w:rPr>
          <w:tab/>
        </w:r>
        <w:r w:rsidR="00A65C0E">
          <w:rPr>
            <w:webHidden/>
          </w:rPr>
          <w:fldChar w:fldCharType="begin"/>
        </w:r>
        <w:r w:rsidR="00A65C0E">
          <w:rPr>
            <w:webHidden/>
          </w:rPr>
          <w:instrText xml:space="preserve"> PAGEREF _Toc458081705 \h </w:instrText>
        </w:r>
        <w:r w:rsidR="00A65C0E">
          <w:rPr>
            <w:webHidden/>
          </w:rPr>
        </w:r>
        <w:r w:rsidR="00A65C0E">
          <w:rPr>
            <w:webHidden/>
          </w:rPr>
          <w:fldChar w:fldCharType="separate"/>
        </w:r>
        <w:r w:rsidR="00874619">
          <w:rPr>
            <w:webHidden/>
          </w:rPr>
          <w:t>402</w:t>
        </w:r>
        <w:r w:rsidR="00A65C0E">
          <w:rPr>
            <w:webHidden/>
          </w:rPr>
          <w:fldChar w:fldCharType="end"/>
        </w:r>
      </w:hyperlink>
    </w:p>
    <w:p w:rsidR="00A65C0E" w:rsidRDefault="000279D8">
      <w:pPr>
        <w:pStyle w:val="TOC4"/>
        <w:rPr>
          <w:rFonts w:eastAsiaTheme="minorEastAsia"/>
          <w:lang w:eastAsia="en-AU"/>
        </w:rPr>
      </w:pPr>
      <w:hyperlink w:anchor="_Toc458081706" w:history="1">
        <w:r w:rsidR="00A65C0E" w:rsidRPr="00764B0D">
          <w:rPr>
            <w:rStyle w:val="Hyperlink"/>
          </w:rPr>
          <w:t>ALP082: Not proceeding with the freeze eligibility thresholds for Australian Government payments</w:t>
        </w:r>
        <w:r w:rsidR="00A65C0E">
          <w:rPr>
            <w:webHidden/>
          </w:rPr>
          <w:tab/>
        </w:r>
        <w:r w:rsidR="00A65C0E">
          <w:rPr>
            <w:webHidden/>
          </w:rPr>
          <w:fldChar w:fldCharType="begin"/>
        </w:r>
        <w:r w:rsidR="00A65C0E">
          <w:rPr>
            <w:webHidden/>
          </w:rPr>
          <w:instrText xml:space="preserve"> PAGEREF _Toc458081706 \h </w:instrText>
        </w:r>
        <w:r w:rsidR="00A65C0E">
          <w:rPr>
            <w:webHidden/>
          </w:rPr>
        </w:r>
        <w:r w:rsidR="00A65C0E">
          <w:rPr>
            <w:webHidden/>
          </w:rPr>
          <w:fldChar w:fldCharType="separate"/>
        </w:r>
        <w:r w:rsidR="00874619">
          <w:rPr>
            <w:webHidden/>
          </w:rPr>
          <w:t>405</w:t>
        </w:r>
        <w:r w:rsidR="00A65C0E">
          <w:rPr>
            <w:webHidden/>
          </w:rPr>
          <w:fldChar w:fldCharType="end"/>
        </w:r>
      </w:hyperlink>
    </w:p>
    <w:p w:rsidR="00A65C0E" w:rsidRDefault="000279D8">
      <w:pPr>
        <w:pStyle w:val="TOC4"/>
        <w:rPr>
          <w:rFonts w:eastAsiaTheme="minorEastAsia"/>
          <w:lang w:eastAsia="en-AU"/>
        </w:rPr>
      </w:pPr>
      <w:hyperlink w:anchor="_Toc458081707" w:history="1">
        <w:r w:rsidR="00A65C0E" w:rsidRPr="00764B0D">
          <w:rPr>
            <w:rStyle w:val="Hyperlink"/>
          </w:rPr>
          <w:t>ALP083: Not raising the Pension Qualifying Age to 70</w:t>
        </w:r>
        <w:r w:rsidR="00A65C0E">
          <w:rPr>
            <w:webHidden/>
          </w:rPr>
          <w:tab/>
        </w:r>
        <w:r w:rsidR="00A65C0E">
          <w:rPr>
            <w:webHidden/>
          </w:rPr>
          <w:fldChar w:fldCharType="begin"/>
        </w:r>
        <w:r w:rsidR="00A65C0E">
          <w:rPr>
            <w:webHidden/>
          </w:rPr>
          <w:instrText xml:space="preserve"> PAGEREF _Toc458081707 \h </w:instrText>
        </w:r>
        <w:r w:rsidR="00A65C0E">
          <w:rPr>
            <w:webHidden/>
          </w:rPr>
        </w:r>
        <w:r w:rsidR="00A65C0E">
          <w:rPr>
            <w:webHidden/>
          </w:rPr>
          <w:fldChar w:fldCharType="separate"/>
        </w:r>
        <w:r w:rsidR="00874619">
          <w:rPr>
            <w:webHidden/>
          </w:rPr>
          <w:t>409</w:t>
        </w:r>
        <w:r w:rsidR="00A65C0E">
          <w:rPr>
            <w:webHidden/>
          </w:rPr>
          <w:fldChar w:fldCharType="end"/>
        </w:r>
      </w:hyperlink>
    </w:p>
    <w:p w:rsidR="00A65C0E" w:rsidRDefault="000279D8">
      <w:pPr>
        <w:pStyle w:val="TOC4"/>
        <w:rPr>
          <w:rFonts w:eastAsiaTheme="minorEastAsia"/>
          <w:lang w:eastAsia="en-AU"/>
        </w:rPr>
      </w:pPr>
      <w:hyperlink w:anchor="_Toc458081708" w:history="1">
        <w:r w:rsidR="00A65C0E" w:rsidRPr="00764B0D">
          <w:rPr>
            <w:rStyle w:val="Hyperlink"/>
          </w:rPr>
          <w:t>ALP084: Better Support for Australians with Diabetes</w:t>
        </w:r>
        <w:r w:rsidR="00A65C0E">
          <w:rPr>
            <w:webHidden/>
          </w:rPr>
          <w:tab/>
        </w:r>
        <w:r w:rsidR="00A65C0E">
          <w:rPr>
            <w:webHidden/>
          </w:rPr>
          <w:fldChar w:fldCharType="begin"/>
        </w:r>
        <w:r w:rsidR="00A65C0E">
          <w:rPr>
            <w:webHidden/>
          </w:rPr>
          <w:instrText xml:space="preserve"> PAGEREF _Toc458081708 \h </w:instrText>
        </w:r>
        <w:r w:rsidR="00A65C0E">
          <w:rPr>
            <w:webHidden/>
          </w:rPr>
        </w:r>
        <w:r w:rsidR="00A65C0E">
          <w:rPr>
            <w:webHidden/>
          </w:rPr>
          <w:fldChar w:fldCharType="separate"/>
        </w:r>
        <w:r w:rsidR="00874619">
          <w:rPr>
            <w:webHidden/>
          </w:rPr>
          <w:t>412</w:t>
        </w:r>
        <w:r w:rsidR="00A65C0E">
          <w:rPr>
            <w:webHidden/>
          </w:rPr>
          <w:fldChar w:fldCharType="end"/>
        </w:r>
      </w:hyperlink>
    </w:p>
    <w:p w:rsidR="00A65C0E" w:rsidRDefault="000279D8">
      <w:pPr>
        <w:pStyle w:val="TOC4"/>
        <w:rPr>
          <w:rFonts w:eastAsiaTheme="minorEastAsia"/>
          <w:lang w:eastAsia="en-AU"/>
        </w:rPr>
      </w:pPr>
      <w:hyperlink w:anchor="_Toc458081709" w:history="1">
        <w:r w:rsidR="00A65C0E" w:rsidRPr="00764B0D">
          <w:rPr>
            <w:rStyle w:val="Hyperlink"/>
          </w:rPr>
          <w:t>ALP085: Not proceeding with PBS co-payment increase</w:t>
        </w:r>
        <w:r w:rsidR="00A65C0E">
          <w:rPr>
            <w:webHidden/>
          </w:rPr>
          <w:tab/>
        </w:r>
        <w:r w:rsidR="00A65C0E">
          <w:rPr>
            <w:webHidden/>
          </w:rPr>
          <w:fldChar w:fldCharType="begin"/>
        </w:r>
        <w:r w:rsidR="00A65C0E">
          <w:rPr>
            <w:webHidden/>
          </w:rPr>
          <w:instrText xml:space="preserve"> PAGEREF _Toc458081709 \h </w:instrText>
        </w:r>
        <w:r w:rsidR="00A65C0E">
          <w:rPr>
            <w:webHidden/>
          </w:rPr>
        </w:r>
        <w:r w:rsidR="00A65C0E">
          <w:rPr>
            <w:webHidden/>
          </w:rPr>
          <w:fldChar w:fldCharType="separate"/>
        </w:r>
        <w:r w:rsidR="00874619">
          <w:rPr>
            <w:webHidden/>
          </w:rPr>
          <w:t>415</w:t>
        </w:r>
        <w:r w:rsidR="00A65C0E">
          <w:rPr>
            <w:webHidden/>
          </w:rPr>
          <w:fldChar w:fldCharType="end"/>
        </w:r>
      </w:hyperlink>
    </w:p>
    <w:p w:rsidR="00A65C0E" w:rsidRDefault="000279D8">
      <w:pPr>
        <w:pStyle w:val="TOC4"/>
        <w:rPr>
          <w:rFonts w:eastAsiaTheme="minorEastAsia"/>
          <w:lang w:eastAsia="en-AU"/>
        </w:rPr>
      </w:pPr>
      <w:hyperlink w:anchor="_Toc458081710" w:history="1">
        <w:r w:rsidR="00A65C0E" w:rsidRPr="00764B0D">
          <w:rPr>
            <w:rStyle w:val="Hyperlink"/>
          </w:rPr>
          <w:t>ALP086: Pathology and Radiology</w:t>
        </w:r>
        <w:r w:rsidR="00A65C0E">
          <w:rPr>
            <w:webHidden/>
          </w:rPr>
          <w:tab/>
        </w:r>
        <w:r w:rsidR="00A65C0E">
          <w:rPr>
            <w:webHidden/>
          </w:rPr>
          <w:fldChar w:fldCharType="begin"/>
        </w:r>
        <w:r w:rsidR="00A65C0E">
          <w:rPr>
            <w:webHidden/>
          </w:rPr>
          <w:instrText xml:space="preserve"> PAGEREF _Toc458081710 \h </w:instrText>
        </w:r>
        <w:r w:rsidR="00A65C0E">
          <w:rPr>
            <w:webHidden/>
          </w:rPr>
        </w:r>
        <w:r w:rsidR="00A65C0E">
          <w:rPr>
            <w:webHidden/>
          </w:rPr>
          <w:fldChar w:fldCharType="separate"/>
        </w:r>
        <w:r w:rsidR="00874619">
          <w:rPr>
            <w:webHidden/>
          </w:rPr>
          <w:t>418</w:t>
        </w:r>
        <w:r w:rsidR="00A65C0E">
          <w:rPr>
            <w:webHidden/>
          </w:rPr>
          <w:fldChar w:fldCharType="end"/>
        </w:r>
      </w:hyperlink>
    </w:p>
    <w:p w:rsidR="00A65C0E" w:rsidRDefault="000279D8">
      <w:pPr>
        <w:pStyle w:val="TOC4"/>
        <w:rPr>
          <w:rFonts w:eastAsiaTheme="minorEastAsia"/>
          <w:lang w:eastAsia="en-AU"/>
        </w:rPr>
      </w:pPr>
      <w:hyperlink w:anchor="_Toc458081711" w:history="1">
        <w:r w:rsidR="00A65C0E" w:rsidRPr="00764B0D">
          <w:rPr>
            <w:rStyle w:val="Hyperlink"/>
          </w:rPr>
          <w:t>ALP087: Resume indexation of the Medicare Benefits Schedule</w:t>
        </w:r>
        <w:r w:rsidR="00A65C0E">
          <w:rPr>
            <w:webHidden/>
          </w:rPr>
          <w:tab/>
        </w:r>
        <w:r w:rsidR="00A65C0E">
          <w:rPr>
            <w:webHidden/>
          </w:rPr>
          <w:fldChar w:fldCharType="begin"/>
        </w:r>
        <w:r w:rsidR="00A65C0E">
          <w:rPr>
            <w:webHidden/>
          </w:rPr>
          <w:instrText xml:space="preserve"> PAGEREF _Toc458081711 \h </w:instrText>
        </w:r>
        <w:r w:rsidR="00A65C0E">
          <w:rPr>
            <w:webHidden/>
          </w:rPr>
        </w:r>
        <w:r w:rsidR="00A65C0E">
          <w:rPr>
            <w:webHidden/>
          </w:rPr>
          <w:fldChar w:fldCharType="separate"/>
        </w:r>
        <w:r w:rsidR="00874619">
          <w:rPr>
            <w:webHidden/>
          </w:rPr>
          <w:t>421</w:t>
        </w:r>
        <w:r w:rsidR="00A65C0E">
          <w:rPr>
            <w:webHidden/>
          </w:rPr>
          <w:fldChar w:fldCharType="end"/>
        </w:r>
      </w:hyperlink>
    </w:p>
    <w:p w:rsidR="00A65C0E" w:rsidRDefault="000279D8">
      <w:pPr>
        <w:pStyle w:val="TOC4"/>
        <w:rPr>
          <w:rFonts w:eastAsiaTheme="minorEastAsia"/>
          <w:lang w:eastAsia="en-AU"/>
        </w:rPr>
      </w:pPr>
      <w:hyperlink w:anchor="_Toc458081712" w:history="1">
        <w:r w:rsidR="00A65C0E" w:rsidRPr="00764B0D">
          <w:rPr>
            <w:rStyle w:val="Hyperlink"/>
          </w:rPr>
          <w:t>ALP088: Not proceeding with changes to the Medicare Safety Nets</w:t>
        </w:r>
        <w:r w:rsidR="00A65C0E">
          <w:rPr>
            <w:webHidden/>
          </w:rPr>
          <w:tab/>
        </w:r>
        <w:r w:rsidR="00A65C0E">
          <w:rPr>
            <w:webHidden/>
          </w:rPr>
          <w:fldChar w:fldCharType="begin"/>
        </w:r>
        <w:r w:rsidR="00A65C0E">
          <w:rPr>
            <w:webHidden/>
          </w:rPr>
          <w:instrText xml:space="preserve"> PAGEREF _Toc458081712 \h </w:instrText>
        </w:r>
        <w:r w:rsidR="00A65C0E">
          <w:rPr>
            <w:webHidden/>
          </w:rPr>
        </w:r>
        <w:r w:rsidR="00A65C0E">
          <w:rPr>
            <w:webHidden/>
          </w:rPr>
          <w:fldChar w:fldCharType="separate"/>
        </w:r>
        <w:r w:rsidR="00874619">
          <w:rPr>
            <w:webHidden/>
          </w:rPr>
          <w:t>425</w:t>
        </w:r>
        <w:r w:rsidR="00A65C0E">
          <w:rPr>
            <w:webHidden/>
          </w:rPr>
          <w:fldChar w:fldCharType="end"/>
        </w:r>
      </w:hyperlink>
    </w:p>
    <w:p w:rsidR="00A65C0E" w:rsidRDefault="000279D8">
      <w:pPr>
        <w:pStyle w:val="TOC4"/>
        <w:rPr>
          <w:rFonts w:eastAsiaTheme="minorEastAsia"/>
          <w:lang w:eastAsia="en-AU"/>
        </w:rPr>
      </w:pPr>
      <w:hyperlink w:anchor="_Toc458081713" w:history="1">
        <w:r w:rsidR="00A65C0E" w:rsidRPr="00764B0D">
          <w:rPr>
            <w:rStyle w:val="Hyperlink"/>
          </w:rPr>
          <w:t>ALP089: Strengthening Hospitals</w:t>
        </w:r>
        <w:r w:rsidR="00A65C0E">
          <w:rPr>
            <w:webHidden/>
          </w:rPr>
          <w:tab/>
        </w:r>
        <w:r w:rsidR="00A65C0E">
          <w:rPr>
            <w:webHidden/>
          </w:rPr>
          <w:fldChar w:fldCharType="begin"/>
        </w:r>
        <w:r w:rsidR="00A65C0E">
          <w:rPr>
            <w:webHidden/>
          </w:rPr>
          <w:instrText xml:space="preserve"> PAGEREF _Toc458081713 \h </w:instrText>
        </w:r>
        <w:r w:rsidR="00A65C0E">
          <w:rPr>
            <w:webHidden/>
          </w:rPr>
        </w:r>
        <w:r w:rsidR="00A65C0E">
          <w:rPr>
            <w:webHidden/>
          </w:rPr>
          <w:fldChar w:fldCharType="separate"/>
        </w:r>
        <w:r w:rsidR="00874619">
          <w:rPr>
            <w:webHidden/>
          </w:rPr>
          <w:t>428</w:t>
        </w:r>
        <w:r w:rsidR="00A65C0E">
          <w:rPr>
            <w:webHidden/>
          </w:rPr>
          <w:fldChar w:fldCharType="end"/>
        </w:r>
      </w:hyperlink>
    </w:p>
    <w:p w:rsidR="00A65C0E" w:rsidRDefault="000279D8">
      <w:pPr>
        <w:pStyle w:val="TOC4"/>
        <w:rPr>
          <w:rFonts w:eastAsiaTheme="minorEastAsia"/>
          <w:lang w:eastAsia="en-AU"/>
        </w:rPr>
      </w:pPr>
      <w:hyperlink w:anchor="_Toc458081714" w:history="1">
        <w:r w:rsidR="00A65C0E" w:rsidRPr="00764B0D">
          <w:rPr>
            <w:rStyle w:val="Hyperlink"/>
          </w:rPr>
          <w:t>ALP090: Measures addressing Family Violence - Court reform</w:t>
        </w:r>
        <w:r w:rsidR="00A65C0E">
          <w:rPr>
            <w:webHidden/>
          </w:rPr>
          <w:tab/>
        </w:r>
        <w:r w:rsidR="00A65C0E">
          <w:rPr>
            <w:webHidden/>
          </w:rPr>
          <w:fldChar w:fldCharType="begin"/>
        </w:r>
        <w:r w:rsidR="00A65C0E">
          <w:rPr>
            <w:webHidden/>
          </w:rPr>
          <w:instrText xml:space="preserve"> PAGEREF _Toc458081714 \h </w:instrText>
        </w:r>
        <w:r w:rsidR="00A65C0E">
          <w:rPr>
            <w:webHidden/>
          </w:rPr>
        </w:r>
        <w:r w:rsidR="00A65C0E">
          <w:rPr>
            <w:webHidden/>
          </w:rPr>
          <w:fldChar w:fldCharType="separate"/>
        </w:r>
        <w:r w:rsidR="00874619">
          <w:rPr>
            <w:webHidden/>
          </w:rPr>
          <w:t>433</w:t>
        </w:r>
        <w:r w:rsidR="00A65C0E">
          <w:rPr>
            <w:webHidden/>
          </w:rPr>
          <w:fldChar w:fldCharType="end"/>
        </w:r>
      </w:hyperlink>
    </w:p>
    <w:p w:rsidR="00A65C0E" w:rsidRDefault="000279D8">
      <w:pPr>
        <w:pStyle w:val="TOC4"/>
        <w:rPr>
          <w:rFonts w:eastAsiaTheme="minorEastAsia"/>
          <w:lang w:eastAsia="en-AU"/>
        </w:rPr>
      </w:pPr>
      <w:hyperlink w:anchor="_Toc458081715" w:history="1">
        <w:r w:rsidR="00A65C0E" w:rsidRPr="00764B0D">
          <w:rPr>
            <w:rStyle w:val="Hyperlink"/>
          </w:rPr>
          <w:t>ALP091: Efficiency Dividend and Efficiency Target for National Cultural and Collecting Institutions</w:t>
        </w:r>
        <w:r w:rsidR="00A65C0E">
          <w:rPr>
            <w:webHidden/>
          </w:rPr>
          <w:tab/>
        </w:r>
        <w:r w:rsidR="00A65C0E">
          <w:rPr>
            <w:webHidden/>
          </w:rPr>
          <w:fldChar w:fldCharType="begin"/>
        </w:r>
        <w:r w:rsidR="00A65C0E">
          <w:rPr>
            <w:webHidden/>
          </w:rPr>
          <w:instrText xml:space="preserve"> PAGEREF _Toc458081715 \h </w:instrText>
        </w:r>
        <w:r w:rsidR="00A65C0E">
          <w:rPr>
            <w:webHidden/>
          </w:rPr>
        </w:r>
        <w:r w:rsidR="00A65C0E">
          <w:rPr>
            <w:webHidden/>
          </w:rPr>
          <w:fldChar w:fldCharType="separate"/>
        </w:r>
        <w:r w:rsidR="00874619">
          <w:rPr>
            <w:webHidden/>
          </w:rPr>
          <w:t>439</w:t>
        </w:r>
        <w:r w:rsidR="00A65C0E">
          <w:rPr>
            <w:webHidden/>
          </w:rPr>
          <w:fldChar w:fldCharType="end"/>
        </w:r>
      </w:hyperlink>
    </w:p>
    <w:p w:rsidR="00A65C0E" w:rsidRDefault="00A65C0E" w:rsidP="00B02587">
      <w:pPr>
        <w:pStyle w:val="TOC4"/>
      </w:pPr>
      <w:r>
        <w:rPr>
          <w:rStyle w:val="Hyperlink"/>
        </w:rPr>
        <w:fldChar w:fldCharType="end"/>
      </w:r>
    </w:p>
    <w:p w:rsidR="00E915E6" w:rsidRDefault="00E915E6">
      <w:pPr>
        <w:sectPr w:rsidR="00E915E6" w:rsidSect="005E18B5">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39" w:code="9"/>
          <w:pgMar w:top="1361" w:right="1797" w:bottom="1474" w:left="1797" w:header="283" w:footer="454" w:gutter="0"/>
          <w:pgNumType w:start="125"/>
          <w:cols w:space="708"/>
          <w:docGrid w:linePitch="360"/>
        </w:sectPr>
      </w:pPr>
    </w:p>
    <w:p w:rsidR="00420CF4" w:rsidRDefault="00420CF4" w:rsidP="00420CF4">
      <w:pPr>
        <w:pStyle w:val="Heading5"/>
        <w:ind w:left="1080" w:hanging="1080"/>
      </w:pPr>
      <w:bookmarkStart w:id="5" w:name="_Toc458081625"/>
      <w:r>
        <w:lastRenderedPageBreak/>
        <w:t>ALP001: National Redress Scheme</w:t>
      </w:r>
      <w:bookmarkEnd w:id="5"/>
    </w:p>
    <w:p w:rsidR="00275C35" w:rsidRDefault="00275C35" w:rsidP="00275C35">
      <w:pPr>
        <w:pStyle w:val="BodyText"/>
      </w:pPr>
      <w:r>
        <w:rPr>
          <w:noProof/>
          <w:lang w:eastAsia="en-AU"/>
        </w:rPr>
        <w:drawing>
          <wp:inline distT="0" distB="0" distL="0" distR="0" wp14:anchorId="50B21C32" wp14:editId="5BF09516">
            <wp:extent cx="2696845" cy="572135"/>
            <wp:effectExtent l="0" t="0" r="8255" b="0"/>
            <wp:docPr id="19" name="Picture 1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AF6ADB">
            <w:pPr>
              <w:pStyle w:val="PullOutBoxHeading"/>
              <w:rPr>
                <w:b/>
              </w:rPr>
            </w:pPr>
            <w:r w:rsidRPr="00AF6ADB">
              <w:rPr>
                <w:b/>
              </w:rPr>
              <w:t>Name of proposal:</w:t>
            </w:r>
          </w:p>
        </w:tc>
        <w:tc>
          <w:tcPr>
            <w:tcW w:w="3191" w:type="pct"/>
          </w:tcPr>
          <w:p w:rsidR="00420CF4" w:rsidRPr="00AF6ADB" w:rsidRDefault="00420CF4" w:rsidP="00AF6ADB">
            <w:pPr>
              <w:pStyle w:val="PullOutBoxHeading"/>
              <w:rPr>
                <w:b/>
              </w:rPr>
            </w:pPr>
            <w:r w:rsidRPr="00AF6ADB">
              <w:rPr>
                <w:b/>
              </w:rPr>
              <w:t>National Redress Scheme</w:t>
            </w:r>
          </w:p>
        </w:tc>
      </w:tr>
      <w:tr w:rsidR="00420CF4" w:rsidRPr="00B45F94" w:rsidTr="00967BCD">
        <w:tc>
          <w:tcPr>
            <w:tcW w:w="1809" w:type="pct"/>
          </w:tcPr>
          <w:p w:rsidR="00420CF4" w:rsidRPr="00E9116A" w:rsidRDefault="00420CF4" w:rsidP="00785079">
            <w:pPr>
              <w:pStyle w:val="PullOutBoxBodyText"/>
            </w:pPr>
            <w:r w:rsidRPr="00E9116A">
              <w:t>Summary of proposal:</w:t>
            </w:r>
          </w:p>
        </w:tc>
        <w:tc>
          <w:tcPr>
            <w:tcW w:w="3191" w:type="pct"/>
          </w:tcPr>
          <w:p w:rsidR="00420CF4" w:rsidRPr="00E9116A" w:rsidRDefault="00420CF4" w:rsidP="00785079">
            <w:pPr>
              <w:pStyle w:val="PullOutBoxBodyText"/>
            </w:pPr>
            <w:r w:rsidRPr="00E9116A">
              <w:t>The proposal would establish a National Redress Scheme (the Scheme) for victims of institutional child sexual abuse.  Under the Scheme the cost of monetary payments, counselling services and administration of the Scheme would be shared across the Commonwealth Government, state governments and non-government bodies based on the distribution of responsibility of settings i</w:t>
            </w:r>
            <w:r w:rsidR="00B02B5B">
              <w:t>n which abuse took place.</w:t>
            </w:r>
          </w:p>
          <w:p w:rsidR="00420CF4" w:rsidRPr="00E9116A" w:rsidRDefault="00420CF4" w:rsidP="00785079">
            <w:pPr>
              <w:pStyle w:val="PullOutBoxBodyText"/>
            </w:pPr>
            <w:r w:rsidRPr="00E9116A">
              <w:t>The Commonwealth Government would take responsibility for the abuse that occurred in government run institutions administered by the Australian Capital Territory and the Northern Territory.</w:t>
            </w:r>
          </w:p>
          <w:p w:rsidR="00420CF4" w:rsidRPr="00E9116A" w:rsidRDefault="00420CF4" w:rsidP="0073534F">
            <w:pPr>
              <w:pStyle w:val="PullOutBoxBodyText"/>
            </w:pPr>
            <w:r w:rsidRPr="00E9116A">
              <w:t>The Commonwealth Government would provide $10 million in 2016</w:t>
            </w:r>
            <w:r w:rsidR="0073534F">
              <w:t>-17 and $10 million in 2017-</w:t>
            </w:r>
            <w:r w:rsidRPr="00E9116A">
              <w:t>18 to establish the Scheme, which would commence on 1 January 2018.</w:t>
            </w:r>
          </w:p>
        </w:tc>
      </w:tr>
      <w:tr w:rsidR="00420CF4" w:rsidRPr="00B45F94" w:rsidTr="00967BCD">
        <w:tc>
          <w:tcPr>
            <w:tcW w:w="1809" w:type="pct"/>
          </w:tcPr>
          <w:p w:rsidR="00420CF4" w:rsidRPr="00E9116A" w:rsidRDefault="00420CF4" w:rsidP="00785079">
            <w:pPr>
              <w:pStyle w:val="PullOutBoxBodyText"/>
            </w:pPr>
            <w:r w:rsidRPr="00E9116A">
              <w:t>Party:</w:t>
            </w:r>
          </w:p>
        </w:tc>
        <w:tc>
          <w:tcPr>
            <w:tcW w:w="3191" w:type="pct"/>
          </w:tcPr>
          <w:p w:rsidR="00420CF4" w:rsidRPr="00E9116A" w:rsidRDefault="00420CF4" w:rsidP="00785079">
            <w:pPr>
              <w:pStyle w:val="PullOutBoxBodyText"/>
            </w:pPr>
            <w:r w:rsidRPr="00E9116A">
              <w:t>Australian Labor Party</w:t>
            </w:r>
          </w:p>
        </w:tc>
      </w:tr>
      <w:tr w:rsidR="00420CF4" w:rsidRPr="00B45F94" w:rsidTr="00967BCD">
        <w:tc>
          <w:tcPr>
            <w:tcW w:w="1809" w:type="pct"/>
          </w:tcPr>
          <w:p w:rsidR="00420CF4" w:rsidRPr="00E9116A" w:rsidRDefault="00420CF4" w:rsidP="00785079">
            <w:pPr>
              <w:pStyle w:val="PullOutBoxBodyText"/>
            </w:pPr>
            <w:r w:rsidRPr="00E9116A">
              <w:t>Expiry date for the costing:</w:t>
            </w:r>
          </w:p>
        </w:tc>
        <w:tc>
          <w:tcPr>
            <w:tcW w:w="3191" w:type="pct"/>
          </w:tcPr>
          <w:p w:rsidR="00420CF4" w:rsidRPr="00E9116A" w:rsidRDefault="00EC102A" w:rsidP="00785079">
            <w:pPr>
              <w:pStyle w:val="PullOutBoxBodyText"/>
            </w:pPr>
            <w:r w:rsidRPr="00E9116A">
              <w:t>Release of the next economic and fiscal update</w:t>
            </w:r>
          </w:p>
        </w:tc>
      </w:tr>
    </w:tbl>
    <w:p w:rsidR="00420CF4" w:rsidRDefault="00420CF4" w:rsidP="00420CF4">
      <w:pPr>
        <w:pStyle w:val="CostingsH7"/>
      </w:pPr>
      <w:r w:rsidRPr="00BF1EE6">
        <w:t>Costing overview</w:t>
      </w:r>
    </w:p>
    <w:p w:rsidR="00420CF4" w:rsidRDefault="00420CF4" w:rsidP="00420CF4">
      <w:pPr>
        <w:pStyle w:val="BodyText"/>
      </w:pPr>
      <w:r>
        <w:t xml:space="preserve">This proposal would be expected to decrease the fiscal and underlying cash balances by $37.7 million over the 2016-17 Budget forward estimates period.  This reflects an increase in administered expenses of $17.0 million and in departmental expenses of $20.7 million.  A breakdown of the financial impact of this proposal over the 2016-17 Budget forward estimates period is at </w:t>
      </w:r>
      <w:r w:rsidRPr="002D1B55">
        <w:rPr>
          <w:u w:val="single"/>
        </w:rPr>
        <w:t>Attachment A</w:t>
      </w:r>
      <w:r>
        <w:t>.</w:t>
      </w:r>
    </w:p>
    <w:p w:rsidR="00420CF4" w:rsidRDefault="00420CF4" w:rsidP="00420CF4">
      <w:pPr>
        <w:pStyle w:val="BodyText"/>
      </w:pPr>
      <w:r>
        <w:t>This proposal would be expected to have an ongoing impact beyond the 2016-17 Budget forward estimates period.  From 2019-20 the annual cost of this proposal would decline by around $1.3 million each year on average until 2026-27 as monetary payments being made to redress liabilities under the Scheme decrease over time.</w:t>
      </w:r>
    </w:p>
    <w:p w:rsidR="00420CF4" w:rsidRPr="002D1B55" w:rsidRDefault="00420CF4" w:rsidP="00420CF4">
      <w:pPr>
        <w:pStyle w:val="BodyText"/>
      </w:pPr>
      <w:r>
        <w:t>This costing is considered to be of medium reliability as there is uncertainty around the expected unit costs, government and private splits of liability, and the timing of liabilities and payments.</w:t>
      </w:r>
    </w:p>
    <w:p w:rsidR="00420CF4" w:rsidRDefault="00420CF4" w:rsidP="00420CF4">
      <w:pPr>
        <w:pStyle w:val="Caption"/>
      </w:pPr>
      <w:r w:rsidRPr="00D264E1">
        <w:lastRenderedPageBreak/>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967BCD">
            <w:pPr>
              <w:pStyle w:val="TableHeading"/>
            </w:pPr>
            <w:r>
              <w:t>Impact on</w:t>
            </w:r>
            <w:r w:rsidR="00194A1D">
              <w:t xml:space="preserve"> ($m)</w:t>
            </w:r>
          </w:p>
        </w:tc>
        <w:tc>
          <w:tcPr>
            <w:tcW w:w="721" w:type="pct"/>
            <w:vAlign w:val="center"/>
          </w:tcPr>
          <w:p w:rsidR="00420CF4" w:rsidRPr="00FC1F1C" w:rsidRDefault="00420CF4" w:rsidP="00967BCD">
            <w:pPr>
              <w:pStyle w:val="TableHeadingRight"/>
            </w:pPr>
            <w:r>
              <w:t>2016–17</w:t>
            </w:r>
          </w:p>
        </w:tc>
        <w:tc>
          <w:tcPr>
            <w:tcW w:w="721" w:type="pct"/>
            <w:vAlign w:val="center"/>
          </w:tcPr>
          <w:p w:rsidR="00420CF4" w:rsidRPr="00FC1F1C" w:rsidRDefault="00420CF4" w:rsidP="00967BCD">
            <w:pPr>
              <w:pStyle w:val="TableHeadingRight"/>
            </w:pPr>
            <w:r>
              <w:t>2017–18</w:t>
            </w:r>
          </w:p>
        </w:tc>
        <w:tc>
          <w:tcPr>
            <w:tcW w:w="722" w:type="pct"/>
            <w:vAlign w:val="center"/>
          </w:tcPr>
          <w:p w:rsidR="00420CF4" w:rsidRPr="00FC1F1C" w:rsidRDefault="00420CF4" w:rsidP="00967BCD">
            <w:pPr>
              <w:pStyle w:val="TableHeadingRight"/>
            </w:pPr>
            <w:r>
              <w:t>2018–19</w:t>
            </w:r>
          </w:p>
        </w:tc>
        <w:tc>
          <w:tcPr>
            <w:tcW w:w="721" w:type="pct"/>
            <w:vAlign w:val="center"/>
          </w:tcPr>
          <w:p w:rsidR="00420CF4" w:rsidRPr="00FC1F1C" w:rsidRDefault="00420CF4" w:rsidP="00967BCD">
            <w:pPr>
              <w:pStyle w:val="TableHeadingRight"/>
            </w:pPr>
            <w:r>
              <w:t>2019–20</w:t>
            </w:r>
          </w:p>
        </w:tc>
        <w:tc>
          <w:tcPr>
            <w:tcW w:w="722" w:type="pct"/>
            <w:vAlign w:val="center"/>
          </w:tcPr>
          <w:p w:rsidR="00420CF4" w:rsidRDefault="00420CF4" w:rsidP="00967BCD">
            <w:pPr>
              <w:pStyle w:val="TableTextRight"/>
            </w:pPr>
            <w:r>
              <w:t>Total to 2019–20</w:t>
            </w:r>
          </w:p>
        </w:tc>
      </w:tr>
      <w:tr w:rsidR="00420CF4" w:rsidTr="00967BCD">
        <w:tc>
          <w:tcPr>
            <w:tcW w:w="1393" w:type="pct"/>
            <w:vAlign w:val="center"/>
          </w:tcPr>
          <w:p w:rsidR="00420CF4" w:rsidRDefault="00420CF4" w:rsidP="00967BCD">
            <w:pPr>
              <w:pStyle w:val="TableText"/>
            </w:pPr>
            <w:r>
              <w:t>Fiscal balance</w:t>
            </w:r>
          </w:p>
        </w:tc>
        <w:tc>
          <w:tcPr>
            <w:tcW w:w="721" w:type="pct"/>
            <w:vAlign w:val="center"/>
          </w:tcPr>
          <w:p w:rsidR="00420CF4" w:rsidRPr="00175F44" w:rsidRDefault="00420CF4" w:rsidP="00967BCD">
            <w:pPr>
              <w:pStyle w:val="TableTextRight"/>
            </w:pPr>
            <w:r w:rsidRPr="00175F44">
              <w:t>-10.0</w:t>
            </w:r>
          </w:p>
        </w:tc>
        <w:tc>
          <w:tcPr>
            <w:tcW w:w="721" w:type="pct"/>
            <w:vAlign w:val="center"/>
          </w:tcPr>
          <w:p w:rsidR="00420CF4" w:rsidRPr="00175F44" w:rsidRDefault="00420CF4" w:rsidP="00967BCD">
            <w:pPr>
              <w:pStyle w:val="TableTextRight"/>
            </w:pPr>
            <w:r w:rsidRPr="00175F44">
              <w:t>-12.3</w:t>
            </w:r>
          </w:p>
        </w:tc>
        <w:tc>
          <w:tcPr>
            <w:tcW w:w="722" w:type="pct"/>
            <w:vAlign w:val="center"/>
          </w:tcPr>
          <w:p w:rsidR="00420CF4" w:rsidRPr="00175F44" w:rsidRDefault="00420CF4" w:rsidP="00967BCD">
            <w:pPr>
              <w:pStyle w:val="TableTextRight"/>
            </w:pPr>
            <w:r w:rsidRPr="00175F44">
              <w:t>-6.8</w:t>
            </w:r>
          </w:p>
        </w:tc>
        <w:tc>
          <w:tcPr>
            <w:tcW w:w="721" w:type="pct"/>
            <w:vAlign w:val="center"/>
          </w:tcPr>
          <w:p w:rsidR="00420CF4" w:rsidRPr="00175F44" w:rsidRDefault="00420CF4" w:rsidP="00967BCD">
            <w:pPr>
              <w:pStyle w:val="TableTextRight"/>
            </w:pPr>
            <w:r w:rsidRPr="00175F44">
              <w:t>-8.6</w:t>
            </w:r>
          </w:p>
        </w:tc>
        <w:tc>
          <w:tcPr>
            <w:tcW w:w="722" w:type="pct"/>
            <w:vAlign w:val="center"/>
          </w:tcPr>
          <w:p w:rsidR="00420CF4" w:rsidRPr="002D1B55" w:rsidRDefault="00420CF4" w:rsidP="00967BCD">
            <w:pPr>
              <w:pStyle w:val="TableTextRight"/>
              <w:rPr>
                <w:b/>
              </w:rPr>
            </w:pPr>
            <w:r w:rsidRPr="002D1B55">
              <w:rPr>
                <w:b/>
              </w:rPr>
              <w:t>-37.7</w:t>
            </w:r>
          </w:p>
        </w:tc>
      </w:tr>
      <w:tr w:rsidR="00420CF4" w:rsidTr="00967BCD">
        <w:tc>
          <w:tcPr>
            <w:tcW w:w="1393" w:type="pct"/>
            <w:vAlign w:val="center"/>
          </w:tcPr>
          <w:p w:rsidR="00420CF4" w:rsidRDefault="00420CF4" w:rsidP="00967BCD">
            <w:pPr>
              <w:pStyle w:val="TableText"/>
            </w:pPr>
            <w:r>
              <w:t>Underlying cash balance</w:t>
            </w:r>
          </w:p>
        </w:tc>
        <w:tc>
          <w:tcPr>
            <w:tcW w:w="721" w:type="pct"/>
            <w:vAlign w:val="center"/>
          </w:tcPr>
          <w:p w:rsidR="00420CF4" w:rsidRPr="00175F44" w:rsidRDefault="00420CF4" w:rsidP="00967BCD">
            <w:pPr>
              <w:pStyle w:val="TableTextRight"/>
            </w:pPr>
            <w:r w:rsidRPr="00175F44">
              <w:t>-10.0</w:t>
            </w:r>
          </w:p>
        </w:tc>
        <w:tc>
          <w:tcPr>
            <w:tcW w:w="721" w:type="pct"/>
            <w:vAlign w:val="center"/>
          </w:tcPr>
          <w:p w:rsidR="00420CF4" w:rsidRPr="00175F44" w:rsidRDefault="00420CF4" w:rsidP="00967BCD">
            <w:pPr>
              <w:pStyle w:val="TableTextRight"/>
            </w:pPr>
            <w:r w:rsidRPr="00175F44">
              <w:t>-12.3</w:t>
            </w:r>
          </w:p>
        </w:tc>
        <w:tc>
          <w:tcPr>
            <w:tcW w:w="722" w:type="pct"/>
            <w:vAlign w:val="center"/>
          </w:tcPr>
          <w:p w:rsidR="00420CF4" w:rsidRPr="00175F44" w:rsidRDefault="00420CF4" w:rsidP="00967BCD">
            <w:pPr>
              <w:pStyle w:val="TableTextRight"/>
            </w:pPr>
            <w:r w:rsidRPr="00175F44">
              <w:t>-6.8</w:t>
            </w:r>
          </w:p>
        </w:tc>
        <w:tc>
          <w:tcPr>
            <w:tcW w:w="721" w:type="pct"/>
            <w:vAlign w:val="center"/>
          </w:tcPr>
          <w:p w:rsidR="00420CF4" w:rsidRPr="00175F44" w:rsidRDefault="00420CF4" w:rsidP="00967BCD">
            <w:pPr>
              <w:pStyle w:val="TableTextRight"/>
            </w:pPr>
            <w:r w:rsidRPr="00175F44">
              <w:t>-8.6</w:t>
            </w:r>
          </w:p>
        </w:tc>
        <w:tc>
          <w:tcPr>
            <w:tcW w:w="722" w:type="pct"/>
            <w:vAlign w:val="center"/>
          </w:tcPr>
          <w:p w:rsidR="00420CF4" w:rsidRPr="002D1B55" w:rsidRDefault="00420CF4" w:rsidP="00967BCD">
            <w:pPr>
              <w:pStyle w:val="TableTextRight"/>
              <w:rPr>
                <w:b/>
              </w:rPr>
            </w:pPr>
            <w:r w:rsidRPr="002D1B55">
              <w:rPr>
                <w:b/>
              </w:rPr>
              <w:t>-37.7</w:t>
            </w:r>
          </w:p>
        </w:tc>
      </w:tr>
    </w:tbl>
    <w:p w:rsidR="00420CF4" w:rsidRDefault="00420CF4" w:rsidP="003768DC">
      <w:pPr>
        <w:pStyle w:val="Footnotes"/>
        <w:numPr>
          <w:ilvl w:val="0"/>
          <w:numId w:val="15"/>
        </w:numPr>
        <w:ind w:left="284" w:hanging="284"/>
      </w:pPr>
      <w:r>
        <w:t xml:space="preserve">A positive </w:t>
      </w:r>
      <w:r w:rsidRPr="00FC1F1C">
        <w:t>number indicates an increase in the relevant budget balance, a negative number a decrease.</w:t>
      </w:r>
    </w:p>
    <w:p w:rsidR="001F5E15" w:rsidRDefault="001F5E15" w:rsidP="003768DC">
      <w:pPr>
        <w:pStyle w:val="Footnotes"/>
        <w:numPr>
          <w:ilvl w:val="0"/>
          <w:numId w:val="15"/>
        </w:numPr>
        <w:ind w:left="284" w:hanging="284"/>
      </w:pPr>
      <w:r>
        <w:t>Figures may not sum to totals due to rounding</w:t>
      </w:r>
    </w:p>
    <w:p w:rsidR="00420CF4" w:rsidRDefault="00420CF4" w:rsidP="00420CF4">
      <w:pPr>
        <w:pStyle w:val="CostingsH7"/>
      </w:pPr>
      <w:r>
        <w:t>Key assumptions</w:t>
      </w:r>
    </w:p>
    <w:p w:rsidR="00420CF4" w:rsidRDefault="00420CF4" w:rsidP="00420CF4">
      <w:pPr>
        <w:pStyle w:val="BodyText"/>
      </w:pPr>
      <w:r w:rsidRPr="002D1B55">
        <w:t xml:space="preserve">In costing this proposal, assumptions used to cost the Scheme in the </w:t>
      </w:r>
      <w:r w:rsidRPr="002D1B55">
        <w:rPr>
          <w:i/>
        </w:rPr>
        <w:t>Redress and Civil Litigation Report</w:t>
      </w:r>
      <w:r w:rsidRPr="002D1B55">
        <w:t xml:space="preserve"> (2015) published by the Royal Commission into Institutional Responses to Child Sexual Abuse were adopted, specifically:</w:t>
      </w:r>
    </w:p>
    <w:p w:rsidR="00420CF4" w:rsidRDefault="00420CF4" w:rsidP="00420CF4">
      <w:pPr>
        <w:pStyle w:val="ListBullet"/>
        <w:tabs>
          <w:tab w:val="clear" w:pos="454"/>
        </w:tabs>
      </w:pPr>
      <w:r>
        <w:t>expected unit costs</w:t>
      </w:r>
    </w:p>
    <w:p w:rsidR="00420CF4" w:rsidRDefault="00420CF4" w:rsidP="00420CF4">
      <w:pPr>
        <w:pStyle w:val="ListBullet"/>
        <w:tabs>
          <w:tab w:val="clear" w:pos="454"/>
        </w:tabs>
      </w:pPr>
      <w:r>
        <w:t>Commonwealth Government, state government and  non-government institution splits of liability</w:t>
      </w:r>
    </w:p>
    <w:p w:rsidR="0073534F" w:rsidRDefault="00420CF4" w:rsidP="0073534F">
      <w:pPr>
        <w:pStyle w:val="ListBullet"/>
        <w:tabs>
          <w:tab w:val="clear" w:pos="454"/>
        </w:tabs>
      </w:pPr>
      <w:r>
        <w:t>timing of liabilities and payments.</w:t>
      </w:r>
    </w:p>
    <w:p w:rsidR="00420CF4" w:rsidRDefault="00420CF4" w:rsidP="0073534F">
      <w:pPr>
        <w:pStyle w:val="ListBullet"/>
        <w:numPr>
          <w:ilvl w:val="0"/>
          <w:numId w:val="0"/>
        </w:numPr>
      </w:pPr>
      <w:r>
        <w:t>These assumptions were informed by redress schemes in Ireland, Western Australia, Queensland and Tasmania.</w:t>
      </w:r>
    </w:p>
    <w:p w:rsidR="00420CF4" w:rsidRDefault="00420CF4" w:rsidP="0073534F">
      <w:pPr>
        <w:pStyle w:val="ListBullet"/>
        <w:numPr>
          <w:ilvl w:val="0"/>
          <w:numId w:val="0"/>
        </w:numPr>
      </w:pPr>
      <w:r>
        <w:t>It was further assumed that:</w:t>
      </w:r>
    </w:p>
    <w:p w:rsidR="00420CF4" w:rsidRDefault="00420CF4" w:rsidP="00420CF4">
      <w:pPr>
        <w:pStyle w:val="ListBullet"/>
        <w:tabs>
          <w:tab w:val="clear" w:pos="454"/>
        </w:tabs>
      </w:pPr>
      <w:r>
        <w:t xml:space="preserve">state governments and non-government institutions agree to meet their liabilities under the Scheme </w:t>
      </w:r>
    </w:p>
    <w:p w:rsidR="00420CF4" w:rsidRDefault="00420CF4" w:rsidP="00420CF4">
      <w:pPr>
        <w:pStyle w:val="ListBullet"/>
        <w:tabs>
          <w:tab w:val="clear" w:pos="454"/>
        </w:tabs>
      </w:pPr>
      <w:r>
        <w:t>all transactions, both expenditure and related revenue, occur in the same financial year, therefore making the fiscal and underlying cash balance impacts equal</w:t>
      </w:r>
    </w:p>
    <w:p w:rsidR="00420CF4" w:rsidRPr="002D1B55" w:rsidRDefault="00420CF4" w:rsidP="00420CF4">
      <w:pPr>
        <w:pStyle w:val="ListBullet"/>
        <w:tabs>
          <w:tab w:val="clear" w:pos="454"/>
        </w:tabs>
      </w:pPr>
      <w:r>
        <w:t>there would be no fraudulent claims under the Scheme.</w:t>
      </w:r>
    </w:p>
    <w:p w:rsidR="00420CF4" w:rsidRDefault="00420CF4" w:rsidP="00420CF4">
      <w:pPr>
        <w:pStyle w:val="CostingsH7"/>
      </w:pPr>
      <w:r>
        <w:t>Methodology</w:t>
      </w:r>
    </w:p>
    <w:p w:rsidR="00420CF4" w:rsidRPr="002D1B55" w:rsidRDefault="00420CF4" w:rsidP="00420CF4">
      <w:pPr>
        <w:pStyle w:val="BodyText"/>
      </w:pPr>
      <w:r w:rsidRPr="002D1B55">
        <w:t>The net impact on the Commonwealth Government budget reflects the difference between the revenue from state governments and non-Government institutions and the expenses associated with distributing all monetary payments, funding all counselling services and meeting the administration costs of the Scheme.</w:t>
      </w:r>
    </w:p>
    <w:p w:rsidR="00420CF4" w:rsidRDefault="00420CF4" w:rsidP="00420CF4">
      <w:pPr>
        <w:pStyle w:val="CostingsH7"/>
      </w:pPr>
      <w:r>
        <w:lastRenderedPageBreak/>
        <w:t>Data sources</w:t>
      </w:r>
    </w:p>
    <w:p w:rsidR="00420CF4" w:rsidRPr="0073534F" w:rsidRDefault="00420CF4" w:rsidP="00F22007">
      <w:pPr>
        <w:pStyle w:val="BodyText"/>
        <w:keepNext/>
        <w:keepLines/>
      </w:pPr>
      <w:r w:rsidRPr="0073534F">
        <w:t xml:space="preserve">The Royal Commission into Institutional Responses to Child Sexual Abuse </w:t>
      </w:r>
      <w:r w:rsidR="00F22007" w:rsidRPr="0073534F">
        <w:t xml:space="preserve">2015, </w:t>
      </w:r>
      <w:r w:rsidR="00F22007" w:rsidRPr="0073534F">
        <w:rPr>
          <w:i/>
        </w:rPr>
        <w:t>National Redress Scheme Participant and Cost Estimates</w:t>
      </w:r>
      <w:r w:rsidR="0073534F" w:rsidRPr="0073534F">
        <w:t>.</w:t>
      </w:r>
    </w:p>
    <w:p w:rsidR="00180A1C" w:rsidRDefault="00966C29" w:rsidP="00966C29">
      <w:pPr>
        <w:pStyle w:val="BodyText"/>
      </w:pPr>
      <w:r w:rsidRPr="006914E8">
        <w:t xml:space="preserve">The Royal Commission into Institutional Responses to Child Sexual Abuse 2015, </w:t>
      </w:r>
      <w:r w:rsidRPr="00F22007">
        <w:rPr>
          <w:i/>
        </w:rPr>
        <w:t>Redress and Civil Litigation Report</w:t>
      </w:r>
      <w:r w:rsidRPr="006914E8">
        <w:t xml:space="preserve">, </w:t>
      </w:r>
      <w:r w:rsidR="006914E8" w:rsidRPr="006914E8">
        <w:t xml:space="preserve">Sydney, available at: </w:t>
      </w:r>
      <w:hyperlink r:id="rId16" w:history="1">
        <w:r w:rsidR="004B154D" w:rsidRPr="006F01AD">
          <w:rPr>
            <w:rStyle w:val="Hyperlink"/>
          </w:rPr>
          <w:t>http://www.childabuseroyalcommission.gov.au/about-us/our-reports</w:t>
        </w:r>
      </w:hyperlink>
      <w:r w:rsidR="006914E8" w:rsidRPr="006914E8">
        <w:t>.</w:t>
      </w:r>
    </w:p>
    <w:p w:rsidR="00180A1C" w:rsidRDefault="00180A1C" w:rsidP="00966C29">
      <w:pPr>
        <w:pStyle w:val="BodyText"/>
      </w:pPr>
    </w:p>
    <w:p w:rsidR="00180A1C" w:rsidRDefault="00180A1C" w:rsidP="00966C29">
      <w:pPr>
        <w:pStyle w:val="BodyText"/>
        <w:sectPr w:rsidR="00180A1C"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B02B5B">
      <w:pPr>
        <w:pStyle w:val="Heading6"/>
        <w:numPr>
          <w:ilvl w:val="0"/>
          <w:numId w:val="10"/>
        </w:numPr>
        <w:tabs>
          <w:tab w:val="right" w:pos="1418"/>
          <w:tab w:val="right" w:pos="1701"/>
          <w:tab w:val="right" w:pos="1985"/>
        </w:tabs>
        <w:spacing w:before="480"/>
      </w:pPr>
      <w:r>
        <w:lastRenderedPageBreak/>
        <w:t>Attachment A: National Redress Scheme—financial implications</w:t>
      </w:r>
    </w:p>
    <w:p w:rsidR="00420CF4" w:rsidRDefault="00420CF4" w:rsidP="00B02B5B">
      <w:pPr>
        <w:pStyle w:val="Caption"/>
        <w:keepLines/>
      </w:pPr>
      <w:r w:rsidRPr="002B36F1">
        <w:t xml:space="preserve">Table </w:t>
      </w:r>
      <w:r>
        <w:t>A1</w:t>
      </w:r>
      <w:r w:rsidRPr="002B36F1">
        <w:t xml:space="preserve">: </w:t>
      </w:r>
      <w:r>
        <w:t xml:space="preserve">National Redress Scheme—Fiscal </w:t>
      </w:r>
      <w:r w:rsidR="002E2175">
        <w:t xml:space="preserve">and underlying cash </w:t>
      </w:r>
      <w:r>
        <w:t>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RPr="002D1B55" w:rsidTr="00967BCD">
        <w:trPr>
          <w:cnfStyle w:val="100000000000" w:firstRow="1" w:lastRow="0" w:firstColumn="0" w:lastColumn="0" w:oddVBand="0" w:evenVBand="0" w:oddHBand="0" w:evenHBand="0" w:firstRowFirstColumn="0" w:firstRowLastColumn="0" w:lastRowFirstColumn="0" w:lastRowLastColumn="0"/>
        </w:trPr>
        <w:tc>
          <w:tcPr>
            <w:tcW w:w="1554" w:type="pct"/>
          </w:tcPr>
          <w:p w:rsidR="00420CF4" w:rsidRPr="007C2713" w:rsidRDefault="00420CF4" w:rsidP="00B02B5B">
            <w:pPr>
              <w:pStyle w:val="TableText"/>
              <w:keepNext/>
              <w:keepLines/>
              <w:rPr>
                <w:b w:val="0"/>
              </w:rPr>
            </w:pPr>
            <w:r>
              <w:t>($)</w:t>
            </w:r>
          </w:p>
        </w:tc>
        <w:tc>
          <w:tcPr>
            <w:tcW w:w="689" w:type="pct"/>
          </w:tcPr>
          <w:p w:rsidR="00420CF4" w:rsidRDefault="00420CF4" w:rsidP="00B02B5B">
            <w:pPr>
              <w:pStyle w:val="TableTextRight"/>
              <w:keepNext/>
              <w:keepLines/>
              <w:rPr>
                <w:b w:val="0"/>
              </w:rPr>
            </w:pPr>
            <w:r>
              <w:t>2016–17</w:t>
            </w:r>
          </w:p>
        </w:tc>
        <w:tc>
          <w:tcPr>
            <w:tcW w:w="689" w:type="pct"/>
          </w:tcPr>
          <w:p w:rsidR="00420CF4" w:rsidRDefault="00420CF4" w:rsidP="00B02B5B">
            <w:pPr>
              <w:pStyle w:val="TableTextRight"/>
              <w:keepNext/>
              <w:keepLines/>
              <w:rPr>
                <w:b w:val="0"/>
              </w:rPr>
            </w:pPr>
            <w:r>
              <w:t>2017–18</w:t>
            </w:r>
          </w:p>
        </w:tc>
        <w:tc>
          <w:tcPr>
            <w:tcW w:w="689" w:type="pct"/>
          </w:tcPr>
          <w:p w:rsidR="00420CF4" w:rsidRDefault="00420CF4" w:rsidP="00B02B5B">
            <w:pPr>
              <w:pStyle w:val="TableTextRight"/>
              <w:keepNext/>
              <w:keepLines/>
              <w:rPr>
                <w:b w:val="0"/>
              </w:rPr>
            </w:pPr>
            <w:r>
              <w:t>2018–19</w:t>
            </w:r>
          </w:p>
        </w:tc>
        <w:tc>
          <w:tcPr>
            <w:tcW w:w="689" w:type="pct"/>
          </w:tcPr>
          <w:p w:rsidR="00420CF4" w:rsidRDefault="00420CF4" w:rsidP="00B02B5B">
            <w:pPr>
              <w:pStyle w:val="TableTextRight"/>
              <w:keepNext/>
              <w:keepLines/>
              <w:rPr>
                <w:b w:val="0"/>
              </w:rPr>
            </w:pPr>
            <w:r>
              <w:t>2019–20</w:t>
            </w:r>
          </w:p>
        </w:tc>
        <w:tc>
          <w:tcPr>
            <w:tcW w:w="690" w:type="pct"/>
          </w:tcPr>
          <w:p w:rsidR="00420CF4" w:rsidRPr="002D1B55" w:rsidRDefault="00420CF4" w:rsidP="00B02B5B">
            <w:pPr>
              <w:pStyle w:val="TableTextRight"/>
              <w:keepNext/>
              <w:keepLines/>
            </w:pPr>
            <w:r w:rsidRPr="002D1B55">
              <w:t>Total</w:t>
            </w:r>
          </w:p>
        </w:tc>
      </w:tr>
      <w:tr w:rsidR="00420CF4" w:rsidRPr="002D1B55" w:rsidTr="00967BCD">
        <w:tc>
          <w:tcPr>
            <w:tcW w:w="5000" w:type="pct"/>
            <w:gridSpan w:val="6"/>
            <w:shd w:val="clear" w:color="auto" w:fill="E9ECF3" w:themeFill="accent2" w:themeFillTint="33"/>
            <w:vAlign w:val="center"/>
          </w:tcPr>
          <w:p w:rsidR="00420CF4" w:rsidRPr="002D1B55" w:rsidRDefault="00420CF4" w:rsidP="00B02B5B">
            <w:pPr>
              <w:pStyle w:val="TableText"/>
              <w:keepNext/>
              <w:keepLines/>
              <w:rPr>
                <w:b/>
              </w:rPr>
            </w:pPr>
            <w:r w:rsidRPr="002D1B55">
              <w:rPr>
                <w:b/>
              </w:rPr>
              <w:t>Impact on fiscal and underlying cash balances</w:t>
            </w:r>
          </w:p>
        </w:tc>
      </w:tr>
      <w:tr w:rsidR="00420CF4" w:rsidRPr="002D1B55" w:rsidTr="00967BCD">
        <w:tc>
          <w:tcPr>
            <w:tcW w:w="5000" w:type="pct"/>
            <w:gridSpan w:val="6"/>
            <w:shd w:val="clear" w:color="auto" w:fill="E9ECF3" w:themeFill="accent2" w:themeFillTint="33"/>
            <w:vAlign w:val="center"/>
          </w:tcPr>
          <w:p w:rsidR="00420CF4" w:rsidRPr="002D1B55" w:rsidRDefault="00420CF4" w:rsidP="00B02B5B">
            <w:pPr>
              <w:pStyle w:val="TableText"/>
              <w:keepNext/>
              <w:keepLines/>
              <w:rPr>
                <w:b/>
              </w:rPr>
            </w:pPr>
            <w:r w:rsidRPr="002D1B55">
              <w:rPr>
                <w:b/>
              </w:rPr>
              <w:t>Administered</w:t>
            </w:r>
          </w:p>
        </w:tc>
      </w:tr>
      <w:tr w:rsidR="00420CF4" w:rsidRPr="002D1B55" w:rsidTr="00967BCD">
        <w:tc>
          <w:tcPr>
            <w:tcW w:w="1554" w:type="pct"/>
            <w:vAlign w:val="center"/>
          </w:tcPr>
          <w:p w:rsidR="00420CF4" w:rsidRPr="00FC2CD5" w:rsidRDefault="00420CF4" w:rsidP="00B02B5B">
            <w:pPr>
              <w:pStyle w:val="TableText"/>
              <w:keepNext/>
              <w:keepLines/>
            </w:pPr>
            <w:r w:rsidRPr="00FC2CD5">
              <w:t>Monetary payments</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-2.1</w:t>
            </w:r>
          </w:p>
        </w:tc>
        <w:tc>
          <w:tcPr>
            <w:tcW w:w="689" w:type="pct"/>
            <w:vAlign w:val="center"/>
          </w:tcPr>
          <w:p w:rsidR="00420CF4" w:rsidRPr="002D1B55" w:rsidRDefault="00420CF4" w:rsidP="00B02B5B">
            <w:pPr>
              <w:pStyle w:val="TableTextRight"/>
              <w:keepNext/>
              <w:keepLines/>
              <w:rPr>
                <w:i/>
              </w:rPr>
            </w:pPr>
            <w:r w:rsidRPr="002D1B55">
              <w:rPr>
                <w:i/>
              </w:rPr>
              <w:t>-5.9</w:t>
            </w:r>
          </w:p>
        </w:tc>
        <w:tc>
          <w:tcPr>
            <w:tcW w:w="689" w:type="pct"/>
            <w:vAlign w:val="center"/>
          </w:tcPr>
          <w:p w:rsidR="00420CF4" w:rsidRPr="002D1B55" w:rsidRDefault="00420CF4" w:rsidP="00B02B5B">
            <w:pPr>
              <w:pStyle w:val="TableTextRight"/>
              <w:keepNext/>
              <w:keepLines/>
              <w:rPr>
                <w:i/>
              </w:rPr>
            </w:pPr>
            <w:r w:rsidRPr="002D1B55">
              <w:rPr>
                <w:i/>
              </w:rPr>
              <w:t>-7.4</w:t>
            </w:r>
          </w:p>
        </w:tc>
        <w:tc>
          <w:tcPr>
            <w:tcW w:w="690" w:type="pct"/>
            <w:vAlign w:val="center"/>
          </w:tcPr>
          <w:p w:rsidR="00420CF4" w:rsidRPr="002D1B55" w:rsidRDefault="00420CF4" w:rsidP="00B02B5B">
            <w:pPr>
              <w:pStyle w:val="TableTextRight"/>
              <w:keepNext/>
              <w:keepLines/>
              <w:rPr>
                <w:b/>
                <w:i/>
              </w:rPr>
            </w:pPr>
            <w:r w:rsidRPr="002D1B55">
              <w:rPr>
                <w:b/>
                <w:i/>
              </w:rPr>
              <w:t>-15.4</w:t>
            </w:r>
          </w:p>
        </w:tc>
      </w:tr>
      <w:tr w:rsidR="00420CF4" w:rsidRPr="002D1B55" w:rsidTr="00967BCD">
        <w:tc>
          <w:tcPr>
            <w:tcW w:w="1554" w:type="pct"/>
            <w:vAlign w:val="center"/>
          </w:tcPr>
          <w:p w:rsidR="00420CF4" w:rsidRPr="00FC2CD5" w:rsidRDefault="00420CF4" w:rsidP="00B02B5B">
            <w:pPr>
              <w:pStyle w:val="TableText"/>
              <w:keepNext/>
              <w:keepLines/>
            </w:pPr>
            <w:r w:rsidRPr="00FC2CD5">
              <w:t>Counselling services</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-0.2</w:t>
            </w:r>
          </w:p>
        </w:tc>
        <w:tc>
          <w:tcPr>
            <w:tcW w:w="689" w:type="pct"/>
            <w:vAlign w:val="center"/>
          </w:tcPr>
          <w:p w:rsidR="00420CF4" w:rsidRPr="002D1B55" w:rsidRDefault="00420CF4" w:rsidP="00B02B5B">
            <w:pPr>
              <w:pStyle w:val="TableTextRight"/>
              <w:keepNext/>
              <w:keepLines/>
              <w:rPr>
                <w:i/>
              </w:rPr>
            </w:pPr>
            <w:r w:rsidRPr="002D1B55">
              <w:rPr>
                <w:i/>
              </w:rPr>
              <w:t>-0.6</w:t>
            </w:r>
          </w:p>
        </w:tc>
        <w:tc>
          <w:tcPr>
            <w:tcW w:w="689" w:type="pct"/>
            <w:vAlign w:val="center"/>
          </w:tcPr>
          <w:p w:rsidR="00420CF4" w:rsidRPr="002D1B55" w:rsidRDefault="00420CF4" w:rsidP="00B02B5B">
            <w:pPr>
              <w:pStyle w:val="TableTextRight"/>
              <w:keepNext/>
              <w:keepLines/>
              <w:rPr>
                <w:i/>
              </w:rPr>
            </w:pPr>
            <w:r w:rsidRPr="002D1B55">
              <w:rPr>
                <w:i/>
              </w:rPr>
              <w:t>-0.8</w:t>
            </w:r>
          </w:p>
        </w:tc>
        <w:tc>
          <w:tcPr>
            <w:tcW w:w="690" w:type="pct"/>
            <w:vAlign w:val="center"/>
          </w:tcPr>
          <w:p w:rsidR="00420CF4" w:rsidRPr="002D1B55" w:rsidRDefault="00420CF4" w:rsidP="00B02B5B">
            <w:pPr>
              <w:pStyle w:val="TableTextRight"/>
              <w:keepNext/>
              <w:keepLines/>
              <w:rPr>
                <w:b/>
                <w:i/>
              </w:rPr>
            </w:pPr>
            <w:r w:rsidRPr="002D1B55">
              <w:rPr>
                <w:b/>
                <w:i/>
              </w:rPr>
              <w:t>-1.6</w:t>
            </w:r>
          </w:p>
        </w:tc>
      </w:tr>
      <w:tr w:rsidR="00420CF4" w:rsidRPr="002D1B55" w:rsidTr="00967BCD">
        <w:tc>
          <w:tcPr>
            <w:tcW w:w="1554" w:type="pct"/>
            <w:shd w:val="clear" w:color="auto" w:fill="E9ECF3" w:themeFill="accent2" w:themeFillTint="33"/>
            <w:vAlign w:val="center"/>
          </w:tcPr>
          <w:p w:rsidR="00420CF4" w:rsidRPr="002D1B55" w:rsidRDefault="00420CF4" w:rsidP="00B02B5B">
            <w:pPr>
              <w:pStyle w:val="TableText"/>
              <w:keepNext/>
              <w:keepLines/>
              <w:rPr>
                <w:b/>
              </w:rPr>
            </w:pPr>
            <w:r w:rsidRPr="002D1B55">
              <w:rPr>
                <w:b/>
              </w:rPr>
              <w:t>Total – administered</w:t>
            </w:r>
          </w:p>
        </w:tc>
        <w:tc>
          <w:tcPr>
            <w:tcW w:w="689" w:type="pct"/>
            <w:shd w:val="clear" w:color="auto" w:fill="E9ECF3" w:themeFill="accent2" w:themeFillTint="33"/>
            <w:vAlign w:val="center"/>
          </w:tcPr>
          <w:p w:rsidR="00420CF4" w:rsidRPr="002D1B55" w:rsidRDefault="00420CF4" w:rsidP="00B02B5B">
            <w:pPr>
              <w:pStyle w:val="TableTextRight"/>
              <w:keepNext/>
              <w:keepLines/>
              <w:rPr>
                <w:b/>
              </w:rPr>
            </w:pPr>
            <w:r w:rsidRPr="002D1B55">
              <w:rPr>
                <w:b/>
              </w:rPr>
              <w:t>-</w:t>
            </w:r>
          </w:p>
        </w:tc>
        <w:tc>
          <w:tcPr>
            <w:tcW w:w="689" w:type="pct"/>
            <w:shd w:val="clear" w:color="auto" w:fill="E9ECF3" w:themeFill="accent2" w:themeFillTint="33"/>
            <w:vAlign w:val="center"/>
          </w:tcPr>
          <w:p w:rsidR="00420CF4" w:rsidRPr="002D1B55" w:rsidRDefault="00420CF4" w:rsidP="00B02B5B">
            <w:pPr>
              <w:pStyle w:val="TableTextRight"/>
              <w:keepNext/>
              <w:keepLines/>
              <w:rPr>
                <w:b/>
              </w:rPr>
            </w:pPr>
            <w:r w:rsidRPr="002D1B55">
              <w:rPr>
                <w:b/>
              </w:rPr>
              <w:t>-2.4</w:t>
            </w:r>
          </w:p>
        </w:tc>
        <w:tc>
          <w:tcPr>
            <w:tcW w:w="689" w:type="pct"/>
            <w:shd w:val="clear" w:color="auto" w:fill="E9ECF3" w:themeFill="accent2" w:themeFillTint="33"/>
            <w:vAlign w:val="center"/>
          </w:tcPr>
          <w:p w:rsidR="00420CF4" w:rsidRPr="002D1B55" w:rsidRDefault="00420CF4" w:rsidP="00B02B5B">
            <w:pPr>
              <w:pStyle w:val="TableTextRight"/>
              <w:keepNext/>
              <w:keepLines/>
              <w:rPr>
                <w:b/>
              </w:rPr>
            </w:pPr>
            <w:r w:rsidRPr="002D1B55">
              <w:rPr>
                <w:b/>
              </w:rPr>
              <w:t>-6.5</w:t>
            </w:r>
          </w:p>
        </w:tc>
        <w:tc>
          <w:tcPr>
            <w:tcW w:w="689" w:type="pct"/>
            <w:shd w:val="clear" w:color="auto" w:fill="E9ECF3" w:themeFill="accent2" w:themeFillTint="33"/>
            <w:vAlign w:val="center"/>
          </w:tcPr>
          <w:p w:rsidR="00420CF4" w:rsidRPr="002D1B55" w:rsidRDefault="00420CF4" w:rsidP="00B02B5B">
            <w:pPr>
              <w:pStyle w:val="TableTextRight"/>
              <w:keepNext/>
              <w:keepLines/>
              <w:rPr>
                <w:b/>
              </w:rPr>
            </w:pPr>
            <w:r w:rsidRPr="002D1B55">
              <w:rPr>
                <w:b/>
              </w:rPr>
              <w:t>-8.2</w:t>
            </w:r>
          </w:p>
        </w:tc>
        <w:tc>
          <w:tcPr>
            <w:tcW w:w="690" w:type="pct"/>
            <w:shd w:val="clear" w:color="auto" w:fill="E9ECF3" w:themeFill="accent2" w:themeFillTint="33"/>
            <w:vAlign w:val="center"/>
          </w:tcPr>
          <w:p w:rsidR="00420CF4" w:rsidRPr="002D1B55" w:rsidRDefault="00420CF4" w:rsidP="00B02B5B">
            <w:pPr>
              <w:pStyle w:val="TableTextRight"/>
              <w:keepNext/>
              <w:keepLines/>
              <w:rPr>
                <w:b/>
              </w:rPr>
            </w:pPr>
            <w:r w:rsidRPr="002D1B55">
              <w:rPr>
                <w:b/>
              </w:rPr>
              <w:t>-17.0</w:t>
            </w:r>
          </w:p>
        </w:tc>
      </w:tr>
      <w:tr w:rsidR="00420CF4" w:rsidRPr="002D1B55" w:rsidTr="00967BCD">
        <w:tc>
          <w:tcPr>
            <w:tcW w:w="5000" w:type="pct"/>
            <w:gridSpan w:val="6"/>
            <w:shd w:val="clear" w:color="auto" w:fill="E9ECF3" w:themeFill="accent2" w:themeFillTint="33"/>
            <w:vAlign w:val="center"/>
          </w:tcPr>
          <w:p w:rsidR="00420CF4" w:rsidRPr="002D1B55" w:rsidRDefault="00420CF4" w:rsidP="00B02B5B">
            <w:pPr>
              <w:pStyle w:val="TableText"/>
              <w:keepNext/>
              <w:keepLines/>
              <w:rPr>
                <w:b/>
              </w:rPr>
            </w:pPr>
            <w:r w:rsidRPr="002D1B55">
              <w:rPr>
                <w:b/>
              </w:rPr>
              <w:t>Departmental</w:t>
            </w:r>
          </w:p>
        </w:tc>
      </w:tr>
      <w:tr w:rsidR="00420CF4" w:rsidRPr="002D1B55" w:rsidTr="00967BCD">
        <w:tc>
          <w:tcPr>
            <w:tcW w:w="1554" w:type="pct"/>
            <w:vAlign w:val="center"/>
          </w:tcPr>
          <w:p w:rsidR="00420CF4" w:rsidRPr="00FC2CD5" w:rsidRDefault="00420CF4" w:rsidP="00B02B5B">
            <w:pPr>
              <w:pStyle w:val="TableText"/>
              <w:keepNext/>
              <w:keepLines/>
            </w:pPr>
            <w:r w:rsidRPr="00FC2CD5">
              <w:t>Scheme establishment</w:t>
            </w:r>
          </w:p>
        </w:tc>
        <w:tc>
          <w:tcPr>
            <w:tcW w:w="689" w:type="pct"/>
            <w:vAlign w:val="center"/>
          </w:tcPr>
          <w:p w:rsidR="00420CF4" w:rsidRPr="002D1B55" w:rsidRDefault="00420CF4" w:rsidP="00B02B5B">
            <w:pPr>
              <w:pStyle w:val="TableTextRight"/>
              <w:keepNext/>
              <w:keepLines/>
              <w:rPr>
                <w:i/>
              </w:rPr>
            </w:pPr>
            <w:r w:rsidRPr="002D1B55">
              <w:rPr>
                <w:i/>
              </w:rPr>
              <w:t>-10.0</w:t>
            </w:r>
          </w:p>
        </w:tc>
        <w:tc>
          <w:tcPr>
            <w:tcW w:w="689" w:type="pct"/>
            <w:vAlign w:val="center"/>
          </w:tcPr>
          <w:p w:rsidR="00420CF4" w:rsidRPr="002D1B55" w:rsidRDefault="00420CF4" w:rsidP="00B02B5B">
            <w:pPr>
              <w:pStyle w:val="TableTextRight"/>
              <w:keepNext/>
              <w:keepLines/>
              <w:rPr>
                <w:i/>
              </w:rPr>
            </w:pPr>
            <w:r w:rsidRPr="002D1B55">
              <w:rPr>
                <w:i/>
              </w:rPr>
              <w:t>-10.0</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w:t>
            </w:r>
          </w:p>
        </w:tc>
        <w:tc>
          <w:tcPr>
            <w:tcW w:w="690" w:type="pct"/>
            <w:vAlign w:val="center"/>
          </w:tcPr>
          <w:p w:rsidR="00420CF4" w:rsidRPr="002D1B55" w:rsidRDefault="00420CF4" w:rsidP="00B02B5B">
            <w:pPr>
              <w:pStyle w:val="TableTextRight"/>
              <w:keepNext/>
              <w:keepLines/>
              <w:rPr>
                <w:b/>
                <w:i/>
              </w:rPr>
            </w:pPr>
            <w:r w:rsidRPr="002D1B55">
              <w:rPr>
                <w:b/>
                <w:i/>
              </w:rPr>
              <w:t>-20.0</w:t>
            </w:r>
          </w:p>
        </w:tc>
      </w:tr>
      <w:tr w:rsidR="00420CF4" w:rsidRPr="002D1B55" w:rsidTr="00967BCD">
        <w:tc>
          <w:tcPr>
            <w:tcW w:w="1554" w:type="pct"/>
            <w:vAlign w:val="center"/>
          </w:tcPr>
          <w:p w:rsidR="00420CF4" w:rsidRPr="00FC2CD5" w:rsidRDefault="00420CF4" w:rsidP="00B02B5B">
            <w:pPr>
              <w:pStyle w:val="TableText"/>
              <w:keepNext/>
              <w:keepLines/>
            </w:pPr>
            <w:r w:rsidRPr="00FC2CD5">
              <w:t>Monetary payments</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-0.3</w:t>
            </w:r>
          </w:p>
        </w:tc>
        <w:tc>
          <w:tcPr>
            <w:tcW w:w="689" w:type="pct"/>
            <w:vAlign w:val="center"/>
          </w:tcPr>
          <w:p w:rsidR="00420CF4" w:rsidRPr="002D1B55" w:rsidRDefault="00420CF4" w:rsidP="00B02B5B">
            <w:pPr>
              <w:pStyle w:val="TableTextRight"/>
              <w:keepNext/>
              <w:keepLines/>
              <w:rPr>
                <w:i/>
              </w:rPr>
            </w:pPr>
            <w:r w:rsidRPr="002D1B55">
              <w:rPr>
                <w:i/>
              </w:rPr>
              <w:t>-0.3</w:t>
            </w:r>
          </w:p>
        </w:tc>
        <w:tc>
          <w:tcPr>
            <w:tcW w:w="690" w:type="pct"/>
            <w:vAlign w:val="center"/>
          </w:tcPr>
          <w:p w:rsidR="00420CF4" w:rsidRPr="002D1B55" w:rsidRDefault="00420CF4" w:rsidP="00B02B5B">
            <w:pPr>
              <w:pStyle w:val="TableTextRight"/>
              <w:keepNext/>
              <w:keepLines/>
              <w:rPr>
                <w:b/>
                <w:i/>
              </w:rPr>
            </w:pPr>
            <w:r w:rsidRPr="002D1B55">
              <w:rPr>
                <w:b/>
                <w:i/>
              </w:rPr>
              <w:t>-0.7</w:t>
            </w:r>
          </w:p>
        </w:tc>
      </w:tr>
      <w:tr w:rsidR="00420CF4" w:rsidRPr="002D1B55" w:rsidTr="00967BCD">
        <w:tc>
          <w:tcPr>
            <w:tcW w:w="1554" w:type="pct"/>
            <w:vAlign w:val="center"/>
          </w:tcPr>
          <w:p w:rsidR="00420CF4" w:rsidRPr="00FC2CD5" w:rsidRDefault="00420CF4" w:rsidP="00B02B5B">
            <w:pPr>
              <w:pStyle w:val="TableText"/>
              <w:keepNext/>
              <w:keepLines/>
            </w:pPr>
            <w:r w:rsidRPr="00FC2CD5">
              <w:t>Counselling services</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w:t>
            </w:r>
          </w:p>
        </w:tc>
        <w:tc>
          <w:tcPr>
            <w:tcW w:w="689" w:type="pct"/>
            <w:vAlign w:val="center"/>
          </w:tcPr>
          <w:p w:rsidR="00420CF4" w:rsidRPr="002D1B55" w:rsidRDefault="00420CF4" w:rsidP="00B02B5B">
            <w:pPr>
              <w:pStyle w:val="TableTextRight"/>
              <w:keepNext/>
              <w:keepLines/>
              <w:rPr>
                <w:i/>
              </w:rPr>
            </w:pPr>
            <w:r w:rsidRPr="002D1B55">
              <w:rPr>
                <w:i/>
              </w:rPr>
              <w:t>..</w:t>
            </w:r>
          </w:p>
        </w:tc>
        <w:tc>
          <w:tcPr>
            <w:tcW w:w="690" w:type="pct"/>
            <w:vAlign w:val="center"/>
          </w:tcPr>
          <w:p w:rsidR="00420CF4" w:rsidRPr="002D1B55" w:rsidRDefault="00420CF4" w:rsidP="00B02B5B">
            <w:pPr>
              <w:pStyle w:val="TableTextRight"/>
              <w:keepNext/>
              <w:keepLines/>
              <w:rPr>
                <w:b/>
                <w:i/>
              </w:rPr>
            </w:pPr>
            <w:r w:rsidRPr="002D1B55">
              <w:rPr>
                <w:b/>
                <w:i/>
              </w:rPr>
              <w:t>-0.1</w:t>
            </w:r>
          </w:p>
        </w:tc>
      </w:tr>
      <w:tr w:rsidR="00420CF4" w:rsidRPr="002D1B55" w:rsidTr="00967BCD">
        <w:tc>
          <w:tcPr>
            <w:tcW w:w="1554" w:type="pct"/>
            <w:shd w:val="clear" w:color="auto" w:fill="E9ECF3" w:themeFill="accent2" w:themeFillTint="33"/>
            <w:vAlign w:val="center"/>
          </w:tcPr>
          <w:p w:rsidR="00420CF4" w:rsidRPr="002D1B55" w:rsidRDefault="00420CF4" w:rsidP="00B02B5B">
            <w:pPr>
              <w:pStyle w:val="TableText"/>
              <w:keepNext/>
              <w:keepLines/>
              <w:rPr>
                <w:b/>
              </w:rPr>
            </w:pPr>
            <w:r w:rsidRPr="002D1B55">
              <w:rPr>
                <w:b/>
              </w:rPr>
              <w:t>Total – departmental</w:t>
            </w:r>
          </w:p>
        </w:tc>
        <w:tc>
          <w:tcPr>
            <w:tcW w:w="689" w:type="pct"/>
            <w:shd w:val="clear" w:color="auto" w:fill="E9ECF3" w:themeFill="accent2" w:themeFillTint="33"/>
            <w:vAlign w:val="center"/>
          </w:tcPr>
          <w:p w:rsidR="00420CF4" w:rsidRPr="002D1B55" w:rsidRDefault="00420CF4" w:rsidP="00B02B5B">
            <w:pPr>
              <w:pStyle w:val="TableTextRight"/>
              <w:keepNext/>
              <w:keepLines/>
              <w:rPr>
                <w:b/>
                <w:i/>
              </w:rPr>
            </w:pPr>
            <w:r w:rsidRPr="002D1B55">
              <w:rPr>
                <w:b/>
                <w:i/>
              </w:rPr>
              <w:t>-10.0</w:t>
            </w:r>
          </w:p>
        </w:tc>
        <w:tc>
          <w:tcPr>
            <w:tcW w:w="689" w:type="pct"/>
            <w:shd w:val="clear" w:color="auto" w:fill="E9ECF3" w:themeFill="accent2" w:themeFillTint="33"/>
            <w:vAlign w:val="center"/>
          </w:tcPr>
          <w:p w:rsidR="00420CF4" w:rsidRPr="002D1B55" w:rsidRDefault="00420CF4" w:rsidP="00B02B5B">
            <w:pPr>
              <w:pStyle w:val="TableTextRight"/>
              <w:keepNext/>
              <w:keepLines/>
              <w:rPr>
                <w:b/>
                <w:i/>
              </w:rPr>
            </w:pPr>
            <w:r w:rsidRPr="002D1B55">
              <w:rPr>
                <w:b/>
                <w:i/>
              </w:rPr>
              <w:t>-10.0</w:t>
            </w:r>
          </w:p>
        </w:tc>
        <w:tc>
          <w:tcPr>
            <w:tcW w:w="689" w:type="pct"/>
            <w:shd w:val="clear" w:color="auto" w:fill="E9ECF3" w:themeFill="accent2" w:themeFillTint="33"/>
            <w:vAlign w:val="center"/>
          </w:tcPr>
          <w:p w:rsidR="00420CF4" w:rsidRPr="002D1B55" w:rsidRDefault="00420CF4" w:rsidP="00B02B5B">
            <w:pPr>
              <w:pStyle w:val="TableTextRight"/>
              <w:keepNext/>
              <w:keepLines/>
              <w:rPr>
                <w:b/>
                <w:i/>
              </w:rPr>
            </w:pPr>
            <w:r w:rsidRPr="002D1B55">
              <w:rPr>
                <w:b/>
                <w:i/>
              </w:rPr>
              <w:t>-0.4</w:t>
            </w:r>
          </w:p>
        </w:tc>
        <w:tc>
          <w:tcPr>
            <w:tcW w:w="689" w:type="pct"/>
            <w:shd w:val="clear" w:color="auto" w:fill="E9ECF3" w:themeFill="accent2" w:themeFillTint="33"/>
            <w:vAlign w:val="center"/>
          </w:tcPr>
          <w:p w:rsidR="00420CF4" w:rsidRPr="002D1B55" w:rsidRDefault="00420CF4" w:rsidP="00B02B5B">
            <w:pPr>
              <w:pStyle w:val="TableTextRight"/>
              <w:keepNext/>
              <w:keepLines/>
              <w:rPr>
                <w:b/>
                <w:i/>
              </w:rPr>
            </w:pPr>
            <w:r w:rsidRPr="002D1B55">
              <w:rPr>
                <w:b/>
                <w:i/>
              </w:rPr>
              <w:t>-0.4</w:t>
            </w:r>
          </w:p>
        </w:tc>
        <w:tc>
          <w:tcPr>
            <w:tcW w:w="690" w:type="pct"/>
            <w:shd w:val="clear" w:color="auto" w:fill="E9ECF3" w:themeFill="accent2" w:themeFillTint="33"/>
            <w:vAlign w:val="center"/>
          </w:tcPr>
          <w:p w:rsidR="00420CF4" w:rsidRPr="002D1B55" w:rsidRDefault="00420CF4" w:rsidP="00B02B5B">
            <w:pPr>
              <w:pStyle w:val="TableTextRight"/>
              <w:keepNext/>
              <w:keepLines/>
              <w:rPr>
                <w:b/>
                <w:i/>
              </w:rPr>
            </w:pPr>
            <w:r w:rsidRPr="002D1B55">
              <w:rPr>
                <w:b/>
                <w:i/>
              </w:rPr>
              <w:t>-20.7</w:t>
            </w:r>
          </w:p>
        </w:tc>
      </w:tr>
      <w:tr w:rsidR="00420CF4" w:rsidRPr="002D1B55" w:rsidTr="00967BCD">
        <w:tc>
          <w:tcPr>
            <w:tcW w:w="1554" w:type="pct"/>
            <w:shd w:val="clear" w:color="auto" w:fill="D7DDE9" w:themeFill="accent3"/>
            <w:vAlign w:val="center"/>
          </w:tcPr>
          <w:p w:rsidR="00420CF4" w:rsidRPr="002D1B55" w:rsidRDefault="00420CF4" w:rsidP="00B02B5B">
            <w:pPr>
              <w:pStyle w:val="TableText"/>
              <w:keepNext/>
              <w:keepLines/>
              <w:rPr>
                <w:b/>
              </w:rPr>
            </w:pPr>
            <w:r w:rsidRPr="002D1B55">
              <w:rPr>
                <w:b/>
              </w:rPr>
              <w:t>Total</w:t>
            </w:r>
          </w:p>
        </w:tc>
        <w:tc>
          <w:tcPr>
            <w:tcW w:w="689" w:type="pct"/>
            <w:shd w:val="clear" w:color="auto" w:fill="D7DDE9" w:themeFill="accent3"/>
            <w:vAlign w:val="center"/>
          </w:tcPr>
          <w:p w:rsidR="00420CF4" w:rsidRPr="002D1B55" w:rsidRDefault="00420CF4" w:rsidP="00B02B5B">
            <w:pPr>
              <w:pStyle w:val="TableTextRight"/>
              <w:keepNext/>
              <w:keepLines/>
              <w:rPr>
                <w:b/>
              </w:rPr>
            </w:pPr>
            <w:r w:rsidRPr="002D1B55">
              <w:rPr>
                <w:b/>
              </w:rPr>
              <w:t>-10.0</w:t>
            </w:r>
          </w:p>
        </w:tc>
        <w:tc>
          <w:tcPr>
            <w:tcW w:w="689" w:type="pct"/>
            <w:shd w:val="clear" w:color="auto" w:fill="D7DDE9" w:themeFill="accent3"/>
            <w:vAlign w:val="center"/>
          </w:tcPr>
          <w:p w:rsidR="00420CF4" w:rsidRPr="002D1B55" w:rsidRDefault="00420CF4" w:rsidP="00B02B5B">
            <w:pPr>
              <w:pStyle w:val="TableTextRight"/>
              <w:keepNext/>
              <w:keepLines/>
              <w:rPr>
                <w:b/>
              </w:rPr>
            </w:pPr>
            <w:r w:rsidRPr="002D1B55">
              <w:rPr>
                <w:b/>
              </w:rPr>
              <w:t>-12.3</w:t>
            </w:r>
          </w:p>
        </w:tc>
        <w:tc>
          <w:tcPr>
            <w:tcW w:w="689" w:type="pct"/>
            <w:shd w:val="clear" w:color="auto" w:fill="D7DDE9" w:themeFill="accent3"/>
            <w:vAlign w:val="center"/>
          </w:tcPr>
          <w:p w:rsidR="00420CF4" w:rsidRPr="002D1B55" w:rsidRDefault="00420CF4" w:rsidP="00B02B5B">
            <w:pPr>
              <w:pStyle w:val="TableTextRight"/>
              <w:keepNext/>
              <w:keepLines/>
              <w:rPr>
                <w:b/>
              </w:rPr>
            </w:pPr>
            <w:r w:rsidRPr="002D1B55">
              <w:rPr>
                <w:b/>
              </w:rPr>
              <w:t>-6.8</w:t>
            </w:r>
          </w:p>
        </w:tc>
        <w:tc>
          <w:tcPr>
            <w:tcW w:w="689" w:type="pct"/>
            <w:shd w:val="clear" w:color="auto" w:fill="D7DDE9" w:themeFill="accent3"/>
            <w:vAlign w:val="center"/>
          </w:tcPr>
          <w:p w:rsidR="00420CF4" w:rsidRPr="002D1B55" w:rsidRDefault="00420CF4" w:rsidP="00B02B5B">
            <w:pPr>
              <w:pStyle w:val="TableTextRight"/>
              <w:keepNext/>
              <w:keepLines/>
              <w:rPr>
                <w:b/>
              </w:rPr>
            </w:pPr>
            <w:r w:rsidRPr="002D1B55">
              <w:rPr>
                <w:b/>
              </w:rPr>
              <w:t>-8.6</w:t>
            </w:r>
          </w:p>
        </w:tc>
        <w:tc>
          <w:tcPr>
            <w:tcW w:w="690" w:type="pct"/>
            <w:shd w:val="clear" w:color="auto" w:fill="D7DDE9" w:themeFill="accent3"/>
            <w:vAlign w:val="center"/>
          </w:tcPr>
          <w:p w:rsidR="00420CF4" w:rsidRPr="002D1B55" w:rsidRDefault="00420CF4" w:rsidP="00B02B5B">
            <w:pPr>
              <w:pStyle w:val="TableTextRight"/>
              <w:keepNext/>
              <w:keepLines/>
              <w:rPr>
                <w:b/>
              </w:rPr>
            </w:pPr>
            <w:r w:rsidRPr="002D1B55">
              <w:rPr>
                <w:b/>
              </w:rPr>
              <w:t>-37.7</w:t>
            </w:r>
          </w:p>
        </w:tc>
      </w:tr>
    </w:tbl>
    <w:p w:rsidR="00420CF4" w:rsidRDefault="00420CF4" w:rsidP="005C10EF">
      <w:pPr>
        <w:pStyle w:val="Footnotes"/>
        <w:keepNext/>
        <w:keepLines/>
        <w:numPr>
          <w:ilvl w:val="0"/>
          <w:numId w:val="16"/>
        </w:numPr>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420CF4" w:rsidRDefault="00420CF4" w:rsidP="005C10EF">
      <w:pPr>
        <w:pStyle w:val="Footnotes"/>
        <w:keepNext/>
        <w:keepLines/>
        <w:ind w:left="284" w:hanging="284"/>
      </w:pPr>
      <w:r>
        <w:t>Figures may not sum to totals due to rounding.</w:t>
      </w:r>
    </w:p>
    <w:p w:rsidR="00420CF4" w:rsidRDefault="00420CF4" w:rsidP="005C10EF">
      <w:pPr>
        <w:pStyle w:val="Footnotes"/>
        <w:keepNext/>
        <w:keepLines/>
        <w:numPr>
          <w:ilvl w:val="0"/>
          <w:numId w:val="0"/>
        </w:numPr>
        <w:ind w:left="284" w:hanging="284"/>
      </w:pPr>
      <w:r>
        <w:t>..</w:t>
      </w:r>
      <w:r>
        <w:tab/>
        <w:t>Not zero but rounded to zero.</w:t>
      </w:r>
    </w:p>
    <w:p w:rsidR="00420CF4" w:rsidRPr="007C2713" w:rsidRDefault="00420CF4" w:rsidP="005C10EF">
      <w:pPr>
        <w:pStyle w:val="Footnotes"/>
        <w:keepNext/>
        <w:keepLines/>
        <w:numPr>
          <w:ilvl w:val="0"/>
          <w:numId w:val="13"/>
        </w:numPr>
        <w:ind w:left="284" w:hanging="284"/>
      </w:pPr>
      <w:r>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6" w:name="_Toc458081626"/>
      <w:r>
        <w:lastRenderedPageBreak/>
        <w:t>ALP002: Australian Human Rights Commission – LGTBI Commissioner</w:t>
      </w:r>
      <w:bookmarkEnd w:id="6"/>
    </w:p>
    <w:p w:rsidR="009346E9" w:rsidRDefault="009346E9" w:rsidP="009346E9">
      <w:pPr>
        <w:pStyle w:val="BodyText"/>
      </w:pPr>
      <w:r>
        <w:rPr>
          <w:noProof/>
          <w:lang w:eastAsia="en-AU"/>
        </w:rPr>
        <w:drawing>
          <wp:inline distT="0" distB="0" distL="0" distR="0" wp14:anchorId="37944E8D" wp14:editId="4F963DBB">
            <wp:extent cx="2696845" cy="572135"/>
            <wp:effectExtent l="0" t="0" r="8255" b="0"/>
            <wp:docPr id="394" name="Picture 39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785079">
            <w:pPr>
              <w:pStyle w:val="PullOutBoxHeading"/>
              <w:rPr>
                <w:b/>
              </w:rPr>
            </w:pPr>
            <w:r w:rsidRPr="00AF6ADB">
              <w:rPr>
                <w:b/>
              </w:rPr>
              <w:t>Name of proposal:</w:t>
            </w:r>
          </w:p>
        </w:tc>
        <w:tc>
          <w:tcPr>
            <w:tcW w:w="3191" w:type="pct"/>
          </w:tcPr>
          <w:p w:rsidR="00420CF4" w:rsidRPr="00AF6ADB" w:rsidRDefault="00420CF4" w:rsidP="00785079">
            <w:pPr>
              <w:pStyle w:val="PullOutBoxHeading"/>
              <w:rPr>
                <w:b/>
              </w:rPr>
            </w:pPr>
            <w:r w:rsidRPr="00AF6ADB">
              <w:rPr>
                <w:b/>
              </w:rPr>
              <w:t>Australian Human Rights Commissioner – LGBTI Commissioner</w:t>
            </w:r>
          </w:p>
        </w:tc>
      </w:tr>
      <w:tr w:rsidR="00420CF4" w:rsidRPr="00B45F94" w:rsidTr="00967BCD">
        <w:tc>
          <w:tcPr>
            <w:tcW w:w="1809" w:type="pct"/>
          </w:tcPr>
          <w:p w:rsidR="00420CF4" w:rsidRPr="00B45F94" w:rsidRDefault="00420CF4" w:rsidP="00785079">
            <w:pPr>
              <w:pStyle w:val="PullOutBoxBodyText"/>
            </w:pPr>
            <w:r w:rsidRPr="00B45F94">
              <w:t>Summary of proposal:</w:t>
            </w:r>
          </w:p>
        </w:tc>
        <w:tc>
          <w:tcPr>
            <w:tcW w:w="3191" w:type="pct"/>
          </w:tcPr>
          <w:p w:rsidR="00420CF4" w:rsidRDefault="00420CF4" w:rsidP="00785079">
            <w:pPr>
              <w:pStyle w:val="PullOutBoxBodyText"/>
            </w:pPr>
            <w:r>
              <w:t>The proposal would appoint a full-time, dedicated, Lesbian, Gay, Bi-sexual, Transgender and Intersex (LGBTI) Discrimination Commissioner to the Aust</w:t>
            </w:r>
            <w:r w:rsidR="00D774DC">
              <w:t>ralian Human Rights Commission.</w:t>
            </w:r>
          </w:p>
          <w:p w:rsidR="00420CF4" w:rsidRPr="00B45F94" w:rsidRDefault="00420CF4" w:rsidP="00785079">
            <w:pPr>
              <w:pStyle w:val="PullOutBoxBodyText"/>
            </w:pPr>
            <w:r>
              <w:t>The proposal would have effect from 1 July 2017.</w:t>
            </w:r>
          </w:p>
        </w:tc>
      </w:tr>
      <w:tr w:rsidR="00420CF4" w:rsidRPr="00B45F94" w:rsidTr="00967BCD">
        <w:tc>
          <w:tcPr>
            <w:tcW w:w="1809" w:type="pct"/>
          </w:tcPr>
          <w:p w:rsidR="00420CF4" w:rsidRPr="00B45F94" w:rsidRDefault="00420CF4" w:rsidP="00785079">
            <w:pPr>
              <w:pStyle w:val="PullOutBoxBodyText"/>
            </w:pPr>
            <w:r>
              <w:t>Party:</w:t>
            </w:r>
          </w:p>
        </w:tc>
        <w:tc>
          <w:tcPr>
            <w:tcW w:w="3191" w:type="pct"/>
          </w:tcPr>
          <w:p w:rsidR="00420CF4" w:rsidRPr="00B45F94" w:rsidRDefault="00420CF4" w:rsidP="00785079">
            <w:pPr>
              <w:pStyle w:val="PullOutBoxBodyText"/>
            </w:pPr>
            <w:r>
              <w:t>Australian Labor Party</w:t>
            </w:r>
          </w:p>
        </w:tc>
      </w:tr>
      <w:tr w:rsidR="00420CF4" w:rsidRPr="00B45F94" w:rsidTr="00967BCD">
        <w:tc>
          <w:tcPr>
            <w:tcW w:w="1809" w:type="pct"/>
          </w:tcPr>
          <w:p w:rsidR="00420CF4" w:rsidRPr="00B45F94" w:rsidRDefault="00420CF4" w:rsidP="00785079">
            <w:pPr>
              <w:pStyle w:val="PullOutBoxBodyText"/>
            </w:pPr>
            <w:r w:rsidRPr="00B45F94">
              <w:t>Expiry date for the costing:</w:t>
            </w:r>
          </w:p>
        </w:tc>
        <w:tc>
          <w:tcPr>
            <w:tcW w:w="3191" w:type="pct"/>
          </w:tcPr>
          <w:p w:rsidR="00420CF4" w:rsidRPr="00B45F94" w:rsidRDefault="00EC102A" w:rsidP="007850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20CF4" w:rsidRDefault="00420CF4" w:rsidP="00420CF4">
      <w:pPr>
        <w:pStyle w:val="BodyText"/>
      </w:pPr>
      <w:r>
        <w:t>The proposal would be expected to decrease both the fiscal and underlying cash balances by $2.7 million over the 2016-17 Budget forward estimates period.  This impact is entirely due to an increase in departmental expenses.  The proposal would have ongoing financial implications with the annual impact beyond the 2016-17 Budget forward estimates period being commensurate to the impact in 2019-20, growing in line with the net impact of indexation and the efficiency dividend.</w:t>
      </w:r>
    </w:p>
    <w:p w:rsidR="00420CF4" w:rsidRPr="00CC2A0A" w:rsidRDefault="00420CF4" w:rsidP="00420CF4">
      <w:pPr>
        <w:pStyle w:val="BodyText"/>
      </w:pPr>
      <w:r>
        <w:t>The financial implications are considered to be of high reliability as it is based on the cost of other existing positions.</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967BCD">
            <w:pPr>
              <w:pStyle w:val="TableHeading"/>
            </w:pPr>
            <w:r>
              <w:t>Impact on</w:t>
            </w:r>
            <w:r w:rsidR="00194A1D">
              <w:t xml:space="preserve"> ($m)</w:t>
            </w:r>
          </w:p>
        </w:tc>
        <w:tc>
          <w:tcPr>
            <w:tcW w:w="721" w:type="pct"/>
            <w:vAlign w:val="center"/>
          </w:tcPr>
          <w:p w:rsidR="00420CF4" w:rsidRPr="00FC1F1C" w:rsidRDefault="00420CF4" w:rsidP="00967BCD">
            <w:pPr>
              <w:pStyle w:val="TableHeadingRight"/>
            </w:pPr>
            <w:r>
              <w:t>2016–17</w:t>
            </w:r>
          </w:p>
        </w:tc>
        <w:tc>
          <w:tcPr>
            <w:tcW w:w="721" w:type="pct"/>
            <w:vAlign w:val="center"/>
          </w:tcPr>
          <w:p w:rsidR="00420CF4" w:rsidRPr="00FC1F1C" w:rsidRDefault="00420CF4" w:rsidP="00967BCD">
            <w:pPr>
              <w:pStyle w:val="TableHeadingRight"/>
            </w:pPr>
            <w:r>
              <w:t>2017–18</w:t>
            </w:r>
          </w:p>
        </w:tc>
        <w:tc>
          <w:tcPr>
            <w:tcW w:w="722" w:type="pct"/>
            <w:vAlign w:val="center"/>
          </w:tcPr>
          <w:p w:rsidR="00420CF4" w:rsidRPr="00FC1F1C" w:rsidRDefault="00420CF4" w:rsidP="00967BCD">
            <w:pPr>
              <w:pStyle w:val="TableHeadingRight"/>
            </w:pPr>
            <w:r>
              <w:t>2018–19</w:t>
            </w:r>
          </w:p>
        </w:tc>
        <w:tc>
          <w:tcPr>
            <w:tcW w:w="721" w:type="pct"/>
            <w:vAlign w:val="center"/>
          </w:tcPr>
          <w:p w:rsidR="00420CF4" w:rsidRPr="00FC1F1C" w:rsidRDefault="00420CF4" w:rsidP="00967BCD">
            <w:pPr>
              <w:pStyle w:val="TableHeadingRight"/>
            </w:pPr>
            <w:r>
              <w:t>2019–20</w:t>
            </w:r>
          </w:p>
        </w:tc>
        <w:tc>
          <w:tcPr>
            <w:tcW w:w="722" w:type="pct"/>
            <w:vAlign w:val="center"/>
          </w:tcPr>
          <w:p w:rsidR="00420CF4" w:rsidRDefault="00420CF4" w:rsidP="00967BCD">
            <w:pPr>
              <w:pStyle w:val="TableTextRight"/>
            </w:pPr>
            <w:r>
              <w:t>Total to 2019–20</w:t>
            </w:r>
          </w:p>
        </w:tc>
      </w:tr>
      <w:tr w:rsidR="00420CF4" w:rsidTr="00967BCD">
        <w:tc>
          <w:tcPr>
            <w:tcW w:w="1393" w:type="pct"/>
            <w:vAlign w:val="center"/>
          </w:tcPr>
          <w:p w:rsidR="00420CF4" w:rsidRDefault="00420CF4" w:rsidP="00967BCD">
            <w:pPr>
              <w:pStyle w:val="TableText"/>
            </w:pPr>
            <w:r>
              <w:t>Fiscal balance</w:t>
            </w:r>
          </w:p>
        </w:tc>
        <w:tc>
          <w:tcPr>
            <w:tcW w:w="721" w:type="pct"/>
            <w:vAlign w:val="center"/>
          </w:tcPr>
          <w:p w:rsidR="00420CF4" w:rsidRPr="00A2554C" w:rsidRDefault="00420CF4" w:rsidP="00967BCD">
            <w:pPr>
              <w:pStyle w:val="TableTextRight"/>
            </w:pPr>
            <w:r w:rsidRPr="00A2554C">
              <w:t>-</w:t>
            </w:r>
          </w:p>
        </w:tc>
        <w:tc>
          <w:tcPr>
            <w:tcW w:w="721" w:type="pct"/>
            <w:vAlign w:val="center"/>
          </w:tcPr>
          <w:p w:rsidR="00420CF4" w:rsidRPr="00A2554C" w:rsidRDefault="00420CF4" w:rsidP="00967BCD">
            <w:pPr>
              <w:pStyle w:val="TableTextRight"/>
            </w:pPr>
            <w:r w:rsidRPr="00A2554C">
              <w:t>-0.9</w:t>
            </w:r>
          </w:p>
        </w:tc>
        <w:tc>
          <w:tcPr>
            <w:tcW w:w="722" w:type="pct"/>
            <w:vAlign w:val="center"/>
          </w:tcPr>
          <w:p w:rsidR="00420CF4" w:rsidRPr="00A2554C" w:rsidRDefault="00420CF4" w:rsidP="00967BCD">
            <w:pPr>
              <w:pStyle w:val="TableTextRight"/>
            </w:pPr>
            <w:r w:rsidRPr="00A2554C">
              <w:t>-0.9</w:t>
            </w:r>
          </w:p>
        </w:tc>
        <w:tc>
          <w:tcPr>
            <w:tcW w:w="721" w:type="pct"/>
            <w:vAlign w:val="center"/>
          </w:tcPr>
          <w:p w:rsidR="00420CF4" w:rsidRPr="00A2554C" w:rsidRDefault="00420CF4" w:rsidP="00967BCD">
            <w:pPr>
              <w:pStyle w:val="TableTextRight"/>
            </w:pPr>
            <w:r w:rsidRPr="00A2554C">
              <w:t>-0.9</w:t>
            </w:r>
          </w:p>
        </w:tc>
        <w:tc>
          <w:tcPr>
            <w:tcW w:w="722" w:type="pct"/>
            <w:vAlign w:val="center"/>
          </w:tcPr>
          <w:p w:rsidR="00420CF4" w:rsidRPr="00CC2A0A" w:rsidRDefault="00420CF4" w:rsidP="00967BCD">
            <w:pPr>
              <w:pStyle w:val="TableTextRight"/>
              <w:rPr>
                <w:b/>
              </w:rPr>
            </w:pPr>
            <w:r w:rsidRPr="00CC2A0A">
              <w:rPr>
                <w:b/>
              </w:rPr>
              <w:t>-2.7</w:t>
            </w:r>
          </w:p>
        </w:tc>
      </w:tr>
      <w:tr w:rsidR="00420CF4" w:rsidTr="00967BCD">
        <w:tc>
          <w:tcPr>
            <w:tcW w:w="1393" w:type="pct"/>
            <w:vAlign w:val="center"/>
          </w:tcPr>
          <w:p w:rsidR="00420CF4" w:rsidRDefault="00420CF4" w:rsidP="00967BCD">
            <w:pPr>
              <w:pStyle w:val="TableText"/>
            </w:pPr>
            <w:r>
              <w:t>Underlying cash balance</w:t>
            </w:r>
          </w:p>
        </w:tc>
        <w:tc>
          <w:tcPr>
            <w:tcW w:w="721" w:type="pct"/>
            <w:vAlign w:val="center"/>
          </w:tcPr>
          <w:p w:rsidR="00420CF4" w:rsidRPr="00A2554C" w:rsidRDefault="00420CF4" w:rsidP="00967BCD">
            <w:pPr>
              <w:pStyle w:val="TableTextRight"/>
            </w:pPr>
            <w:r w:rsidRPr="00A2554C">
              <w:t>-</w:t>
            </w:r>
          </w:p>
        </w:tc>
        <w:tc>
          <w:tcPr>
            <w:tcW w:w="721" w:type="pct"/>
            <w:vAlign w:val="center"/>
          </w:tcPr>
          <w:p w:rsidR="00420CF4" w:rsidRPr="00A2554C" w:rsidRDefault="00420CF4" w:rsidP="00967BCD">
            <w:pPr>
              <w:pStyle w:val="TableTextRight"/>
            </w:pPr>
            <w:r w:rsidRPr="00A2554C">
              <w:t>-0.9</w:t>
            </w:r>
          </w:p>
        </w:tc>
        <w:tc>
          <w:tcPr>
            <w:tcW w:w="722" w:type="pct"/>
            <w:vAlign w:val="center"/>
          </w:tcPr>
          <w:p w:rsidR="00420CF4" w:rsidRPr="00A2554C" w:rsidRDefault="00420CF4" w:rsidP="00967BCD">
            <w:pPr>
              <w:pStyle w:val="TableTextRight"/>
            </w:pPr>
            <w:r w:rsidRPr="00A2554C">
              <w:t>-0.9</w:t>
            </w:r>
          </w:p>
        </w:tc>
        <w:tc>
          <w:tcPr>
            <w:tcW w:w="721" w:type="pct"/>
            <w:vAlign w:val="center"/>
          </w:tcPr>
          <w:p w:rsidR="00420CF4" w:rsidRPr="00A2554C" w:rsidRDefault="00420CF4" w:rsidP="00967BCD">
            <w:pPr>
              <w:pStyle w:val="TableTextRight"/>
            </w:pPr>
            <w:r w:rsidRPr="00A2554C">
              <w:t>-0.9</w:t>
            </w:r>
          </w:p>
        </w:tc>
        <w:tc>
          <w:tcPr>
            <w:tcW w:w="722" w:type="pct"/>
            <w:vAlign w:val="center"/>
          </w:tcPr>
          <w:p w:rsidR="00420CF4" w:rsidRPr="00CC2A0A" w:rsidRDefault="00420CF4" w:rsidP="00967BCD">
            <w:pPr>
              <w:pStyle w:val="TableTextRight"/>
              <w:rPr>
                <w:b/>
              </w:rPr>
            </w:pPr>
            <w:r w:rsidRPr="00CC2A0A">
              <w:rPr>
                <w:b/>
              </w:rPr>
              <w:t>-2.7</w:t>
            </w:r>
          </w:p>
        </w:tc>
      </w:tr>
    </w:tbl>
    <w:p w:rsidR="004B6196" w:rsidRDefault="00420CF4" w:rsidP="003768DC">
      <w:pPr>
        <w:pStyle w:val="Footnotes"/>
        <w:numPr>
          <w:ilvl w:val="0"/>
          <w:numId w:val="14"/>
        </w:numPr>
        <w:ind w:left="284" w:hanging="284"/>
      </w:pPr>
      <w:r>
        <w:t xml:space="preserve">A positive </w:t>
      </w:r>
      <w:r w:rsidRPr="00FC1F1C">
        <w:t>number indicates an increase in the relevant budget balance, a negative number a decrease.</w:t>
      </w:r>
    </w:p>
    <w:p w:rsidR="00420CF4" w:rsidRPr="004B6196" w:rsidRDefault="00420CF4" w:rsidP="003768DC">
      <w:pPr>
        <w:pStyle w:val="Footnotes"/>
        <w:numPr>
          <w:ilvl w:val="0"/>
          <w:numId w:val="14"/>
        </w:numPr>
        <w:ind w:left="284" w:hanging="284"/>
        <w:rPr>
          <w:rStyle w:val="FootnoteReference"/>
          <w:vertAlign w:val="baseline"/>
        </w:rPr>
      </w:pPr>
      <w:r w:rsidRPr="004B6196">
        <w:t>Figures may not sum to totals due to rounding.</w:t>
      </w:r>
    </w:p>
    <w:p w:rsidR="00420CF4" w:rsidRDefault="00420CF4" w:rsidP="00420CF4">
      <w:pPr>
        <w:pStyle w:val="CostingsH7"/>
      </w:pPr>
      <w:r>
        <w:lastRenderedPageBreak/>
        <w:t>Key assumptions</w:t>
      </w:r>
    </w:p>
    <w:p w:rsidR="00420CF4" w:rsidRPr="004D42A1" w:rsidRDefault="00420CF4" w:rsidP="00420CF4">
      <w:pPr>
        <w:pStyle w:val="BodyText"/>
      </w:pPr>
      <w:r w:rsidRPr="004D42A1">
        <w:t>It has been assumed that the LGBTI Discrimination Commissioner would be provided with support staff.</w:t>
      </w:r>
    </w:p>
    <w:p w:rsidR="00420CF4" w:rsidRDefault="00420CF4" w:rsidP="00420CF4">
      <w:pPr>
        <w:pStyle w:val="CostingsH7"/>
      </w:pPr>
      <w:r>
        <w:t>Methodology</w:t>
      </w:r>
    </w:p>
    <w:p w:rsidR="00420CF4" w:rsidRPr="004D42A1" w:rsidRDefault="00420CF4" w:rsidP="00420CF4">
      <w:pPr>
        <w:pStyle w:val="BodyText"/>
      </w:pPr>
      <w:r w:rsidRPr="004D42A1">
        <w:t>Departmental expenditure estimates are based on costs associated with existing disability commissioners (including support staff estimates).  Estimates account for the net effect of indexation parameters and the efficiency dividend, in accordance with the Department of Finance’s costing practices.</w:t>
      </w:r>
    </w:p>
    <w:p w:rsidR="00420CF4" w:rsidRDefault="00420CF4" w:rsidP="00420CF4">
      <w:pPr>
        <w:pStyle w:val="CostingsH7"/>
      </w:pPr>
      <w:r>
        <w:t>Data sources</w:t>
      </w:r>
    </w:p>
    <w:p w:rsidR="00420CF4" w:rsidRPr="0073534F" w:rsidRDefault="00420CF4" w:rsidP="00F22007">
      <w:pPr>
        <w:pStyle w:val="BodyText"/>
      </w:pPr>
      <w:r w:rsidRPr="0073534F">
        <w:t>Department of Finance provided indexation and efficiency dividend parameters</w:t>
      </w:r>
      <w:r w:rsidR="00503677" w:rsidRPr="0073534F">
        <w:t>:</w:t>
      </w:r>
    </w:p>
    <w:p w:rsidR="00420CF4" w:rsidRPr="0073534F" w:rsidRDefault="00DB4F41" w:rsidP="00420CF4">
      <w:pPr>
        <w:pStyle w:val="ListBullet"/>
        <w:tabs>
          <w:tab w:val="clear" w:pos="454"/>
        </w:tabs>
      </w:pPr>
      <w:r w:rsidRPr="0073534F">
        <w:t xml:space="preserve">Remuneration Tribunal 2015, </w:t>
      </w:r>
      <w:r w:rsidR="00420CF4" w:rsidRPr="0073534F">
        <w:rPr>
          <w:i/>
        </w:rPr>
        <w:t>Determination 2015/10: Judicial and Related Offices – Remuneration and Allowances</w:t>
      </w:r>
      <w:r w:rsidRPr="0073534F">
        <w:t>, available at:</w:t>
      </w:r>
      <w:r w:rsidR="00420CF4" w:rsidRPr="0073534F">
        <w:t xml:space="preserve"> </w:t>
      </w:r>
      <w:hyperlink r:id="rId17" w:history="1">
        <w:r w:rsidR="00420CF4" w:rsidRPr="0073534F">
          <w:rPr>
            <w:rStyle w:val="Hyperlink"/>
          </w:rPr>
          <w:t>http://remtribunal.gov.au/media/documents/2016/2015-determinations/2015-10-principal-determination-judicial-and-related-offices-remuneration-and-allowances/2015-10-Judicial-and-Related-Det-1-July-2015.pdf</w:t>
        </w:r>
      </w:hyperlink>
      <w:r w:rsidR="00420CF4" w:rsidRPr="0073534F">
        <w:t>.</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7" w:name="_Toc458081627"/>
      <w:r>
        <w:lastRenderedPageBreak/>
        <w:t>ALP003: Abolish the Emissions Reduction Fund</w:t>
      </w:r>
      <w:bookmarkEnd w:id="7"/>
    </w:p>
    <w:p w:rsidR="009346E9" w:rsidRDefault="009346E9" w:rsidP="009346E9">
      <w:pPr>
        <w:pStyle w:val="BodyText"/>
      </w:pPr>
      <w:r>
        <w:rPr>
          <w:noProof/>
          <w:lang w:eastAsia="en-AU"/>
        </w:rPr>
        <w:drawing>
          <wp:inline distT="0" distB="0" distL="0" distR="0" wp14:anchorId="51CB05DA" wp14:editId="74AC4AA4">
            <wp:extent cx="2696845" cy="572135"/>
            <wp:effectExtent l="0" t="0" r="8255" b="0"/>
            <wp:docPr id="393" name="Picture 39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785079">
            <w:pPr>
              <w:pStyle w:val="PullOutBoxHeading"/>
              <w:rPr>
                <w:b/>
              </w:rPr>
            </w:pPr>
            <w:r w:rsidRPr="00AF6ADB">
              <w:rPr>
                <w:b/>
              </w:rPr>
              <w:t>Name of proposal:</w:t>
            </w:r>
          </w:p>
        </w:tc>
        <w:tc>
          <w:tcPr>
            <w:tcW w:w="3191" w:type="pct"/>
          </w:tcPr>
          <w:p w:rsidR="00420CF4" w:rsidRPr="00AF6ADB" w:rsidRDefault="003337A8" w:rsidP="00785079">
            <w:pPr>
              <w:pStyle w:val="PullOutBoxHeading"/>
              <w:rPr>
                <w:b/>
              </w:rPr>
            </w:pPr>
            <w:r w:rsidRPr="00AF6ADB">
              <w:rPr>
                <w:b/>
              </w:rPr>
              <w:t>Abolish the Emissions Reduction Fund</w:t>
            </w:r>
          </w:p>
        </w:tc>
      </w:tr>
      <w:tr w:rsidR="00420CF4" w:rsidRPr="00B45F94" w:rsidTr="00967BCD">
        <w:tc>
          <w:tcPr>
            <w:tcW w:w="1809" w:type="pct"/>
          </w:tcPr>
          <w:p w:rsidR="00420CF4" w:rsidRPr="00B45F94" w:rsidRDefault="00420CF4" w:rsidP="00785079">
            <w:pPr>
              <w:pStyle w:val="PullOutBoxBodyText"/>
            </w:pPr>
            <w:r w:rsidRPr="00B45F94">
              <w:t>Summary of proposal:</w:t>
            </w:r>
          </w:p>
        </w:tc>
        <w:tc>
          <w:tcPr>
            <w:tcW w:w="3191" w:type="pct"/>
          </w:tcPr>
          <w:p w:rsidR="00420CF4" w:rsidRPr="00B45F94" w:rsidRDefault="003337A8" w:rsidP="00785079">
            <w:pPr>
              <w:pStyle w:val="PullOutBoxBodyText"/>
            </w:pPr>
            <w:r w:rsidRPr="003337A8">
              <w:t>The proposal would abolish the Emissions Reduction Fund (ERF) from 1 July 2016 while honouring all financial obligations from the carbon abatement contracts awarded in the announced ERF auctions.</w:t>
            </w:r>
          </w:p>
        </w:tc>
      </w:tr>
      <w:tr w:rsidR="00420CF4" w:rsidRPr="00B45F94" w:rsidTr="00967BCD">
        <w:tc>
          <w:tcPr>
            <w:tcW w:w="1809" w:type="pct"/>
          </w:tcPr>
          <w:p w:rsidR="00420CF4" w:rsidRPr="00B45F94" w:rsidRDefault="00420CF4" w:rsidP="00785079">
            <w:pPr>
              <w:pStyle w:val="PullOutBoxBodyText"/>
            </w:pPr>
            <w:r>
              <w:t>Party:</w:t>
            </w:r>
          </w:p>
        </w:tc>
        <w:tc>
          <w:tcPr>
            <w:tcW w:w="3191" w:type="pct"/>
          </w:tcPr>
          <w:p w:rsidR="00420CF4" w:rsidRPr="00B45F94" w:rsidRDefault="00420CF4" w:rsidP="00785079">
            <w:pPr>
              <w:pStyle w:val="PullOutBoxBodyText"/>
            </w:pPr>
            <w:r>
              <w:t>Australian Labor Party</w:t>
            </w:r>
          </w:p>
        </w:tc>
      </w:tr>
      <w:tr w:rsidR="00420CF4" w:rsidRPr="00B45F94" w:rsidTr="00967BCD">
        <w:tc>
          <w:tcPr>
            <w:tcW w:w="1809" w:type="pct"/>
          </w:tcPr>
          <w:p w:rsidR="00420CF4" w:rsidRPr="00B45F94" w:rsidRDefault="00420CF4" w:rsidP="00785079">
            <w:pPr>
              <w:pStyle w:val="PullOutBoxBodyText"/>
            </w:pPr>
            <w:r w:rsidRPr="00B45F94">
              <w:t>Expiry date for the costing:</w:t>
            </w:r>
          </w:p>
        </w:tc>
        <w:tc>
          <w:tcPr>
            <w:tcW w:w="3191" w:type="pct"/>
          </w:tcPr>
          <w:p w:rsidR="00420CF4" w:rsidRPr="00B45F94" w:rsidRDefault="00A52A78" w:rsidP="00785079">
            <w:pPr>
              <w:pStyle w:val="PullOutBoxBodyText"/>
            </w:pPr>
            <w:r w:rsidRPr="00A52A78">
              <w:t>Release of the next economic and fiscal update or the completion of the next ERF auction round</w:t>
            </w:r>
          </w:p>
        </w:tc>
      </w:tr>
    </w:tbl>
    <w:p w:rsidR="00420CF4" w:rsidRDefault="00420CF4" w:rsidP="00420CF4">
      <w:pPr>
        <w:pStyle w:val="CostingsH7"/>
      </w:pPr>
      <w:r w:rsidRPr="00BF1EE6">
        <w:t>Costing overview</w:t>
      </w:r>
    </w:p>
    <w:p w:rsidR="00A52A78" w:rsidRDefault="00A52A78" w:rsidP="00A52A78">
      <w:pPr>
        <w:pStyle w:val="BodyText"/>
      </w:pPr>
      <w:r>
        <w:t>This proposal would be expected to increase the fiscal and underlying cash balances by $316.1 million over the 2016</w:t>
      </w:r>
      <w:r>
        <w:noBreakHyphen/>
        <w:t>17 Budget forward estimates period.  This is entirely due to a decrease in administered expenses.  This proposal would not be expected to have any impact on departmental costs as no departmental funding was provided in the original 2014</w:t>
      </w:r>
      <w:r>
        <w:noBreakHyphen/>
        <w:t>15 Budget measure.</w:t>
      </w:r>
      <w:r w:rsidRPr="00E53973">
        <w:rPr>
          <w:rStyle w:val="FootnoteReference"/>
        </w:rPr>
        <w:footnoteReference w:id="1"/>
      </w:r>
    </w:p>
    <w:p w:rsidR="00A52A78" w:rsidRDefault="00A52A78" w:rsidP="00A52A78">
      <w:pPr>
        <w:pStyle w:val="BodyText"/>
      </w:pPr>
      <w:r>
        <w:t>The proposal would have financial implications beyond 2019-20 until all uncommitted amounts from the initial $2.55 billion ERF commitment are exhausted.</w:t>
      </w:r>
      <w:r w:rsidR="00691858" w:rsidRPr="00E53973">
        <w:rPr>
          <w:rStyle w:val="FootnoteReference"/>
        </w:rPr>
        <w:footnoteReference w:id="2"/>
      </w:r>
    </w:p>
    <w:p w:rsidR="0079080F" w:rsidRDefault="00A52A78" w:rsidP="00A52A78">
      <w:pPr>
        <w:pStyle w:val="BodyText"/>
      </w:pPr>
      <w:r>
        <w:t>The costing is considered to be of medium reliability.  While official estimates of annual ERF funding have been provided to 2019</w:t>
      </w:r>
      <w:r>
        <w:noBreakHyphen/>
        <w:t>20, the profile of contractually committed payments has been estimated by the Parliamentary Budget Office (PBO) (as the Department of the Environment has advised that the timing of contractual commitments under the ERF is commercial in confidence).</w:t>
      </w:r>
    </w:p>
    <w:p w:rsidR="00420CF4" w:rsidRDefault="00420CF4" w:rsidP="000962E3">
      <w:pPr>
        <w:pStyle w:val="Caption"/>
        <w:keepLines/>
      </w:pPr>
      <w:r w:rsidRPr="00D264E1">
        <w:lastRenderedPageBreak/>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785079">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0962E3">
            <w:pPr>
              <w:pStyle w:val="TableHeading"/>
            </w:pPr>
            <w:r>
              <w:t>Impact on</w:t>
            </w:r>
            <w:r w:rsidR="00194A1D">
              <w:t xml:space="preserve"> ($m)</w:t>
            </w:r>
          </w:p>
        </w:tc>
        <w:tc>
          <w:tcPr>
            <w:tcW w:w="721" w:type="pct"/>
            <w:vAlign w:val="center"/>
          </w:tcPr>
          <w:p w:rsidR="00420CF4" w:rsidRPr="00FC1F1C" w:rsidRDefault="00420CF4" w:rsidP="000962E3">
            <w:pPr>
              <w:pStyle w:val="TableHeadingRight"/>
            </w:pPr>
            <w:r>
              <w:t>2016–17</w:t>
            </w:r>
          </w:p>
        </w:tc>
        <w:tc>
          <w:tcPr>
            <w:tcW w:w="721" w:type="pct"/>
            <w:vAlign w:val="center"/>
          </w:tcPr>
          <w:p w:rsidR="00420CF4" w:rsidRPr="00FC1F1C" w:rsidRDefault="00420CF4" w:rsidP="000962E3">
            <w:pPr>
              <w:pStyle w:val="TableHeadingRight"/>
            </w:pPr>
            <w:r>
              <w:t>2017–18</w:t>
            </w:r>
          </w:p>
        </w:tc>
        <w:tc>
          <w:tcPr>
            <w:tcW w:w="722" w:type="pct"/>
            <w:vAlign w:val="center"/>
          </w:tcPr>
          <w:p w:rsidR="00420CF4" w:rsidRPr="00FC1F1C" w:rsidRDefault="00420CF4" w:rsidP="000962E3">
            <w:pPr>
              <w:pStyle w:val="TableHeadingRight"/>
            </w:pPr>
            <w:r>
              <w:t>2018–19</w:t>
            </w:r>
          </w:p>
        </w:tc>
        <w:tc>
          <w:tcPr>
            <w:tcW w:w="721" w:type="pct"/>
            <w:vAlign w:val="center"/>
          </w:tcPr>
          <w:p w:rsidR="00420CF4" w:rsidRPr="00FC1F1C" w:rsidRDefault="00420CF4" w:rsidP="000962E3">
            <w:pPr>
              <w:pStyle w:val="TableHeadingRight"/>
            </w:pPr>
            <w:r>
              <w:t>2019–20</w:t>
            </w:r>
          </w:p>
        </w:tc>
        <w:tc>
          <w:tcPr>
            <w:tcW w:w="722" w:type="pct"/>
            <w:vAlign w:val="center"/>
          </w:tcPr>
          <w:p w:rsidR="00420CF4" w:rsidRDefault="00420CF4" w:rsidP="000962E3">
            <w:pPr>
              <w:pStyle w:val="TableTextRight"/>
              <w:keepNext/>
              <w:keepLines/>
            </w:pPr>
            <w:r>
              <w:t>Total</w:t>
            </w:r>
          </w:p>
        </w:tc>
      </w:tr>
      <w:tr w:rsidR="00691858" w:rsidTr="00BE71C3">
        <w:tc>
          <w:tcPr>
            <w:tcW w:w="1393" w:type="pct"/>
            <w:vAlign w:val="center"/>
          </w:tcPr>
          <w:p w:rsidR="00691858" w:rsidRDefault="00691858" w:rsidP="000962E3">
            <w:pPr>
              <w:pStyle w:val="TableText"/>
              <w:keepNext/>
              <w:keepLines/>
            </w:pPr>
            <w:r>
              <w:t>Fiscal balance</w:t>
            </w:r>
          </w:p>
        </w:tc>
        <w:tc>
          <w:tcPr>
            <w:tcW w:w="721" w:type="pct"/>
            <w:vAlign w:val="bottom"/>
          </w:tcPr>
          <w:p w:rsidR="00691858" w:rsidRPr="00530CF8" w:rsidRDefault="00691858" w:rsidP="000962E3">
            <w:pPr>
              <w:pStyle w:val="TableHeadingRight"/>
              <w:rPr>
                <w:b w:val="0"/>
                <w:szCs w:val="20"/>
              </w:rPr>
            </w:pPr>
            <w:r w:rsidRPr="00530CF8">
              <w:rPr>
                <w:b w:val="0"/>
              </w:rPr>
              <w:t>81.4</w:t>
            </w:r>
          </w:p>
        </w:tc>
        <w:tc>
          <w:tcPr>
            <w:tcW w:w="721" w:type="pct"/>
            <w:vAlign w:val="bottom"/>
          </w:tcPr>
          <w:p w:rsidR="00691858" w:rsidRPr="00530CF8" w:rsidRDefault="00691858" w:rsidP="000962E3">
            <w:pPr>
              <w:pStyle w:val="TableHeadingRight"/>
              <w:rPr>
                <w:b w:val="0"/>
                <w:szCs w:val="20"/>
              </w:rPr>
            </w:pPr>
            <w:r w:rsidRPr="00530CF8">
              <w:rPr>
                <w:b w:val="0"/>
              </w:rPr>
              <w:t>76.8</w:t>
            </w:r>
          </w:p>
        </w:tc>
        <w:tc>
          <w:tcPr>
            <w:tcW w:w="722" w:type="pct"/>
            <w:vAlign w:val="bottom"/>
          </w:tcPr>
          <w:p w:rsidR="00691858" w:rsidRPr="00530CF8" w:rsidRDefault="00691858" w:rsidP="000962E3">
            <w:pPr>
              <w:pStyle w:val="TableHeadingRight"/>
              <w:rPr>
                <w:b w:val="0"/>
                <w:szCs w:val="20"/>
              </w:rPr>
            </w:pPr>
            <w:r w:rsidRPr="00530CF8">
              <w:rPr>
                <w:b w:val="0"/>
              </w:rPr>
              <w:t>78.0</w:t>
            </w:r>
          </w:p>
        </w:tc>
        <w:tc>
          <w:tcPr>
            <w:tcW w:w="721" w:type="pct"/>
            <w:vAlign w:val="bottom"/>
          </w:tcPr>
          <w:p w:rsidR="00691858" w:rsidRPr="00530CF8" w:rsidRDefault="00691858" w:rsidP="000962E3">
            <w:pPr>
              <w:pStyle w:val="TableHeadingRight"/>
              <w:rPr>
                <w:b w:val="0"/>
                <w:szCs w:val="20"/>
              </w:rPr>
            </w:pPr>
            <w:r w:rsidRPr="00530CF8">
              <w:rPr>
                <w:b w:val="0"/>
              </w:rPr>
              <w:t>79.9</w:t>
            </w:r>
          </w:p>
        </w:tc>
        <w:tc>
          <w:tcPr>
            <w:tcW w:w="722" w:type="pct"/>
            <w:vAlign w:val="bottom"/>
          </w:tcPr>
          <w:p w:rsidR="00691858" w:rsidRPr="00CB6A7C" w:rsidRDefault="00691858" w:rsidP="000962E3">
            <w:pPr>
              <w:pStyle w:val="TableHeadingRight"/>
              <w:rPr>
                <w:szCs w:val="20"/>
              </w:rPr>
            </w:pPr>
            <w:r>
              <w:t>316.1</w:t>
            </w:r>
          </w:p>
        </w:tc>
      </w:tr>
      <w:tr w:rsidR="00691858" w:rsidTr="00BE71C3">
        <w:tc>
          <w:tcPr>
            <w:tcW w:w="1393" w:type="pct"/>
            <w:vAlign w:val="center"/>
          </w:tcPr>
          <w:p w:rsidR="00691858" w:rsidRDefault="00691858" w:rsidP="000962E3">
            <w:pPr>
              <w:pStyle w:val="TableText"/>
              <w:keepNext/>
              <w:keepLines/>
            </w:pPr>
            <w:r>
              <w:t>Underlying cash balance</w:t>
            </w:r>
          </w:p>
        </w:tc>
        <w:tc>
          <w:tcPr>
            <w:tcW w:w="721" w:type="pct"/>
            <w:vAlign w:val="bottom"/>
          </w:tcPr>
          <w:p w:rsidR="00691858" w:rsidRPr="00530CF8" w:rsidRDefault="00691858" w:rsidP="000962E3">
            <w:pPr>
              <w:pStyle w:val="TableHeadingRight"/>
              <w:rPr>
                <w:b w:val="0"/>
                <w:szCs w:val="20"/>
              </w:rPr>
            </w:pPr>
            <w:r w:rsidRPr="00530CF8">
              <w:rPr>
                <w:b w:val="0"/>
              </w:rPr>
              <w:t>81.4</w:t>
            </w:r>
          </w:p>
        </w:tc>
        <w:tc>
          <w:tcPr>
            <w:tcW w:w="721" w:type="pct"/>
            <w:vAlign w:val="bottom"/>
          </w:tcPr>
          <w:p w:rsidR="00691858" w:rsidRPr="00530CF8" w:rsidRDefault="00691858" w:rsidP="000962E3">
            <w:pPr>
              <w:pStyle w:val="TableHeadingRight"/>
              <w:rPr>
                <w:b w:val="0"/>
                <w:szCs w:val="20"/>
              </w:rPr>
            </w:pPr>
            <w:r w:rsidRPr="00530CF8">
              <w:rPr>
                <w:b w:val="0"/>
              </w:rPr>
              <w:t>76.8</w:t>
            </w:r>
          </w:p>
        </w:tc>
        <w:tc>
          <w:tcPr>
            <w:tcW w:w="722" w:type="pct"/>
            <w:vAlign w:val="bottom"/>
          </w:tcPr>
          <w:p w:rsidR="00691858" w:rsidRPr="00530CF8" w:rsidRDefault="00691858" w:rsidP="000962E3">
            <w:pPr>
              <w:pStyle w:val="TableHeadingRight"/>
              <w:rPr>
                <w:b w:val="0"/>
                <w:szCs w:val="20"/>
              </w:rPr>
            </w:pPr>
            <w:r w:rsidRPr="00530CF8">
              <w:rPr>
                <w:b w:val="0"/>
              </w:rPr>
              <w:t>78.0</w:t>
            </w:r>
          </w:p>
        </w:tc>
        <w:tc>
          <w:tcPr>
            <w:tcW w:w="721" w:type="pct"/>
            <w:vAlign w:val="bottom"/>
          </w:tcPr>
          <w:p w:rsidR="00691858" w:rsidRPr="00530CF8" w:rsidRDefault="00691858" w:rsidP="000962E3">
            <w:pPr>
              <w:pStyle w:val="TableHeadingRight"/>
              <w:rPr>
                <w:b w:val="0"/>
                <w:szCs w:val="20"/>
              </w:rPr>
            </w:pPr>
            <w:r w:rsidRPr="00530CF8">
              <w:rPr>
                <w:b w:val="0"/>
              </w:rPr>
              <w:t>79.9</w:t>
            </w:r>
          </w:p>
        </w:tc>
        <w:tc>
          <w:tcPr>
            <w:tcW w:w="722" w:type="pct"/>
            <w:vAlign w:val="bottom"/>
          </w:tcPr>
          <w:p w:rsidR="00691858" w:rsidRPr="00CB6A7C" w:rsidRDefault="00691858" w:rsidP="000962E3">
            <w:pPr>
              <w:pStyle w:val="TableHeadingRight"/>
              <w:rPr>
                <w:szCs w:val="20"/>
              </w:rPr>
            </w:pPr>
            <w:r w:rsidRPr="005D7416">
              <w:t>316.1</w:t>
            </w:r>
          </w:p>
        </w:tc>
      </w:tr>
    </w:tbl>
    <w:p w:rsidR="00420CF4" w:rsidRDefault="00420CF4" w:rsidP="000962E3">
      <w:pPr>
        <w:pStyle w:val="Footnotes"/>
        <w:keepNext/>
        <w:keepLines/>
        <w:numPr>
          <w:ilvl w:val="0"/>
          <w:numId w:val="21"/>
        </w:numPr>
        <w:ind w:left="284" w:hanging="284"/>
      </w:pPr>
      <w:r>
        <w:t xml:space="preserve">A positive </w:t>
      </w:r>
      <w:r w:rsidRPr="00FC1F1C">
        <w:t xml:space="preserve">number </w:t>
      </w:r>
      <w:r w:rsidR="00691858" w:rsidRPr="00691858">
        <w:t xml:space="preserve">represents </w:t>
      </w:r>
      <w:r w:rsidRPr="00FC1F1C">
        <w:t xml:space="preserve">an increase in the relevant budget balance, a negative number </w:t>
      </w:r>
      <w:r w:rsidR="00691858" w:rsidRPr="00691858">
        <w:t xml:space="preserve">represents </w:t>
      </w:r>
      <w:r w:rsidRPr="00FC1F1C">
        <w:t>a decrease.</w:t>
      </w:r>
    </w:p>
    <w:p w:rsidR="00420CF4" w:rsidRPr="009447D4" w:rsidRDefault="00420CF4" w:rsidP="00530CF8">
      <w:pPr>
        <w:pStyle w:val="Footnotes"/>
        <w:numPr>
          <w:ilvl w:val="0"/>
          <w:numId w:val="14"/>
        </w:numPr>
        <w:ind w:left="284" w:hanging="284"/>
        <w:rPr>
          <w:rStyle w:val="FootnoteReference"/>
          <w:vertAlign w:val="baseline"/>
        </w:rPr>
      </w:pPr>
      <w:r w:rsidRPr="009447D4">
        <w:t>Figures may not sum to totals due to rounding.</w:t>
      </w:r>
    </w:p>
    <w:p w:rsidR="00420CF4" w:rsidRDefault="00420CF4" w:rsidP="00420CF4">
      <w:pPr>
        <w:pStyle w:val="CostingsH7"/>
      </w:pPr>
      <w:r>
        <w:t>Key assumptions</w:t>
      </w:r>
    </w:p>
    <w:p w:rsidR="0079080F" w:rsidRPr="0079080F" w:rsidRDefault="0079080F" w:rsidP="0079080F">
      <w:pPr>
        <w:pStyle w:val="BodyText"/>
      </w:pPr>
      <w:r w:rsidRPr="0079080F">
        <w:t>Uncommitted funds not utilised by the end of the relevant financial year are assumed to not be available to be carried forward.  Uncommitted funds at the end of 2014-15 and 2015</w:t>
      </w:r>
      <w:r>
        <w:noBreakHyphen/>
      </w:r>
      <w:r w:rsidRPr="0079080F">
        <w:t>16 are therefore assumed to be returned to the budget and not be available as a saving under the proposal.</w:t>
      </w:r>
    </w:p>
    <w:p w:rsidR="00420CF4" w:rsidRDefault="00420CF4" w:rsidP="00420CF4">
      <w:pPr>
        <w:pStyle w:val="CostingsH7"/>
      </w:pPr>
      <w:r>
        <w:t>Methodology</w:t>
      </w:r>
    </w:p>
    <w:p w:rsidR="0079080F" w:rsidRPr="00B1758D" w:rsidRDefault="0079080F" w:rsidP="00B1758D">
      <w:pPr>
        <w:pStyle w:val="BodyText"/>
      </w:pPr>
      <w:r w:rsidRPr="00B1758D">
        <w:t>The ERF funding over 2014</w:t>
      </w:r>
      <w:r w:rsidR="00B1758D">
        <w:noBreakHyphen/>
        <w:t>15 to 2019</w:t>
      </w:r>
      <w:r w:rsidR="00B1758D">
        <w:noBreakHyphen/>
      </w:r>
      <w:r w:rsidRPr="00B1758D">
        <w:t xml:space="preserve">20 was provided by the </w:t>
      </w:r>
      <w:r w:rsidR="00B1758D">
        <w:t>Department of the Environment.</w:t>
      </w:r>
    </w:p>
    <w:p w:rsidR="0079080F" w:rsidRPr="00B1758D" w:rsidRDefault="0079080F" w:rsidP="00B1758D">
      <w:pPr>
        <w:pStyle w:val="BodyText"/>
      </w:pPr>
      <w:r w:rsidRPr="00B1758D">
        <w:t>The Clean Energy Regulator has announced $1.7 billion in commitments following ERF auctions:</w:t>
      </w:r>
    </w:p>
    <w:p w:rsidR="0079080F" w:rsidRDefault="0079080F" w:rsidP="00B1758D">
      <w:pPr>
        <w:pStyle w:val="ListBullet"/>
      </w:pPr>
      <w:r>
        <w:t>On 23 April 2015 the commitment of $660.5 million from the first ERF auction.</w:t>
      </w:r>
    </w:p>
    <w:p w:rsidR="0079080F" w:rsidRDefault="0079080F" w:rsidP="00B1758D">
      <w:pPr>
        <w:pStyle w:val="ListBullet"/>
      </w:pPr>
      <w:r>
        <w:t>On 12 November 2015 the commitment of $557 million from the second ERF auction.</w:t>
      </w:r>
    </w:p>
    <w:p w:rsidR="0079080F" w:rsidRDefault="0079080F" w:rsidP="00B1758D">
      <w:pPr>
        <w:pStyle w:val="ListBullet"/>
      </w:pPr>
      <w:r>
        <w:t>On 5 May 2016 the commitment of $516.0 million from the third ERF auction.</w:t>
      </w:r>
    </w:p>
    <w:p w:rsidR="0079080F" w:rsidRPr="00B1758D" w:rsidRDefault="0079080F" w:rsidP="00B1758D">
      <w:pPr>
        <w:pStyle w:val="BodyText"/>
      </w:pPr>
      <w:r w:rsidRPr="00B1758D">
        <w:t>As the profile of the committed $1.7 billion is not available due to commercial in confidence concerns, the PBO has apportioned the committed funds by using the ratio of the ERF funding estimate in each respective year to the total commitment of $2.55 bill</w:t>
      </w:r>
      <w:r w:rsidR="00B1758D">
        <w:t>ion.</w:t>
      </w:r>
    </w:p>
    <w:p w:rsidR="00B1758D" w:rsidRDefault="0079080F" w:rsidP="00B1758D">
      <w:pPr>
        <w:pStyle w:val="BodyText"/>
      </w:pPr>
      <w:r w:rsidRPr="00B1758D">
        <w:t>The financial impact of abolishing the ERF was then derived by taking the difference between the ERF funding and contractually committed funds.</w:t>
      </w:r>
    </w:p>
    <w:p w:rsidR="00420CF4" w:rsidRDefault="00420CF4" w:rsidP="000962E3">
      <w:pPr>
        <w:pStyle w:val="CostingsH7"/>
      </w:pPr>
      <w:r>
        <w:t>Data sources</w:t>
      </w:r>
    </w:p>
    <w:p w:rsidR="00ED5578" w:rsidRDefault="00ED5578" w:rsidP="00ED5578">
      <w:pPr>
        <w:pStyle w:val="BodyText"/>
        <w:keepNext/>
        <w:keepLines/>
      </w:pPr>
      <w:r>
        <w:t xml:space="preserve">Clean Energy Regulator 2015, ‘Results from the first Emissions Reduction Fund auction’, 23 April: </w:t>
      </w:r>
      <w:hyperlink r:id="rId18" w:history="1">
        <w:r w:rsidRPr="009A5363">
          <w:rPr>
            <w:rStyle w:val="Hyperlink"/>
          </w:rPr>
          <w:t>http://www.cleanenergyregulator.gov.au/Emissions-Reduction-Fund/News-and-events/Pages/04-2015/Results-from-the-first-Emissions-Reduction-Fund-auction.aspx</w:t>
        </w:r>
      </w:hyperlink>
      <w:r>
        <w:t>.</w:t>
      </w:r>
    </w:p>
    <w:p w:rsidR="00ED5578" w:rsidRDefault="00ED5578" w:rsidP="00ED5578">
      <w:pPr>
        <w:pStyle w:val="BodyText"/>
      </w:pPr>
      <w:r>
        <w:t xml:space="preserve">Clean Energy Regulator 2015, ‘Average price of $12.25 secures over 45 million tonnes of abatement at second action, 12 November, available at: </w:t>
      </w:r>
      <w:hyperlink r:id="rId19" w:history="1">
        <w:r w:rsidRPr="009A5363">
          <w:rPr>
            <w:rStyle w:val="Hyperlink"/>
          </w:rPr>
          <w:t>http://www.cleanenergyregulator.gov.au/About/Pages/News%20and%20updates/NewsItem.aspx?ListId=19b4efbb-6f5d-4637-94c4-121c1f96fcfe&amp;ItemId=188</w:t>
        </w:r>
      </w:hyperlink>
      <w:r>
        <w:t>.</w:t>
      </w:r>
    </w:p>
    <w:p w:rsidR="00ED5578" w:rsidRDefault="00ED5578" w:rsidP="00ED5578">
      <w:pPr>
        <w:pStyle w:val="BodyText"/>
        <w:keepNext/>
        <w:keepLines/>
      </w:pPr>
      <w:r>
        <w:lastRenderedPageBreak/>
        <w:t xml:space="preserve">Clean Energy Regulator 2016, ‘Third auction secures high volume at low prices’, 5 May: </w:t>
      </w:r>
      <w:hyperlink r:id="rId20" w:history="1">
        <w:r w:rsidRPr="009A5363">
          <w:rPr>
            <w:rStyle w:val="Hyperlink"/>
          </w:rPr>
          <w:t>http://www.cleanenergyregulator.gov.au/About/Pages/News%20and%20updates/NewsItem.aspx?ListId=19b4efbb-6f5d-4637-94c4-121c1f96fcfe&amp;ItemId=253</w:t>
        </w:r>
      </w:hyperlink>
      <w:r>
        <w:t>.</w:t>
      </w:r>
    </w:p>
    <w:p w:rsidR="00B1758D" w:rsidRDefault="00504002" w:rsidP="00ED5578">
      <w:pPr>
        <w:pStyle w:val="BodyText"/>
        <w:keepNext/>
        <w:keepLines/>
      </w:pPr>
      <w:r>
        <w:t xml:space="preserve">The Coalition 2010, </w:t>
      </w:r>
      <w:r w:rsidR="00B1758D" w:rsidRPr="0073534F">
        <w:rPr>
          <w:i/>
        </w:rPr>
        <w:t xml:space="preserve">The Coalition’s Direct Action Plan 2010: </w:t>
      </w:r>
      <w:r>
        <w:rPr>
          <w:i/>
        </w:rPr>
        <w:t>Environment &amp; Climate Change</w:t>
      </w:r>
      <w:r>
        <w:t>, available at:</w:t>
      </w:r>
      <w:r>
        <w:rPr>
          <w:i/>
        </w:rPr>
        <w:t xml:space="preserve"> </w:t>
      </w:r>
      <w:hyperlink r:id="rId21" w:history="1">
        <w:r w:rsidR="00B1758D" w:rsidRPr="009A5363">
          <w:rPr>
            <w:rStyle w:val="Hyperlink"/>
          </w:rPr>
          <w:t>http://www.greghunt.com.au/Portals/0/PDF/TheCoalitionsDirectActionPlanPolicy2010.pdf</w:t>
        </w:r>
      </w:hyperlink>
      <w:r w:rsidR="00B1758D">
        <w:t>.</w:t>
      </w:r>
    </w:p>
    <w:p w:rsidR="00ED5578" w:rsidRDefault="00ED5578" w:rsidP="000962E3">
      <w:pPr>
        <w:pStyle w:val="BodyText"/>
        <w:keepNext/>
        <w:keepLines/>
      </w:pPr>
      <w:r>
        <w:t xml:space="preserve">Commonwealth of Australia 2015, </w:t>
      </w:r>
      <w:r w:rsidRPr="0073534F">
        <w:rPr>
          <w:i/>
        </w:rPr>
        <w:t xml:space="preserve">2014-15 Budget measure, </w:t>
      </w:r>
      <w:r w:rsidRPr="006A576E">
        <w:rPr>
          <w:i/>
        </w:rPr>
        <w:t>Emissions Reduction Fund - establishment</w:t>
      </w:r>
      <w:r>
        <w:t>, Commonwealth of Australia, Canberra, p. 102.</w:t>
      </w:r>
    </w:p>
    <w:p w:rsidR="00B1758D" w:rsidRDefault="00B1758D" w:rsidP="000962E3">
      <w:pPr>
        <w:pStyle w:val="BodyText"/>
        <w:keepNext/>
        <w:keepLines/>
      </w:pPr>
      <w:r>
        <w:t>The Department of the Environment provided the ERF program funding estimates over 2014</w:t>
      </w:r>
      <w:r>
        <w:noBreakHyphen/>
        <w:t>15 to 2019</w:t>
      </w:r>
      <w:r>
        <w:noBreakHyphen/>
        <w:t>20.</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8" w:name="_Toc458081628"/>
      <w:r>
        <w:lastRenderedPageBreak/>
        <w:t>ALP004: Abolition of the National Wind Farm Commissioner and Independent Scientific Commission on Wind Farms</w:t>
      </w:r>
      <w:bookmarkEnd w:id="8"/>
    </w:p>
    <w:p w:rsidR="009346E9" w:rsidRDefault="009346E9" w:rsidP="009346E9">
      <w:pPr>
        <w:pStyle w:val="BodyText"/>
      </w:pPr>
      <w:r>
        <w:rPr>
          <w:noProof/>
          <w:lang w:eastAsia="en-AU"/>
        </w:rPr>
        <w:drawing>
          <wp:inline distT="0" distB="0" distL="0" distR="0" wp14:anchorId="10B87C9A" wp14:editId="1090DF90">
            <wp:extent cx="2696845" cy="572135"/>
            <wp:effectExtent l="0" t="0" r="8255" b="0"/>
            <wp:docPr id="392" name="Picture 39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785079">
            <w:pPr>
              <w:pStyle w:val="PullOutBoxHeading"/>
              <w:rPr>
                <w:b/>
              </w:rPr>
            </w:pPr>
            <w:r w:rsidRPr="00AF6ADB">
              <w:rPr>
                <w:b/>
              </w:rPr>
              <w:t>Name of proposal:</w:t>
            </w:r>
          </w:p>
        </w:tc>
        <w:tc>
          <w:tcPr>
            <w:tcW w:w="3191" w:type="pct"/>
          </w:tcPr>
          <w:p w:rsidR="00420CF4" w:rsidRPr="00AF6ADB" w:rsidRDefault="00420CF4" w:rsidP="00785079">
            <w:pPr>
              <w:pStyle w:val="PullOutBoxHeading"/>
              <w:rPr>
                <w:b/>
              </w:rPr>
            </w:pPr>
            <w:r w:rsidRPr="00AF6ADB">
              <w:rPr>
                <w:b/>
              </w:rPr>
              <w:t>Abolition of National Wind Farm Commissioner and Independent Scientific Commission on Wind Farms</w:t>
            </w:r>
          </w:p>
        </w:tc>
      </w:tr>
      <w:tr w:rsidR="00420CF4" w:rsidRPr="00B45F94" w:rsidTr="00967BCD">
        <w:tc>
          <w:tcPr>
            <w:tcW w:w="1809" w:type="pct"/>
          </w:tcPr>
          <w:p w:rsidR="00420CF4" w:rsidRPr="00B45F94" w:rsidRDefault="00420CF4" w:rsidP="00785079">
            <w:pPr>
              <w:pStyle w:val="PullOutBoxBodyText"/>
            </w:pPr>
            <w:r w:rsidRPr="00B45F94">
              <w:t>Summary of proposal:</w:t>
            </w:r>
          </w:p>
        </w:tc>
        <w:tc>
          <w:tcPr>
            <w:tcW w:w="3191" w:type="pct"/>
          </w:tcPr>
          <w:p w:rsidR="00420CF4" w:rsidRPr="00B45F94" w:rsidRDefault="00420CF4" w:rsidP="00785079">
            <w:pPr>
              <w:pStyle w:val="PullOutBoxBodyText"/>
            </w:pPr>
            <w:r w:rsidRPr="000B290D">
              <w:t>The proposal would abolish the National Wind Farm Commissioner (NWFC) and the Independent Scientific Commission on Wind Farms (ISCWF) from 1</w:t>
            </w:r>
            <w:r>
              <w:t> January </w:t>
            </w:r>
            <w:r w:rsidRPr="000B290D">
              <w:t>2017.</w:t>
            </w:r>
          </w:p>
        </w:tc>
      </w:tr>
      <w:tr w:rsidR="00420CF4" w:rsidRPr="00B45F94" w:rsidTr="00967BCD">
        <w:tc>
          <w:tcPr>
            <w:tcW w:w="1809" w:type="pct"/>
          </w:tcPr>
          <w:p w:rsidR="00420CF4" w:rsidRPr="00B45F94" w:rsidRDefault="00420CF4" w:rsidP="00785079">
            <w:pPr>
              <w:pStyle w:val="PullOutBoxBodyText"/>
            </w:pPr>
            <w:r>
              <w:t>Party:</w:t>
            </w:r>
          </w:p>
        </w:tc>
        <w:tc>
          <w:tcPr>
            <w:tcW w:w="3191" w:type="pct"/>
          </w:tcPr>
          <w:p w:rsidR="00420CF4" w:rsidRPr="00B45F94" w:rsidRDefault="00420CF4" w:rsidP="00785079">
            <w:pPr>
              <w:pStyle w:val="PullOutBoxBodyText"/>
            </w:pPr>
            <w:r>
              <w:t>Australian Labor Party</w:t>
            </w:r>
          </w:p>
        </w:tc>
      </w:tr>
      <w:tr w:rsidR="00420CF4" w:rsidRPr="00B45F94" w:rsidTr="00967BCD">
        <w:tc>
          <w:tcPr>
            <w:tcW w:w="1809" w:type="pct"/>
          </w:tcPr>
          <w:p w:rsidR="00420CF4" w:rsidRPr="00B45F94" w:rsidRDefault="00420CF4" w:rsidP="00785079">
            <w:pPr>
              <w:pStyle w:val="PullOutBoxBodyText"/>
            </w:pPr>
            <w:r w:rsidRPr="00B45F94">
              <w:t>Expiry date for the costing:</w:t>
            </w:r>
          </w:p>
        </w:tc>
        <w:tc>
          <w:tcPr>
            <w:tcW w:w="3191" w:type="pct"/>
          </w:tcPr>
          <w:p w:rsidR="00420CF4" w:rsidRPr="00B45F94" w:rsidRDefault="00420CF4" w:rsidP="00785079">
            <w:pPr>
              <w:pStyle w:val="PullOutBoxBodyText"/>
            </w:pPr>
            <w:r w:rsidRPr="00B45F94">
              <w:t>Release of the next economic and fiscal outlook report</w:t>
            </w:r>
          </w:p>
        </w:tc>
      </w:tr>
    </w:tbl>
    <w:p w:rsidR="00420CF4" w:rsidRDefault="00420CF4" w:rsidP="00420CF4">
      <w:pPr>
        <w:pStyle w:val="CostingsH7"/>
      </w:pPr>
      <w:r w:rsidRPr="00BF1EE6">
        <w:t>Costing overview</w:t>
      </w:r>
    </w:p>
    <w:p w:rsidR="00420CF4" w:rsidRDefault="00420CF4" w:rsidP="00420CF4">
      <w:pPr>
        <w:pStyle w:val="BodyText"/>
      </w:pPr>
      <w:r>
        <w:t xml:space="preserve">This proposal would be expected to increase both the fiscal and underlying cash balances by $1.5 million over the 2016-17 Budget forward estimates period.  The impact represents a decrease in departmental expenditure of $0.3 million and in administered expenditure of </w:t>
      </w:r>
      <w:r w:rsidRPr="0073534F">
        <w:t>$0.1 million from the abolition of the ISCWF as well as a decrease in departmental expenses</w:t>
      </w:r>
      <w:r>
        <w:t xml:space="preserve"> of $1.2 million from the abolition of the NWFC.</w:t>
      </w:r>
    </w:p>
    <w:p w:rsidR="00420CF4" w:rsidRDefault="00420CF4" w:rsidP="00420CF4">
      <w:pPr>
        <w:pStyle w:val="BodyText"/>
      </w:pPr>
      <w:r>
        <w:t>The proposal to abolish the NWFC and the ISCWF from 1 January 2017 is not expected to have a financial impact beyond the 2016-17 Budget forward estimates period as the program is scheduled to conclude in 2018-19.</w:t>
      </w:r>
    </w:p>
    <w:p w:rsidR="00420CF4" w:rsidRPr="00563D2A" w:rsidRDefault="00420CF4" w:rsidP="00420CF4">
      <w:pPr>
        <w:pStyle w:val="BodyText"/>
      </w:pPr>
      <w:r>
        <w:t>The costing is considered to be of high reliability as current program expenditure estimates were provided by the Department of the Environment.</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967BCD">
            <w:pPr>
              <w:pStyle w:val="TableHeading"/>
            </w:pPr>
            <w:r>
              <w:t>Impact on</w:t>
            </w:r>
            <w:r w:rsidR="00785079">
              <w:t xml:space="preserve"> ($)</w:t>
            </w:r>
          </w:p>
        </w:tc>
        <w:tc>
          <w:tcPr>
            <w:tcW w:w="721" w:type="pct"/>
            <w:vAlign w:val="center"/>
          </w:tcPr>
          <w:p w:rsidR="00420CF4" w:rsidRPr="00FC1F1C" w:rsidRDefault="00420CF4" w:rsidP="00967BCD">
            <w:pPr>
              <w:pStyle w:val="TableHeadingRight"/>
            </w:pPr>
            <w:r>
              <w:t>2016–17</w:t>
            </w:r>
          </w:p>
        </w:tc>
        <w:tc>
          <w:tcPr>
            <w:tcW w:w="721" w:type="pct"/>
            <w:vAlign w:val="center"/>
          </w:tcPr>
          <w:p w:rsidR="00420CF4" w:rsidRPr="00FC1F1C" w:rsidRDefault="00420CF4" w:rsidP="00967BCD">
            <w:pPr>
              <w:pStyle w:val="TableHeadingRight"/>
            </w:pPr>
            <w:r>
              <w:t>2017–18</w:t>
            </w:r>
          </w:p>
        </w:tc>
        <w:tc>
          <w:tcPr>
            <w:tcW w:w="722" w:type="pct"/>
            <w:vAlign w:val="center"/>
          </w:tcPr>
          <w:p w:rsidR="00420CF4" w:rsidRPr="00FC1F1C" w:rsidRDefault="00420CF4" w:rsidP="00967BCD">
            <w:pPr>
              <w:pStyle w:val="TableHeadingRight"/>
            </w:pPr>
            <w:r>
              <w:t>2018–19</w:t>
            </w:r>
          </w:p>
        </w:tc>
        <w:tc>
          <w:tcPr>
            <w:tcW w:w="721" w:type="pct"/>
            <w:vAlign w:val="center"/>
          </w:tcPr>
          <w:p w:rsidR="00420CF4" w:rsidRPr="00FC1F1C" w:rsidRDefault="00420CF4" w:rsidP="00967BCD">
            <w:pPr>
              <w:pStyle w:val="TableHeadingRight"/>
            </w:pPr>
            <w:r>
              <w:t>2019–20</w:t>
            </w:r>
          </w:p>
        </w:tc>
        <w:tc>
          <w:tcPr>
            <w:tcW w:w="722" w:type="pct"/>
            <w:vAlign w:val="center"/>
          </w:tcPr>
          <w:p w:rsidR="00420CF4" w:rsidRDefault="00420CF4" w:rsidP="00967BCD">
            <w:pPr>
              <w:pStyle w:val="TableTextRight"/>
            </w:pPr>
            <w:r>
              <w:t>Total to 2019–20</w:t>
            </w:r>
          </w:p>
        </w:tc>
      </w:tr>
      <w:tr w:rsidR="00420CF4" w:rsidTr="00967BCD">
        <w:tc>
          <w:tcPr>
            <w:tcW w:w="1393" w:type="pct"/>
            <w:vAlign w:val="center"/>
          </w:tcPr>
          <w:p w:rsidR="00420CF4" w:rsidRDefault="00420CF4" w:rsidP="00967BCD">
            <w:pPr>
              <w:pStyle w:val="TableText"/>
            </w:pPr>
            <w:r>
              <w:t>Fiscal balance</w:t>
            </w:r>
          </w:p>
        </w:tc>
        <w:tc>
          <w:tcPr>
            <w:tcW w:w="721" w:type="pct"/>
            <w:vAlign w:val="center"/>
          </w:tcPr>
          <w:p w:rsidR="00420CF4" w:rsidRPr="00F34F55" w:rsidRDefault="00420CF4" w:rsidP="00967BCD">
            <w:pPr>
              <w:pStyle w:val="TableTextRight"/>
            </w:pPr>
            <w:r w:rsidRPr="00F34F55">
              <w:t>0.4</w:t>
            </w:r>
          </w:p>
        </w:tc>
        <w:tc>
          <w:tcPr>
            <w:tcW w:w="721" w:type="pct"/>
            <w:vAlign w:val="center"/>
          </w:tcPr>
          <w:p w:rsidR="00420CF4" w:rsidRPr="00F34F55" w:rsidRDefault="00420CF4" w:rsidP="00967BCD">
            <w:pPr>
              <w:pStyle w:val="TableTextRight"/>
            </w:pPr>
            <w:r w:rsidRPr="00F34F55">
              <w:t>0.9</w:t>
            </w:r>
          </w:p>
        </w:tc>
        <w:tc>
          <w:tcPr>
            <w:tcW w:w="722" w:type="pct"/>
            <w:vAlign w:val="center"/>
          </w:tcPr>
          <w:p w:rsidR="00420CF4" w:rsidRPr="00F34F55" w:rsidRDefault="00420CF4" w:rsidP="00967BCD">
            <w:pPr>
              <w:pStyle w:val="TableTextRight"/>
            </w:pPr>
            <w:r w:rsidRPr="00F34F55">
              <w:t>0.3</w:t>
            </w:r>
          </w:p>
        </w:tc>
        <w:tc>
          <w:tcPr>
            <w:tcW w:w="721" w:type="pct"/>
            <w:vAlign w:val="center"/>
          </w:tcPr>
          <w:p w:rsidR="00420CF4" w:rsidRPr="00F34F55" w:rsidRDefault="00420CF4" w:rsidP="00967BCD">
            <w:pPr>
              <w:pStyle w:val="TableTextRight"/>
            </w:pPr>
            <w:r w:rsidRPr="00F34F55">
              <w:t>-</w:t>
            </w:r>
          </w:p>
        </w:tc>
        <w:tc>
          <w:tcPr>
            <w:tcW w:w="722" w:type="pct"/>
            <w:vAlign w:val="center"/>
          </w:tcPr>
          <w:p w:rsidR="00420CF4" w:rsidRPr="00F34F55" w:rsidRDefault="00420CF4" w:rsidP="00967BCD">
            <w:pPr>
              <w:pStyle w:val="TableTextRight"/>
            </w:pPr>
            <w:r w:rsidRPr="00F34F55">
              <w:t>1.5</w:t>
            </w:r>
          </w:p>
        </w:tc>
      </w:tr>
      <w:tr w:rsidR="00420CF4" w:rsidTr="00967BCD">
        <w:tc>
          <w:tcPr>
            <w:tcW w:w="1393" w:type="pct"/>
            <w:vAlign w:val="center"/>
          </w:tcPr>
          <w:p w:rsidR="00420CF4" w:rsidRDefault="00420CF4" w:rsidP="00967BCD">
            <w:pPr>
              <w:pStyle w:val="TableText"/>
            </w:pPr>
            <w:r>
              <w:t>Underlying cash balance</w:t>
            </w:r>
          </w:p>
        </w:tc>
        <w:tc>
          <w:tcPr>
            <w:tcW w:w="721" w:type="pct"/>
            <w:vAlign w:val="center"/>
          </w:tcPr>
          <w:p w:rsidR="00420CF4" w:rsidRPr="00F34F55" w:rsidRDefault="00420CF4" w:rsidP="00967BCD">
            <w:pPr>
              <w:pStyle w:val="TableTextRight"/>
            </w:pPr>
            <w:r w:rsidRPr="00F34F55">
              <w:t>0.4</w:t>
            </w:r>
          </w:p>
        </w:tc>
        <w:tc>
          <w:tcPr>
            <w:tcW w:w="721" w:type="pct"/>
            <w:vAlign w:val="center"/>
          </w:tcPr>
          <w:p w:rsidR="00420CF4" w:rsidRPr="00F34F55" w:rsidRDefault="00420CF4" w:rsidP="00967BCD">
            <w:pPr>
              <w:pStyle w:val="TableTextRight"/>
            </w:pPr>
            <w:r w:rsidRPr="00F34F55">
              <w:t>0.9</w:t>
            </w:r>
          </w:p>
        </w:tc>
        <w:tc>
          <w:tcPr>
            <w:tcW w:w="722" w:type="pct"/>
            <w:vAlign w:val="center"/>
          </w:tcPr>
          <w:p w:rsidR="00420CF4" w:rsidRPr="00F34F55" w:rsidRDefault="00420CF4" w:rsidP="00967BCD">
            <w:pPr>
              <w:pStyle w:val="TableTextRight"/>
            </w:pPr>
            <w:r w:rsidRPr="00F34F55">
              <w:t>0.3</w:t>
            </w:r>
          </w:p>
        </w:tc>
        <w:tc>
          <w:tcPr>
            <w:tcW w:w="721" w:type="pct"/>
            <w:vAlign w:val="center"/>
          </w:tcPr>
          <w:p w:rsidR="00420CF4" w:rsidRPr="00F34F55" w:rsidRDefault="00420CF4" w:rsidP="00967BCD">
            <w:pPr>
              <w:pStyle w:val="TableTextRight"/>
            </w:pPr>
            <w:r w:rsidRPr="00F34F55">
              <w:t>-</w:t>
            </w:r>
          </w:p>
        </w:tc>
        <w:tc>
          <w:tcPr>
            <w:tcW w:w="722" w:type="pct"/>
            <w:vAlign w:val="center"/>
          </w:tcPr>
          <w:p w:rsidR="00420CF4" w:rsidRDefault="00420CF4" w:rsidP="00967BCD">
            <w:pPr>
              <w:pStyle w:val="TableTextRight"/>
            </w:pPr>
            <w:r w:rsidRPr="00F34F55">
              <w:t>1.5</w:t>
            </w:r>
          </w:p>
        </w:tc>
      </w:tr>
    </w:tbl>
    <w:p w:rsidR="00420CF4" w:rsidRDefault="00420CF4" w:rsidP="003768DC">
      <w:pPr>
        <w:pStyle w:val="Footnotes"/>
        <w:numPr>
          <w:ilvl w:val="0"/>
          <w:numId w:val="17"/>
        </w:numPr>
        <w:ind w:left="284" w:hanging="284"/>
      </w:pPr>
      <w:r>
        <w:t xml:space="preserve">A positive </w:t>
      </w:r>
      <w:r w:rsidRPr="00FC1F1C">
        <w:t>number indicates an increase in the relevant budget balance, a negative number a decrease.</w:t>
      </w:r>
    </w:p>
    <w:p w:rsidR="00420CF4" w:rsidRDefault="00420CF4" w:rsidP="003768DC">
      <w:pPr>
        <w:pStyle w:val="Footnotes"/>
        <w:numPr>
          <w:ilvl w:val="0"/>
          <w:numId w:val="14"/>
        </w:numPr>
        <w:ind w:left="284" w:hanging="284"/>
      </w:pPr>
      <w:r>
        <w:t>Figures may not sum to totals due to rounding.</w:t>
      </w:r>
    </w:p>
    <w:p w:rsidR="00420CF4" w:rsidRPr="008C711A" w:rsidRDefault="00420CF4" w:rsidP="003768DC">
      <w:pPr>
        <w:pStyle w:val="Footnotes"/>
        <w:numPr>
          <w:ilvl w:val="0"/>
          <w:numId w:val="13"/>
        </w:numPr>
        <w:ind w:left="284" w:hanging="284"/>
        <w:rPr>
          <w:rStyle w:val="FootnoteReference"/>
          <w:vertAlign w:val="baseline"/>
        </w:rPr>
      </w:pPr>
      <w:r w:rsidRPr="008C711A">
        <w:t>Indicates nil.</w:t>
      </w:r>
    </w:p>
    <w:p w:rsidR="00420CF4" w:rsidRDefault="00420CF4" w:rsidP="00420CF4">
      <w:pPr>
        <w:pStyle w:val="CostingsH7"/>
      </w:pPr>
      <w:r>
        <w:lastRenderedPageBreak/>
        <w:t>Methodology</w:t>
      </w:r>
    </w:p>
    <w:p w:rsidR="00420CF4" w:rsidRPr="005D6D11" w:rsidRDefault="00420CF4" w:rsidP="00420CF4">
      <w:pPr>
        <w:pStyle w:val="BodyText"/>
      </w:pPr>
      <w:r w:rsidRPr="005D6D11">
        <w:t xml:space="preserve">Expenditure estimates provided by the Department of the Environment for 2016-17 were reduced by half to reflect the abolition of the NWFC and </w:t>
      </w:r>
      <w:r>
        <w:t>ISCWF half way through the 2016</w:t>
      </w:r>
      <w:r>
        <w:noBreakHyphen/>
      </w:r>
      <w:r w:rsidRPr="005D6D11">
        <w:t>17 financial year; all expenditure estimates beyond this point were reduced to zero.</w:t>
      </w:r>
    </w:p>
    <w:p w:rsidR="00420CF4" w:rsidRDefault="00420CF4" w:rsidP="00420CF4">
      <w:pPr>
        <w:pStyle w:val="CostingsH7"/>
      </w:pPr>
      <w:r>
        <w:t>Data sources</w:t>
      </w:r>
    </w:p>
    <w:p w:rsidR="00420CF4" w:rsidRPr="005D6D11" w:rsidRDefault="00420CF4" w:rsidP="00420CF4">
      <w:pPr>
        <w:pStyle w:val="BodyText"/>
      </w:pPr>
      <w:r w:rsidRPr="005D6D11">
        <w:t>The Department of the Environment provided expenditure estimates over the period 2016</w:t>
      </w:r>
      <w:r>
        <w:noBreakHyphen/>
      </w:r>
      <w:r w:rsidRPr="005D6D11">
        <w:t>17 to 2018-19.</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9" w:name="_Toc458081629"/>
      <w:r>
        <w:lastRenderedPageBreak/>
        <w:t>ALP005: Cease Jobactive advertising from 1 January 2017</w:t>
      </w:r>
      <w:bookmarkEnd w:id="9"/>
    </w:p>
    <w:p w:rsidR="009346E9" w:rsidRDefault="009346E9" w:rsidP="009346E9">
      <w:pPr>
        <w:pStyle w:val="BodyText"/>
      </w:pPr>
      <w:r>
        <w:rPr>
          <w:noProof/>
          <w:lang w:eastAsia="en-AU"/>
        </w:rPr>
        <w:drawing>
          <wp:inline distT="0" distB="0" distL="0" distR="0" wp14:anchorId="20DD52F5" wp14:editId="65C44AF5">
            <wp:extent cx="2696845" cy="572135"/>
            <wp:effectExtent l="0" t="0" r="8255" b="0"/>
            <wp:docPr id="391" name="Picture 39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785079">
            <w:pPr>
              <w:pStyle w:val="PullOutBoxHeading"/>
              <w:rPr>
                <w:b/>
              </w:rPr>
            </w:pPr>
            <w:r w:rsidRPr="00AF6ADB">
              <w:rPr>
                <w:b/>
              </w:rPr>
              <w:t>Name of proposal:</w:t>
            </w:r>
          </w:p>
        </w:tc>
        <w:tc>
          <w:tcPr>
            <w:tcW w:w="3191" w:type="pct"/>
          </w:tcPr>
          <w:p w:rsidR="00420CF4" w:rsidRPr="00AF6ADB" w:rsidRDefault="00420CF4" w:rsidP="00785079">
            <w:pPr>
              <w:pStyle w:val="PullOutBoxHeading"/>
              <w:rPr>
                <w:b/>
              </w:rPr>
            </w:pPr>
            <w:r w:rsidRPr="00AF6ADB">
              <w:rPr>
                <w:b/>
              </w:rPr>
              <w:t>Cease Jobactive advertising from 1 January 2017</w:t>
            </w:r>
          </w:p>
        </w:tc>
      </w:tr>
      <w:tr w:rsidR="00420CF4" w:rsidRPr="00B45F94" w:rsidTr="00967BCD">
        <w:tc>
          <w:tcPr>
            <w:tcW w:w="1809" w:type="pct"/>
          </w:tcPr>
          <w:p w:rsidR="00420CF4" w:rsidRPr="00B45F94" w:rsidRDefault="00420CF4" w:rsidP="00785079">
            <w:pPr>
              <w:pStyle w:val="PullOutBoxBodyText"/>
            </w:pPr>
            <w:r w:rsidRPr="00B45F94">
              <w:t>Summary of proposal:</w:t>
            </w:r>
          </w:p>
        </w:tc>
        <w:tc>
          <w:tcPr>
            <w:tcW w:w="3191" w:type="pct"/>
          </w:tcPr>
          <w:p w:rsidR="00420CF4" w:rsidRDefault="00420CF4" w:rsidP="00785079">
            <w:pPr>
              <w:pStyle w:val="PullOutBoxBodyText"/>
            </w:pPr>
            <w:r>
              <w:t>The proposal would cease jobactive advertising with all existing commitments honoured.</w:t>
            </w:r>
          </w:p>
          <w:p w:rsidR="00420CF4" w:rsidRPr="00B45F94" w:rsidRDefault="00420CF4" w:rsidP="00785079">
            <w:pPr>
              <w:pStyle w:val="PullOutBoxBodyText"/>
            </w:pPr>
            <w:r>
              <w:t>The proposal would have effect from 1 January 2017.</w:t>
            </w:r>
          </w:p>
        </w:tc>
      </w:tr>
      <w:tr w:rsidR="00420CF4" w:rsidRPr="00B45F94" w:rsidTr="00967BCD">
        <w:tc>
          <w:tcPr>
            <w:tcW w:w="1809" w:type="pct"/>
          </w:tcPr>
          <w:p w:rsidR="00420CF4" w:rsidRPr="00B45F94" w:rsidRDefault="00420CF4" w:rsidP="00785079">
            <w:pPr>
              <w:pStyle w:val="PullOutBoxBodyText"/>
            </w:pPr>
            <w:r>
              <w:t>Party:</w:t>
            </w:r>
          </w:p>
        </w:tc>
        <w:tc>
          <w:tcPr>
            <w:tcW w:w="3191" w:type="pct"/>
          </w:tcPr>
          <w:p w:rsidR="00420CF4" w:rsidRPr="00B45F94" w:rsidRDefault="00420CF4" w:rsidP="00785079">
            <w:pPr>
              <w:pStyle w:val="PullOutBoxBodyText"/>
            </w:pPr>
            <w:r>
              <w:t>Australian Labor Party</w:t>
            </w:r>
          </w:p>
        </w:tc>
      </w:tr>
      <w:tr w:rsidR="00420CF4" w:rsidRPr="00B45F94" w:rsidTr="00967BCD">
        <w:tc>
          <w:tcPr>
            <w:tcW w:w="1809" w:type="pct"/>
          </w:tcPr>
          <w:p w:rsidR="00420CF4" w:rsidRPr="00B45F94" w:rsidRDefault="00420CF4" w:rsidP="00785079">
            <w:pPr>
              <w:pStyle w:val="PullOutBoxBodyText"/>
            </w:pPr>
            <w:r w:rsidRPr="00B45F94">
              <w:t>Expiry date for the costing:</w:t>
            </w:r>
          </w:p>
        </w:tc>
        <w:tc>
          <w:tcPr>
            <w:tcW w:w="3191" w:type="pct"/>
          </w:tcPr>
          <w:p w:rsidR="00420CF4" w:rsidRPr="00B45F94" w:rsidRDefault="00EC102A" w:rsidP="007850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20CF4" w:rsidRDefault="00420CF4" w:rsidP="00420CF4">
      <w:pPr>
        <w:pStyle w:val="BodyText"/>
      </w:pPr>
      <w:r>
        <w:t>This proposal is expected to increase the fiscal and underlying cash balances by $13.8 million over the 2016-17 Budget forward estimates period.  This impact is entirely due to a decrease in administered expenses.  The proposal would not be expected to have a material impact on departmental expenses.</w:t>
      </w:r>
    </w:p>
    <w:p w:rsidR="00420CF4" w:rsidRPr="002E4E40" w:rsidRDefault="00420CF4" w:rsidP="00420CF4">
      <w:pPr>
        <w:pStyle w:val="BodyText"/>
      </w:pPr>
      <w:r>
        <w:t>This costing is considered to be of high reliability as it is based on advice provided by the Department of Employment.</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194A1D">
            <w:pPr>
              <w:pStyle w:val="TableHeading"/>
            </w:pPr>
            <w:r>
              <w:t>Impact on</w:t>
            </w:r>
            <w:r w:rsidR="00194A1D">
              <w:t xml:space="preserve"> ($m)</w:t>
            </w:r>
          </w:p>
        </w:tc>
        <w:tc>
          <w:tcPr>
            <w:tcW w:w="721" w:type="pct"/>
            <w:vAlign w:val="center"/>
          </w:tcPr>
          <w:p w:rsidR="00420CF4" w:rsidRPr="00FC1F1C" w:rsidRDefault="00420CF4" w:rsidP="00967BCD">
            <w:pPr>
              <w:pStyle w:val="TableHeadingRight"/>
            </w:pPr>
            <w:r>
              <w:t>2016–17</w:t>
            </w:r>
          </w:p>
        </w:tc>
        <w:tc>
          <w:tcPr>
            <w:tcW w:w="721" w:type="pct"/>
            <w:vAlign w:val="center"/>
          </w:tcPr>
          <w:p w:rsidR="00420CF4" w:rsidRPr="00FC1F1C" w:rsidRDefault="00420CF4" w:rsidP="00967BCD">
            <w:pPr>
              <w:pStyle w:val="TableHeadingRight"/>
            </w:pPr>
            <w:r>
              <w:t>2017–18</w:t>
            </w:r>
          </w:p>
        </w:tc>
        <w:tc>
          <w:tcPr>
            <w:tcW w:w="722" w:type="pct"/>
            <w:vAlign w:val="center"/>
          </w:tcPr>
          <w:p w:rsidR="00420CF4" w:rsidRPr="00FC1F1C" w:rsidRDefault="00420CF4" w:rsidP="00967BCD">
            <w:pPr>
              <w:pStyle w:val="TableHeadingRight"/>
            </w:pPr>
            <w:r>
              <w:t>2018–19</w:t>
            </w:r>
          </w:p>
        </w:tc>
        <w:tc>
          <w:tcPr>
            <w:tcW w:w="721" w:type="pct"/>
            <w:vAlign w:val="center"/>
          </w:tcPr>
          <w:p w:rsidR="00420CF4" w:rsidRPr="00FC1F1C" w:rsidRDefault="00420CF4" w:rsidP="00967BCD">
            <w:pPr>
              <w:pStyle w:val="TableHeadingRight"/>
            </w:pPr>
            <w:r>
              <w:t>2019–20</w:t>
            </w:r>
          </w:p>
        </w:tc>
        <w:tc>
          <w:tcPr>
            <w:tcW w:w="722" w:type="pct"/>
            <w:vAlign w:val="center"/>
          </w:tcPr>
          <w:p w:rsidR="00420CF4" w:rsidRPr="002E4E40" w:rsidRDefault="00420CF4" w:rsidP="00967BCD">
            <w:pPr>
              <w:pStyle w:val="TableTextRight"/>
            </w:pPr>
            <w:r w:rsidRPr="002E4E40">
              <w:t>Total to 2019–20</w:t>
            </w:r>
          </w:p>
        </w:tc>
      </w:tr>
      <w:tr w:rsidR="00420CF4" w:rsidTr="00967BCD">
        <w:tc>
          <w:tcPr>
            <w:tcW w:w="1393" w:type="pct"/>
            <w:vAlign w:val="center"/>
          </w:tcPr>
          <w:p w:rsidR="00420CF4" w:rsidRDefault="00420CF4" w:rsidP="00967BCD">
            <w:pPr>
              <w:pStyle w:val="TableText"/>
            </w:pPr>
            <w:r>
              <w:t>Fiscal balance</w:t>
            </w:r>
          </w:p>
        </w:tc>
        <w:tc>
          <w:tcPr>
            <w:tcW w:w="721" w:type="pct"/>
            <w:vAlign w:val="center"/>
          </w:tcPr>
          <w:p w:rsidR="00420CF4" w:rsidRPr="004C51A1" w:rsidRDefault="00420CF4" w:rsidP="00967BCD">
            <w:pPr>
              <w:pStyle w:val="TableTextRight"/>
            </w:pPr>
            <w:r w:rsidRPr="004C51A1">
              <w:t>3.8</w:t>
            </w:r>
          </w:p>
        </w:tc>
        <w:tc>
          <w:tcPr>
            <w:tcW w:w="721" w:type="pct"/>
            <w:vAlign w:val="center"/>
          </w:tcPr>
          <w:p w:rsidR="00420CF4" w:rsidRPr="004C51A1" w:rsidRDefault="00420CF4" w:rsidP="00967BCD">
            <w:pPr>
              <w:pStyle w:val="TableTextRight"/>
            </w:pPr>
            <w:r w:rsidRPr="004C51A1">
              <w:t>3.4</w:t>
            </w:r>
          </w:p>
        </w:tc>
        <w:tc>
          <w:tcPr>
            <w:tcW w:w="722" w:type="pct"/>
            <w:vAlign w:val="center"/>
          </w:tcPr>
          <w:p w:rsidR="00420CF4" w:rsidRPr="004C51A1" w:rsidRDefault="00420CF4" w:rsidP="00967BCD">
            <w:pPr>
              <w:pStyle w:val="TableTextRight"/>
            </w:pPr>
            <w:r w:rsidRPr="004C51A1">
              <w:t>3.3</w:t>
            </w:r>
          </w:p>
        </w:tc>
        <w:tc>
          <w:tcPr>
            <w:tcW w:w="721" w:type="pct"/>
            <w:vAlign w:val="center"/>
          </w:tcPr>
          <w:p w:rsidR="00420CF4" w:rsidRPr="004C51A1" w:rsidRDefault="00420CF4" w:rsidP="00967BCD">
            <w:pPr>
              <w:pStyle w:val="TableTextRight"/>
            </w:pPr>
            <w:r w:rsidRPr="004C51A1">
              <w:t>3.3</w:t>
            </w:r>
          </w:p>
        </w:tc>
        <w:tc>
          <w:tcPr>
            <w:tcW w:w="722" w:type="pct"/>
            <w:vAlign w:val="center"/>
          </w:tcPr>
          <w:p w:rsidR="00420CF4" w:rsidRPr="002E4E40" w:rsidRDefault="00420CF4" w:rsidP="00967BCD">
            <w:pPr>
              <w:pStyle w:val="TableTextRight"/>
              <w:rPr>
                <w:b/>
              </w:rPr>
            </w:pPr>
            <w:r w:rsidRPr="002E4E40">
              <w:rPr>
                <w:b/>
              </w:rPr>
              <w:t>13.8</w:t>
            </w:r>
          </w:p>
        </w:tc>
      </w:tr>
      <w:tr w:rsidR="00420CF4" w:rsidTr="00967BCD">
        <w:tc>
          <w:tcPr>
            <w:tcW w:w="1393" w:type="pct"/>
            <w:vAlign w:val="center"/>
          </w:tcPr>
          <w:p w:rsidR="00420CF4" w:rsidRDefault="00420CF4" w:rsidP="00967BCD">
            <w:pPr>
              <w:pStyle w:val="TableText"/>
            </w:pPr>
            <w:r>
              <w:t>Underlying cash balance</w:t>
            </w:r>
          </w:p>
        </w:tc>
        <w:tc>
          <w:tcPr>
            <w:tcW w:w="721" w:type="pct"/>
            <w:vAlign w:val="center"/>
          </w:tcPr>
          <w:p w:rsidR="00420CF4" w:rsidRPr="004C51A1" w:rsidRDefault="00420CF4" w:rsidP="00967BCD">
            <w:pPr>
              <w:pStyle w:val="TableTextRight"/>
            </w:pPr>
            <w:r w:rsidRPr="004C51A1">
              <w:t>3.8</w:t>
            </w:r>
          </w:p>
        </w:tc>
        <w:tc>
          <w:tcPr>
            <w:tcW w:w="721" w:type="pct"/>
            <w:vAlign w:val="center"/>
          </w:tcPr>
          <w:p w:rsidR="00420CF4" w:rsidRPr="004C51A1" w:rsidRDefault="00420CF4" w:rsidP="00967BCD">
            <w:pPr>
              <w:pStyle w:val="TableTextRight"/>
            </w:pPr>
            <w:r w:rsidRPr="004C51A1">
              <w:t>3.4</w:t>
            </w:r>
          </w:p>
        </w:tc>
        <w:tc>
          <w:tcPr>
            <w:tcW w:w="722" w:type="pct"/>
            <w:vAlign w:val="center"/>
          </w:tcPr>
          <w:p w:rsidR="00420CF4" w:rsidRPr="004C51A1" w:rsidRDefault="00420CF4" w:rsidP="00967BCD">
            <w:pPr>
              <w:pStyle w:val="TableTextRight"/>
            </w:pPr>
            <w:r w:rsidRPr="004C51A1">
              <w:t>3.3</w:t>
            </w:r>
          </w:p>
        </w:tc>
        <w:tc>
          <w:tcPr>
            <w:tcW w:w="721" w:type="pct"/>
            <w:vAlign w:val="center"/>
          </w:tcPr>
          <w:p w:rsidR="00420CF4" w:rsidRPr="004C51A1" w:rsidRDefault="00420CF4" w:rsidP="00967BCD">
            <w:pPr>
              <w:pStyle w:val="TableTextRight"/>
            </w:pPr>
            <w:r w:rsidRPr="004C51A1">
              <w:t>3.3</w:t>
            </w:r>
          </w:p>
        </w:tc>
        <w:tc>
          <w:tcPr>
            <w:tcW w:w="722" w:type="pct"/>
            <w:vAlign w:val="center"/>
          </w:tcPr>
          <w:p w:rsidR="00420CF4" w:rsidRPr="002E4E40" w:rsidRDefault="00420CF4" w:rsidP="00967BCD">
            <w:pPr>
              <w:pStyle w:val="TableTextRight"/>
              <w:rPr>
                <w:b/>
              </w:rPr>
            </w:pPr>
            <w:r w:rsidRPr="002E4E40">
              <w:rPr>
                <w:b/>
              </w:rPr>
              <w:t>13.8</w:t>
            </w:r>
          </w:p>
        </w:tc>
      </w:tr>
    </w:tbl>
    <w:p w:rsidR="00420CF4" w:rsidRDefault="00420CF4" w:rsidP="003768DC">
      <w:pPr>
        <w:pStyle w:val="Footnotes"/>
        <w:numPr>
          <w:ilvl w:val="0"/>
          <w:numId w:val="18"/>
        </w:numPr>
        <w:ind w:left="284" w:hanging="284"/>
      </w:pPr>
      <w:r>
        <w:t xml:space="preserve">A positive </w:t>
      </w:r>
      <w:r w:rsidRPr="00FC1F1C">
        <w:t>number indicates an increase in the relevant budget balance, a negative number a decrease.</w:t>
      </w:r>
    </w:p>
    <w:p w:rsidR="00420CF4" w:rsidRPr="008C711A" w:rsidRDefault="00420CF4" w:rsidP="003768DC">
      <w:pPr>
        <w:pStyle w:val="Footnotes"/>
        <w:numPr>
          <w:ilvl w:val="0"/>
          <w:numId w:val="14"/>
        </w:numPr>
        <w:ind w:left="284" w:hanging="284"/>
        <w:rPr>
          <w:rStyle w:val="FootnoteReference"/>
          <w:vertAlign w:val="baseline"/>
        </w:rPr>
      </w:pPr>
      <w:r w:rsidRPr="008C711A">
        <w:t>Figures may not sum to totals due to rounding.</w:t>
      </w:r>
    </w:p>
    <w:p w:rsidR="00420CF4" w:rsidRDefault="00420CF4" w:rsidP="00420CF4">
      <w:pPr>
        <w:pStyle w:val="CostingsH7"/>
      </w:pPr>
      <w:r>
        <w:t>Methodology</w:t>
      </w:r>
    </w:p>
    <w:p w:rsidR="00420CF4" w:rsidRDefault="00420CF4" w:rsidP="00420CF4">
      <w:pPr>
        <w:pStyle w:val="BodyText"/>
      </w:pPr>
      <w:r>
        <w:t>Funding allocations and expected commitments as at 1 January 2017 for jobactive advertising to 2018-19 were provided by the Department of Employment.</w:t>
      </w:r>
    </w:p>
    <w:p w:rsidR="00420CF4" w:rsidRPr="005B2594" w:rsidRDefault="00420CF4" w:rsidP="00420CF4">
      <w:pPr>
        <w:pStyle w:val="BodyText"/>
      </w:pPr>
      <w:r>
        <w:t>The Parliamentary Budget Office estimated funding allocations beyond 2018-19 based on the existing funding.</w:t>
      </w:r>
    </w:p>
    <w:p w:rsidR="00420CF4" w:rsidRDefault="00420CF4" w:rsidP="00420CF4">
      <w:pPr>
        <w:pStyle w:val="CostingsH7"/>
      </w:pPr>
      <w:r>
        <w:lastRenderedPageBreak/>
        <w:t>Data sources</w:t>
      </w:r>
    </w:p>
    <w:p w:rsidR="00420CF4" w:rsidRDefault="001C25D9" w:rsidP="00420CF4">
      <w:pPr>
        <w:pStyle w:val="BodyText"/>
        <w:keepNext/>
        <w:keepLines/>
      </w:pPr>
      <w:r>
        <w:t xml:space="preserve">The </w:t>
      </w:r>
      <w:r w:rsidR="00420CF4">
        <w:t>Department of Employment</w:t>
      </w:r>
      <w:r>
        <w:t xml:space="preserve"> provided:</w:t>
      </w:r>
    </w:p>
    <w:p w:rsidR="00420CF4" w:rsidRDefault="00420CF4" w:rsidP="00420CF4">
      <w:pPr>
        <w:pStyle w:val="ListBullet"/>
        <w:keepNext/>
        <w:tabs>
          <w:tab w:val="clear" w:pos="454"/>
        </w:tabs>
      </w:pPr>
      <w:r>
        <w:t>Funding allocation and contractual commitments of advertising jobactive.</w:t>
      </w:r>
    </w:p>
    <w:p w:rsidR="00420CF4" w:rsidRPr="005B2594" w:rsidRDefault="00420CF4" w:rsidP="00420CF4">
      <w:pPr>
        <w:pStyle w:val="ListBullet"/>
        <w:tabs>
          <w:tab w:val="clear" w:pos="454"/>
        </w:tabs>
      </w:pPr>
      <w:r>
        <w:t>Expected contractual commitments as at 1 January 2017.</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0" w:name="_Toc458081630"/>
      <w:r>
        <w:lastRenderedPageBreak/>
        <w:t>ALP006: Child Care Subsidy Communications Campaign – cessation</w:t>
      </w:r>
      <w:bookmarkEnd w:id="10"/>
    </w:p>
    <w:p w:rsidR="009346E9" w:rsidRDefault="009346E9" w:rsidP="009346E9">
      <w:pPr>
        <w:pStyle w:val="BodyText"/>
      </w:pPr>
      <w:r>
        <w:rPr>
          <w:noProof/>
          <w:lang w:eastAsia="en-AU"/>
        </w:rPr>
        <w:drawing>
          <wp:inline distT="0" distB="0" distL="0" distR="0" wp14:anchorId="367C7D8F" wp14:editId="60E9A7A5">
            <wp:extent cx="2696845" cy="572135"/>
            <wp:effectExtent l="0" t="0" r="8255" b="0"/>
            <wp:docPr id="390" name="Picture 39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6042"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6042" w:rsidRDefault="00420CF4" w:rsidP="00785079">
            <w:pPr>
              <w:pStyle w:val="PullOutBoxHeading"/>
              <w:rPr>
                <w:b/>
              </w:rPr>
            </w:pPr>
            <w:r w:rsidRPr="00E76042">
              <w:rPr>
                <w:b/>
              </w:rPr>
              <w:t>Name of proposal:</w:t>
            </w:r>
          </w:p>
        </w:tc>
        <w:tc>
          <w:tcPr>
            <w:tcW w:w="3191" w:type="pct"/>
          </w:tcPr>
          <w:p w:rsidR="00420CF4" w:rsidRPr="00E76042" w:rsidRDefault="00420CF4" w:rsidP="00785079">
            <w:pPr>
              <w:pStyle w:val="PullOutBoxHeading"/>
              <w:rPr>
                <w:b/>
              </w:rPr>
            </w:pPr>
            <w:r w:rsidRPr="00E76042">
              <w:rPr>
                <w:b/>
              </w:rPr>
              <w:t>Child Care Subsidy Communications Campaign – cessation</w:t>
            </w:r>
          </w:p>
        </w:tc>
      </w:tr>
      <w:tr w:rsidR="00420CF4" w:rsidRPr="00B45F94" w:rsidTr="00967BCD">
        <w:tc>
          <w:tcPr>
            <w:tcW w:w="1809" w:type="pct"/>
          </w:tcPr>
          <w:p w:rsidR="00420CF4" w:rsidRPr="00B45F94" w:rsidRDefault="00420CF4" w:rsidP="00785079">
            <w:pPr>
              <w:pStyle w:val="PullOutBoxBodyText"/>
            </w:pPr>
            <w:r w:rsidRPr="00B45F94">
              <w:t>Summary of proposal:</w:t>
            </w:r>
          </w:p>
        </w:tc>
        <w:tc>
          <w:tcPr>
            <w:tcW w:w="3191" w:type="pct"/>
          </w:tcPr>
          <w:p w:rsidR="00420CF4" w:rsidRDefault="00420CF4" w:rsidP="00785079">
            <w:pPr>
              <w:pStyle w:val="PullOutBoxBodyText"/>
            </w:pPr>
            <w:r>
              <w:t>The proposal would abolish the Child Care Subsidy Communications Campaign.</w:t>
            </w:r>
          </w:p>
          <w:p w:rsidR="00420CF4" w:rsidRDefault="00420CF4" w:rsidP="00785079">
            <w:pPr>
              <w:pStyle w:val="PullOutBoxBodyText"/>
            </w:pPr>
            <w:r>
              <w:t>All contractual commitments would be honoured.</w:t>
            </w:r>
          </w:p>
          <w:p w:rsidR="00420CF4" w:rsidRPr="00B45F94" w:rsidRDefault="00420CF4" w:rsidP="00785079">
            <w:pPr>
              <w:pStyle w:val="PullOutBoxBodyText"/>
            </w:pPr>
            <w:r>
              <w:t>This proposal would have effect from 1 July 2016.</w:t>
            </w:r>
          </w:p>
        </w:tc>
      </w:tr>
      <w:tr w:rsidR="00420CF4" w:rsidRPr="00B45F94" w:rsidTr="00967BCD">
        <w:tc>
          <w:tcPr>
            <w:tcW w:w="1809" w:type="pct"/>
          </w:tcPr>
          <w:p w:rsidR="00420CF4" w:rsidRPr="00B45F94" w:rsidRDefault="00420CF4" w:rsidP="00785079">
            <w:pPr>
              <w:pStyle w:val="PullOutBoxBodyText"/>
            </w:pPr>
            <w:r>
              <w:t>Party:</w:t>
            </w:r>
          </w:p>
        </w:tc>
        <w:tc>
          <w:tcPr>
            <w:tcW w:w="3191" w:type="pct"/>
          </w:tcPr>
          <w:p w:rsidR="00420CF4" w:rsidRPr="00B45F94" w:rsidRDefault="00420CF4" w:rsidP="00785079">
            <w:pPr>
              <w:pStyle w:val="PullOutBoxBodyText"/>
            </w:pPr>
            <w:r>
              <w:t>Australian Labor Party</w:t>
            </w:r>
          </w:p>
        </w:tc>
      </w:tr>
      <w:tr w:rsidR="00420CF4" w:rsidRPr="00B45F94" w:rsidTr="00967BCD">
        <w:tc>
          <w:tcPr>
            <w:tcW w:w="1809" w:type="pct"/>
          </w:tcPr>
          <w:p w:rsidR="00420CF4" w:rsidRPr="00B45F94" w:rsidRDefault="00420CF4" w:rsidP="00785079">
            <w:pPr>
              <w:pStyle w:val="PullOutBoxBodyText"/>
            </w:pPr>
            <w:r w:rsidRPr="00B45F94">
              <w:t>Expiry date for the costing:</w:t>
            </w:r>
          </w:p>
        </w:tc>
        <w:tc>
          <w:tcPr>
            <w:tcW w:w="3191" w:type="pct"/>
          </w:tcPr>
          <w:p w:rsidR="00420CF4" w:rsidRPr="00B45F94" w:rsidRDefault="00EC102A" w:rsidP="007850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20CF4" w:rsidRDefault="00420CF4" w:rsidP="00420CF4">
      <w:pPr>
        <w:pStyle w:val="BodyText"/>
      </w:pPr>
      <w:r>
        <w:t>The proposal would be expected to increase both the fiscal and underlying cash balances by $16.2 million over the 2016-17 Budget forward estimates period.  This is entirely due to a decrease in administered expenses resulting from ceasing the Child Care Subsidy Communications Campaign.</w:t>
      </w:r>
    </w:p>
    <w:p w:rsidR="00420CF4" w:rsidRDefault="00420CF4" w:rsidP="00420CF4">
      <w:pPr>
        <w:pStyle w:val="BodyText"/>
      </w:pPr>
      <w:r>
        <w:t>The proposal would not have any financial implications beyond the forward estimates period as funding for the communications campaign terminates on 30 June 2018.</w:t>
      </w:r>
    </w:p>
    <w:p w:rsidR="00420CF4" w:rsidRPr="00A331D4" w:rsidRDefault="00420CF4" w:rsidP="00420CF4">
      <w:pPr>
        <w:pStyle w:val="BodyText"/>
      </w:pPr>
      <w:r>
        <w:t>The costing is considered to be of medium reliability.  While expenditure estimates and contractual commitments to date were provided by the Department of Education and Training (DET), there is uncertainty around the extent to which future funding would be contractually committed and any applicable contract break costs at the proposed cessation date.</w:t>
      </w:r>
    </w:p>
    <w:p w:rsidR="00420CF4" w:rsidRDefault="00420CF4" w:rsidP="00A37B78">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785079" w:rsidP="00A37B78">
            <w:pPr>
              <w:pStyle w:val="TableHeading"/>
            </w:pPr>
            <w:r>
              <w:t>Impact on</w:t>
            </w:r>
            <w:r w:rsidR="00194A1D">
              <w:t xml:space="preserve"> ($m)</w:t>
            </w:r>
          </w:p>
        </w:tc>
        <w:tc>
          <w:tcPr>
            <w:tcW w:w="721" w:type="pct"/>
            <w:vAlign w:val="center"/>
          </w:tcPr>
          <w:p w:rsidR="00420CF4" w:rsidRPr="00FC1F1C" w:rsidRDefault="00420CF4" w:rsidP="00A37B78">
            <w:pPr>
              <w:pStyle w:val="TableHeadingRight"/>
            </w:pPr>
            <w:r>
              <w:t>2016–17</w:t>
            </w:r>
          </w:p>
        </w:tc>
        <w:tc>
          <w:tcPr>
            <w:tcW w:w="721" w:type="pct"/>
            <w:vAlign w:val="center"/>
          </w:tcPr>
          <w:p w:rsidR="00420CF4" w:rsidRPr="00FC1F1C" w:rsidRDefault="00420CF4" w:rsidP="00A37B78">
            <w:pPr>
              <w:pStyle w:val="TableHeadingRight"/>
            </w:pPr>
            <w:r>
              <w:t>2017–18</w:t>
            </w:r>
          </w:p>
        </w:tc>
        <w:tc>
          <w:tcPr>
            <w:tcW w:w="722" w:type="pct"/>
            <w:vAlign w:val="center"/>
          </w:tcPr>
          <w:p w:rsidR="00420CF4" w:rsidRPr="00FC1F1C" w:rsidRDefault="00420CF4" w:rsidP="00A37B78">
            <w:pPr>
              <w:pStyle w:val="TableHeadingRight"/>
            </w:pPr>
            <w:r>
              <w:t>2018–19</w:t>
            </w:r>
          </w:p>
        </w:tc>
        <w:tc>
          <w:tcPr>
            <w:tcW w:w="721" w:type="pct"/>
            <w:vAlign w:val="center"/>
          </w:tcPr>
          <w:p w:rsidR="00420CF4" w:rsidRPr="00FC1F1C" w:rsidRDefault="00420CF4" w:rsidP="00A37B78">
            <w:pPr>
              <w:pStyle w:val="TableHeadingRight"/>
            </w:pPr>
            <w:r>
              <w:t>2019–20</w:t>
            </w:r>
          </w:p>
        </w:tc>
        <w:tc>
          <w:tcPr>
            <w:tcW w:w="722" w:type="pct"/>
            <w:vAlign w:val="center"/>
          </w:tcPr>
          <w:p w:rsidR="00420CF4" w:rsidRPr="00A331D4" w:rsidRDefault="00420CF4" w:rsidP="00A37B78">
            <w:pPr>
              <w:pStyle w:val="TableTextRight"/>
              <w:keepNext/>
              <w:keepLines/>
            </w:pPr>
            <w:r w:rsidRPr="00A331D4">
              <w:t>Total to 2019–20</w:t>
            </w:r>
          </w:p>
        </w:tc>
      </w:tr>
      <w:tr w:rsidR="00420CF4" w:rsidTr="00967BCD">
        <w:tc>
          <w:tcPr>
            <w:tcW w:w="1393" w:type="pct"/>
            <w:vAlign w:val="center"/>
          </w:tcPr>
          <w:p w:rsidR="00420CF4" w:rsidRDefault="00420CF4" w:rsidP="00A37B78">
            <w:pPr>
              <w:pStyle w:val="TableText"/>
              <w:keepNext/>
              <w:keepLines/>
            </w:pPr>
            <w:r>
              <w:t>Fiscal balance</w:t>
            </w:r>
          </w:p>
        </w:tc>
        <w:tc>
          <w:tcPr>
            <w:tcW w:w="721" w:type="pct"/>
            <w:vAlign w:val="center"/>
          </w:tcPr>
          <w:p w:rsidR="00420CF4" w:rsidRPr="007C3615" w:rsidRDefault="00420CF4" w:rsidP="00A37B78">
            <w:pPr>
              <w:pStyle w:val="TableTextRight"/>
              <w:keepNext/>
              <w:keepLines/>
            </w:pPr>
            <w:r w:rsidRPr="007C3615">
              <w:t>6.7</w:t>
            </w:r>
          </w:p>
        </w:tc>
        <w:tc>
          <w:tcPr>
            <w:tcW w:w="721" w:type="pct"/>
            <w:vAlign w:val="center"/>
          </w:tcPr>
          <w:p w:rsidR="00420CF4" w:rsidRPr="007C3615" w:rsidRDefault="00420CF4" w:rsidP="00A37B78">
            <w:pPr>
              <w:pStyle w:val="TableTextRight"/>
              <w:keepNext/>
              <w:keepLines/>
            </w:pPr>
            <w:r w:rsidRPr="007C3615">
              <w:t>9.4</w:t>
            </w:r>
          </w:p>
        </w:tc>
        <w:tc>
          <w:tcPr>
            <w:tcW w:w="722" w:type="pct"/>
            <w:vAlign w:val="center"/>
          </w:tcPr>
          <w:p w:rsidR="00420CF4" w:rsidRPr="007C3615" w:rsidRDefault="00420CF4" w:rsidP="00A37B78">
            <w:pPr>
              <w:pStyle w:val="TableTextRight"/>
              <w:keepNext/>
              <w:keepLines/>
            </w:pPr>
            <w:r w:rsidRPr="007C3615">
              <w:t>-</w:t>
            </w:r>
          </w:p>
        </w:tc>
        <w:tc>
          <w:tcPr>
            <w:tcW w:w="721" w:type="pct"/>
            <w:vAlign w:val="center"/>
          </w:tcPr>
          <w:p w:rsidR="00420CF4" w:rsidRPr="007C3615" w:rsidRDefault="00420CF4" w:rsidP="00A37B78">
            <w:pPr>
              <w:pStyle w:val="TableTextRight"/>
              <w:keepNext/>
              <w:keepLines/>
            </w:pPr>
            <w:r w:rsidRPr="007C3615">
              <w:t>-</w:t>
            </w:r>
          </w:p>
        </w:tc>
        <w:tc>
          <w:tcPr>
            <w:tcW w:w="722" w:type="pct"/>
            <w:vAlign w:val="center"/>
          </w:tcPr>
          <w:p w:rsidR="00420CF4" w:rsidRPr="00A331D4" w:rsidRDefault="00420CF4" w:rsidP="00A37B78">
            <w:pPr>
              <w:pStyle w:val="TableTextRight"/>
              <w:keepNext/>
              <w:keepLines/>
              <w:rPr>
                <w:b/>
              </w:rPr>
            </w:pPr>
            <w:r w:rsidRPr="00A331D4">
              <w:rPr>
                <w:b/>
              </w:rPr>
              <w:t>16.2</w:t>
            </w:r>
          </w:p>
        </w:tc>
      </w:tr>
      <w:tr w:rsidR="00420CF4" w:rsidTr="00967BCD">
        <w:tc>
          <w:tcPr>
            <w:tcW w:w="1393" w:type="pct"/>
            <w:vAlign w:val="center"/>
          </w:tcPr>
          <w:p w:rsidR="00420CF4" w:rsidRDefault="00420CF4" w:rsidP="00A37B78">
            <w:pPr>
              <w:pStyle w:val="TableText"/>
              <w:keepNext/>
              <w:keepLines/>
            </w:pPr>
            <w:r>
              <w:t>Underlying cash balance</w:t>
            </w:r>
          </w:p>
        </w:tc>
        <w:tc>
          <w:tcPr>
            <w:tcW w:w="721" w:type="pct"/>
            <w:vAlign w:val="center"/>
          </w:tcPr>
          <w:p w:rsidR="00420CF4" w:rsidRPr="007C3615" w:rsidRDefault="00420CF4" w:rsidP="00A37B78">
            <w:pPr>
              <w:pStyle w:val="TableTextRight"/>
              <w:keepNext/>
              <w:keepLines/>
            </w:pPr>
            <w:r w:rsidRPr="007C3615">
              <w:t>6.7</w:t>
            </w:r>
          </w:p>
        </w:tc>
        <w:tc>
          <w:tcPr>
            <w:tcW w:w="721" w:type="pct"/>
            <w:vAlign w:val="center"/>
          </w:tcPr>
          <w:p w:rsidR="00420CF4" w:rsidRPr="007C3615" w:rsidRDefault="00420CF4" w:rsidP="00A37B78">
            <w:pPr>
              <w:pStyle w:val="TableTextRight"/>
              <w:keepNext/>
              <w:keepLines/>
            </w:pPr>
            <w:r w:rsidRPr="007C3615">
              <w:t>9.4</w:t>
            </w:r>
          </w:p>
        </w:tc>
        <w:tc>
          <w:tcPr>
            <w:tcW w:w="722" w:type="pct"/>
            <w:vAlign w:val="center"/>
          </w:tcPr>
          <w:p w:rsidR="00420CF4" w:rsidRPr="007C3615" w:rsidRDefault="00420CF4" w:rsidP="00A37B78">
            <w:pPr>
              <w:pStyle w:val="TableTextRight"/>
              <w:keepNext/>
              <w:keepLines/>
            </w:pPr>
            <w:r w:rsidRPr="007C3615">
              <w:t>-</w:t>
            </w:r>
          </w:p>
        </w:tc>
        <w:tc>
          <w:tcPr>
            <w:tcW w:w="721" w:type="pct"/>
            <w:vAlign w:val="center"/>
          </w:tcPr>
          <w:p w:rsidR="00420CF4" w:rsidRPr="007C3615" w:rsidRDefault="00420CF4" w:rsidP="00A37B78">
            <w:pPr>
              <w:pStyle w:val="TableTextRight"/>
              <w:keepNext/>
              <w:keepLines/>
            </w:pPr>
            <w:r w:rsidRPr="007C3615">
              <w:t>-</w:t>
            </w:r>
          </w:p>
        </w:tc>
        <w:tc>
          <w:tcPr>
            <w:tcW w:w="722" w:type="pct"/>
            <w:vAlign w:val="center"/>
          </w:tcPr>
          <w:p w:rsidR="00420CF4" w:rsidRPr="00A331D4" w:rsidRDefault="00420CF4" w:rsidP="00A37B78">
            <w:pPr>
              <w:pStyle w:val="TableTextRight"/>
              <w:keepNext/>
              <w:keepLines/>
              <w:rPr>
                <w:b/>
              </w:rPr>
            </w:pPr>
            <w:r w:rsidRPr="00A331D4">
              <w:rPr>
                <w:b/>
              </w:rPr>
              <w:t>16.2</w:t>
            </w:r>
          </w:p>
        </w:tc>
      </w:tr>
    </w:tbl>
    <w:p w:rsidR="00420CF4" w:rsidRDefault="00420CF4" w:rsidP="00A37B78">
      <w:pPr>
        <w:pStyle w:val="Footnotes"/>
        <w:keepNext/>
        <w:keepLines/>
        <w:numPr>
          <w:ilvl w:val="0"/>
          <w:numId w:val="19"/>
        </w:numPr>
        <w:ind w:left="284" w:hanging="284"/>
      </w:pPr>
      <w:r>
        <w:t xml:space="preserve">A positive </w:t>
      </w:r>
      <w:r w:rsidRPr="00FC1F1C">
        <w:t>number indicates an increase in the relevant budget balance, a negative number a decrease.</w:t>
      </w:r>
    </w:p>
    <w:p w:rsidR="00420CF4" w:rsidRPr="008B06C1" w:rsidRDefault="00420CF4" w:rsidP="003768DC">
      <w:pPr>
        <w:pStyle w:val="Footnotes"/>
        <w:numPr>
          <w:ilvl w:val="0"/>
          <w:numId w:val="14"/>
        </w:numPr>
        <w:ind w:left="284" w:hanging="284"/>
        <w:rPr>
          <w:rStyle w:val="FootnoteReference"/>
          <w:vertAlign w:val="baseline"/>
        </w:rPr>
      </w:pPr>
      <w:r w:rsidRPr="008B06C1">
        <w:t>Figures may not sum to totals due to rounding.</w:t>
      </w:r>
    </w:p>
    <w:p w:rsidR="00420CF4" w:rsidRDefault="00420CF4" w:rsidP="00420CF4">
      <w:pPr>
        <w:pStyle w:val="CostingsH7"/>
      </w:pPr>
      <w:r>
        <w:lastRenderedPageBreak/>
        <w:t>Key assumptions</w:t>
      </w:r>
    </w:p>
    <w:p w:rsidR="00420CF4" w:rsidRPr="00AC3887" w:rsidRDefault="00420CF4" w:rsidP="00420CF4">
      <w:pPr>
        <w:pStyle w:val="BodyText"/>
      </w:pPr>
      <w:r w:rsidRPr="00AC3887">
        <w:t>It was assumed that this proposal would be announced immediately following the election and that DET would be instructed to not enter into any further contractual commitments for the communications campaign.</w:t>
      </w:r>
    </w:p>
    <w:p w:rsidR="00420CF4" w:rsidRDefault="00420CF4" w:rsidP="00420CF4">
      <w:pPr>
        <w:pStyle w:val="CostingsH7"/>
      </w:pPr>
      <w:r>
        <w:t>Methodology</w:t>
      </w:r>
    </w:p>
    <w:p w:rsidR="00420CF4" w:rsidRPr="00AC3887" w:rsidRDefault="00420CF4" w:rsidP="00420CF4">
      <w:pPr>
        <w:pStyle w:val="BodyText"/>
      </w:pPr>
      <w:r w:rsidRPr="00AC3887">
        <w:t>The financial implications of cessation of the program reflec</w:t>
      </w:r>
      <w:r>
        <w:t>t funding estimates at the 2016</w:t>
      </w:r>
      <w:r>
        <w:noBreakHyphen/>
      </w:r>
      <w:r w:rsidRPr="00AC3887">
        <w:t>17 Budget less the estimated level of contractually committed and spent funds at the proposed cessation date.</w:t>
      </w:r>
    </w:p>
    <w:p w:rsidR="00420CF4" w:rsidRDefault="00420CF4" w:rsidP="00420CF4">
      <w:pPr>
        <w:pStyle w:val="CostingsH7"/>
      </w:pPr>
      <w:r>
        <w:t>Data sources</w:t>
      </w:r>
    </w:p>
    <w:p w:rsidR="00420CF4" w:rsidRPr="00AC3887" w:rsidRDefault="001C25D9" w:rsidP="00420CF4">
      <w:pPr>
        <w:pStyle w:val="BodyText"/>
      </w:pPr>
      <w:r>
        <w:t>The Department of Education and Training</w:t>
      </w:r>
      <w:r w:rsidR="00420CF4" w:rsidRPr="00AC3887">
        <w:t xml:space="preserve"> provided administered and departmental funding estimates and contractual commitments as at 26 May 2016 for the Child Care Subsidy Communications Campaign.</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1" w:name="_Toc458081631"/>
      <w:r>
        <w:lastRenderedPageBreak/>
        <w:t>ALP007: Continuing the freeze on the Private Health Insurance Rebate and Medicare Levy Surcharge threshold indexation for 5 years</w:t>
      </w:r>
      <w:bookmarkEnd w:id="11"/>
    </w:p>
    <w:p w:rsidR="009346E9" w:rsidRDefault="009346E9" w:rsidP="009346E9">
      <w:pPr>
        <w:pStyle w:val="BodyText"/>
      </w:pPr>
      <w:r>
        <w:rPr>
          <w:noProof/>
          <w:lang w:eastAsia="en-AU"/>
        </w:rPr>
        <w:drawing>
          <wp:inline distT="0" distB="0" distL="0" distR="0" wp14:anchorId="7ED156D4" wp14:editId="3FFD06D1">
            <wp:extent cx="2696845" cy="572135"/>
            <wp:effectExtent l="0" t="0" r="8255" b="0"/>
            <wp:docPr id="389" name="Picture 38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9116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9116A" w:rsidRDefault="00420CF4" w:rsidP="00FB579C">
            <w:pPr>
              <w:pStyle w:val="PullOutBoxHeading"/>
              <w:rPr>
                <w:b/>
              </w:rPr>
            </w:pPr>
            <w:r w:rsidRPr="00E9116A">
              <w:rPr>
                <w:b/>
              </w:rPr>
              <w:t>Name of proposal:</w:t>
            </w:r>
          </w:p>
        </w:tc>
        <w:tc>
          <w:tcPr>
            <w:tcW w:w="3191" w:type="pct"/>
          </w:tcPr>
          <w:p w:rsidR="00420CF4" w:rsidRPr="00E9116A" w:rsidRDefault="00420CF4" w:rsidP="00FB579C">
            <w:pPr>
              <w:pStyle w:val="PullOutBoxHeading"/>
              <w:rPr>
                <w:b/>
              </w:rPr>
            </w:pPr>
            <w:r w:rsidRPr="00E9116A">
              <w:rPr>
                <w:b/>
              </w:rPr>
              <w:t>Continuing the freeze on the Private Health Insurance Rebate and Medicare Levy Surcharge threshold indexation for 5 years</w:t>
            </w:r>
          </w:p>
        </w:tc>
      </w:tr>
      <w:tr w:rsidR="00420CF4" w:rsidRPr="00B45F94" w:rsidTr="00967BCD">
        <w:tc>
          <w:tcPr>
            <w:tcW w:w="1809" w:type="pct"/>
          </w:tcPr>
          <w:p w:rsidR="00420CF4" w:rsidRPr="00B45F94" w:rsidRDefault="00420CF4" w:rsidP="00FB579C">
            <w:pPr>
              <w:pStyle w:val="PullOutBoxBodyText"/>
            </w:pPr>
            <w:r w:rsidRPr="00B45F94">
              <w:t>Summary of proposal:</w:t>
            </w:r>
          </w:p>
        </w:tc>
        <w:tc>
          <w:tcPr>
            <w:tcW w:w="3191" w:type="pct"/>
          </w:tcPr>
          <w:p w:rsidR="00420CF4" w:rsidRDefault="00420CF4" w:rsidP="00FB579C">
            <w:pPr>
              <w:pStyle w:val="PullOutBoxBodyText"/>
            </w:pPr>
            <w:r>
              <w:t>The proposal would extend the current pause on the indexation of the Medicare Levy Surcharge (MLS) and Private Health Insurance (PHI) thresholds.  In the 2016</w:t>
            </w:r>
            <w:r>
              <w:noBreakHyphen/>
              <w:t>17 Budget, the current pause was extended to continue to apply for three years from 1 July 2018.  The proposal would extend the pause for a further five years to 30 June 2026.</w:t>
            </w:r>
          </w:p>
          <w:p w:rsidR="00420CF4" w:rsidRPr="00B45F94" w:rsidRDefault="00420CF4" w:rsidP="00FB579C">
            <w:pPr>
              <w:pStyle w:val="PullOutBoxBodyText"/>
            </w:pPr>
            <w:r>
              <w:t>The proposal would have effect from 1 July 2021.</w:t>
            </w:r>
          </w:p>
        </w:tc>
      </w:tr>
      <w:tr w:rsidR="00420CF4" w:rsidRPr="00B45F94" w:rsidTr="00967BCD">
        <w:tc>
          <w:tcPr>
            <w:tcW w:w="1809" w:type="pct"/>
          </w:tcPr>
          <w:p w:rsidR="00420CF4" w:rsidRPr="00B45F94" w:rsidRDefault="00420CF4" w:rsidP="00FB579C">
            <w:pPr>
              <w:pStyle w:val="PullOutBoxBodyText"/>
            </w:pPr>
            <w:r>
              <w:t>Party:</w:t>
            </w:r>
          </w:p>
        </w:tc>
        <w:tc>
          <w:tcPr>
            <w:tcW w:w="3191" w:type="pct"/>
          </w:tcPr>
          <w:p w:rsidR="00420CF4" w:rsidRPr="00B45F94" w:rsidRDefault="00420CF4" w:rsidP="00FB579C">
            <w:pPr>
              <w:pStyle w:val="PullOutBoxBodyText"/>
            </w:pPr>
            <w:r>
              <w:t>Australian Labor Party</w:t>
            </w:r>
          </w:p>
        </w:tc>
      </w:tr>
      <w:tr w:rsidR="00420CF4" w:rsidRPr="00B45F94" w:rsidTr="00967BCD">
        <w:tc>
          <w:tcPr>
            <w:tcW w:w="1809" w:type="pct"/>
          </w:tcPr>
          <w:p w:rsidR="00420CF4" w:rsidRPr="00B45F94" w:rsidRDefault="00420CF4" w:rsidP="00FB579C">
            <w:pPr>
              <w:pStyle w:val="PullOutBoxBodyText"/>
            </w:pPr>
            <w:r w:rsidRPr="00B45F94">
              <w:t>Expiry date for the costing:</w:t>
            </w:r>
          </w:p>
        </w:tc>
        <w:tc>
          <w:tcPr>
            <w:tcW w:w="3191" w:type="pct"/>
          </w:tcPr>
          <w:p w:rsidR="00420CF4" w:rsidRPr="00B45F94" w:rsidRDefault="00EC102A" w:rsidP="00FB579C">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20CF4" w:rsidRDefault="00420CF4" w:rsidP="00420CF4">
      <w:pPr>
        <w:pStyle w:val="BodyText"/>
      </w:pPr>
      <w:r>
        <w:t>This proposal would have no impact on the budget over the 2016-17 Budget forward estimates period as it commences on 1 July 2021.</w:t>
      </w:r>
    </w:p>
    <w:p w:rsidR="00420CF4" w:rsidRDefault="00420CF4" w:rsidP="00420CF4">
      <w:pPr>
        <w:pStyle w:val="BodyText"/>
      </w:pPr>
      <w:r>
        <w:t>The proposal would decrease expenditure on the PHI rebate, reflecting the combined effect of lower rebate rates for recipients affected by the proposal and an assumed decrease in PHI coverage arising from the resultant higher out of pocket cost of PHI.  From 2022-23, there would also be an impact on revenue associated with the MLS.  The proposal would not be expected to result in additional departmental expenditures as the implementation of the policy is expected to be within the scope of administering the MLS and PHI.</w:t>
      </w:r>
    </w:p>
    <w:p w:rsidR="00420CF4" w:rsidRDefault="00420CF4" w:rsidP="00420CF4">
      <w:pPr>
        <w:pStyle w:val="BodyText"/>
      </w:pPr>
      <w:r>
        <w:t>This costing is considered to be of medium reliability.  The estimates would be sensitive to changes in health insurance premiums, the consumer price index, income distributions of individuals and couples with and without PHI cover, behavioural responses to changes in the effective costs and benefits of PHI, and the responses of individuals to policy changes since 2012-13 (the year of the data for the costing).  In addition, the reliability of these estimates decreases the further into the future the estimates are projected.</w:t>
      </w:r>
    </w:p>
    <w:p w:rsidR="00420CF4" w:rsidRPr="00FD2797" w:rsidRDefault="00420CF4" w:rsidP="00420CF4">
      <w:pPr>
        <w:pStyle w:val="BodyText"/>
      </w:pPr>
      <w:r>
        <w:t xml:space="preserve">A breakdown of the components for this proposal, including the financial implications to 2026-27, is included at </w:t>
      </w:r>
      <w:r w:rsidRPr="00FD2797">
        <w:rPr>
          <w:u w:val="single"/>
        </w:rPr>
        <w:t>Attachment A</w:t>
      </w:r>
      <w:r>
        <w:t>.  The difference between the fiscal and underlying cash balances is due to the change in the component of the PHI rebate paid through the Australian Taxation Office (ATO) as individuals file their tax returns.</w:t>
      </w:r>
    </w:p>
    <w:p w:rsidR="00420CF4" w:rsidRDefault="00420CF4" w:rsidP="00420CF4">
      <w:pPr>
        <w:pStyle w:val="CostingsH7"/>
      </w:pPr>
      <w:r>
        <w:lastRenderedPageBreak/>
        <w:t>Key assumptions</w:t>
      </w:r>
    </w:p>
    <w:p w:rsidR="00420CF4" w:rsidRDefault="00420CF4" w:rsidP="00420CF4">
      <w:pPr>
        <w:pStyle w:val="BodyText"/>
      </w:pPr>
      <w:r w:rsidRPr="00FD2797">
        <w:t>In costing the proposal, the following assumptions have been made:</w:t>
      </w:r>
    </w:p>
    <w:p w:rsidR="00420CF4" w:rsidRDefault="00420CF4" w:rsidP="00420CF4">
      <w:pPr>
        <w:pStyle w:val="ListBullet"/>
        <w:tabs>
          <w:tab w:val="clear" w:pos="454"/>
        </w:tabs>
      </w:pPr>
      <w:r>
        <w:t>As the proposal would increase the out of pocket cost of PHI there would be a decrease in PHI take-up as a result of the proposal, with higher income policy holders assumed to be less price responsive (and therefore more likely to maintain their PHI cover) than those on low incomes.</w:t>
      </w:r>
    </w:p>
    <w:p w:rsidR="00420CF4" w:rsidRDefault="00420CF4" w:rsidP="00420CF4">
      <w:pPr>
        <w:pStyle w:val="ListBullet"/>
        <w:tabs>
          <w:tab w:val="clear" w:pos="454"/>
        </w:tabs>
      </w:pPr>
      <w:r>
        <w:t>Changes to the PHI rebate have no effect on the gross cost of PHI.</w:t>
      </w:r>
    </w:p>
    <w:p w:rsidR="00420CF4" w:rsidRDefault="00420CF4" w:rsidP="00420CF4">
      <w:pPr>
        <w:pStyle w:val="ListBullet"/>
        <w:tabs>
          <w:tab w:val="clear" w:pos="454"/>
        </w:tabs>
      </w:pPr>
      <w:r>
        <w:t>There is no flow on effect to public hospital expenditure as a result of individuals ceasing their PHI policy.</w:t>
      </w:r>
    </w:p>
    <w:p w:rsidR="00420CF4" w:rsidRDefault="00420CF4" w:rsidP="00420CF4">
      <w:pPr>
        <w:pStyle w:val="ListBullet"/>
        <w:tabs>
          <w:tab w:val="clear" w:pos="454"/>
        </w:tabs>
      </w:pPr>
      <w:r>
        <w:t>The majority of PHI rebate expenses administered by the Department of Health are delivered in the financial year in which they accrue, with a small proportion delivered in the following financial year.  Additionally, there is an amount paid through the ATO as individuals file their tax returns.</w:t>
      </w:r>
    </w:p>
    <w:p w:rsidR="00420CF4" w:rsidRPr="00FD2797" w:rsidRDefault="00420CF4" w:rsidP="00420CF4">
      <w:pPr>
        <w:pStyle w:val="ListBullet"/>
        <w:tabs>
          <w:tab w:val="clear" w:pos="454"/>
        </w:tabs>
      </w:pPr>
      <w:r>
        <w:t>MLS revenue is collected over the two years after the liability is incurred, at the time individuals lodge their tax returns.</w:t>
      </w:r>
    </w:p>
    <w:p w:rsidR="00420CF4" w:rsidRDefault="00420CF4" w:rsidP="00420CF4">
      <w:pPr>
        <w:pStyle w:val="CostingsH7"/>
      </w:pPr>
      <w:r>
        <w:t>Methodology</w:t>
      </w:r>
    </w:p>
    <w:p w:rsidR="00420CF4" w:rsidRDefault="00420CF4" w:rsidP="00420CF4">
      <w:pPr>
        <w:pStyle w:val="BodyText"/>
      </w:pPr>
      <w:r>
        <w:t>Projected income distributions of individuals and families with and without PHI were generated based on de identified 2012-13 personal income tax data.  Average PHI premiums were estimated using data from the Australian Prudential Regulation Authority and projected over the medium term.</w:t>
      </w:r>
    </w:p>
    <w:p w:rsidR="00420CF4" w:rsidRDefault="00420CF4" w:rsidP="00420CF4">
      <w:pPr>
        <w:pStyle w:val="BodyText"/>
      </w:pPr>
      <w:r>
        <w:t>The potential MLS liabilities and values of the PHI rebate were estimated under both current and proposed policy settings.  PHI demand elasticities were then applied to the percentage changes in both the net PHI premium costs and MLS liabilities to estimate the behavioural response resulting from the policy change.  The total PHI rebate expense and MLS revenue estimates under the proposal were then compared to the total under the base scenario to determine the cost of the proposal.</w:t>
      </w:r>
    </w:p>
    <w:p w:rsidR="00420CF4" w:rsidRDefault="00420CF4" w:rsidP="00420CF4">
      <w:pPr>
        <w:pStyle w:val="BodyText"/>
      </w:pPr>
      <w:r>
        <w:t>Timing effects have been included in this costing to account for the timing of tax collections and the payment of the PHI rebate.</w:t>
      </w:r>
    </w:p>
    <w:p w:rsidR="00420CF4" w:rsidRPr="00FD2797" w:rsidRDefault="00420CF4" w:rsidP="00420CF4">
      <w:pPr>
        <w:pStyle w:val="BodyText"/>
      </w:pPr>
      <w:r>
        <w:t>Estimates for administered PHI rebate expenses and MLS revenue have been rounded to the nearest $10 million.</w:t>
      </w:r>
    </w:p>
    <w:p w:rsidR="00420CF4" w:rsidRDefault="00420CF4" w:rsidP="00420CF4">
      <w:pPr>
        <w:pStyle w:val="CostingsH7"/>
      </w:pPr>
      <w:r>
        <w:t>Data sources</w:t>
      </w:r>
    </w:p>
    <w:p w:rsidR="00420CF4" w:rsidRPr="00097567" w:rsidRDefault="00097567" w:rsidP="000763F1">
      <w:pPr>
        <w:pStyle w:val="BodyText"/>
      </w:pPr>
      <w:r>
        <w:t>The Australian Taxation Office provided d</w:t>
      </w:r>
      <w:r w:rsidR="00420CF4" w:rsidRPr="00097567">
        <w:t>e-identified personal income tax and superannuation contribution unit record data for 2012-13.</w:t>
      </w:r>
    </w:p>
    <w:p w:rsidR="00420CF4" w:rsidRDefault="00420CF4" w:rsidP="00221EB1">
      <w:pPr>
        <w:pStyle w:val="BodyText"/>
      </w:pPr>
      <w:r w:rsidRPr="00221EB1">
        <w:t>Australian Prudential Regulation Authority</w:t>
      </w:r>
      <w:r w:rsidR="001C25D9" w:rsidRPr="00221EB1">
        <w:t xml:space="preserve"> 2016, Statistics:</w:t>
      </w:r>
      <w:r w:rsidRPr="00221EB1">
        <w:t xml:space="preserve"> Private Health Insurance Quarterly Statistic</w:t>
      </w:r>
      <w:r w:rsidR="0006453A" w:rsidRPr="00221EB1">
        <w:t xml:space="preserve">s, </w:t>
      </w:r>
      <w:r w:rsidRPr="00221EB1">
        <w:t>March 2016</w:t>
      </w:r>
      <w:r w:rsidR="0006453A" w:rsidRPr="00221EB1">
        <w:t>, APRA, Sydney</w:t>
      </w:r>
      <w:r w:rsidRPr="00221EB1">
        <w:t>.</w:t>
      </w:r>
    </w:p>
    <w:p w:rsidR="000763F1" w:rsidRPr="00221EB1" w:rsidRDefault="000763F1" w:rsidP="000763F1">
      <w:pPr>
        <w:pStyle w:val="BodyText"/>
      </w:pPr>
      <w:r w:rsidRPr="00221EB1">
        <w:lastRenderedPageBreak/>
        <w:t>Cheng, T 2011, ‘</w:t>
      </w:r>
      <w:r w:rsidRPr="0073534F">
        <w:t>Measuring the effects of removing subsidies for private insurance on public expenditure for Health care</w:t>
      </w:r>
      <w:r w:rsidRPr="00221EB1">
        <w:t xml:space="preserve">’, </w:t>
      </w:r>
      <w:r w:rsidRPr="0073534F">
        <w:rPr>
          <w:i/>
        </w:rPr>
        <w:t>Melbourne Institute Working Paper 16/11</w:t>
      </w:r>
      <w:r w:rsidRPr="00221EB1">
        <w:rPr>
          <w:i/>
        </w:rPr>
        <w:t>,</w:t>
      </w:r>
      <w:r w:rsidRPr="00221EB1">
        <w:t xml:space="preserve"> University of Melbourne, Melbourne.</w:t>
      </w:r>
    </w:p>
    <w:p w:rsidR="00420CF4" w:rsidRPr="00221EB1" w:rsidRDefault="0006453A" w:rsidP="00221EB1">
      <w:pPr>
        <w:pStyle w:val="BodyText"/>
      </w:pPr>
      <w:r w:rsidRPr="00221EB1">
        <w:t xml:space="preserve">Commonwealth of Australia 2016, </w:t>
      </w:r>
      <w:r w:rsidR="00420CF4" w:rsidRPr="0073534F">
        <w:rPr>
          <w:i/>
        </w:rPr>
        <w:t>2016-17 Budget</w:t>
      </w:r>
      <w:r w:rsidRPr="00221EB1">
        <w:t>, Commonwealth of Australia Canberra</w:t>
      </w:r>
      <w:r w:rsidR="00420CF4" w:rsidRPr="00221EB1">
        <w:t>.</w:t>
      </w:r>
    </w:p>
    <w:p w:rsidR="00420CF4" w:rsidRDefault="0006453A" w:rsidP="00221EB1">
      <w:pPr>
        <w:pStyle w:val="BodyText"/>
      </w:pPr>
      <w:r w:rsidRPr="00221EB1">
        <w:t xml:space="preserve">Commonwealth </w:t>
      </w:r>
      <w:r w:rsidR="00221EB1" w:rsidRPr="00221EB1">
        <w:t xml:space="preserve">Treasury 2015, </w:t>
      </w:r>
      <w:r w:rsidR="00420CF4" w:rsidRPr="0073534F">
        <w:rPr>
          <w:i/>
        </w:rPr>
        <w:t>2015 Tax Expenditure Statement</w:t>
      </w:r>
      <w:r w:rsidR="00221EB1" w:rsidRPr="00221EB1">
        <w:t>, The Treasury, Canberra</w:t>
      </w:r>
      <w:r w:rsidR="00420CF4" w:rsidRPr="00221EB1">
        <w:t>.</w:t>
      </w:r>
    </w:p>
    <w:p w:rsidR="000763F1" w:rsidRPr="000763F1" w:rsidRDefault="000763F1" w:rsidP="000763F1">
      <w:pPr>
        <w:pStyle w:val="BodyText"/>
      </w:pPr>
      <w:r w:rsidRPr="000763F1">
        <w:t xml:space="preserve">Ellis, R </w:t>
      </w:r>
      <w:r w:rsidR="007A33ED">
        <w:t>&amp;</w:t>
      </w:r>
      <w:r w:rsidR="007A33ED" w:rsidRPr="000763F1">
        <w:t xml:space="preserve"> </w:t>
      </w:r>
      <w:r w:rsidRPr="000763F1">
        <w:t>Savage, E 2008, ‘</w:t>
      </w:r>
      <w:r w:rsidRPr="0073534F">
        <w:t>Run for cover now or later? The impact of premiums, threats and deadlines on private health insurance in Australia</w:t>
      </w:r>
      <w:r w:rsidRPr="000763F1">
        <w:t xml:space="preserve">’ </w:t>
      </w:r>
      <w:r w:rsidRPr="0073534F">
        <w:rPr>
          <w:i/>
        </w:rPr>
        <w:t>International Journal of Health Care Finance and Economics</w:t>
      </w:r>
      <w:r w:rsidRPr="000763F1">
        <w:t>, vol 8. Pp. 257-277.</w:t>
      </w:r>
    </w:p>
    <w:p w:rsidR="00420CF4" w:rsidRPr="000763F1" w:rsidRDefault="00420CF4" w:rsidP="000763F1">
      <w:pPr>
        <w:pStyle w:val="BodyText"/>
      </w:pPr>
      <w:r w:rsidRPr="000763F1">
        <w:t xml:space="preserve">Robson, A, Ergas, H </w:t>
      </w:r>
      <w:r w:rsidR="007A33ED">
        <w:t>&amp;</w:t>
      </w:r>
      <w:r w:rsidR="007A33ED" w:rsidRPr="000763F1">
        <w:t xml:space="preserve"> </w:t>
      </w:r>
      <w:r w:rsidRPr="000763F1">
        <w:t>Paolucci, F 2011</w:t>
      </w:r>
      <w:r w:rsidR="00221EB1" w:rsidRPr="000763F1">
        <w:t>,</w:t>
      </w:r>
      <w:r w:rsidRPr="000763F1">
        <w:t xml:space="preserve"> </w:t>
      </w:r>
      <w:r w:rsidR="000763F1" w:rsidRPr="000763F1">
        <w:t>‘</w:t>
      </w:r>
      <w:r w:rsidRPr="0073534F">
        <w:t>The Analytics of the Australian Private Health Insurance Rebate and the Medicare Levy Surcharge</w:t>
      </w:r>
      <w:r w:rsidR="000763F1" w:rsidRPr="000763F1">
        <w:t>’,</w:t>
      </w:r>
      <w:r w:rsidRPr="000763F1">
        <w:t xml:space="preserve"> </w:t>
      </w:r>
      <w:r w:rsidRPr="0073534F">
        <w:rPr>
          <w:i/>
        </w:rPr>
        <w:t>Agenda</w:t>
      </w:r>
      <w:r w:rsidR="000763F1" w:rsidRPr="000763F1">
        <w:t>,</w:t>
      </w:r>
      <w:r w:rsidRPr="000763F1">
        <w:t xml:space="preserve"> </w:t>
      </w:r>
      <w:r w:rsidR="000763F1" w:rsidRPr="000763F1">
        <w:t>v</w:t>
      </w:r>
      <w:r w:rsidRPr="000763F1">
        <w:t>ol</w:t>
      </w:r>
      <w:r w:rsidR="000763F1" w:rsidRPr="000763F1">
        <w:t>.</w:t>
      </w:r>
      <w:r w:rsidRPr="000763F1">
        <w:t xml:space="preserve"> 18, no</w:t>
      </w:r>
      <w:r w:rsidR="000763F1" w:rsidRPr="000763F1">
        <w:t>.</w:t>
      </w:r>
      <w:r w:rsidRPr="000763F1">
        <w:t xml:space="preserve"> 2. </w:t>
      </w:r>
    </w:p>
    <w:p w:rsidR="00782E22" w:rsidRDefault="00782E22" w:rsidP="000763F1">
      <w:pPr>
        <w:pStyle w:val="BodyText"/>
        <w:rPr>
          <w:highlight w:val="yellow"/>
        </w:rPr>
      </w:pPr>
    </w:p>
    <w:p w:rsidR="00782E22" w:rsidRPr="00782E22" w:rsidRDefault="00782E22" w:rsidP="00782E22">
      <w:pPr>
        <w:pStyle w:val="BodyText17ptAbove"/>
        <w:rPr>
          <w:highlight w:val="yellow"/>
        </w:rPr>
        <w:sectPr w:rsidR="00782E22" w:rsidRPr="00782E22" w:rsidSect="00967BCD">
          <w:footnotePr>
            <w:numRestart w:val="eachSect"/>
          </w:footnotePr>
          <w:pgSz w:w="11906" w:h="16838" w:code="9"/>
          <w:pgMar w:top="1361" w:right="1797" w:bottom="1474" w:left="1797" w:header="283" w:footer="454" w:gutter="0"/>
          <w:cols w:space="708"/>
          <w:docGrid w:linePitch="360"/>
        </w:sectPr>
      </w:pPr>
    </w:p>
    <w:p w:rsidR="00420CF4" w:rsidRPr="00BA6DDF" w:rsidRDefault="00420CF4" w:rsidP="00371DC0">
      <w:pPr>
        <w:pStyle w:val="Heading6"/>
        <w:numPr>
          <w:ilvl w:val="0"/>
          <w:numId w:val="10"/>
        </w:numPr>
        <w:tabs>
          <w:tab w:val="right" w:pos="1418"/>
          <w:tab w:val="right" w:pos="1701"/>
          <w:tab w:val="right" w:pos="1985"/>
        </w:tabs>
      </w:pPr>
      <w:r w:rsidRPr="00BA6DDF">
        <w:lastRenderedPageBreak/>
        <w:t>Attachment A: Continuing the freeze on the Private Healt</w:t>
      </w:r>
      <w:r w:rsidR="00967BCD">
        <w:t>h Insurance Rebate and Medicare </w:t>
      </w:r>
      <w:r w:rsidRPr="00BA6DDF">
        <w:t>Levy Surcharge threshold i</w:t>
      </w:r>
      <w:r>
        <w:t>ndexation for 5 years—financial </w:t>
      </w:r>
      <w:r w:rsidRPr="00BA6DDF">
        <w:t>implications</w:t>
      </w:r>
    </w:p>
    <w:p w:rsidR="00420CF4" w:rsidRDefault="00420CF4" w:rsidP="00420CF4">
      <w:pPr>
        <w:pStyle w:val="Caption"/>
        <w:rPr>
          <w:vertAlign w:val="superscript"/>
        </w:rPr>
      </w:pPr>
      <w:r w:rsidRPr="002B36F1">
        <w:t xml:space="preserve">Table </w:t>
      </w:r>
      <w:r>
        <w:t>A1</w:t>
      </w:r>
      <w:r w:rsidRPr="002B36F1">
        <w:t xml:space="preserve">: </w:t>
      </w:r>
      <w:r>
        <w:t>Continuing the freeze on the Private Health Insurance Rebate and Medical Levy Surcharge threshold indexation of 5 years—Fiscal balance</w:t>
      </w:r>
      <w:r w:rsidRPr="002B36F1">
        <w:rPr>
          <w:vertAlign w:val="superscript"/>
        </w:rPr>
        <w:t>(a)(b)</w:t>
      </w:r>
    </w:p>
    <w:tbl>
      <w:tblPr>
        <w:tblStyle w:val="Style1"/>
        <w:tblW w:w="4994" w:type="pct"/>
        <w:tblLook w:val="06A0" w:firstRow="1" w:lastRow="0" w:firstColumn="1" w:lastColumn="0" w:noHBand="1" w:noVBand="1"/>
      </w:tblPr>
      <w:tblGrid>
        <w:gridCol w:w="1951"/>
        <w:gridCol w:w="884"/>
        <w:gridCol w:w="884"/>
        <w:gridCol w:w="884"/>
        <w:gridCol w:w="885"/>
        <w:gridCol w:w="885"/>
        <w:gridCol w:w="885"/>
        <w:gridCol w:w="885"/>
        <w:gridCol w:w="885"/>
        <w:gridCol w:w="885"/>
        <w:gridCol w:w="885"/>
        <w:gridCol w:w="885"/>
        <w:gridCol w:w="885"/>
        <w:gridCol w:w="877"/>
      </w:tblGrid>
      <w:tr w:rsidR="00420CF4" w:rsidTr="00194A1D">
        <w:trPr>
          <w:cnfStyle w:val="100000000000" w:firstRow="1" w:lastRow="0" w:firstColumn="0" w:lastColumn="0" w:oddVBand="0" w:evenVBand="0" w:oddHBand="0" w:evenHBand="0" w:firstRowFirstColumn="0" w:firstRowLastColumn="0" w:lastRowFirstColumn="0" w:lastRowLastColumn="0"/>
        </w:trPr>
        <w:tc>
          <w:tcPr>
            <w:tcW w:w="726" w:type="pct"/>
            <w:vAlign w:val="center"/>
          </w:tcPr>
          <w:p w:rsidR="00420CF4" w:rsidRPr="007C2713" w:rsidRDefault="00420CF4" w:rsidP="00194A1D">
            <w:pPr>
              <w:pStyle w:val="TableText"/>
              <w:ind w:left="0"/>
              <w:rPr>
                <w:b w:val="0"/>
              </w:rPr>
            </w:pPr>
            <w:r>
              <w:t>($)</w:t>
            </w:r>
          </w:p>
        </w:tc>
        <w:tc>
          <w:tcPr>
            <w:tcW w:w="329" w:type="pct"/>
            <w:vAlign w:val="center"/>
          </w:tcPr>
          <w:p w:rsidR="00420CF4" w:rsidRDefault="00420CF4" w:rsidP="00194A1D">
            <w:pPr>
              <w:pStyle w:val="TableTextRight"/>
              <w:ind w:left="0" w:right="-57"/>
              <w:rPr>
                <w:b w:val="0"/>
              </w:rPr>
            </w:pPr>
            <w:r>
              <w:t>2016–17</w:t>
            </w:r>
          </w:p>
        </w:tc>
        <w:tc>
          <w:tcPr>
            <w:tcW w:w="329" w:type="pct"/>
            <w:vAlign w:val="center"/>
          </w:tcPr>
          <w:p w:rsidR="00420CF4" w:rsidRDefault="00420CF4" w:rsidP="00194A1D">
            <w:pPr>
              <w:pStyle w:val="TableTextRight"/>
              <w:ind w:left="0" w:right="-57"/>
              <w:rPr>
                <w:b w:val="0"/>
              </w:rPr>
            </w:pPr>
            <w:r>
              <w:t>2017–18</w:t>
            </w:r>
          </w:p>
        </w:tc>
        <w:tc>
          <w:tcPr>
            <w:tcW w:w="329" w:type="pct"/>
            <w:vAlign w:val="center"/>
          </w:tcPr>
          <w:p w:rsidR="00420CF4" w:rsidRDefault="00420CF4" w:rsidP="00194A1D">
            <w:pPr>
              <w:pStyle w:val="TableTextRight"/>
              <w:ind w:left="0" w:right="-57"/>
              <w:rPr>
                <w:b w:val="0"/>
              </w:rPr>
            </w:pPr>
            <w:r>
              <w:t>2018–19</w:t>
            </w:r>
          </w:p>
        </w:tc>
        <w:tc>
          <w:tcPr>
            <w:tcW w:w="329" w:type="pct"/>
            <w:vAlign w:val="center"/>
          </w:tcPr>
          <w:p w:rsidR="00420CF4" w:rsidRDefault="00420CF4" w:rsidP="00194A1D">
            <w:pPr>
              <w:pStyle w:val="TableTextRight"/>
              <w:ind w:left="0" w:right="-57"/>
              <w:rPr>
                <w:b w:val="0"/>
              </w:rPr>
            </w:pPr>
            <w:r>
              <w:t>2019–20</w:t>
            </w:r>
          </w:p>
        </w:tc>
        <w:tc>
          <w:tcPr>
            <w:tcW w:w="329" w:type="pct"/>
            <w:vAlign w:val="center"/>
          </w:tcPr>
          <w:p w:rsidR="00420CF4" w:rsidRDefault="00420CF4" w:rsidP="00194A1D">
            <w:pPr>
              <w:pStyle w:val="TableTextRight"/>
              <w:ind w:left="0" w:right="-57"/>
              <w:rPr>
                <w:b w:val="0"/>
              </w:rPr>
            </w:pPr>
            <w:r>
              <w:t>Total to 2019–20</w:t>
            </w:r>
          </w:p>
        </w:tc>
        <w:tc>
          <w:tcPr>
            <w:tcW w:w="329" w:type="pct"/>
            <w:vAlign w:val="center"/>
          </w:tcPr>
          <w:p w:rsidR="00420CF4" w:rsidRPr="00BA6DDF" w:rsidRDefault="00420CF4" w:rsidP="00194A1D">
            <w:pPr>
              <w:pStyle w:val="TableTextRight"/>
              <w:ind w:left="0" w:right="-57"/>
              <w:rPr>
                <w:b w:val="0"/>
              </w:rPr>
            </w:pPr>
            <w:r w:rsidRPr="00BA6DDF">
              <w:t>2020–21</w:t>
            </w:r>
          </w:p>
        </w:tc>
        <w:tc>
          <w:tcPr>
            <w:tcW w:w="329" w:type="pct"/>
            <w:vAlign w:val="center"/>
          </w:tcPr>
          <w:p w:rsidR="00420CF4" w:rsidRPr="00BA6DDF" w:rsidRDefault="00420CF4" w:rsidP="00194A1D">
            <w:pPr>
              <w:pStyle w:val="TableTextRight"/>
              <w:ind w:left="0" w:right="-57"/>
              <w:rPr>
                <w:b w:val="0"/>
              </w:rPr>
            </w:pPr>
            <w:r w:rsidRPr="00BA6DDF">
              <w:t>2021–22</w:t>
            </w:r>
          </w:p>
        </w:tc>
        <w:tc>
          <w:tcPr>
            <w:tcW w:w="329" w:type="pct"/>
            <w:vAlign w:val="center"/>
          </w:tcPr>
          <w:p w:rsidR="00420CF4" w:rsidRPr="00BA6DDF" w:rsidRDefault="00420CF4" w:rsidP="00194A1D">
            <w:pPr>
              <w:pStyle w:val="TableTextRight"/>
              <w:ind w:left="0" w:right="-57"/>
              <w:rPr>
                <w:b w:val="0"/>
              </w:rPr>
            </w:pPr>
            <w:r w:rsidRPr="00BA6DDF">
              <w:t>2022–23</w:t>
            </w:r>
          </w:p>
        </w:tc>
        <w:tc>
          <w:tcPr>
            <w:tcW w:w="329" w:type="pct"/>
            <w:vAlign w:val="center"/>
          </w:tcPr>
          <w:p w:rsidR="00420CF4" w:rsidRPr="00BA6DDF" w:rsidRDefault="00420CF4" w:rsidP="00194A1D">
            <w:pPr>
              <w:pStyle w:val="TableTextRight"/>
              <w:ind w:left="0" w:right="-57"/>
              <w:rPr>
                <w:b w:val="0"/>
              </w:rPr>
            </w:pPr>
            <w:r w:rsidRPr="00BA6DDF">
              <w:t>2023–24</w:t>
            </w:r>
          </w:p>
        </w:tc>
        <w:tc>
          <w:tcPr>
            <w:tcW w:w="329" w:type="pct"/>
            <w:vAlign w:val="center"/>
          </w:tcPr>
          <w:p w:rsidR="00420CF4" w:rsidRPr="00BA6DDF" w:rsidRDefault="00420CF4" w:rsidP="00194A1D">
            <w:pPr>
              <w:pStyle w:val="TableTextRight"/>
              <w:ind w:left="0" w:right="-57"/>
              <w:rPr>
                <w:b w:val="0"/>
              </w:rPr>
            </w:pPr>
            <w:r w:rsidRPr="00BA6DDF">
              <w:t>2024–25</w:t>
            </w:r>
          </w:p>
        </w:tc>
        <w:tc>
          <w:tcPr>
            <w:tcW w:w="329" w:type="pct"/>
            <w:vAlign w:val="center"/>
          </w:tcPr>
          <w:p w:rsidR="00420CF4" w:rsidRPr="00BA6DDF" w:rsidRDefault="00420CF4" w:rsidP="00194A1D">
            <w:pPr>
              <w:pStyle w:val="TableTextRight"/>
              <w:ind w:left="0" w:right="-57"/>
              <w:rPr>
                <w:b w:val="0"/>
              </w:rPr>
            </w:pPr>
            <w:r w:rsidRPr="00BA6DDF">
              <w:t>2025–26</w:t>
            </w:r>
          </w:p>
        </w:tc>
        <w:tc>
          <w:tcPr>
            <w:tcW w:w="329" w:type="pct"/>
            <w:vAlign w:val="center"/>
          </w:tcPr>
          <w:p w:rsidR="00420CF4" w:rsidRPr="00BA6DDF" w:rsidRDefault="00420CF4" w:rsidP="00194A1D">
            <w:pPr>
              <w:pStyle w:val="TableTextRight"/>
              <w:ind w:left="0" w:right="-57"/>
              <w:rPr>
                <w:b w:val="0"/>
              </w:rPr>
            </w:pPr>
            <w:r w:rsidRPr="00BA6DDF">
              <w:t>2026–27</w:t>
            </w:r>
          </w:p>
        </w:tc>
        <w:tc>
          <w:tcPr>
            <w:tcW w:w="326" w:type="pct"/>
            <w:vAlign w:val="center"/>
          </w:tcPr>
          <w:p w:rsidR="00420CF4" w:rsidRPr="00BA6DDF" w:rsidRDefault="00420CF4" w:rsidP="00194A1D">
            <w:pPr>
              <w:pStyle w:val="TableTextRight"/>
              <w:ind w:left="0" w:right="-57"/>
            </w:pPr>
            <w:r w:rsidRPr="00BA6DDF">
              <w:t>Total to 2026–27</w:t>
            </w:r>
          </w:p>
        </w:tc>
      </w:tr>
      <w:tr w:rsidR="00420CF4" w:rsidTr="00194A1D">
        <w:tc>
          <w:tcPr>
            <w:tcW w:w="726" w:type="pct"/>
            <w:vAlign w:val="center"/>
          </w:tcPr>
          <w:p w:rsidR="00420CF4" w:rsidRPr="007C2713" w:rsidRDefault="00420CF4" w:rsidP="00194A1D">
            <w:pPr>
              <w:pStyle w:val="TableText"/>
              <w:ind w:left="0"/>
            </w:pPr>
            <w:r>
              <w:t>PHI rebate expenses</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70</w:t>
            </w:r>
          </w:p>
        </w:tc>
        <w:tc>
          <w:tcPr>
            <w:tcW w:w="329" w:type="pct"/>
            <w:vAlign w:val="center"/>
          </w:tcPr>
          <w:p w:rsidR="00420CF4" w:rsidRPr="00E338EF" w:rsidRDefault="00420CF4" w:rsidP="00194A1D">
            <w:pPr>
              <w:pStyle w:val="TableTextRight"/>
              <w:ind w:left="0" w:right="-57"/>
            </w:pPr>
            <w:r w:rsidRPr="00E338EF">
              <w:t>180</w:t>
            </w:r>
          </w:p>
        </w:tc>
        <w:tc>
          <w:tcPr>
            <w:tcW w:w="329" w:type="pct"/>
            <w:vAlign w:val="center"/>
          </w:tcPr>
          <w:p w:rsidR="00420CF4" w:rsidRPr="00E338EF" w:rsidRDefault="00420CF4" w:rsidP="00194A1D">
            <w:pPr>
              <w:pStyle w:val="TableTextRight"/>
              <w:ind w:left="0" w:right="-57"/>
            </w:pPr>
            <w:r w:rsidRPr="00E338EF">
              <w:t>270</w:t>
            </w:r>
          </w:p>
        </w:tc>
        <w:tc>
          <w:tcPr>
            <w:tcW w:w="329" w:type="pct"/>
            <w:vAlign w:val="center"/>
          </w:tcPr>
          <w:p w:rsidR="00420CF4" w:rsidRPr="00E338EF" w:rsidRDefault="00420CF4" w:rsidP="00194A1D">
            <w:pPr>
              <w:pStyle w:val="TableTextRight"/>
              <w:ind w:left="0" w:right="-57"/>
            </w:pPr>
            <w:r w:rsidRPr="00E338EF">
              <w:t>400</w:t>
            </w:r>
          </w:p>
        </w:tc>
        <w:tc>
          <w:tcPr>
            <w:tcW w:w="329" w:type="pct"/>
            <w:vAlign w:val="center"/>
          </w:tcPr>
          <w:p w:rsidR="00420CF4" w:rsidRPr="00E338EF" w:rsidRDefault="00420CF4" w:rsidP="00194A1D">
            <w:pPr>
              <w:pStyle w:val="TableTextRight"/>
              <w:ind w:left="0" w:right="-57"/>
            </w:pPr>
            <w:r w:rsidRPr="00E338EF">
              <w:t>530</w:t>
            </w:r>
          </w:p>
        </w:tc>
        <w:tc>
          <w:tcPr>
            <w:tcW w:w="329" w:type="pct"/>
            <w:vAlign w:val="center"/>
          </w:tcPr>
          <w:p w:rsidR="00420CF4" w:rsidRPr="00E338EF" w:rsidRDefault="00420CF4" w:rsidP="00194A1D">
            <w:pPr>
              <w:pStyle w:val="TableTextRight"/>
              <w:ind w:left="0" w:right="-57"/>
            </w:pPr>
            <w:r w:rsidRPr="00E338EF">
              <w:t>560</w:t>
            </w:r>
          </w:p>
        </w:tc>
        <w:tc>
          <w:tcPr>
            <w:tcW w:w="326" w:type="pct"/>
            <w:vAlign w:val="center"/>
          </w:tcPr>
          <w:p w:rsidR="00420CF4" w:rsidRPr="00E338EF" w:rsidRDefault="00420CF4" w:rsidP="00194A1D">
            <w:pPr>
              <w:pStyle w:val="TableTextRight"/>
              <w:ind w:left="0" w:right="-57"/>
            </w:pPr>
            <w:r w:rsidRPr="00E338EF">
              <w:t>2,010</w:t>
            </w:r>
          </w:p>
        </w:tc>
      </w:tr>
      <w:tr w:rsidR="00420CF4" w:rsidTr="00194A1D">
        <w:tc>
          <w:tcPr>
            <w:tcW w:w="726" w:type="pct"/>
            <w:vAlign w:val="center"/>
          </w:tcPr>
          <w:p w:rsidR="00420CF4" w:rsidRPr="007C2713" w:rsidRDefault="00420CF4" w:rsidP="00194A1D">
            <w:pPr>
              <w:pStyle w:val="TableText"/>
              <w:ind w:left="0"/>
            </w:pPr>
            <w:r>
              <w:t>MLS revenue</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w:t>
            </w:r>
          </w:p>
        </w:tc>
        <w:tc>
          <w:tcPr>
            <w:tcW w:w="329" w:type="pct"/>
            <w:vAlign w:val="center"/>
          </w:tcPr>
          <w:p w:rsidR="00420CF4" w:rsidRPr="00E338EF" w:rsidRDefault="00420CF4" w:rsidP="00194A1D">
            <w:pPr>
              <w:pStyle w:val="TableTextRight"/>
              <w:ind w:left="0" w:right="-57"/>
            </w:pPr>
            <w:r w:rsidRPr="00E338EF">
              <w:t>10</w:t>
            </w:r>
          </w:p>
        </w:tc>
        <w:tc>
          <w:tcPr>
            <w:tcW w:w="329" w:type="pct"/>
            <w:vAlign w:val="center"/>
          </w:tcPr>
          <w:p w:rsidR="00420CF4" w:rsidRPr="00E338EF" w:rsidRDefault="00420CF4" w:rsidP="00194A1D">
            <w:pPr>
              <w:pStyle w:val="TableTextRight"/>
              <w:ind w:left="0" w:right="-57"/>
            </w:pPr>
            <w:r w:rsidRPr="00E338EF">
              <w:t>30</w:t>
            </w:r>
          </w:p>
        </w:tc>
        <w:tc>
          <w:tcPr>
            <w:tcW w:w="329" w:type="pct"/>
            <w:vAlign w:val="center"/>
          </w:tcPr>
          <w:p w:rsidR="00420CF4" w:rsidRPr="00E338EF" w:rsidRDefault="00420CF4" w:rsidP="00194A1D">
            <w:pPr>
              <w:pStyle w:val="TableTextRight"/>
              <w:ind w:left="0" w:right="-57"/>
            </w:pPr>
            <w:r w:rsidRPr="00E338EF">
              <w:t>50</w:t>
            </w:r>
          </w:p>
        </w:tc>
        <w:tc>
          <w:tcPr>
            <w:tcW w:w="329" w:type="pct"/>
            <w:vAlign w:val="center"/>
          </w:tcPr>
          <w:p w:rsidR="00420CF4" w:rsidRPr="00E338EF" w:rsidRDefault="00420CF4" w:rsidP="00194A1D">
            <w:pPr>
              <w:pStyle w:val="TableTextRight"/>
              <w:ind w:left="0" w:right="-57"/>
            </w:pPr>
            <w:r w:rsidRPr="00E338EF">
              <w:t>80</w:t>
            </w:r>
          </w:p>
        </w:tc>
        <w:tc>
          <w:tcPr>
            <w:tcW w:w="329" w:type="pct"/>
            <w:vAlign w:val="center"/>
          </w:tcPr>
          <w:p w:rsidR="00420CF4" w:rsidRPr="00E338EF" w:rsidRDefault="00420CF4" w:rsidP="00194A1D">
            <w:pPr>
              <w:pStyle w:val="TableTextRight"/>
              <w:ind w:left="0" w:right="-57"/>
            </w:pPr>
            <w:r w:rsidRPr="00E338EF">
              <w:t>110</w:t>
            </w:r>
          </w:p>
        </w:tc>
        <w:tc>
          <w:tcPr>
            <w:tcW w:w="326" w:type="pct"/>
            <w:vAlign w:val="center"/>
          </w:tcPr>
          <w:p w:rsidR="00420CF4" w:rsidRPr="00E338EF" w:rsidRDefault="00420CF4" w:rsidP="00194A1D">
            <w:pPr>
              <w:pStyle w:val="TableTextRight"/>
              <w:ind w:left="0" w:right="-57"/>
            </w:pPr>
            <w:r w:rsidRPr="00E338EF">
              <w:t>280</w:t>
            </w:r>
          </w:p>
        </w:tc>
      </w:tr>
      <w:tr w:rsidR="0073534F" w:rsidRPr="007C2713" w:rsidTr="00194A1D">
        <w:tc>
          <w:tcPr>
            <w:tcW w:w="726" w:type="pct"/>
            <w:shd w:val="clear" w:color="auto" w:fill="D7DDE9" w:themeFill="accent3"/>
            <w:vAlign w:val="center"/>
          </w:tcPr>
          <w:p w:rsidR="00420CF4" w:rsidRPr="007C2713" w:rsidRDefault="00420CF4" w:rsidP="00194A1D">
            <w:pPr>
              <w:pStyle w:val="TableText"/>
              <w:ind w:left="0"/>
              <w:rPr>
                <w:b/>
              </w:rPr>
            </w:pPr>
            <w:r w:rsidRPr="007C2713">
              <w:rPr>
                <w:b/>
              </w:rPr>
              <w:t>Total</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w:t>
            </w:r>
          </w:p>
        </w:tc>
        <w:tc>
          <w:tcPr>
            <w:tcW w:w="329" w:type="pct"/>
            <w:shd w:val="clear" w:color="auto" w:fill="D7DDE9" w:themeFill="accent3"/>
            <w:vAlign w:val="center"/>
          </w:tcPr>
          <w:p w:rsidR="00420CF4" w:rsidRPr="00E338EF" w:rsidRDefault="00420CF4" w:rsidP="00194A1D">
            <w:pPr>
              <w:pStyle w:val="TableTextRight"/>
              <w:ind w:left="0" w:right="-57"/>
            </w:pPr>
            <w:r w:rsidRPr="00E338EF">
              <w:t>70</w:t>
            </w:r>
          </w:p>
        </w:tc>
        <w:tc>
          <w:tcPr>
            <w:tcW w:w="329" w:type="pct"/>
            <w:shd w:val="clear" w:color="auto" w:fill="D7DDE9" w:themeFill="accent3"/>
            <w:vAlign w:val="center"/>
          </w:tcPr>
          <w:p w:rsidR="00420CF4" w:rsidRPr="00E338EF" w:rsidRDefault="00420CF4" w:rsidP="00194A1D">
            <w:pPr>
              <w:pStyle w:val="TableTextRight"/>
              <w:ind w:left="0" w:right="-57"/>
            </w:pPr>
            <w:r w:rsidRPr="00E338EF">
              <w:t>190</w:t>
            </w:r>
          </w:p>
        </w:tc>
        <w:tc>
          <w:tcPr>
            <w:tcW w:w="329" w:type="pct"/>
            <w:shd w:val="clear" w:color="auto" w:fill="D7DDE9" w:themeFill="accent3"/>
            <w:vAlign w:val="center"/>
          </w:tcPr>
          <w:p w:rsidR="00420CF4" w:rsidRPr="00E338EF" w:rsidRDefault="00420CF4" w:rsidP="00194A1D">
            <w:pPr>
              <w:pStyle w:val="TableTextRight"/>
              <w:ind w:left="0" w:right="-57"/>
            </w:pPr>
            <w:r w:rsidRPr="00E338EF">
              <w:t>300</w:t>
            </w:r>
          </w:p>
        </w:tc>
        <w:tc>
          <w:tcPr>
            <w:tcW w:w="329" w:type="pct"/>
            <w:shd w:val="clear" w:color="auto" w:fill="D7DDE9" w:themeFill="accent3"/>
            <w:vAlign w:val="center"/>
          </w:tcPr>
          <w:p w:rsidR="00420CF4" w:rsidRPr="00E338EF" w:rsidRDefault="00420CF4" w:rsidP="00194A1D">
            <w:pPr>
              <w:pStyle w:val="TableTextRight"/>
              <w:ind w:left="0" w:right="-57"/>
            </w:pPr>
            <w:r w:rsidRPr="00E338EF">
              <w:t>450</w:t>
            </w:r>
          </w:p>
        </w:tc>
        <w:tc>
          <w:tcPr>
            <w:tcW w:w="329" w:type="pct"/>
            <w:shd w:val="clear" w:color="auto" w:fill="D7DDE9" w:themeFill="accent3"/>
            <w:vAlign w:val="center"/>
          </w:tcPr>
          <w:p w:rsidR="00420CF4" w:rsidRPr="00E338EF" w:rsidRDefault="00420CF4" w:rsidP="00194A1D">
            <w:pPr>
              <w:pStyle w:val="TableTextRight"/>
              <w:ind w:left="0" w:right="-57"/>
            </w:pPr>
            <w:r w:rsidRPr="00E338EF">
              <w:t>610</w:t>
            </w:r>
          </w:p>
        </w:tc>
        <w:tc>
          <w:tcPr>
            <w:tcW w:w="329" w:type="pct"/>
            <w:shd w:val="clear" w:color="auto" w:fill="D7DDE9" w:themeFill="accent3"/>
            <w:vAlign w:val="center"/>
          </w:tcPr>
          <w:p w:rsidR="00420CF4" w:rsidRPr="00E338EF" w:rsidRDefault="00420CF4" w:rsidP="00194A1D">
            <w:pPr>
              <w:pStyle w:val="TableTextRight"/>
              <w:ind w:left="0" w:right="-57"/>
            </w:pPr>
            <w:r w:rsidRPr="00E338EF">
              <w:t>670</w:t>
            </w:r>
          </w:p>
        </w:tc>
        <w:tc>
          <w:tcPr>
            <w:tcW w:w="326" w:type="pct"/>
            <w:shd w:val="clear" w:color="auto" w:fill="D7DDE9" w:themeFill="accent3"/>
            <w:vAlign w:val="center"/>
          </w:tcPr>
          <w:p w:rsidR="00420CF4" w:rsidRDefault="00420CF4" w:rsidP="00194A1D">
            <w:pPr>
              <w:pStyle w:val="TableTextRight"/>
              <w:ind w:left="0" w:right="-57"/>
            </w:pPr>
            <w:r w:rsidRPr="00E338EF">
              <w:t>2,290</w:t>
            </w:r>
          </w:p>
        </w:tc>
      </w:tr>
    </w:tbl>
    <w:p w:rsidR="00420CF4" w:rsidRDefault="00420CF4" w:rsidP="003768DC">
      <w:pPr>
        <w:pStyle w:val="Footnotes"/>
        <w:numPr>
          <w:ilvl w:val="0"/>
          <w:numId w:val="20"/>
        </w:numPr>
        <w:ind w:left="284" w:hanging="284"/>
      </w:pPr>
      <w:r>
        <w:t>A positive number for the fiscal balance indicates an increase in revenue or decrease in expenses or net capital investment in accrual terms. A negative number indicates a decrease in revenue or an increase in expenses or net capital investment in accrual terms.</w:t>
      </w:r>
    </w:p>
    <w:p w:rsidR="00420CF4" w:rsidRDefault="00420CF4" w:rsidP="00A37B78">
      <w:pPr>
        <w:pStyle w:val="Footnotes"/>
        <w:ind w:left="284" w:hanging="284"/>
      </w:pPr>
      <w:r>
        <w:t>Figures may not sum to totals due to rounding.</w:t>
      </w:r>
    </w:p>
    <w:p w:rsidR="00420CF4" w:rsidRPr="00951305" w:rsidRDefault="00420CF4" w:rsidP="00420CF4">
      <w:pPr>
        <w:pStyle w:val="Footnotes"/>
        <w:numPr>
          <w:ilvl w:val="0"/>
          <w:numId w:val="13"/>
        </w:numPr>
        <w:ind w:left="284" w:hanging="284"/>
      </w:pPr>
      <w:r>
        <w:t>Indicates nil.</w:t>
      </w:r>
    </w:p>
    <w:p w:rsidR="006D268D" w:rsidRDefault="006D268D" w:rsidP="006D268D">
      <w:pPr>
        <w:pStyle w:val="Captionheading"/>
      </w:pPr>
      <w:r w:rsidRPr="00FC6579">
        <w:t xml:space="preserve">Table </w:t>
      </w:r>
      <w:r>
        <w:t>A2</w:t>
      </w:r>
      <w:r w:rsidRPr="00FC6579">
        <w:t xml:space="preserve">: </w:t>
      </w:r>
      <w:r w:rsidRPr="00A8304D">
        <w:t>Continuing the freeze on the Private Health Insurance Rebate and Medicare Levy Surcharge threshold indexation for 5 years</w:t>
      </w:r>
      <w:r>
        <w:t>—</w:t>
      </w:r>
      <w:r w:rsidR="00024014">
        <w:t>Underlying </w:t>
      </w:r>
      <w:r>
        <w:t>cash balance</w:t>
      </w:r>
      <w:r w:rsidRPr="001F7717">
        <w:rPr>
          <w:vertAlign w:val="superscript"/>
        </w:rPr>
        <w:t>(a)(b)</w:t>
      </w:r>
    </w:p>
    <w:tbl>
      <w:tblPr>
        <w:tblStyle w:val="TableGrid"/>
        <w:tblW w:w="5026"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2045"/>
        <w:gridCol w:w="859"/>
        <w:gridCol w:w="859"/>
        <w:gridCol w:w="859"/>
        <w:gridCol w:w="859"/>
        <w:gridCol w:w="864"/>
        <w:gridCol w:w="859"/>
        <w:gridCol w:w="859"/>
        <w:gridCol w:w="859"/>
        <w:gridCol w:w="858"/>
        <w:gridCol w:w="858"/>
        <w:gridCol w:w="858"/>
        <w:gridCol w:w="858"/>
        <w:gridCol w:w="970"/>
      </w:tblGrid>
      <w:tr w:rsidR="006D268D" w:rsidRPr="00B31810" w:rsidTr="006D268D">
        <w:trPr>
          <w:cantSplit/>
        </w:trPr>
        <w:tc>
          <w:tcPr>
            <w:cnfStyle w:val="001000000000" w:firstRow="0" w:lastRow="0" w:firstColumn="1" w:lastColumn="0" w:oddVBand="0" w:evenVBand="0" w:oddHBand="0" w:evenHBand="0" w:firstRowFirstColumn="0" w:firstRowLastColumn="0" w:lastRowFirstColumn="0" w:lastRowLastColumn="0"/>
            <w:tcW w:w="766" w:type="pct"/>
            <w:shd w:val="clear" w:color="auto" w:fill="D7DDE9"/>
          </w:tcPr>
          <w:p w:rsidR="006D268D" w:rsidRPr="00B31810" w:rsidRDefault="006D268D" w:rsidP="00F2634C">
            <w:pPr>
              <w:keepNext/>
              <w:keepLines/>
              <w:spacing w:line="240" w:lineRule="auto"/>
              <w:ind w:left="57" w:right="57"/>
            </w:pPr>
            <w:r w:rsidRPr="00B31810">
              <w:t>($m)</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2016–17</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2017–18</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2018–19</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2019–20</w:t>
            </w:r>
          </w:p>
        </w:tc>
        <w:tc>
          <w:tcPr>
            <w:tcW w:w="324" w:type="pct"/>
            <w:shd w:val="clear" w:color="auto" w:fill="D7DDE9"/>
          </w:tcPr>
          <w:p w:rsidR="006D268D" w:rsidRPr="00C363AE"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2019–20</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2020–21</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2021–22</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2022–23</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2023–24</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2024–25</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2025–26</w:t>
            </w:r>
          </w:p>
        </w:tc>
        <w:tc>
          <w:tcPr>
            <w:tcW w:w="322" w:type="pct"/>
            <w:shd w:val="clear" w:color="auto" w:fill="D7DDE9"/>
          </w:tcPr>
          <w:p w:rsidR="006D268D" w:rsidRPr="00C24267"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2026–27</w:t>
            </w:r>
          </w:p>
        </w:tc>
        <w:tc>
          <w:tcPr>
            <w:tcW w:w="364" w:type="pct"/>
            <w:shd w:val="clear" w:color="auto" w:fill="D7DDE9"/>
          </w:tcPr>
          <w:p w:rsidR="006D268D" w:rsidRPr="00C363AE" w:rsidRDefault="006D268D" w:rsidP="00F2634C">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2026–27</w:t>
            </w:r>
          </w:p>
        </w:tc>
      </w:tr>
      <w:tr w:rsidR="006D268D" w:rsidTr="006D268D">
        <w:trPr>
          <w:cantSplit/>
        </w:trPr>
        <w:tc>
          <w:tcPr>
            <w:cnfStyle w:val="001000000000" w:firstRow="0" w:lastRow="0" w:firstColumn="1" w:lastColumn="0" w:oddVBand="0" w:evenVBand="0" w:oddHBand="0" w:evenHBand="0" w:firstRowFirstColumn="0" w:firstRowLastColumn="0" w:lastRowFirstColumn="0" w:lastRowLastColumn="0"/>
            <w:tcW w:w="766" w:type="pct"/>
          </w:tcPr>
          <w:p w:rsidR="006D268D" w:rsidRPr="0007264D" w:rsidRDefault="006D268D" w:rsidP="00F2634C">
            <w:pPr>
              <w:keepNext/>
              <w:keepLines/>
              <w:spacing w:line="240" w:lineRule="auto"/>
              <w:ind w:left="57" w:right="57"/>
            </w:pPr>
            <w:r>
              <w:t>PHI rebate expenses</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4"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70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170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260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390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520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560</w:t>
            </w:r>
          </w:p>
        </w:tc>
        <w:tc>
          <w:tcPr>
            <w:tcW w:w="364"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sidRPr="007057AF">
              <w:rPr>
                <w:b/>
                <w:i/>
              </w:rPr>
              <w:t>1,970</w:t>
            </w:r>
          </w:p>
        </w:tc>
      </w:tr>
      <w:tr w:rsidR="006D268D" w:rsidTr="006D268D">
        <w:trPr>
          <w:cantSplit/>
        </w:trPr>
        <w:tc>
          <w:tcPr>
            <w:cnfStyle w:val="001000000000" w:firstRow="0" w:lastRow="0" w:firstColumn="1" w:lastColumn="0" w:oddVBand="0" w:evenVBand="0" w:oddHBand="0" w:evenHBand="0" w:firstRowFirstColumn="0" w:firstRowLastColumn="0" w:lastRowFirstColumn="0" w:lastRowLastColumn="0"/>
            <w:tcW w:w="766" w:type="pct"/>
          </w:tcPr>
          <w:p w:rsidR="006D268D" w:rsidRPr="0007264D" w:rsidRDefault="006D268D" w:rsidP="00F2634C">
            <w:pPr>
              <w:keepNext/>
              <w:keepLines/>
              <w:spacing w:line="240" w:lineRule="auto"/>
              <w:ind w:left="57" w:right="57"/>
            </w:pPr>
            <w:r>
              <w:t>MLS revenue</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4"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10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30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50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80</w:t>
            </w:r>
          </w:p>
        </w:tc>
        <w:tc>
          <w:tcPr>
            <w:tcW w:w="322"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7057AF">
              <w:rPr>
                <w:i/>
              </w:rPr>
              <w:t>110</w:t>
            </w:r>
          </w:p>
        </w:tc>
        <w:tc>
          <w:tcPr>
            <w:tcW w:w="364" w:type="pct"/>
          </w:tcPr>
          <w:p w:rsidR="006D268D" w:rsidRPr="00CF435F"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sidRPr="007057AF">
              <w:rPr>
                <w:b/>
                <w:i/>
              </w:rPr>
              <w:t>280</w:t>
            </w:r>
          </w:p>
        </w:tc>
      </w:tr>
      <w:tr w:rsidR="006D268D" w:rsidRPr="00C55DDE" w:rsidTr="006D268D">
        <w:trPr>
          <w:cantSplit/>
        </w:trPr>
        <w:tc>
          <w:tcPr>
            <w:cnfStyle w:val="001000000000" w:firstRow="0" w:lastRow="0" w:firstColumn="1" w:lastColumn="0" w:oddVBand="0" w:evenVBand="0" w:oddHBand="0" w:evenHBand="0" w:firstRowFirstColumn="0" w:firstRowLastColumn="0" w:lastRowFirstColumn="0" w:lastRowLastColumn="0"/>
            <w:tcW w:w="766" w:type="pct"/>
            <w:shd w:val="clear" w:color="auto" w:fill="D7DDE9"/>
          </w:tcPr>
          <w:p w:rsidR="006D268D" w:rsidRPr="00C55DDE" w:rsidRDefault="006D268D" w:rsidP="00F2634C">
            <w:pPr>
              <w:keepNext/>
              <w:keepLines/>
              <w:spacing w:line="240" w:lineRule="auto"/>
              <w:ind w:left="57" w:right="57"/>
              <w:rPr>
                <w:b/>
              </w:rPr>
            </w:pPr>
            <w:r w:rsidRPr="00C55DDE">
              <w:rPr>
                <w:b/>
              </w:rPr>
              <w:t>Total</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4"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70</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180</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290</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440</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600</w:t>
            </w:r>
          </w:p>
        </w:tc>
        <w:tc>
          <w:tcPr>
            <w:tcW w:w="322"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670</w:t>
            </w:r>
          </w:p>
        </w:tc>
        <w:tc>
          <w:tcPr>
            <w:tcW w:w="364" w:type="pct"/>
            <w:shd w:val="clear" w:color="auto" w:fill="D7DDE9"/>
          </w:tcPr>
          <w:p w:rsidR="006D268D" w:rsidRPr="00F811AE" w:rsidRDefault="006D268D" w:rsidP="00F2634C">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13068">
              <w:rPr>
                <w:b/>
              </w:rPr>
              <w:t>2,250</w:t>
            </w:r>
          </w:p>
        </w:tc>
      </w:tr>
    </w:tbl>
    <w:p w:rsidR="006D268D" w:rsidRDefault="006D268D" w:rsidP="00A37B78">
      <w:pPr>
        <w:pStyle w:val="Footnotes"/>
        <w:numPr>
          <w:ilvl w:val="0"/>
          <w:numId w:val="216"/>
        </w:numPr>
        <w:spacing w:before="113"/>
        <w:ind w:left="284" w:hanging="284"/>
      </w:pPr>
      <w:r>
        <w:t xml:space="preserve">A positive number for the underlying cash balance indicates an increase in receipts or decrease in </w:t>
      </w:r>
      <w:r w:rsidR="0080154C">
        <w:t>payments</w:t>
      </w:r>
      <w:r>
        <w:t xml:space="preserve"> or net capital investment in cash terms. A negative number indicates a decrease in receipts or an increase in </w:t>
      </w:r>
      <w:r w:rsidR="0080154C">
        <w:t>payments</w:t>
      </w:r>
      <w:r>
        <w:t xml:space="preserve"> or net capital investment in cash terms.</w:t>
      </w:r>
    </w:p>
    <w:p w:rsidR="006D268D" w:rsidRDefault="006D268D" w:rsidP="00A37B78">
      <w:pPr>
        <w:pStyle w:val="Footnotes"/>
        <w:ind w:left="284" w:hanging="284"/>
      </w:pPr>
      <w:r>
        <w:t>Figures may not sum to totals due to rounding.</w:t>
      </w:r>
    </w:p>
    <w:p w:rsidR="006D268D" w:rsidRPr="00FC6579" w:rsidRDefault="006D268D" w:rsidP="00A37B78">
      <w:pPr>
        <w:pStyle w:val="Footnotes"/>
        <w:numPr>
          <w:ilvl w:val="0"/>
          <w:numId w:val="82"/>
        </w:numPr>
        <w:spacing w:before="113"/>
        <w:ind w:left="284" w:hanging="284"/>
      </w:pPr>
      <w:r>
        <w:t>Indicates nil.</w:t>
      </w:r>
    </w:p>
    <w:p w:rsidR="00420CF4" w:rsidRDefault="00420CF4" w:rsidP="00420CF4">
      <w:pPr>
        <w:pStyle w:val="BodyText"/>
        <w:sectPr w:rsidR="00420CF4" w:rsidSect="00420CF4">
          <w:footerReference w:type="even" r:id="rId22"/>
          <w:footerReference w:type="default" r:id="rId23"/>
          <w:footnotePr>
            <w:numRestart w:val="eachSect"/>
          </w:footnotePr>
          <w:pgSz w:w="16839" w:h="11907"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12" w:name="_Toc458081632"/>
      <w:r>
        <w:lastRenderedPageBreak/>
        <w:t>ALP008: Expanding the Mandate for the Parliamentary Budget Office</w:t>
      </w:r>
      <w:bookmarkEnd w:id="12"/>
    </w:p>
    <w:p w:rsidR="009346E9" w:rsidRDefault="009346E9" w:rsidP="009346E9">
      <w:pPr>
        <w:pStyle w:val="BodyText"/>
      </w:pPr>
      <w:r>
        <w:rPr>
          <w:noProof/>
          <w:lang w:eastAsia="en-AU"/>
        </w:rPr>
        <w:drawing>
          <wp:inline distT="0" distB="0" distL="0" distR="0" wp14:anchorId="68FB46E1" wp14:editId="0ADB2678">
            <wp:extent cx="2696845" cy="572135"/>
            <wp:effectExtent l="0" t="0" r="8255" b="0"/>
            <wp:docPr id="388" name="Picture 38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6"/>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FB579C">
            <w:pPr>
              <w:pStyle w:val="PullOutBoxHeading"/>
              <w:rPr>
                <w:b/>
              </w:rPr>
            </w:pPr>
            <w:r w:rsidRPr="00AF6ADB">
              <w:rPr>
                <w:b/>
              </w:rPr>
              <w:t>Name of proposal:</w:t>
            </w:r>
          </w:p>
        </w:tc>
        <w:tc>
          <w:tcPr>
            <w:tcW w:w="3191" w:type="pct"/>
          </w:tcPr>
          <w:p w:rsidR="00420CF4" w:rsidRPr="00AF6ADB" w:rsidRDefault="00BD042C" w:rsidP="00FB579C">
            <w:pPr>
              <w:pStyle w:val="PullOutBoxHeading"/>
              <w:rPr>
                <w:b/>
              </w:rPr>
            </w:pPr>
            <w:r w:rsidRPr="00AF6ADB">
              <w:rPr>
                <w:b/>
              </w:rPr>
              <w:t>Expanding the Mandate for the Parliamentary Budget Office</w:t>
            </w:r>
          </w:p>
        </w:tc>
      </w:tr>
      <w:tr w:rsidR="00420CF4" w:rsidRPr="00B45F94" w:rsidTr="00967BCD">
        <w:tc>
          <w:tcPr>
            <w:tcW w:w="1809" w:type="pct"/>
          </w:tcPr>
          <w:p w:rsidR="00420CF4" w:rsidRPr="00B45F94" w:rsidRDefault="00420CF4" w:rsidP="00FB579C">
            <w:pPr>
              <w:pStyle w:val="PullOutBoxBodyText"/>
            </w:pPr>
            <w:r w:rsidRPr="00B45F94">
              <w:t>Summary of proposal:</w:t>
            </w:r>
          </w:p>
        </w:tc>
        <w:tc>
          <w:tcPr>
            <w:tcW w:w="3191" w:type="pct"/>
          </w:tcPr>
          <w:p w:rsidR="00BD042C" w:rsidRPr="001F2B4F" w:rsidRDefault="00BD042C" w:rsidP="00FB579C">
            <w:pPr>
              <w:pStyle w:val="PullOutBoxBodyText"/>
            </w:pPr>
            <w:r w:rsidRPr="001F2B4F">
              <w:t>The proposal would expand the mandate of the Parliamentary Budget Office (PBO) to require it to:</w:t>
            </w:r>
          </w:p>
          <w:p w:rsidR="00BD042C" w:rsidRPr="00A32540" w:rsidRDefault="00BD042C" w:rsidP="00BD042C">
            <w:pPr>
              <w:pStyle w:val="PullOutBoxBullet"/>
            </w:pPr>
            <w:r>
              <w:t>p</w:t>
            </w:r>
            <w:r w:rsidRPr="001F2B4F">
              <w:t xml:space="preserve">repare independent economic forecasts that would </w:t>
            </w:r>
            <w:r w:rsidRPr="00A32540">
              <w:t xml:space="preserve">underpin </w:t>
            </w:r>
            <w:r>
              <w:t xml:space="preserve">the Department of the </w:t>
            </w:r>
            <w:r w:rsidRPr="00A32540">
              <w:t>Treasury</w:t>
            </w:r>
            <w:r>
              <w:t xml:space="preserve"> (Treasury)</w:t>
            </w:r>
            <w:r w:rsidRPr="00A32540">
              <w:t xml:space="preserve"> and the Department of Finance’s (Finance’s) estimates of revenue and expenditure published in the Government’s economic and fiscal updates</w:t>
            </w:r>
          </w:p>
          <w:p w:rsidR="00BD042C" w:rsidRPr="00A32540" w:rsidRDefault="00BD042C" w:rsidP="00BD042C">
            <w:pPr>
              <w:pStyle w:val="PullOutBoxBullet"/>
            </w:pPr>
            <w:r w:rsidRPr="00A32540">
              <w:t xml:space="preserve">undertake annual projections of the Government’s structural budget balance </w:t>
            </w:r>
          </w:p>
          <w:p w:rsidR="00BD042C" w:rsidRPr="001F2B4F" w:rsidRDefault="00BD042C" w:rsidP="00BD042C">
            <w:pPr>
              <w:pStyle w:val="PullOutBoxBullet"/>
            </w:pPr>
            <w:r w:rsidRPr="00A32540">
              <w:t>produce</w:t>
            </w:r>
            <w:r w:rsidRPr="001F2B4F">
              <w:t xml:space="preserve"> the </w:t>
            </w:r>
            <w:r>
              <w:t>five</w:t>
            </w:r>
            <w:r w:rsidRPr="001F2B4F">
              <w:t>-yearly intergenerational report.</w:t>
            </w:r>
          </w:p>
          <w:p w:rsidR="00420CF4" w:rsidRPr="00BD042C" w:rsidRDefault="00BD042C" w:rsidP="00FB579C">
            <w:pPr>
              <w:pStyle w:val="PullOutBoxBodyText"/>
            </w:pPr>
            <w:r w:rsidRPr="00BD042C">
              <w:t>The proposal would have the expanded capabilities in place for the preparation of the 2018-19 Budget.</w:t>
            </w:r>
          </w:p>
        </w:tc>
      </w:tr>
      <w:tr w:rsidR="00420CF4" w:rsidRPr="00B45F94" w:rsidTr="00967BCD">
        <w:tc>
          <w:tcPr>
            <w:tcW w:w="1809" w:type="pct"/>
          </w:tcPr>
          <w:p w:rsidR="00420CF4" w:rsidRPr="00B45F94" w:rsidRDefault="00420CF4" w:rsidP="00FB579C">
            <w:pPr>
              <w:pStyle w:val="PullOutBoxBodyText"/>
            </w:pPr>
            <w:r>
              <w:t>Party:</w:t>
            </w:r>
          </w:p>
        </w:tc>
        <w:tc>
          <w:tcPr>
            <w:tcW w:w="3191" w:type="pct"/>
          </w:tcPr>
          <w:p w:rsidR="00420CF4" w:rsidRPr="00B45F94" w:rsidRDefault="00420CF4" w:rsidP="00967BCD">
            <w:pPr>
              <w:pStyle w:val="BodyText"/>
            </w:pPr>
            <w:r>
              <w:t>Australian Labor Party</w:t>
            </w:r>
          </w:p>
        </w:tc>
      </w:tr>
      <w:tr w:rsidR="00420CF4" w:rsidRPr="00B45F94" w:rsidTr="00967BCD">
        <w:tc>
          <w:tcPr>
            <w:tcW w:w="1809" w:type="pct"/>
          </w:tcPr>
          <w:p w:rsidR="00420CF4" w:rsidRPr="00B45F94" w:rsidRDefault="00420CF4" w:rsidP="00FB579C">
            <w:pPr>
              <w:pStyle w:val="PullOutBoxBodyText"/>
            </w:pPr>
            <w:r w:rsidRPr="00B45F94">
              <w:t>Expiry date for the costing:</w:t>
            </w:r>
          </w:p>
        </w:tc>
        <w:tc>
          <w:tcPr>
            <w:tcW w:w="3191" w:type="pct"/>
          </w:tcPr>
          <w:p w:rsidR="00420CF4" w:rsidRPr="00B45F94" w:rsidRDefault="00EC102A" w:rsidP="00967BCD">
            <w:pPr>
              <w:pStyle w:val="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BD042C" w:rsidRPr="00BD042C" w:rsidRDefault="00BD042C" w:rsidP="00BD042C">
      <w:pPr>
        <w:pStyle w:val="BodyText"/>
      </w:pPr>
      <w:r w:rsidRPr="00BD042C">
        <w:t>This proposal would be expected to decrease both the fiscal and underlying cash balances by $27.1</w:t>
      </w:r>
      <w:r w:rsidR="00782E22">
        <w:t> </w:t>
      </w:r>
      <w:r w:rsidRPr="00BD042C">
        <w:t>million over the 2016</w:t>
      </w:r>
      <w:r>
        <w:noBreakHyphen/>
      </w:r>
      <w:r w:rsidRPr="00BD042C">
        <w:t>17 Budget forward estimates period.  This impact is entirely due to an increase in departmen</w:t>
      </w:r>
      <w:r>
        <w:t>tal expenses over this period.</w:t>
      </w:r>
    </w:p>
    <w:p w:rsidR="00BD042C" w:rsidRPr="00BD042C" w:rsidRDefault="00BD042C" w:rsidP="00BD042C">
      <w:pPr>
        <w:pStyle w:val="BodyText"/>
      </w:pPr>
      <w:r w:rsidRPr="00BD042C">
        <w:t>The proposal would have ongoing financial impacts beyond the 2016-17 Budget forward estimates.</w:t>
      </w:r>
    </w:p>
    <w:p w:rsidR="00BD042C" w:rsidRPr="00BD042C" w:rsidRDefault="00BD042C" w:rsidP="00BD042C">
      <w:pPr>
        <w:pStyle w:val="BodyText"/>
      </w:pPr>
      <w:r w:rsidRPr="00BD042C">
        <w:t>The proposal represents a substantial extension of the mandate of the PBO and would require a quantum increase in the size of the PBO, estimated to be 37 additional staff, with a concomitant expansion in the PBO's skills base, IT infrastruc</w:t>
      </w:r>
      <w:r>
        <w:t>ture and office accommodation.</w:t>
      </w:r>
    </w:p>
    <w:p w:rsidR="00EC3804" w:rsidRDefault="00BD042C" w:rsidP="00BD042C">
      <w:pPr>
        <w:pStyle w:val="BodyText"/>
      </w:pPr>
      <w:r w:rsidRPr="00BD042C">
        <w:t xml:space="preserve">The costing is based on the approach to economic forecasting used by the Australian Treasury.  Details on the Australian Treasury and, by way of comparison, the United Kingdom Office for Budget Responsibility (OBR) macroeconomic forecasting processes are provided at </w:t>
      </w:r>
      <w:r w:rsidRPr="00BD042C">
        <w:rPr>
          <w:u w:val="single"/>
        </w:rPr>
        <w:t>Attachment A</w:t>
      </w:r>
      <w:r w:rsidRPr="00BD042C">
        <w:t>.</w:t>
      </w:r>
    </w:p>
    <w:p w:rsidR="00BD042C" w:rsidRPr="00BD042C" w:rsidRDefault="00BD042C" w:rsidP="00EC3804">
      <w:pPr>
        <w:pStyle w:val="BodyText"/>
        <w:keepLines/>
      </w:pPr>
      <w:r w:rsidRPr="00BD042C">
        <w:lastRenderedPageBreak/>
        <w:t>Given the expanded mandate and increase in the overall size of the PBO, the costing includes provision to strengthen the senior management structure of the PBO by adding a Deputy Parliamentary Budget Officer position.  This position would take a key role in the day-to-day management of the new functions and would support the Parliamentary Budget Officer in the overall management of the expanded PBO.  This high level of support would be particularly important when the demand for economic forecasts coincided with high levels of demand for costings.  It would also provide a high level back up when the Parliamentary Budget Officer was absent from duty.</w:t>
      </w:r>
    </w:p>
    <w:p w:rsidR="00BD042C" w:rsidRPr="00BD042C" w:rsidRDefault="00BD042C" w:rsidP="00BD042C">
      <w:pPr>
        <w:pStyle w:val="BodyText"/>
      </w:pPr>
      <w:r w:rsidRPr="00BD042C">
        <w:t>The costing also provides for the Parliamentary Budget Officer to appoint a three-person advisory panel of eminent macroeconomists from the private sector and academia.  The panel would assess and provide guidance on the PBO’s economic forecasts.  The panel’s role would be an advisory one with the Parliamentary Budget Officer having ultimate responsibility for the independent economic forecasts.</w:t>
      </w:r>
    </w:p>
    <w:p w:rsidR="00BD042C" w:rsidRPr="00BD042C" w:rsidRDefault="00BD042C" w:rsidP="00BD042C">
      <w:pPr>
        <w:pStyle w:val="BodyText"/>
      </w:pPr>
      <w:r w:rsidRPr="00BD042C">
        <w:t>Provision has also been made in the costing for consultants to assist in the development of a macroeconomic forecasting model.  This is seen as a critical investment in strengthening the economic forecasting function.  The 2015 and 2012 reviews of the Treasury’s economic forecasting recommended that such a model be developed and incorporated into Treasury’s forecasting processes.  The Reserve Bank of Australia (RBA), in response to a 2014 review of its macroeconomic forecasting function, is developing a macroeconomic model for use in its economic forecasting.</w:t>
      </w:r>
    </w:p>
    <w:p w:rsidR="00BD042C" w:rsidRPr="00BD042C" w:rsidRDefault="00BD042C" w:rsidP="00BD042C">
      <w:pPr>
        <w:pStyle w:val="BodyText"/>
      </w:pPr>
      <w:r w:rsidRPr="00BD042C">
        <w:t>This costing is considered to be of high reliability as it is based on the level of Treasury resources currently involved in the additional functions that would be undertaken by the PBO, supported by information from the RBA.</w:t>
      </w:r>
    </w:p>
    <w:p w:rsidR="00BD042C" w:rsidRPr="00BD042C" w:rsidRDefault="00BD042C" w:rsidP="00BD042C">
      <w:pPr>
        <w:pStyle w:val="BodyText"/>
      </w:pPr>
      <w:r w:rsidRPr="00BD042C">
        <w:t>Treasury currently has close to 40 staff working on the preparation of the macroeconomic forecasts and briefings for the Government on the outlook for the economy.  It is estimated that the PBO would require 30 staff for the preparation of macroeconomic forecasts, the lower estimate reflecting the fact that the PBO would</w:t>
      </w:r>
      <w:r w:rsidR="004D5F83">
        <w:t xml:space="preserve"> not have a briefing function.</w:t>
      </w:r>
    </w:p>
    <w:p w:rsidR="00BD042C" w:rsidRPr="00BD042C" w:rsidRDefault="00BD042C" w:rsidP="00BD042C">
      <w:pPr>
        <w:pStyle w:val="BodyText"/>
      </w:pPr>
      <w:r w:rsidRPr="00BD042C">
        <w:t>The costing also includes five staff to develop and maintain models required for the preparation of the intergenerational report.</w:t>
      </w:r>
    </w:p>
    <w:p w:rsidR="00BD042C" w:rsidRPr="00BD042C" w:rsidRDefault="00BD042C" w:rsidP="00BD042C">
      <w:pPr>
        <w:pStyle w:val="BodyText"/>
      </w:pPr>
      <w:r w:rsidRPr="00BD042C">
        <w:t>In addition, given the increase in staffing numbers and functions the costing includes an additional two staff covering expanded corporate support activities.</w:t>
      </w:r>
    </w:p>
    <w:p w:rsidR="00420CF4" w:rsidRDefault="00420CF4" w:rsidP="00A7333B">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5"/>
        <w:gridCol w:w="1230"/>
        <w:gridCol w:w="1230"/>
        <w:gridCol w:w="1232"/>
        <w:gridCol w:w="1230"/>
        <w:gridCol w:w="1232"/>
      </w:tblGrid>
      <w:tr w:rsidR="00420CF4" w:rsidRPr="00D264E1" w:rsidTr="004D5F83">
        <w:trPr>
          <w:cnfStyle w:val="100000000000" w:firstRow="1" w:lastRow="0" w:firstColumn="0" w:lastColumn="0" w:oddVBand="0" w:evenVBand="0" w:oddHBand="0" w:evenHBand="0" w:firstRowFirstColumn="0" w:firstRowLastColumn="0" w:lastRowFirstColumn="0" w:lastRowLastColumn="0"/>
        </w:trPr>
        <w:tc>
          <w:tcPr>
            <w:tcW w:w="1392" w:type="pct"/>
          </w:tcPr>
          <w:p w:rsidR="00420CF4" w:rsidRPr="00D264E1" w:rsidRDefault="00420CF4" w:rsidP="00A7333B">
            <w:pPr>
              <w:pStyle w:val="TableHeading"/>
            </w:pPr>
            <w:r>
              <w:t>Impact on</w:t>
            </w:r>
            <w:r w:rsidR="004D5F83">
              <w:t xml:space="preserve"> ($m)</w:t>
            </w:r>
          </w:p>
        </w:tc>
        <w:tc>
          <w:tcPr>
            <w:tcW w:w="721" w:type="pct"/>
          </w:tcPr>
          <w:p w:rsidR="00420CF4" w:rsidRPr="00FC1F1C" w:rsidRDefault="00420CF4" w:rsidP="00A7333B">
            <w:pPr>
              <w:pStyle w:val="TableHeadingRight"/>
            </w:pPr>
            <w:r>
              <w:t>2016–17</w:t>
            </w:r>
          </w:p>
        </w:tc>
        <w:tc>
          <w:tcPr>
            <w:tcW w:w="721" w:type="pct"/>
          </w:tcPr>
          <w:p w:rsidR="00420CF4" w:rsidRPr="00FC1F1C" w:rsidRDefault="00420CF4" w:rsidP="00A7333B">
            <w:pPr>
              <w:pStyle w:val="TableHeadingRight"/>
            </w:pPr>
            <w:r>
              <w:t>2017–18</w:t>
            </w:r>
          </w:p>
        </w:tc>
        <w:tc>
          <w:tcPr>
            <w:tcW w:w="722" w:type="pct"/>
          </w:tcPr>
          <w:p w:rsidR="00420CF4" w:rsidRPr="00FC1F1C" w:rsidRDefault="00420CF4" w:rsidP="00A7333B">
            <w:pPr>
              <w:pStyle w:val="TableHeadingRight"/>
            </w:pPr>
            <w:r>
              <w:t>2018–19</w:t>
            </w:r>
          </w:p>
        </w:tc>
        <w:tc>
          <w:tcPr>
            <w:tcW w:w="721" w:type="pct"/>
          </w:tcPr>
          <w:p w:rsidR="00420CF4" w:rsidRPr="00FC1F1C" w:rsidRDefault="00420CF4" w:rsidP="00A7333B">
            <w:pPr>
              <w:pStyle w:val="TableHeadingRight"/>
            </w:pPr>
            <w:r>
              <w:t>2019–20</w:t>
            </w:r>
          </w:p>
        </w:tc>
        <w:tc>
          <w:tcPr>
            <w:tcW w:w="722" w:type="pct"/>
          </w:tcPr>
          <w:p w:rsidR="00420CF4" w:rsidRDefault="00420CF4" w:rsidP="00A7333B">
            <w:pPr>
              <w:pStyle w:val="TableTextRight"/>
              <w:keepNext/>
              <w:keepLines/>
            </w:pPr>
            <w:r>
              <w:t>Total</w:t>
            </w:r>
          </w:p>
        </w:tc>
      </w:tr>
      <w:tr w:rsidR="004D5F83" w:rsidTr="004D5F83">
        <w:tc>
          <w:tcPr>
            <w:tcW w:w="1392" w:type="pct"/>
          </w:tcPr>
          <w:p w:rsidR="004D5F83" w:rsidRDefault="004D5F83" w:rsidP="00A7333B">
            <w:pPr>
              <w:pStyle w:val="TableText"/>
              <w:keepNext/>
              <w:keepLines/>
            </w:pPr>
            <w:r>
              <w:t>Fiscal balance</w:t>
            </w:r>
          </w:p>
        </w:tc>
        <w:tc>
          <w:tcPr>
            <w:tcW w:w="721" w:type="pct"/>
          </w:tcPr>
          <w:p w:rsidR="004D5F83" w:rsidRPr="00C720D6" w:rsidRDefault="004D5F83" w:rsidP="00A7333B">
            <w:pPr>
              <w:pStyle w:val="TableTextCentred"/>
              <w:keepNext/>
              <w:keepLines/>
              <w:spacing w:line="240" w:lineRule="auto"/>
              <w:jc w:val="right"/>
              <w:rPr>
                <w:szCs w:val="20"/>
              </w:rPr>
            </w:pPr>
            <w:r w:rsidRPr="00C720D6">
              <w:rPr>
                <w:szCs w:val="20"/>
              </w:rPr>
              <w:t>-4.8</w:t>
            </w:r>
          </w:p>
        </w:tc>
        <w:tc>
          <w:tcPr>
            <w:tcW w:w="721" w:type="pct"/>
          </w:tcPr>
          <w:p w:rsidR="004D5F83" w:rsidRPr="00C720D6" w:rsidRDefault="004D5F83" w:rsidP="00A7333B">
            <w:pPr>
              <w:keepNext/>
              <w:keepLines/>
              <w:spacing w:before="70" w:after="70"/>
              <w:jc w:val="right"/>
              <w:rPr>
                <w:szCs w:val="20"/>
              </w:rPr>
            </w:pPr>
            <w:r w:rsidRPr="00C720D6">
              <w:rPr>
                <w:szCs w:val="20"/>
              </w:rPr>
              <w:t>-8.2</w:t>
            </w:r>
          </w:p>
        </w:tc>
        <w:tc>
          <w:tcPr>
            <w:tcW w:w="722" w:type="pct"/>
          </w:tcPr>
          <w:p w:rsidR="004D5F83" w:rsidRPr="00C720D6" w:rsidRDefault="004D5F83" w:rsidP="00A7333B">
            <w:pPr>
              <w:keepNext/>
              <w:keepLines/>
              <w:spacing w:before="70" w:after="70"/>
              <w:jc w:val="right"/>
              <w:rPr>
                <w:szCs w:val="20"/>
              </w:rPr>
            </w:pPr>
            <w:r w:rsidRPr="00C720D6">
              <w:rPr>
                <w:szCs w:val="20"/>
              </w:rPr>
              <w:t>-7.0</w:t>
            </w:r>
          </w:p>
        </w:tc>
        <w:tc>
          <w:tcPr>
            <w:tcW w:w="721" w:type="pct"/>
          </w:tcPr>
          <w:p w:rsidR="004D5F83" w:rsidRPr="00C720D6" w:rsidRDefault="004D5F83" w:rsidP="00A7333B">
            <w:pPr>
              <w:keepNext/>
              <w:keepLines/>
              <w:spacing w:before="70" w:after="70"/>
              <w:jc w:val="right"/>
              <w:rPr>
                <w:szCs w:val="20"/>
              </w:rPr>
            </w:pPr>
            <w:r w:rsidRPr="00C720D6">
              <w:rPr>
                <w:szCs w:val="20"/>
              </w:rPr>
              <w:t>-7.0</w:t>
            </w:r>
          </w:p>
        </w:tc>
        <w:tc>
          <w:tcPr>
            <w:tcW w:w="722" w:type="pct"/>
          </w:tcPr>
          <w:p w:rsidR="004D5F83" w:rsidRPr="00D30201" w:rsidRDefault="004D5F83" w:rsidP="00A7333B">
            <w:pPr>
              <w:pStyle w:val="TableTextCentred"/>
              <w:keepNext/>
              <w:keepLines/>
              <w:spacing w:line="240" w:lineRule="auto"/>
              <w:jc w:val="right"/>
              <w:rPr>
                <w:b/>
                <w:szCs w:val="20"/>
              </w:rPr>
            </w:pPr>
            <w:r w:rsidRPr="00D30201">
              <w:rPr>
                <w:b/>
                <w:szCs w:val="20"/>
              </w:rPr>
              <w:t>-27.1</w:t>
            </w:r>
          </w:p>
        </w:tc>
      </w:tr>
      <w:tr w:rsidR="004D5F83" w:rsidTr="004D5F83">
        <w:tc>
          <w:tcPr>
            <w:tcW w:w="1392" w:type="pct"/>
          </w:tcPr>
          <w:p w:rsidR="004D5F83" w:rsidRDefault="004D5F83" w:rsidP="00A7333B">
            <w:pPr>
              <w:pStyle w:val="TableText"/>
              <w:keepNext/>
              <w:keepLines/>
            </w:pPr>
            <w:r>
              <w:t>Underlying cash balance</w:t>
            </w:r>
          </w:p>
        </w:tc>
        <w:tc>
          <w:tcPr>
            <w:tcW w:w="721" w:type="pct"/>
          </w:tcPr>
          <w:p w:rsidR="004D5F83" w:rsidRPr="00C720D6" w:rsidRDefault="004D5F83" w:rsidP="00A7333B">
            <w:pPr>
              <w:pStyle w:val="TableTextCentred"/>
              <w:keepNext/>
              <w:keepLines/>
              <w:spacing w:line="240" w:lineRule="auto"/>
              <w:jc w:val="right"/>
              <w:rPr>
                <w:noProof/>
                <w:szCs w:val="20"/>
              </w:rPr>
            </w:pPr>
            <w:r w:rsidRPr="00C720D6">
              <w:rPr>
                <w:noProof/>
                <w:szCs w:val="20"/>
              </w:rPr>
              <w:t>-4.8</w:t>
            </w:r>
          </w:p>
        </w:tc>
        <w:tc>
          <w:tcPr>
            <w:tcW w:w="721" w:type="pct"/>
          </w:tcPr>
          <w:p w:rsidR="004D5F83" w:rsidRPr="00C720D6" w:rsidRDefault="004D5F83" w:rsidP="00A7333B">
            <w:pPr>
              <w:pStyle w:val="TableTextCentred"/>
              <w:keepNext/>
              <w:keepLines/>
              <w:spacing w:line="240" w:lineRule="auto"/>
              <w:jc w:val="right"/>
              <w:rPr>
                <w:noProof/>
                <w:szCs w:val="20"/>
              </w:rPr>
            </w:pPr>
            <w:r w:rsidRPr="00C720D6">
              <w:rPr>
                <w:noProof/>
                <w:szCs w:val="20"/>
              </w:rPr>
              <w:t>-8.2</w:t>
            </w:r>
          </w:p>
        </w:tc>
        <w:tc>
          <w:tcPr>
            <w:tcW w:w="722" w:type="pct"/>
          </w:tcPr>
          <w:p w:rsidR="004D5F83" w:rsidRPr="00C720D6" w:rsidRDefault="004D5F83" w:rsidP="00A7333B">
            <w:pPr>
              <w:pStyle w:val="TableTextCentred"/>
              <w:keepNext/>
              <w:keepLines/>
              <w:spacing w:line="240" w:lineRule="auto"/>
              <w:jc w:val="right"/>
              <w:rPr>
                <w:noProof/>
                <w:szCs w:val="20"/>
              </w:rPr>
            </w:pPr>
            <w:r w:rsidRPr="00C720D6">
              <w:rPr>
                <w:noProof/>
                <w:szCs w:val="20"/>
              </w:rPr>
              <w:t>-7.0</w:t>
            </w:r>
          </w:p>
        </w:tc>
        <w:tc>
          <w:tcPr>
            <w:tcW w:w="721" w:type="pct"/>
          </w:tcPr>
          <w:p w:rsidR="004D5F83" w:rsidRPr="00C720D6" w:rsidRDefault="004D5F83" w:rsidP="00A7333B">
            <w:pPr>
              <w:pStyle w:val="TableTextCentred"/>
              <w:keepNext/>
              <w:keepLines/>
              <w:spacing w:line="240" w:lineRule="auto"/>
              <w:jc w:val="right"/>
              <w:rPr>
                <w:noProof/>
                <w:szCs w:val="20"/>
              </w:rPr>
            </w:pPr>
            <w:r w:rsidRPr="00C720D6">
              <w:rPr>
                <w:noProof/>
                <w:szCs w:val="20"/>
              </w:rPr>
              <w:t>-7.0</w:t>
            </w:r>
          </w:p>
        </w:tc>
        <w:tc>
          <w:tcPr>
            <w:tcW w:w="722" w:type="pct"/>
          </w:tcPr>
          <w:p w:rsidR="004D5F83" w:rsidRPr="00C363AE" w:rsidRDefault="004D5F83" w:rsidP="00A7333B">
            <w:pPr>
              <w:pStyle w:val="TableTextCentred"/>
              <w:keepNext/>
              <w:keepLines/>
              <w:spacing w:line="240" w:lineRule="auto"/>
              <w:jc w:val="right"/>
              <w:rPr>
                <w:b/>
                <w:szCs w:val="20"/>
              </w:rPr>
            </w:pPr>
            <w:r>
              <w:rPr>
                <w:b/>
                <w:szCs w:val="20"/>
              </w:rPr>
              <w:t>-27.1</w:t>
            </w:r>
          </w:p>
        </w:tc>
      </w:tr>
    </w:tbl>
    <w:p w:rsidR="00420CF4" w:rsidRDefault="00420CF4" w:rsidP="00A7333B">
      <w:pPr>
        <w:pStyle w:val="Footnotes"/>
        <w:keepNext/>
        <w:keepLines/>
        <w:numPr>
          <w:ilvl w:val="0"/>
          <w:numId w:val="44"/>
        </w:numPr>
        <w:ind w:left="284" w:hanging="284"/>
      </w:pPr>
      <w:r>
        <w:t xml:space="preserve">A positive </w:t>
      </w:r>
      <w:r w:rsidRPr="00FC1F1C">
        <w:t>number indicates an increase in the relevant budget balance, a negative number a decrease.</w:t>
      </w:r>
    </w:p>
    <w:p w:rsidR="00420CF4" w:rsidRPr="00967BCD" w:rsidRDefault="00420CF4" w:rsidP="003768DC">
      <w:pPr>
        <w:pStyle w:val="Footnotes"/>
        <w:numPr>
          <w:ilvl w:val="0"/>
          <w:numId w:val="14"/>
        </w:numPr>
        <w:ind w:left="284" w:hanging="284"/>
        <w:rPr>
          <w:rStyle w:val="FootnoteReference"/>
          <w:vertAlign w:val="baseline"/>
        </w:rPr>
      </w:pPr>
      <w:r w:rsidRPr="00967BCD">
        <w:t>Figures may not sum to totals due to rounding.</w:t>
      </w:r>
    </w:p>
    <w:p w:rsidR="00420CF4" w:rsidRDefault="00420CF4" w:rsidP="00420CF4">
      <w:pPr>
        <w:pStyle w:val="CostingsH7"/>
      </w:pPr>
      <w:r>
        <w:lastRenderedPageBreak/>
        <w:t>Key assumptions</w:t>
      </w:r>
    </w:p>
    <w:p w:rsidR="00802C78" w:rsidRPr="00802C78" w:rsidRDefault="00802C78" w:rsidP="00802C78">
      <w:pPr>
        <w:pStyle w:val="BodyText"/>
      </w:pPr>
      <w:r w:rsidRPr="00802C78">
        <w:t>The PBO has made the following assumptions regarding this request:</w:t>
      </w:r>
    </w:p>
    <w:p w:rsidR="00802C78" w:rsidRPr="00D30201" w:rsidRDefault="00802C78" w:rsidP="00802C78">
      <w:pPr>
        <w:pStyle w:val="CostingsH8"/>
      </w:pPr>
      <w:r w:rsidRPr="00D30201">
        <w:t>Timing assumptions</w:t>
      </w:r>
    </w:p>
    <w:p w:rsidR="00802C78" w:rsidRDefault="00802C78" w:rsidP="00802C78">
      <w:pPr>
        <w:pStyle w:val="BodyText"/>
      </w:pPr>
      <w:r>
        <w:t>Economic forecasts would need to be prepared commencing early 2018 for use in the 2018 19 Budget preparations.</w:t>
      </w:r>
    </w:p>
    <w:p w:rsidR="00802C78" w:rsidRDefault="00802C78" w:rsidP="00802C78">
      <w:pPr>
        <w:pStyle w:val="BodyText"/>
      </w:pPr>
      <w:r>
        <w:t>Economic forecasts would be prepared four times a year following the quarterly release of the National Accounts, as the basis for the annual Budget and the Mid-Year Economic and Fiscal Outlook reports, and to inform budget planning.</w:t>
      </w:r>
    </w:p>
    <w:p w:rsidR="00802C78" w:rsidRDefault="00802C78" w:rsidP="00802C78">
      <w:pPr>
        <w:pStyle w:val="BodyText"/>
      </w:pPr>
      <w:r>
        <w:t>The PBO would be provided with the necessary additional funding in time to allow recruitment and development of the enhanced capability to commence by September 2016.</w:t>
      </w:r>
    </w:p>
    <w:p w:rsidR="00802C78" w:rsidRPr="00D30201" w:rsidRDefault="00802C78" w:rsidP="00802C78">
      <w:pPr>
        <w:pStyle w:val="CostingsH8"/>
      </w:pPr>
      <w:r w:rsidRPr="00D30201">
        <w:t>Interaction with existing resources</w:t>
      </w:r>
    </w:p>
    <w:p w:rsidR="00802C78" w:rsidRPr="00D30201" w:rsidRDefault="00802C78" w:rsidP="00802C78">
      <w:pPr>
        <w:pStyle w:val="BodyText"/>
      </w:pPr>
      <w:r w:rsidRPr="00D30201">
        <w:t>There may be some resource offsets available from Treasury, however capabilities would still be required in Treasury to provide advice to the Government on economic conditions and outlook.</w:t>
      </w:r>
    </w:p>
    <w:p w:rsidR="00802C78" w:rsidRPr="00D30201" w:rsidRDefault="00802C78" w:rsidP="00802C78">
      <w:pPr>
        <w:pStyle w:val="BodyText"/>
      </w:pPr>
      <w:r w:rsidRPr="00D30201">
        <w:t>All existing economic forecasting infrastructure (eg spreadsheets, sector</w:t>
      </w:r>
      <w:r w:rsidRPr="00D30201">
        <w:noBreakHyphen/>
        <w:t>specific models, potential output estimation and projections methodology, commodity price projections methodology, etc) would be made available to the PBO.</w:t>
      </w:r>
    </w:p>
    <w:p w:rsidR="00802C78" w:rsidRPr="00D30201" w:rsidRDefault="00802C78" w:rsidP="00802C78">
      <w:pPr>
        <w:pStyle w:val="BodyText"/>
      </w:pPr>
      <w:r w:rsidRPr="00D30201">
        <w:t>The PBO would undertake annual projections of the structural budget balance from within existing resources.</w:t>
      </w:r>
    </w:p>
    <w:p w:rsidR="00802C78" w:rsidRPr="00D30201" w:rsidRDefault="00802C78" w:rsidP="00802C78">
      <w:pPr>
        <w:pStyle w:val="BodyText"/>
      </w:pPr>
      <w:r w:rsidRPr="00D30201">
        <w:t>The production of the intergenerational report would require an ongoing capacity within the PBO to develop methodologies and prepare demographic and other long-term projections, and to ensure that these were consistent with Government forward estimates and medium</w:t>
      </w:r>
      <w:r w:rsidR="00B321B6">
        <w:noBreakHyphen/>
      </w:r>
      <w:r w:rsidRPr="00D30201">
        <w:t>term projections.</w:t>
      </w:r>
    </w:p>
    <w:p w:rsidR="00802C78" w:rsidRPr="00D30201" w:rsidRDefault="00802C78" w:rsidP="00802C78">
      <w:pPr>
        <w:pStyle w:val="BodyText"/>
      </w:pPr>
      <w:r w:rsidRPr="00D30201">
        <w:t>Additional surge capacity needed to produce the intergenerational report could be expected to be met by the PBO from within the additional resources provided for the other aspects of the expanded mandate.</w:t>
      </w:r>
    </w:p>
    <w:p w:rsidR="00802C78" w:rsidRPr="00D30201" w:rsidRDefault="00802C78" w:rsidP="00802C78">
      <w:pPr>
        <w:pStyle w:val="CostingsH8"/>
      </w:pPr>
      <w:r w:rsidRPr="00D30201">
        <w:t>Recruitment of staff</w:t>
      </w:r>
    </w:p>
    <w:p w:rsidR="00802C78" w:rsidRPr="00D30201" w:rsidRDefault="00802C78" w:rsidP="00802C78">
      <w:pPr>
        <w:pStyle w:val="BodyText"/>
      </w:pPr>
      <w:r w:rsidRPr="00D30201">
        <w:t>The costing assumes that appropriately skilled and experienced staff could be recruited to carry out the expanded mandate.</w:t>
      </w:r>
    </w:p>
    <w:p w:rsidR="00B321B6" w:rsidRDefault="00802C78" w:rsidP="00802C78">
      <w:pPr>
        <w:pStyle w:val="BodyText"/>
      </w:pPr>
      <w:r w:rsidRPr="00D30201">
        <w:t>This would be challenging given the small pool of such staff, and would most likely require the secondment of staff from Treasury during a transition period.</w:t>
      </w:r>
    </w:p>
    <w:p w:rsidR="00802C78" w:rsidRPr="00D30201" w:rsidRDefault="00802C78" w:rsidP="00802C78">
      <w:pPr>
        <w:pStyle w:val="CostingsH8"/>
      </w:pPr>
      <w:r w:rsidRPr="00D30201">
        <w:t>Business liaison program</w:t>
      </w:r>
    </w:p>
    <w:p w:rsidR="00802C78" w:rsidRPr="00D30201" w:rsidRDefault="00802C78" w:rsidP="00802C78">
      <w:pPr>
        <w:pStyle w:val="BodyText"/>
      </w:pPr>
      <w:r w:rsidRPr="00D30201">
        <w:t>A business liaison program would be an integral part of the economic forecasting process.  Based on the Treasury program, this would require around 120 face-to-face interviews per year involving quarterly meetings with companies across a range of critical sectors of the economy, and targeted contacts with specific sectors that</w:t>
      </w:r>
      <w:r w:rsidR="00D50E07">
        <w:t xml:space="preserve"> are important to the forecast.</w:t>
      </w:r>
    </w:p>
    <w:p w:rsidR="00802C78" w:rsidRPr="00D30201" w:rsidRDefault="00802C78" w:rsidP="00802C78">
      <w:pPr>
        <w:pStyle w:val="CostingsH8"/>
      </w:pPr>
      <w:r w:rsidRPr="00D30201">
        <w:t>Liaison with other government agencies</w:t>
      </w:r>
    </w:p>
    <w:p w:rsidR="00802C78" w:rsidRPr="00D30201" w:rsidRDefault="00802C78" w:rsidP="00802C78">
      <w:pPr>
        <w:pStyle w:val="BodyText"/>
      </w:pPr>
      <w:r w:rsidRPr="00D30201">
        <w:t xml:space="preserve">The forecasting process would continue to be informed by meetings with government agencies.  The OBR in the UK, which produces that government’s economic and fiscal forecasts, identifies these engagements as an important input into the economic forecasting process. </w:t>
      </w:r>
    </w:p>
    <w:p w:rsidR="00802C78" w:rsidRPr="00D30201" w:rsidRDefault="00802C78" w:rsidP="00802C78">
      <w:pPr>
        <w:pStyle w:val="CostingsH8"/>
      </w:pPr>
      <w:r w:rsidRPr="00D30201">
        <w:t>Accommodation and infrastructure</w:t>
      </w:r>
    </w:p>
    <w:p w:rsidR="00802C78" w:rsidRPr="00D30201" w:rsidRDefault="00802C78" w:rsidP="00802C78">
      <w:pPr>
        <w:pStyle w:val="BodyText"/>
        <w:rPr>
          <w:i/>
        </w:rPr>
      </w:pPr>
      <w:r w:rsidRPr="00D30201">
        <w:t>The costing assumes that the PBO remains in Parliament House and includes provision for fit out of office accommodation and additional IT infrastructure necessary for the increased staff and enhanced responsibilities.  If the PBO were unable to remain in Parliament House additional funding would be required to rent commercial premises.</w:t>
      </w:r>
    </w:p>
    <w:p w:rsidR="00420CF4" w:rsidRDefault="00420CF4" w:rsidP="00420CF4">
      <w:pPr>
        <w:pStyle w:val="CostingsH7"/>
      </w:pPr>
      <w:r>
        <w:t>Methodology</w:t>
      </w:r>
    </w:p>
    <w:p w:rsidR="00802C78" w:rsidRPr="00D30201" w:rsidRDefault="00802C78" w:rsidP="00B321B6">
      <w:pPr>
        <w:pStyle w:val="BodyText"/>
      </w:pPr>
      <w:r w:rsidRPr="00D30201">
        <w:t xml:space="preserve">Estimates of the staff required to prepare independent economic forecasts are based on the detail of Treasury's approach to macroeconomic forecasting set out in the </w:t>
      </w:r>
      <w:r w:rsidRPr="00D30201">
        <w:rPr>
          <w:i/>
        </w:rPr>
        <w:t>Review of Treasury Macroeconomic and Revenue Forecasting</w:t>
      </w:r>
      <w:r w:rsidRPr="00D30201">
        <w:t xml:space="preserve"> released in 2012, </w:t>
      </w:r>
      <w:r w:rsidRPr="00D30201">
        <w:rPr>
          <w:i/>
        </w:rPr>
        <w:t>Review of Treasury’s Macroeconomic Forecasting Capabilities</w:t>
      </w:r>
      <w:r w:rsidRPr="00D30201">
        <w:t xml:space="preserve"> released in 2015, and current Treasury resources responsible for producing the economic forecasts.  The estimates include staff resources for:</w:t>
      </w:r>
    </w:p>
    <w:p w:rsidR="00802C78" w:rsidRPr="00F65EC5" w:rsidRDefault="00802C78" w:rsidP="00A916F5">
      <w:pPr>
        <w:pStyle w:val="ListBullet"/>
      </w:pPr>
      <w:r w:rsidRPr="00F65EC5">
        <w:t>the analysis and forecasting of the components of real and nominal Gross Domestic Product (GDP) (Expenditure) - consumption, investment, government spending, export and imports</w:t>
      </w:r>
    </w:p>
    <w:p w:rsidR="00802C78" w:rsidRPr="00F65EC5" w:rsidRDefault="00802C78" w:rsidP="00A916F5">
      <w:pPr>
        <w:pStyle w:val="ListBullet"/>
      </w:pPr>
      <w:r w:rsidRPr="00F65EC5">
        <w:t>the analysis and forecasting of components of nominal GDP (Income)</w:t>
      </w:r>
    </w:p>
    <w:p w:rsidR="00802C78" w:rsidRPr="00F65EC5" w:rsidRDefault="00802C78" w:rsidP="00A916F5">
      <w:pPr>
        <w:pStyle w:val="ListBullet"/>
      </w:pPr>
      <w:r w:rsidRPr="00F65EC5">
        <w:t>assessment of the economic outlook of major trading partners and commodity prices</w:t>
      </w:r>
    </w:p>
    <w:p w:rsidR="00802C78" w:rsidRPr="00F65EC5" w:rsidRDefault="00802C78" w:rsidP="00A916F5">
      <w:pPr>
        <w:pStyle w:val="ListBullet"/>
      </w:pPr>
      <w:r w:rsidRPr="00F65EC5">
        <w:t>coordination and management of the forecasting process</w:t>
      </w:r>
    </w:p>
    <w:p w:rsidR="00802C78" w:rsidRPr="00F65EC5" w:rsidRDefault="00802C78" w:rsidP="00A916F5">
      <w:pPr>
        <w:pStyle w:val="ListBullet"/>
      </w:pPr>
      <w:r w:rsidRPr="00F65EC5">
        <w:t>business liaison</w:t>
      </w:r>
    </w:p>
    <w:p w:rsidR="00802C78" w:rsidRPr="00D30201" w:rsidRDefault="00802C78" w:rsidP="00A916F5">
      <w:pPr>
        <w:pStyle w:val="ListBullet"/>
      </w:pPr>
      <w:r w:rsidRPr="00F65EC5">
        <w:t>development</w:t>
      </w:r>
      <w:r w:rsidRPr="00D30201">
        <w:t xml:space="preserve"> and maintenance of leading indicator models, single-sector forecasting models and a macroeconomic model.</w:t>
      </w:r>
    </w:p>
    <w:p w:rsidR="00802C78" w:rsidRPr="00D30201" w:rsidRDefault="00802C78" w:rsidP="00A916F5">
      <w:pPr>
        <w:pStyle w:val="BodyText"/>
      </w:pPr>
      <w:r w:rsidRPr="00D30201">
        <w:t>Staffing and related infrastructure costs were estimated based on an appropriate profile to perform the additional functions, and using the Department of Finance's standard departmental costing calculator.</w:t>
      </w:r>
    </w:p>
    <w:p w:rsidR="00802C78" w:rsidRPr="00D30201" w:rsidRDefault="00802C78" w:rsidP="00A916F5">
      <w:pPr>
        <w:pStyle w:val="BodyText"/>
      </w:pPr>
      <w:r w:rsidRPr="00D30201">
        <w:t>The estimated consultancy costs to develop a macroeconomic forecasting model are based on an estimate of four person years consistent with previous similar work.</w:t>
      </w:r>
    </w:p>
    <w:p w:rsidR="00802C78" w:rsidRPr="00D30201" w:rsidRDefault="00802C78" w:rsidP="00A916F5">
      <w:pPr>
        <w:pStyle w:val="BodyText"/>
      </w:pPr>
      <w:r w:rsidRPr="00D30201">
        <w:t>The estimated costs of the advisory panel are based on the Remuneration Tribunal’s determination for sitting fees for similar panels.</w:t>
      </w:r>
    </w:p>
    <w:p w:rsidR="00420CF4" w:rsidRDefault="00420CF4" w:rsidP="00A7333B">
      <w:pPr>
        <w:pStyle w:val="CostingsH7"/>
      </w:pPr>
      <w:r>
        <w:t>Data sources</w:t>
      </w:r>
    </w:p>
    <w:p w:rsidR="007A33ED" w:rsidRPr="00FE5152" w:rsidRDefault="007A33ED" w:rsidP="00A7333B">
      <w:pPr>
        <w:pStyle w:val="BodyText"/>
        <w:keepNext/>
        <w:keepLines/>
      </w:pPr>
      <w:r w:rsidRPr="00FE5152">
        <w:t xml:space="preserve">Commonwealth Treasury 2012, </w:t>
      </w:r>
      <w:r w:rsidRPr="0073534F">
        <w:rPr>
          <w:i/>
        </w:rPr>
        <w:t>Review of Treasury Macroeconomic and Revenue Forecasting</w:t>
      </w:r>
      <w:r w:rsidRPr="00FE5152">
        <w:t>, The Treasury, available at: http://www.treasury.gov.au/PublicationsAndMedia/Publications/2013/Forecasting-review.</w:t>
      </w:r>
    </w:p>
    <w:p w:rsidR="00271012" w:rsidRPr="00271012" w:rsidRDefault="00271012" w:rsidP="00271012">
      <w:pPr>
        <w:pStyle w:val="BodyText"/>
      </w:pPr>
      <w:r w:rsidRPr="00271012">
        <w:t>Heath, A 2015, ‘The Role of the RBA’s Business Liaison Program’, Urban Development Institute of Australa (WA Division Incorporated) Luncheon, Perth, 24 September, available at: http://www.rba.gov.au/speeches/2015/sp-so-2015-09-24.html.</w:t>
      </w:r>
    </w:p>
    <w:p w:rsidR="007A33ED" w:rsidRDefault="007A33ED" w:rsidP="007A33ED">
      <w:pPr>
        <w:pStyle w:val="BodyText"/>
      </w:pPr>
      <w:r w:rsidRPr="007A33ED">
        <w:t>Kent, C 2016, ‘Economic Forecasting at the Reserve Bank of Australia’</w:t>
      </w:r>
      <w:r w:rsidR="001D17D4">
        <w:t>,</w:t>
      </w:r>
      <w:r w:rsidRPr="007A33ED">
        <w:t xml:space="preserve"> Address to the Economic Society of Australia, Hobart, 6 April, available at: </w:t>
      </w:r>
      <w:hyperlink r:id="rId24" w:history="1">
        <w:r w:rsidRPr="002D37C5">
          <w:rPr>
            <w:rStyle w:val="Hyperlink"/>
          </w:rPr>
          <w:t>http://www.rba.gov.au/speeches/2016/sp-ag-2016-04-06.html</w:t>
        </w:r>
      </w:hyperlink>
      <w:r w:rsidRPr="007A33ED">
        <w:t>.</w:t>
      </w:r>
    </w:p>
    <w:p w:rsidR="00271012" w:rsidRPr="00271012" w:rsidRDefault="00271012" w:rsidP="00271012">
      <w:pPr>
        <w:pStyle w:val="BodyText"/>
      </w:pPr>
      <w:r w:rsidRPr="00271012">
        <w:t>Lowe, P 2010, ‘Forecasting in an Uncertain World’, Address to Australian Business Economists Annual Forecasting Conference Dinner, Sydney, 8 December, available at: http://www.rba.gov.au/speeches/2010/sp-ag-081210.html.</w:t>
      </w:r>
    </w:p>
    <w:p w:rsidR="007A33ED" w:rsidRPr="007A33ED" w:rsidRDefault="007A33ED" w:rsidP="007A33ED">
      <w:pPr>
        <w:pStyle w:val="BodyText"/>
      </w:pPr>
      <w:r w:rsidRPr="007A33ED">
        <w:t xml:space="preserve">Pagan, A &amp; Wilcox, D 2015, </w:t>
      </w:r>
      <w:r w:rsidRPr="0073534F">
        <w:rPr>
          <w:i/>
        </w:rPr>
        <w:t>External Review – Reserve Bank of Australia Economic Group Forecasts and Analysis</w:t>
      </w:r>
      <w:r w:rsidRPr="007A33ED">
        <w:t>, available at: http://www.rba.gov.au/speeches/2016/pdf/sp-ag-2016-04-06-external-forecast-review-final-report.pdf.</w:t>
      </w:r>
    </w:p>
    <w:p w:rsidR="00271012" w:rsidRPr="00271012" w:rsidRDefault="00271012" w:rsidP="00271012">
      <w:pPr>
        <w:pStyle w:val="BodyText"/>
      </w:pPr>
      <w:r w:rsidRPr="00271012">
        <w:t xml:space="preserve">Ramsden, D 2015, </w:t>
      </w:r>
      <w:r w:rsidRPr="0073534F">
        <w:rPr>
          <w:i/>
        </w:rPr>
        <w:t>HM Treasury review of the Office for Budget Responsibility</w:t>
      </w:r>
      <w:r w:rsidRPr="00271012">
        <w:t>, HM Treasury, available at: https://www.gov.uk/government/publications/hm-treasury-review-of-the-office-for-budget-responsibility.</w:t>
      </w:r>
    </w:p>
    <w:p w:rsidR="00A916F5" w:rsidRDefault="00FE5152" w:rsidP="00FE5152">
      <w:pPr>
        <w:pStyle w:val="BodyText"/>
      </w:pPr>
      <w:r w:rsidRPr="00FE5152">
        <w:t xml:space="preserve">Tease, W 2015, </w:t>
      </w:r>
      <w:r w:rsidR="00A916F5" w:rsidRPr="0073534F">
        <w:rPr>
          <w:i/>
        </w:rPr>
        <w:t>Review of Treasury’s Macroeconomic Forecasting Capabilities</w:t>
      </w:r>
      <w:r w:rsidR="00A916F5" w:rsidRPr="00FE5152">
        <w:t xml:space="preserve">, </w:t>
      </w:r>
      <w:r w:rsidRPr="00FE5152">
        <w:t xml:space="preserve">available at: </w:t>
      </w:r>
      <w:hyperlink r:id="rId25" w:history="1">
        <w:r w:rsidR="007A33ED" w:rsidRPr="002D37C5">
          <w:rPr>
            <w:rStyle w:val="Hyperlink"/>
          </w:rPr>
          <w:t>http://www.treasury.gov.au/~/media/Treasury/Publications%20and%20Media/Publications/2016/Review%20of%20Macroeconomic%20Forecasting%20Capabilities/Downloads/PDF/Review-of-Macroeconomic-Forecasting-Capabilities.ashx</w:t>
        </w:r>
      </w:hyperlink>
      <w:r w:rsidR="00A916F5" w:rsidRPr="00FE5152">
        <w:t>.</w:t>
      </w:r>
    </w:p>
    <w:p w:rsidR="007A33ED" w:rsidRPr="007A33ED" w:rsidRDefault="007A33ED" w:rsidP="007A33ED">
      <w:pPr>
        <w:pStyle w:val="BodyText"/>
      </w:pPr>
      <w:r w:rsidRPr="007A33ED">
        <w:t>Tease, W 2015, ‘Forecasting in Treasury’ Address to CEDA’s Economic and Political Overview Conference, available at: http://www.treasury.gov.au/~/media/Treasury/Publications%20and%20Media/Speeches/2016/Forecasting%20in%20Treasury/Downloads/PDF/Forecasting-in-Treasury-Warren-Tease.ashx.</w:t>
      </w:r>
    </w:p>
    <w:p w:rsidR="001D17D4" w:rsidRDefault="00A916F5" w:rsidP="003909F7">
      <w:pPr>
        <w:pStyle w:val="BodyText"/>
      </w:pPr>
      <w:r w:rsidRPr="00271012">
        <w:t>Page</w:t>
      </w:r>
      <w:r w:rsidR="00271012" w:rsidRPr="00271012">
        <w:t>,</w:t>
      </w:r>
      <w:r w:rsidRPr="00271012">
        <w:t xml:space="preserve"> K 2014</w:t>
      </w:r>
      <w:r w:rsidR="00271012" w:rsidRPr="00271012">
        <w:t>,</w:t>
      </w:r>
      <w:r w:rsidRPr="00271012">
        <w:t xml:space="preserve"> </w:t>
      </w:r>
      <w:r w:rsidR="00271012" w:rsidRPr="00271012">
        <w:t xml:space="preserve">, available at: </w:t>
      </w:r>
      <w:hyperlink r:id="rId26" w:history="1">
        <w:r w:rsidR="001D17D4" w:rsidRPr="008D479E">
          <w:rPr>
            <w:rStyle w:val="Hyperlink"/>
          </w:rPr>
          <w:t>https://www.gov.uk/government/publications/external-review-of-the-office-for-budget-responsibility</w:t>
        </w:r>
      </w:hyperlink>
    </w:p>
    <w:p w:rsidR="001F3E68" w:rsidRDefault="00F2634C" w:rsidP="003909F7">
      <w:pPr>
        <w:pStyle w:val="BodyText"/>
      </w:pPr>
      <w:r>
        <w:t>Department of Finance,</w:t>
      </w:r>
      <w:r w:rsidR="00A916F5" w:rsidRPr="00F2634C">
        <w:t xml:space="preserve"> Standard Department of Finance Departmental Costing Calculator.</w:t>
      </w:r>
    </w:p>
    <w:p w:rsidR="008A35EA" w:rsidRPr="00F2634C" w:rsidRDefault="008A35EA" w:rsidP="003909F7">
      <w:pPr>
        <w:pStyle w:val="BodyText"/>
      </w:pPr>
    </w:p>
    <w:p w:rsidR="00A7333B" w:rsidRDefault="00A7333B">
      <w:pPr>
        <w:sectPr w:rsidR="00A7333B" w:rsidSect="00762C05">
          <w:headerReference w:type="even" r:id="rId27"/>
          <w:headerReference w:type="default" r:id="rId28"/>
          <w:footerReference w:type="even" r:id="rId29"/>
          <w:footerReference w:type="default" r:id="rId30"/>
          <w:footnotePr>
            <w:numRestart w:val="eachSect"/>
          </w:footnotePr>
          <w:pgSz w:w="11907" w:h="16839" w:code="9"/>
          <w:pgMar w:top="1361" w:right="1797" w:bottom="1474" w:left="1797" w:header="283" w:footer="454" w:gutter="0"/>
          <w:cols w:space="708"/>
          <w:docGrid w:linePitch="360"/>
        </w:sectPr>
      </w:pPr>
    </w:p>
    <w:p w:rsidR="00420CF4" w:rsidRDefault="00420CF4" w:rsidP="00D50E07">
      <w:pPr>
        <w:pStyle w:val="Heading6"/>
        <w:numPr>
          <w:ilvl w:val="0"/>
          <w:numId w:val="10"/>
        </w:numPr>
        <w:tabs>
          <w:tab w:val="right" w:pos="1418"/>
          <w:tab w:val="right" w:pos="1701"/>
          <w:tab w:val="right" w:pos="1985"/>
        </w:tabs>
        <w:spacing w:before="480"/>
      </w:pPr>
      <w:r>
        <w:t xml:space="preserve">Attachment </w:t>
      </w:r>
      <w:r w:rsidR="00A916F5" w:rsidRPr="00A916F5">
        <w:t>A: Approaches to Macroeconomic Forecasting</w:t>
      </w:r>
    </w:p>
    <w:p w:rsidR="00A916F5" w:rsidRDefault="00A916F5" w:rsidP="00A916F5">
      <w:pPr>
        <w:pStyle w:val="CostingsH7"/>
      </w:pPr>
      <w:r>
        <w:t>The Treasury approach to macroeconomic forecasting</w:t>
      </w:r>
    </w:p>
    <w:p w:rsidR="00A916F5" w:rsidRPr="00A916F5" w:rsidRDefault="00A916F5" w:rsidP="00A916F5">
      <w:pPr>
        <w:pStyle w:val="BodyText"/>
      </w:pPr>
      <w:r w:rsidRPr="00A916F5">
        <w:t>Macroeconomic forecasting agencies typically employ a range of modelling tools combined with judgements informed through surveys and discussions with businesses, technical experts and other forecasters.</w:t>
      </w:r>
    </w:p>
    <w:p w:rsidR="00A916F5" w:rsidRPr="00A916F5" w:rsidRDefault="00A916F5" w:rsidP="00A916F5">
      <w:pPr>
        <w:pStyle w:val="BodyText"/>
      </w:pPr>
      <w:r w:rsidRPr="00A916F5">
        <w:t>The current approach to macroeconomic forecasting employed by Treasury is based around single sector models of various sectors of the economy augmented by input and judgement from sector analysts.  This input may be informed by leading indicators, business surveys and information gathered from Treasury’s business liaison program.  This is a disaggregated approach to forecasting with many analysts devoted to monitoring and forecasting at a detailed level the individual components of GDP such as household consumption, business investment, exports and imports.</w:t>
      </w:r>
    </w:p>
    <w:p w:rsidR="00A916F5" w:rsidRPr="00A916F5" w:rsidRDefault="00A916F5" w:rsidP="00A916F5">
      <w:pPr>
        <w:pStyle w:val="BodyText"/>
      </w:pPr>
      <w:r w:rsidRPr="00A916F5">
        <w:t>The disaggregated detailed forecasts produced by the sector analysts are then combined by the National Accounts unit into a large Excel workbook known as the National Accounts Forecasting Framework (NAFF) which is used to produce real and nominal GDP forecasts on an expenditure and income basis.  Judgement is applied to the forecasts at each stage of the process including by the sector analysts, the National Accounts unit and senior members of the Macroeconomic Conditions Division.</w:t>
      </w:r>
    </w:p>
    <w:p w:rsidR="00A916F5" w:rsidRPr="00A916F5" w:rsidRDefault="00A916F5" w:rsidP="00A916F5">
      <w:pPr>
        <w:pStyle w:val="BodyText"/>
      </w:pPr>
      <w:r w:rsidRPr="00A916F5">
        <w:t>The macroeconomic forecasts are peer reviewed both within Treasury and externally through the Joint Economic Forecast Group (JEFG) process.  The Treasury presents to the JEFG the latest macroeconomic forecasts for review and discussion.  Membership of JEFG includes the Reserve Bank of Australia, the Department of Finance, the Department of the Prime Minister and Cabinet, and the Australian Bureau of Statistics.</w:t>
      </w:r>
    </w:p>
    <w:p w:rsidR="00A916F5" w:rsidRDefault="00A916F5" w:rsidP="00A916F5">
      <w:pPr>
        <w:pStyle w:val="BodyText"/>
      </w:pPr>
      <w:r w:rsidRPr="00A916F5">
        <w:t>This approach to macroeconomic forecasting incorporates a considerable volume of information generated through various single-sector models, partial indicators, surveys, business liaison and peer review.  Typically Treasury undertakes four forecast rounds a year.  It is therefore relatively resource intensive - there are currently close to 40 staff in the Macroeconomic Conditions Division, who are monitoring and forecasting individual sectors of the economy.</w:t>
      </w:r>
    </w:p>
    <w:p w:rsidR="00A916F5" w:rsidRPr="00C52567" w:rsidRDefault="00A916F5" w:rsidP="00A916F5">
      <w:pPr>
        <w:pStyle w:val="CostingsH7"/>
      </w:pPr>
      <w:r w:rsidRPr="00C52567">
        <w:t>Comparison with international organisations</w:t>
      </w:r>
    </w:p>
    <w:p w:rsidR="001F3E68" w:rsidRDefault="00A916F5" w:rsidP="00A916F5">
      <w:pPr>
        <w:pStyle w:val="BodyText"/>
      </w:pPr>
      <w:r>
        <w:t xml:space="preserve">The Treasury approach differs from that used by a number of other macroeconomic forecasting organisations internationally in one key aspect.  As identified in both the </w:t>
      </w:r>
      <w:r w:rsidRPr="006F25FE">
        <w:rPr>
          <w:i/>
        </w:rPr>
        <w:t>Review of Treasury Macroeconomic and Revenue Forecasting, 2012</w:t>
      </w:r>
      <w:r>
        <w:t xml:space="preserve"> and the </w:t>
      </w:r>
      <w:r w:rsidRPr="006F25FE">
        <w:rPr>
          <w:i/>
        </w:rPr>
        <w:t>Review of Treasury’s Macroeconomic Forecasting Capabilities</w:t>
      </w:r>
      <w:r>
        <w:rPr>
          <w:i/>
        </w:rPr>
        <w:t>, 2015</w:t>
      </w:r>
      <w:r>
        <w:t xml:space="preserve">, many international organisations employ a macroeconomic forecasting model as the key forecasting tool.  (The 2015 review includes a useful summary of public </w:t>
      </w:r>
      <w:r w:rsidR="001F3E68">
        <w:t>sector forecasting processes.)</w:t>
      </w:r>
    </w:p>
    <w:p w:rsidR="00A916F5" w:rsidRDefault="00A916F5" w:rsidP="00A7333B">
      <w:pPr>
        <w:pStyle w:val="BodyText"/>
        <w:keepNext/>
        <w:keepLines/>
      </w:pPr>
      <w:r>
        <w:t xml:space="preserve">While no one model can capture all of the relevant features of an economy, using a macroeconomic model for forecasting does provide a means for assessing how the economy might respond to shocks, how different assumptions about key variables might impact the economy, and a framework to ensure the internal </w:t>
      </w:r>
      <w:r w:rsidRPr="004C1BE2">
        <w:t>consistency of the economic forecasts.</w:t>
      </w:r>
    </w:p>
    <w:p w:rsidR="00A916F5" w:rsidRDefault="00A916F5" w:rsidP="00A916F5">
      <w:pPr>
        <w:pStyle w:val="BodyText"/>
      </w:pPr>
      <w:r>
        <w:t>The development of a macroeconomic forecasting model of the economy is complex, would require significant resources and may involve a number of years to both develop and integrate the model into the forecasting process.  Once integrated there may be resource savings, for example, the need to develop and maintain single</w:t>
      </w:r>
      <w:r>
        <w:noBreakHyphen/>
        <w:t>sector models would not be necessary.</w:t>
      </w:r>
    </w:p>
    <w:p w:rsidR="00A916F5" w:rsidRDefault="00A916F5" w:rsidP="00A916F5">
      <w:pPr>
        <w:pStyle w:val="CostingsH7"/>
      </w:pPr>
      <w:r>
        <w:t>Economic forecasting in the United Kingdom’s Office of Budget Responsibility (OBR)</w:t>
      </w:r>
    </w:p>
    <w:p w:rsidR="00A916F5" w:rsidRDefault="00A916F5" w:rsidP="00A916F5">
      <w:pPr>
        <w:pStyle w:val="BodyText"/>
      </w:pPr>
      <w:r>
        <w:t>The OBR was established in 2010 to provide independent and authoritative analysis of the UK’s public finances.  It’s remit is to produce five-year forecasts for the economy and public finances at least twice a year; use its public finance forecasts to judge the government’s performance against its fiscal targets; conduct an assessment of the accuracy of its forecasts and assess the long-term sustainability of the public finances.  The government uses the OBR’s economic and fiscal forecasts as the UK’s official forecasts.</w:t>
      </w:r>
    </w:p>
    <w:p w:rsidR="00A916F5" w:rsidRDefault="00A916F5" w:rsidP="00A916F5">
      <w:pPr>
        <w:pStyle w:val="BodyText"/>
      </w:pPr>
      <w:r>
        <w:t>A team of around six people produce the OBR’s economic forecasts using a macroeconomic model supplemented with other models and inputs.  These forecasts and other analysis are prepared for the Budget Responsibility Committee of the OBR currently consisting of Robert Chote, Sir Stephen Nickel and Graham Parker, all of whom have many years of experience in macroeconomic and fiscal forecasting and research.</w:t>
      </w:r>
    </w:p>
    <w:p w:rsidR="00420CF4" w:rsidRDefault="00A916F5" w:rsidP="00420CF4">
      <w:pPr>
        <w:pStyle w:val="BodyText"/>
      </w:pPr>
      <w:r>
        <w:t xml:space="preserve">The macroeconomic model is jointly maintained and developed with HM Treasury involving </w:t>
      </w:r>
      <w:r w:rsidRPr="008F4749">
        <w:t xml:space="preserve">around </w:t>
      </w:r>
      <w:r>
        <w:t>seven</w:t>
      </w:r>
      <w:r w:rsidRPr="008F4749">
        <w:t> full</w:t>
      </w:r>
      <w:r w:rsidRPr="008F4749">
        <w:noBreakHyphen/>
        <w:t>time equivalent Treasury staff.</w:t>
      </w:r>
      <w:r>
        <w:t xml:space="preserve">  In the run up to each forecast round the OBR engages with a range of other forecasters, and experts at HM Treasury, the Bank of England, the Office of National Statistics and non-government organisations such as the National Institute for Economic and Social Research.</w:t>
      </w:r>
    </w:p>
    <w:p w:rsidR="00D50E07" w:rsidRPr="00951305" w:rsidRDefault="00D50E07" w:rsidP="00420CF4">
      <w:pPr>
        <w:pStyle w:val="BodyText"/>
      </w:pPr>
    </w:p>
    <w:p w:rsidR="00420CF4" w:rsidRDefault="00420CF4" w:rsidP="00420CF4">
      <w:pPr>
        <w:pStyle w:val="BodyText"/>
        <w:sectPr w:rsidR="00420CF4" w:rsidSect="00762C05">
          <w:footnotePr>
            <w:numRestart w:val="eachSect"/>
          </w:footnotePr>
          <w:pgSz w:w="11907" w:h="16839" w:code="9"/>
          <w:pgMar w:top="1361" w:right="1797" w:bottom="1474" w:left="1797" w:header="283" w:footer="454" w:gutter="0"/>
          <w:cols w:space="708"/>
          <w:docGrid w:linePitch="360"/>
        </w:sectPr>
      </w:pPr>
    </w:p>
    <w:p w:rsidR="00420CF4" w:rsidRDefault="00420CF4" w:rsidP="00420CF4">
      <w:pPr>
        <w:pStyle w:val="Heading5"/>
        <w:ind w:left="1080" w:hanging="1080"/>
      </w:pPr>
      <w:bookmarkStart w:id="13" w:name="_Toc458081633"/>
      <w:r>
        <w:t xml:space="preserve">ALP009: Extending existing freezes on family payments thresholds to </w:t>
      </w:r>
      <w:r w:rsidR="00AF6ADB">
        <w:br/>
      </w:r>
      <w:r>
        <w:t>2019</w:t>
      </w:r>
      <w:r w:rsidR="00AF6ADB">
        <w:t>–</w:t>
      </w:r>
      <w:r>
        <w:t>20</w:t>
      </w:r>
      <w:bookmarkEnd w:id="13"/>
    </w:p>
    <w:p w:rsidR="009346E9" w:rsidRDefault="009346E9" w:rsidP="009346E9">
      <w:pPr>
        <w:pStyle w:val="BodyText"/>
      </w:pPr>
      <w:r>
        <w:rPr>
          <w:noProof/>
          <w:lang w:eastAsia="en-AU"/>
        </w:rPr>
        <w:drawing>
          <wp:inline distT="0" distB="0" distL="0" distR="0" wp14:anchorId="145F7F52" wp14:editId="2EA42955">
            <wp:extent cx="2696845" cy="572135"/>
            <wp:effectExtent l="0" t="0" r="8255" b="0"/>
            <wp:docPr id="387" name="Picture 38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F6AD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F6ADB" w:rsidRDefault="00420CF4" w:rsidP="00194A1D">
            <w:pPr>
              <w:pStyle w:val="PullOutBoxHeading"/>
              <w:rPr>
                <w:b/>
              </w:rPr>
            </w:pPr>
            <w:r w:rsidRPr="00AF6ADB">
              <w:rPr>
                <w:b/>
              </w:rPr>
              <w:t>Name of proposal:</w:t>
            </w:r>
          </w:p>
        </w:tc>
        <w:tc>
          <w:tcPr>
            <w:tcW w:w="3191" w:type="pct"/>
          </w:tcPr>
          <w:p w:rsidR="00420CF4" w:rsidRPr="00AF6ADB" w:rsidRDefault="008D2FB6" w:rsidP="00194A1D">
            <w:pPr>
              <w:pStyle w:val="PullOutBoxHeading"/>
              <w:rPr>
                <w:b/>
              </w:rPr>
            </w:pPr>
            <w:r w:rsidRPr="00AF6ADB">
              <w:rPr>
                <w:b/>
              </w:rPr>
              <w:t>Extending existing freezes on family payments thresholds to 2019-20</w:t>
            </w:r>
          </w:p>
        </w:tc>
      </w:tr>
      <w:tr w:rsidR="00420CF4" w:rsidRPr="00B45F94" w:rsidTr="00967BCD">
        <w:tc>
          <w:tcPr>
            <w:tcW w:w="1809" w:type="pct"/>
          </w:tcPr>
          <w:p w:rsidR="00420CF4" w:rsidRPr="00B45F94" w:rsidRDefault="00420CF4" w:rsidP="00194A1D">
            <w:pPr>
              <w:pStyle w:val="PullOutBoxBodyText"/>
            </w:pPr>
            <w:r w:rsidRPr="00B45F94">
              <w:t>Summary of proposal:</w:t>
            </w:r>
          </w:p>
        </w:tc>
        <w:tc>
          <w:tcPr>
            <w:tcW w:w="3191" w:type="pct"/>
          </w:tcPr>
          <w:p w:rsidR="008D2FB6" w:rsidRPr="00203D1A" w:rsidRDefault="008D2FB6" w:rsidP="00194A1D">
            <w:pPr>
              <w:pStyle w:val="PullOutBoxBodyText"/>
            </w:pPr>
            <w:r w:rsidRPr="00203D1A">
              <w:t>The proposal would extend until 2019-20 the existing indexation freezes on:</w:t>
            </w:r>
          </w:p>
          <w:p w:rsidR="008D2FB6" w:rsidRPr="00BE1B70" w:rsidRDefault="008D2FB6" w:rsidP="00194A1D">
            <w:pPr>
              <w:pStyle w:val="PullOutBoxBullet"/>
            </w:pPr>
            <w:r>
              <w:t>t</w:t>
            </w:r>
            <w:r w:rsidRPr="00203D1A">
              <w:t xml:space="preserve">he </w:t>
            </w:r>
            <w:r w:rsidRPr="00BE1B70">
              <w:t>Family Tax Benefit Part A (FTB-A) higher income free area</w:t>
            </w:r>
          </w:p>
          <w:p w:rsidR="008D2FB6" w:rsidRPr="00BE1B70" w:rsidRDefault="008D2FB6" w:rsidP="00194A1D">
            <w:pPr>
              <w:pStyle w:val="PullOutBoxBullet"/>
            </w:pPr>
            <w:r>
              <w:t>t</w:t>
            </w:r>
            <w:r w:rsidRPr="00BE1B70">
              <w:t>he Family Tax Benefit Part B (FTB-B) primary earner income limit</w:t>
            </w:r>
          </w:p>
          <w:p w:rsidR="008D2FB6" w:rsidRPr="00203D1A" w:rsidRDefault="008D2FB6" w:rsidP="00194A1D">
            <w:pPr>
              <w:pStyle w:val="PullOutBoxBullet"/>
            </w:pPr>
            <w:r>
              <w:t>t</w:t>
            </w:r>
            <w:r w:rsidRPr="00BE1B70">
              <w:t>he Paid</w:t>
            </w:r>
            <w:r w:rsidRPr="00203D1A">
              <w:t xml:space="preserve"> Parental Leave </w:t>
            </w:r>
            <w:r>
              <w:t xml:space="preserve">(PPL) scheme </w:t>
            </w:r>
            <w:r w:rsidRPr="00203D1A">
              <w:t>income limit.</w:t>
            </w:r>
          </w:p>
          <w:p w:rsidR="00420CF4" w:rsidRPr="008D2FB6" w:rsidRDefault="008D2FB6" w:rsidP="00194A1D">
            <w:pPr>
              <w:pStyle w:val="PullOutBoxBodyText"/>
            </w:pPr>
            <w:r w:rsidRPr="008D2FB6">
              <w:t>The proposal would have effect from 1 July 2017.</w:t>
            </w:r>
          </w:p>
        </w:tc>
      </w:tr>
      <w:tr w:rsidR="00420CF4" w:rsidRPr="00B45F94" w:rsidTr="00967BCD">
        <w:tc>
          <w:tcPr>
            <w:tcW w:w="1809" w:type="pct"/>
          </w:tcPr>
          <w:p w:rsidR="00420CF4" w:rsidRPr="00B45F94" w:rsidRDefault="00420CF4" w:rsidP="00194A1D">
            <w:pPr>
              <w:pStyle w:val="PullOutBoxBodyText"/>
            </w:pPr>
            <w:r>
              <w:t>Party:</w:t>
            </w:r>
          </w:p>
        </w:tc>
        <w:tc>
          <w:tcPr>
            <w:tcW w:w="3191" w:type="pct"/>
          </w:tcPr>
          <w:p w:rsidR="00420CF4" w:rsidRPr="00B45F94" w:rsidRDefault="00420CF4" w:rsidP="00967BCD">
            <w:pPr>
              <w:pStyle w:val="BodyText"/>
            </w:pPr>
            <w:r>
              <w:t>Australian Labor Party</w:t>
            </w:r>
          </w:p>
        </w:tc>
      </w:tr>
      <w:tr w:rsidR="00420CF4" w:rsidRPr="00B45F94" w:rsidTr="00967BCD">
        <w:tc>
          <w:tcPr>
            <w:tcW w:w="1809" w:type="pct"/>
          </w:tcPr>
          <w:p w:rsidR="00420CF4" w:rsidRPr="00B45F94" w:rsidRDefault="00420CF4" w:rsidP="00194A1D">
            <w:pPr>
              <w:pStyle w:val="PullOutBoxBodyText"/>
            </w:pPr>
            <w:r w:rsidRPr="00B45F94">
              <w:t>Expiry date for the costing:</w:t>
            </w:r>
          </w:p>
        </w:tc>
        <w:tc>
          <w:tcPr>
            <w:tcW w:w="3191" w:type="pct"/>
          </w:tcPr>
          <w:p w:rsidR="00420CF4" w:rsidRPr="00B45F94" w:rsidRDefault="00EC102A" w:rsidP="00967BCD">
            <w:pPr>
              <w:pStyle w:val="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8D2FB6" w:rsidRPr="00CC2122" w:rsidRDefault="008D2FB6" w:rsidP="00675B52">
      <w:pPr>
        <w:pStyle w:val="BodyText"/>
      </w:pPr>
      <w:r w:rsidRPr="00CC2122">
        <w:t xml:space="preserve">This proposal is expected to increase </w:t>
      </w:r>
      <w:r>
        <w:t xml:space="preserve">both </w:t>
      </w:r>
      <w:r w:rsidRPr="00CC2122">
        <w:t>the fiscal and underlying cash balances by $162</w:t>
      </w:r>
      <w:r w:rsidR="00F2634C">
        <w:t>.0</w:t>
      </w:r>
      <w:r w:rsidRPr="00CC2122">
        <w:t> million over the 2016</w:t>
      </w:r>
      <w:r w:rsidRPr="00CC2122">
        <w:noBreakHyphen/>
        <w:t>17 Budget forward estimates period.  This impact reflects a decrease in expenses of $164</w:t>
      </w:r>
      <w:r w:rsidR="00F2634C">
        <w:t>.0</w:t>
      </w:r>
      <w:r w:rsidRPr="00CC2122">
        <w:t> million and a decrease in revenue of $2</w:t>
      </w:r>
      <w:r w:rsidR="00F2634C">
        <w:t>.0</w:t>
      </w:r>
      <w:r w:rsidRPr="00CC2122">
        <w:t> million over this period.  A breakdown of the components of the proposal</w:t>
      </w:r>
      <w:r w:rsidRPr="00882639">
        <w:t xml:space="preserve"> </w:t>
      </w:r>
      <w:r w:rsidRPr="00CC2122">
        <w:t>over the 2016</w:t>
      </w:r>
      <w:r w:rsidRPr="00CC2122">
        <w:noBreakHyphen/>
        <w:t xml:space="preserve">17 Budget forward estimates period is at </w:t>
      </w:r>
      <w:r w:rsidRPr="00CC2122">
        <w:rPr>
          <w:u w:val="single"/>
        </w:rPr>
        <w:t>Attachment A</w:t>
      </w:r>
      <w:r w:rsidRPr="00CC2122">
        <w:t>.</w:t>
      </w:r>
    </w:p>
    <w:p w:rsidR="008D2FB6" w:rsidRPr="00CC2122" w:rsidRDefault="008D2FB6" w:rsidP="00675B52">
      <w:pPr>
        <w:pStyle w:val="BodyText"/>
      </w:pPr>
      <w:r w:rsidRPr="00CC2122">
        <w:t xml:space="preserve">This proposal </w:t>
      </w:r>
      <w:r>
        <w:t>would</w:t>
      </w:r>
      <w:r w:rsidRPr="00CC2122">
        <w:t xml:space="preserve"> </w:t>
      </w:r>
      <w:r>
        <w:t xml:space="preserve">be expected to </w:t>
      </w:r>
      <w:r w:rsidRPr="00CC2122">
        <w:t>have an ongoing impact that extends beyond the forward estimates period</w:t>
      </w:r>
      <w:r>
        <w:t>,</w:t>
      </w:r>
      <w:r w:rsidRPr="00CC2122">
        <w:t xml:space="preserve"> </w:t>
      </w:r>
      <w:r>
        <w:t>with the ongoing annual impact being commensurate with the impact in 2019-20, growing in line with indexation and affected population groups.</w:t>
      </w:r>
    </w:p>
    <w:p w:rsidR="008D2FB6" w:rsidRPr="003D0327" w:rsidRDefault="008D2FB6" w:rsidP="00675B52">
      <w:pPr>
        <w:pStyle w:val="BodyText"/>
      </w:pPr>
      <w:r w:rsidRPr="00AD166C">
        <w:t xml:space="preserve">The underlying cash </w:t>
      </w:r>
      <w:r>
        <w:t xml:space="preserve">and </w:t>
      </w:r>
      <w:r w:rsidRPr="00AD166C">
        <w:t xml:space="preserve">fiscal balance </w:t>
      </w:r>
      <w:r>
        <w:t>financial implications differ</w:t>
      </w:r>
      <w:r w:rsidRPr="00AD166C">
        <w:t xml:space="preserve"> </w:t>
      </w:r>
      <w:r w:rsidRPr="00491028">
        <w:t>because a proportion of FTB payments are made after the end of the financial</w:t>
      </w:r>
      <w:r>
        <w:t xml:space="preserve"> year in which they are accrued</w:t>
      </w:r>
      <w:r w:rsidRPr="00491028">
        <w:t>.</w:t>
      </w:r>
    </w:p>
    <w:p w:rsidR="00246C89" w:rsidRDefault="008D2FB6" w:rsidP="00675B52">
      <w:pPr>
        <w:pStyle w:val="BodyText"/>
      </w:pPr>
      <w:r w:rsidRPr="00CC2122">
        <w:t>This costing is considered to be of low reliability.  While the estimates are based on payment recipient unit record data, there are some data gaps regarding payment rates for particular payment recipient types.  Estimates are also based on assumed changes in wage g</w:t>
      </w:r>
      <w:r w:rsidR="00246C89">
        <w:t>rowth and demographic factors.</w:t>
      </w:r>
    </w:p>
    <w:p w:rsidR="00420CF4" w:rsidRDefault="00420CF4" w:rsidP="005C10EF">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194A1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5C10EF">
            <w:pPr>
              <w:pStyle w:val="TableHeading"/>
            </w:pPr>
            <w:r>
              <w:t>Impact on</w:t>
            </w:r>
            <w:r w:rsidR="00EC4962">
              <w:t xml:space="preserve"> ($m)</w:t>
            </w:r>
          </w:p>
        </w:tc>
        <w:tc>
          <w:tcPr>
            <w:tcW w:w="721" w:type="pct"/>
            <w:vAlign w:val="center"/>
          </w:tcPr>
          <w:p w:rsidR="00420CF4" w:rsidRPr="00FC1F1C" w:rsidRDefault="00420CF4" w:rsidP="005C10EF">
            <w:pPr>
              <w:pStyle w:val="TableHeadingRight"/>
            </w:pPr>
            <w:r>
              <w:t>2016–17</w:t>
            </w:r>
          </w:p>
        </w:tc>
        <w:tc>
          <w:tcPr>
            <w:tcW w:w="721" w:type="pct"/>
            <w:vAlign w:val="center"/>
          </w:tcPr>
          <w:p w:rsidR="00420CF4" w:rsidRPr="00FC1F1C" w:rsidRDefault="00420CF4" w:rsidP="005C10EF">
            <w:pPr>
              <w:pStyle w:val="TableHeadingRight"/>
            </w:pPr>
            <w:r>
              <w:t>2017–18</w:t>
            </w:r>
          </w:p>
        </w:tc>
        <w:tc>
          <w:tcPr>
            <w:tcW w:w="722" w:type="pct"/>
            <w:vAlign w:val="center"/>
          </w:tcPr>
          <w:p w:rsidR="00420CF4" w:rsidRPr="00FC1F1C" w:rsidRDefault="00420CF4" w:rsidP="005C10EF">
            <w:pPr>
              <w:pStyle w:val="TableHeadingRight"/>
            </w:pPr>
            <w:r>
              <w:t>2018–19</w:t>
            </w:r>
          </w:p>
        </w:tc>
        <w:tc>
          <w:tcPr>
            <w:tcW w:w="721" w:type="pct"/>
            <w:vAlign w:val="center"/>
          </w:tcPr>
          <w:p w:rsidR="00420CF4" w:rsidRPr="00FC1F1C" w:rsidRDefault="00420CF4" w:rsidP="005C10EF">
            <w:pPr>
              <w:pStyle w:val="TableHeadingRight"/>
            </w:pPr>
            <w:r>
              <w:t>2019–20</w:t>
            </w:r>
          </w:p>
        </w:tc>
        <w:tc>
          <w:tcPr>
            <w:tcW w:w="722" w:type="pct"/>
            <w:vAlign w:val="center"/>
          </w:tcPr>
          <w:p w:rsidR="00420CF4" w:rsidRDefault="00EC4962" w:rsidP="005C10EF">
            <w:pPr>
              <w:pStyle w:val="TableTextRight"/>
              <w:keepNext/>
              <w:keepLines/>
            </w:pPr>
            <w:r>
              <w:t>Total</w:t>
            </w:r>
          </w:p>
        </w:tc>
      </w:tr>
      <w:tr w:rsidR="008D2FB6" w:rsidTr="00194A1D">
        <w:tc>
          <w:tcPr>
            <w:tcW w:w="1393" w:type="pct"/>
            <w:vAlign w:val="center"/>
          </w:tcPr>
          <w:p w:rsidR="008D2FB6" w:rsidRDefault="008D2FB6" w:rsidP="005C10EF">
            <w:pPr>
              <w:pStyle w:val="TableText"/>
              <w:keepNext/>
              <w:keepLines/>
            </w:pPr>
            <w:r>
              <w:t>Fiscal balance</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26.0</w:t>
            </w:r>
          </w:p>
        </w:tc>
        <w:tc>
          <w:tcPr>
            <w:tcW w:w="722"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42.0</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95.0</w:t>
            </w:r>
          </w:p>
        </w:tc>
        <w:tc>
          <w:tcPr>
            <w:tcW w:w="722" w:type="pct"/>
            <w:vAlign w:val="center"/>
          </w:tcPr>
          <w:p w:rsidR="008D2FB6" w:rsidRPr="00CC2122" w:rsidRDefault="008D2FB6" w:rsidP="005C10EF">
            <w:pPr>
              <w:pStyle w:val="TableTextCentred"/>
              <w:keepNext/>
              <w:keepLines/>
              <w:spacing w:line="240" w:lineRule="auto"/>
              <w:jc w:val="right"/>
              <w:rPr>
                <w:b/>
                <w:szCs w:val="20"/>
              </w:rPr>
            </w:pPr>
            <w:r w:rsidRPr="00CC2122">
              <w:rPr>
                <w:b/>
                <w:szCs w:val="20"/>
              </w:rPr>
              <w:t>162.0</w:t>
            </w:r>
          </w:p>
        </w:tc>
      </w:tr>
      <w:tr w:rsidR="008D2FB6" w:rsidTr="00194A1D">
        <w:tc>
          <w:tcPr>
            <w:tcW w:w="1393" w:type="pct"/>
            <w:vAlign w:val="center"/>
          </w:tcPr>
          <w:p w:rsidR="008D2FB6" w:rsidRDefault="008D2FB6" w:rsidP="005C10EF">
            <w:pPr>
              <w:pStyle w:val="TableText"/>
              <w:keepNext/>
              <w:keepLines/>
            </w:pPr>
            <w:r>
              <w:t>Underlying cash balance</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21.0</w:t>
            </w:r>
          </w:p>
        </w:tc>
        <w:tc>
          <w:tcPr>
            <w:tcW w:w="722"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47.0</w:t>
            </w:r>
          </w:p>
        </w:tc>
        <w:tc>
          <w:tcPr>
            <w:tcW w:w="721" w:type="pct"/>
            <w:vAlign w:val="center"/>
          </w:tcPr>
          <w:p w:rsidR="008D2FB6" w:rsidRPr="00CC2122" w:rsidRDefault="008D2FB6" w:rsidP="005C10EF">
            <w:pPr>
              <w:pStyle w:val="TableTextCentred"/>
              <w:keepNext/>
              <w:keepLines/>
              <w:spacing w:line="240" w:lineRule="auto"/>
              <w:jc w:val="right"/>
              <w:rPr>
                <w:szCs w:val="20"/>
              </w:rPr>
            </w:pPr>
            <w:r w:rsidRPr="00CC2122">
              <w:rPr>
                <w:szCs w:val="20"/>
              </w:rPr>
              <w:t>95.0</w:t>
            </w:r>
          </w:p>
        </w:tc>
        <w:tc>
          <w:tcPr>
            <w:tcW w:w="722" w:type="pct"/>
            <w:vAlign w:val="center"/>
          </w:tcPr>
          <w:p w:rsidR="008D2FB6" w:rsidRPr="00CC2122" w:rsidRDefault="008D2FB6" w:rsidP="005C10EF">
            <w:pPr>
              <w:pStyle w:val="TableTextCentred"/>
              <w:keepNext/>
              <w:keepLines/>
              <w:spacing w:line="240" w:lineRule="auto"/>
              <w:jc w:val="right"/>
              <w:rPr>
                <w:b/>
                <w:szCs w:val="20"/>
              </w:rPr>
            </w:pPr>
            <w:r w:rsidRPr="00CC2122">
              <w:rPr>
                <w:b/>
                <w:szCs w:val="20"/>
              </w:rPr>
              <w:t>162.0</w:t>
            </w:r>
          </w:p>
        </w:tc>
      </w:tr>
    </w:tbl>
    <w:p w:rsidR="00420CF4" w:rsidRPr="00EC4962" w:rsidRDefault="00420CF4" w:rsidP="005C10EF">
      <w:pPr>
        <w:pStyle w:val="Footnotes"/>
        <w:keepNext/>
        <w:keepLines/>
        <w:numPr>
          <w:ilvl w:val="0"/>
          <w:numId w:val="23"/>
        </w:numPr>
        <w:ind w:left="284" w:hanging="284"/>
      </w:pPr>
      <w:r w:rsidRPr="00EC4962">
        <w:t>A positive number indicates an increase in the relevant budget balance, a negative number a decrease.</w:t>
      </w:r>
    </w:p>
    <w:p w:rsidR="00420CF4" w:rsidRPr="00EC4962" w:rsidRDefault="00420CF4" w:rsidP="005C10EF">
      <w:pPr>
        <w:pStyle w:val="Footnotes"/>
        <w:keepNext/>
        <w:keepLines/>
        <w:ind w:left="284" w:hanging="284"/>
      </w:pPr>
      <w:r w:rsidRPr="00EC4962">
        <w:t>Figures may not sum to totals due to rounding.</w:t>
      </w:r>
    </w:p>
    <w:p w:rsidR="008D2FB6" w:rsidRPr="00CC2122" w:rsidRDefault="008D2FB6" w:rsidP="003768DC">
      <w:pPr>
        <w:pStyle w:val="Footnotes"/>
        <w:numPr>
          <w:ilvl w:val="0"/>
          <w:numId w:val="22"/>
        </w:numPr>
        <w:tabs>
          <w:tab w:val="left" w:pos="426"/>
        </w:tabs>
        <w:spacing w:before="113"/>
        <w:ind w:left="284" w:hanging="284"/>
      </w:pPr>
      <w:r w:rsidRPr="00CC2122">
        <w:t>Indicates nil.</w:t>
      </w:r>
    </w:p>
    <w:p w:rsidR="00420CF4" w:rsidRDefault="00420CF4" w:rsidP="00420CF4">
      <w:pPr>
        <w:pStyle w:val="CostingsH7"/>
      </w:pPr>
      <w:r>
        <w:t>Methodology</w:t>
      </w:r>
    </w:p>
    <w:p w:rsidR="008D2FB6" w:rsidRPr="00CC2122" w:rsidRDefault="008D2FB6" w:rsidP="008D2FB6">
      <w:pPr>
        <w:pStyle w:val="BodyText"/>
      </w:pPr>
      <w:r w:rsidRPr="00CC2122">
        <w:t>FTB-A and FTB-B related financial implications over the period 2016</w:t>
      </w:r>
      <w:r w:rsidRPr="00CC2122">
        <w:noBreakHyphen/>
        <w:t>17 to 2019</w:t>
      </w:r>
      <w:r w:rsidRPr="00CC2122">
        <w:noBreakHyphen/>
        <w:t>20 were estimated us</w:t>
      </w:r>
      <w:r w:rsidR="00F2634C">
        <w:t>ing the Policy Evaluation Model (PoEM)</w:t>
      </w:r>
      <w:r w:rsidRPr="00CC2122">
        <w:t xml:space="preserve"> of the Australian personal income tax and transfer system, a micro-simulation model that is based on Australian Government administrative data.  </w:t>
      </w:r>
    </w:p>
    <w:p w:rsidR="008D2FB6" w:rsidRPr="00CC2122" w:rsidRDefault="008D2FB6" w:rsidP="008D2FB6">
      <w:pPr>
        <w:pStyle w:val="BodyText"/>
      </w:pPr>
      <w:r>
        <w:t>PPL</w:t>
      </w:r>
      <w:r w:rsidRPr="00CC2122">
        <w:t xml:space="preserve"> scheme related financial implications were estimated using an administrative unit record dataset of all Parental Leave Pay and Dad and Partner Pay recipients in 2014</w:t>
      </w:r>
      <w:r w:rsidRPr="00CC2122">
        <w:noBreakHyphen/>
        <w:t>15.</w:t>
      </w:r>
    </w:p>
    <w:p w:rsidR="008D2FB6" w:rsidRPr="00CC2122" w:rsidRDefault="008D2FB6" w:rsidP="008D2FB6">
      <w:pPr>
        <w:pStyle w:val="BodyText"/>
      </w:pPr>
      <w:r w:rsidRPr="00CC2122">
        <w:t>Departmental savings were calculated by applying a</w:t>
      </w:r>
      <w:r>
        <w:t xml:space="preserve"> Department of Human Services </w:t>
      </w:r>
      <w:r w:rsidR="00F2634C">
        <w:t xml:space="preserve">(DHS) </w:t>
      </w:r>
      <w:r w:rsidRPr="00CC2122">
        <w:t>per</w:t>
      </w:r>
      <w:r>
        <w:t>-</w:t>
      </w:r>
      <w:r w:rsidRPr="00CC2122">
        <w:t>unit processing cost to the number of families affected by the proposal.</w:t>
      </w:r>
    </w:p>
    <w:p w:rsidR="008D2FB6" w:rsidRPr="00CC2122" w:rsidRDefault="008D2FB6" w:rsidP="008D2FB6">
      <w:pPr>
        <w:pStyle w:val="BodyText"/>
      </w:pPr>
      <w:r w:rsidRPr="00CC2122">
        <w:t xml:space="preserve">FTB-A and FTB-B related administered expenses have been rounded to the nearest $5 million.  </w:t>
      </w:r>
      <w:r>
        <w:t>PPL</w:t>
      </w:r>
      <w:r w:rsidRPr="00CC2122">
        <w:t xml:space="preserve"> scheme related administered expenses and all departmental expenses have been rounded to the nearest $1 million.</w:t>
      </w:r>
    </w:p>
    <w:p w:rsidR="00420CF4" w:rsidRDefault="00420CF4" w:rsidP="00420CF4">
      <w:pPr>
        <w:pStyle w:val="CostingsH7"/>
      </w:pPr>
      <w:r>
        <w:t>Data sources</w:t>
      </w:r>
    </w:p>
    <w:p w:rsidR="00246C89" w:rsidRPr="00CC2122" w:rsidRDefault="00246C89" w:rsidP="00246C89">
      <w:pPr>
        <w:pStyle w:val="ListBullet"/>
      </w:pPr>
      <w:r w:rsidRPr="00CC2122">
        <w:t xml:space="preserve">The Department of Social Services provided </w:t>
      </w:r>
      <w:r w:rsidR="00B4097F" w:rsidRPr="00B4097F">
        <w:t>PoEM</w:t>
      </w:r>
      <w:r w:rsidRPr="00B4097F">
        <w:t>,</w:t>
      </w:r>
      <w:r w:rsidRPr="00CC2122">
        <w:t xml:space="preserve"> administrative data of income support recipients and payment population projections.</w:t>
      </w:r>
    </w:p>
    <w:p w:rsidR="00246C89" w:rsidRPr="00CC2122" w:rsidRDefault="00503677" w:rsidP="00246C89">
      <w:pPr>
        <w:pStyle w:val="ListBullet"/>
      </w:pPr>
      <w:r>
        <w:t>The Department of Human Services</w:t>
      </w:r>
      <w:r w:rsidRPr="00CC2122">
        <w:t xml:space="preserve"> </w:t>
      </w:r>
      <w:r w:rsidR="00246C89" w:rsidRPr="00CC2122">
        <w:t>provided a funding model of unit prices</w:t>
      </w:r>
      <w:r w:rsidR="00246C89">
        <w:t xml:space="preserve"> as at the 2016-17 Budget</w:t>
      </w:r>
      <w:r w:rsidR="00246C89" w:rsidRPr="00CC2122">
        <w:t>.</w:t>
      </w:r>
    </w:p>
    <w:p w:rsidR="00246C89" w:rsidRDefault="00246C89" w:rsidP="00246C89">
      <w:pPr>
        <w:pStyle w:val="ListBullet"/>
      </w:pPr>
      <w:r w:rsidRPr="00CC2122">
        <w:t>The Department of Finance provided indexation and efficiency dividend parameters.</w:t>
      </w:r>
    </w:p>
    <w:p w:rsidR="008A35EA" w:rsidRDefault="008A35EA" w:rsidP="008A35EA">
      <w:pPr>
        <w:pStyle w:val="BodyText"/>
      </w:pPr>
    </w:p>
    <w:p w:rsidR="008A35EA" w:rsidRDefault="008A35EA" w:rsidP="008A35EA">
      <w:pPr>
        <w:pStyle w:val="BodyText"/>
        <w:sectPr w:rsidR="008A35EA" w:rsidSect="00762C05">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code="9"/>
          <w:pgMar w:top="1361" w:right="1797" w:bottom="1474" w:left="1797" w:header="283" w:footer="454" w:gutter="0"/>
          <w:cols w:space="708"/>
          <w:docGrid w:linePitch="360"/>
        </w:sectPr>
      </w:pPr>
    </w:p>
    <w:p w:rsidR="00420CF4" w:rsidRDefault="00420CF4" w:rsidP="00194A1D">
      <w:pPr>
        <w:pStyle w:val="Heading6"/>
        <w:numPr>
          <w:ilvl w:val="0"/>
          <w:numId w:val="10"/>
        </w:numPr>
        <w:tabs>
          <w:tab w:val="right" w:pos="1418"/>
          <w:tab w:val="right" w:pos="1701"/>
          <w:tab w:val="right" w:pos="1985"/>
        </w:tabs>
      </w:pPr>
      <w:r>
        <w:t>Attachment</w:t>
      </w:r>
      <w:r w:rsidR="00246C89">
        <w:t xml:space="preserve"> </w:t>
      </w:r>
      <w:r w:rsidR="00246C89" w:rsidRPr="00FC6579">
        <w:t>A:</w:t>
      </w:r>
      <w:r w:rsidR="00246C89">
        <w:t xml:space="preserve"> Extending existing freezes on family payments thresholds to 2019</w:t>
      </w:r>
      <w:r w:rsidR="00246C89">
        <w:noBreakHyphen/>
        <w:t>20—financial implications</w:t>
      </w:r>
    </w:p>
    <w:p w:rsidR="00420CF4" w:rsidRDefault="00420CF4" w:rsidP="00194A1D">
      <w:pPr>
        <w:pStyle w:val="Caption"/>
        <w:keepLines/>
      </w:pPr>
      <w:r w:rsidRPr="002B36F1">
        <w:t xml:space="preserve">Table </w:t>
      </w:r>
      <w:r>
        <w:t>A1</w:t>
      </w:r>
      <w:r w:rsidRPr="002B36F1">
        <w:t xml:space="preserve">: </w:t>
      </w:r>
      <w:r w:rsidR="00246C89">
        <w:t>Extending existing freezes on family paymen</w:t>
      </w:r>
      <w:r w:rsidR="00782E22">
        <w:t>ts thresholds to 2019-20—Fiscal </w:t>
      </w:r>
      <w:r w:rsidR="00246C89">
        <w:t>balance</w:t>
      </w:r>
      <w:r w:rsidR="00246C89" w:rsidRPr="00B46F22">
        <w:rPr>
          <w:vertAlign w:val="superscript"/>
        </w:rPr>
        <w:t>(a)</w:t>
      </w:r>
      <w:r w:rsidR="00246C89">
        <w:rPr>
          <w:vertAlign w:val="superscript"/>
        </w:rPr>
        <w:t>(b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194A1D">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194A1D">
            <w:pPr>
              <w:pStyle w:val="TableText"/>
              <w:keepNext/>
              <w:keepLines/>
              <w:rPr>
                <w:b w:val="0"/>
              </w:rPr>
            </w:pPr>
            <w:r>
              <w:t>($</w:t>
            </w:r>
            <w:r w:rsidR="006C3F94">
              <w:t>m</w:t>
            </w:r>
            <w:r>
              <w:t>)</w:t>
            </w:r>
          </w:p>
        </w:tc>
        <w:tc>
          <w:tcPr>
            <w:tcW w:w="689" w:type="pct"/>
            <w:vAlign w:val="center"/>
          </w:tcPr>
          <w:p w:rsidR="00420CF4" w:rsidRDefault="00420CF4" w:rsidP="00194A1D">
            <w:pPr>
              <w:pStyle w:val="TableTextRight"/>
              <w:keepNext/>
              <w:keepLines/>
              <w:rPr>
                <w:b w:val="0"/>
              </w:rPr>
            </w:pPr>
            <w:r>
              <w:t>2016–17</w:t>
            </w:r>
          </w:p>
        </w:tc>
        <w:tc>
          <w:tcPr>
            <w:tcW w:w="689" w:type="pct"/>
            <w:vAlign w:val="center"/>
          </w:tcPr>
          <w:p w:rsidR="00420CF4" w:rsidRDefault="00420CF4" w:rsidP="00194A1D">
            <w:pPr>
              <w:pStyle w:val="TableTextRight"/>
              <w:keepNext/>
              <w:keepLines/>
              <w:rPr>
                <w:b w:val="0"/>
              </w:rPr>
            </w:pPr>
            <w:r>
              <w:t>2017–18</w:t>
            </w:r>
          </w:p>
        </w:tc>
        <w:tc>
          <w:tcPr>
            <w:tcW w:w="689" w:type="pct"/>
            <w:vAlign w:val="center"/>
          </w:tcPr>
          <w:p w:rsidR="00420CF4" w:rsidRDefault="00420CF4" w:rsidP="00194A1D">
            <w:pPr>
              <w:pStyle w:val="TableTextRight"/>
              <w:keepNext/>
              <w:keepLines/>
              <w:rPr>
                <w:b w:val="0"/>
              </w:rPr>
            </w:pPr>
            <w:r>
              <w:t>2018–19</w:t>
            </w:r>
          </w:p>
        </w:tc>
        <w:tc>
          <w:tcPr>
            <w:tcW w:w="689" w:type="pct"/>
            <w:vAlign w:val="center"/>
          </w:tcPr>
          <w:p w:rsidR="00420CF4" w:rsidRDefault="00420CF4" w:rsidP="00782E22">
            <w:pPr>
              <w:pStyle w:val="TableTextRight"/>
              <w:keepNext/>
              <w:keepLines/>
              <w:rPr>
                <w:b w:val="0"/>
              </w:rPr>
            </w:pPr>
            <w:r>
              <w:t>2019</w:t>
            </w:r>
            <w:r w:rsidR="00782E22">
              <w:t>–</w:t>
            </w:r>
            <w:r>
              <w:t>20</w:t>
            </w:r>
          </w:p>
        </w:tc>
        <w:tc>
          <w:tcPr>
            <w:tcW w:w="690" w:type="pct"/>
            <w:vAlign w:val="center"/>
          </w:tcPr>
          <w:p w:rsidR="00420CF4" w:rsidRDefault="00420CF4" w:rsidP="00782E22">
            <w:pPr>
              <w:pStyle w:val="TableTextRight"/>
              <w:keepNext/>
              <w:keepLines/>
            </w:pPr>
            <w:r>
              <w:t>Total</w:t>
            </w:r>
            <w:r w:rsidR="006C3F94">
              <w:t xml:space="preserve"> to 2019</w:t>
            </w:r>
            <w:r w:rsidR="00782E22">
              <w:t>–</w:t>
            </w:r>
            <w:r w:rsidR="006C3F94">
              <w:t>20</w:t>
            </w:r>
          </w:p>
        </w:tc>
      </w:tr>
      <w:tr w:rsidR="00246C89" w:rsidTr="00194A1D">
        <w:tc>
          <w:tcPr>
            <w:tcW w:w="5000" w:type="pct"/>
            <w:gridSpan w:val="6"/>
            <w:shd w:val="clear" w:color="auto" w:fill="E9ECF3" w:themeFill="accent2" w:themeFillTint="33"/>
            <w:vAlign w:val="center"/>
          </w:tcPr>
          <w:p w:rsidR="00246C89" w:rsidRPr="00CC2122" w:rsidRDefault="00246C89" w:rsidP="00194A1D">
            <w:pPr>
              <w:pStyle w:val="TableTextRight"/>
              <w:keepNext/>
              <w:keepLines/>
              <w:spacing w:line="240" w:lineRule="auto"/>
              <w:jc w:val="left"/>
              <w:rPr>
                <w:b/>
                <w:i/>
              </w:rPr>
            </w:pPr>
            <w:r w:rsidRPr="00E02011">
              <w:rPr>
                <w:b/>
                <w:szCs w:val="20"/>
              </w:rPr>
              <w:t>Revenue</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Dad and Partner Pay</w:t>
            </w:r>
            <w:r>
              <w:rPr>
                <w:i/>
                <w:szCs w:val="20"/>
              </w:rPr>
              <w:t xml:space="preserve"> - income tax</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90" w:type="pct"/>
            <w:vAlign w:val="center"/>
          </w:tcPr>
          <w:p w:rsidR="00246C89" w:rsidRPr="00CC2122" w:rsidRDefault="00246C89" w:rsidP="00194A1D">
            <w:pPr>
              <w:pStyle w:val="TableTextRight"/>
              <w:spacing w:line="240" w:lineRule="auto"/>
              <w:rPr>
                <w:b/>
                <w:i/>
              </w:rPr>
            </w:pPr>
            <w:r w:rsidRPr="00CC2122">
              <w:rPr>
                <w:b/>
                <w:i/>
              </w:rPr>
              <w:t>..</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Parental Leave Pay</w:t>
            </w:r>
            <w:r>
              <w:rPr>
                <w:i/>
                <w:szCs w:val="20"/>
              </w:rPr>
              <w:t xml:space="preserve"> </w:t>
            </w:r>
            <w:r w:rsidR="006C3F94">
              <w:rPr>
                <w:i/>
                <w:szCs w:val="20"/>
              </w:rPr>
              <w:t>–</w:t>
            </w:r>
            <w:r>
              <w:rPr>
                <w:i/>
                <w:szCs w:val="20"/>
              </w:rPr>
              <w:t xml:space="preserve"> income</w:t>
            </w:r>
            <w:r w:rsidR="006C3F94">
              <w:rPr>
                <w:i/>
                <w:szCs w:val="20"/>
              </w:rPr>
              <w:t> </w:t>
            </w:r>
            <w:r>
              <w:rPr>
                <w:i/>
                <w:szCs w:val="20"/>
              </w:rPr>
              <w:t>tax</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89" w:type="pct"/>
            <w:vAlign w:val="center"/>
          </w:tcPr>
          <w:p w:rsidR="00246C89" w:rsidRPr="00CC2122" w:rsidRDefault="00246C89" w:rsidP="00194A1D">
            <w:pPr>
              <w:pStyle w:val="TableTextRight"/>
              <w:spacing w:line="240" w:lineRule="auto"/>
              <w:rPr>
                <w:i/>
              </w:rPr>
            </w:pPr>
            <w:r w:rsidRPr="00CC2122">
              <w:rPr>
                <w:i/>
              </w:rPr>
              <w:t>..</w:t>
            </w:r>
          </w:p>
        </w:tc>
        <w:tc>
          <w:tcPr>
            <w:tcW w:w="689" w:type="pct"/>
            <w:vAlign w:val="center"/>
          </w:tcPr>
          <w:p w:rsidR="00246C89" w:rsidRPr="00CC2122" w:rsidRDefault="00246C89" w:rsidP="00194A1D">
            <w:pPr>
              <w:pStyle w:val="TableTextRight"/>
              <w:spacing w:line="240" w:lineRule="auto"/>
              <w:rPr>
                <w:i/>
              </w:rPr>
            </w:pPr>
            <w:r w:rsidRPr="00CC2122">
              <w:rPr>
                <w:i/>
              </w:rPr>
              <w:t>-1.0</w:t>
            </w:r>
          </w:p>
        </w:tc>
        <w:tc>
          <w:tcPr>
            <w:tcW w:w="689" w:type="pct"/>
            <w:vAlign w:val="center"/>
          </w:tcPr>
          <w:p w:rsidR="00246C89" w:rsidRPr="00CC2122" w:rsidRDefault="00246C89" w:rsidP="00194A1D">
            <w:pPr>
              <w:pStyle w:val="TableTextRight"/>
              <w:spacing w:line="240" w:lineRule="auto"/>
              <w:rPr>
                <w:i/>
              </w:rPr>
            </w:pPr>
            <w:r w:rsidRPr="00CC2122">
              <w:rPr>
                <w:i/>
              </w:rPr>
              <w:t>-1.0</w:t>
            </w:r>
          </w:p>
        </w:tc>
        <w:tc>
          <w:tcPr>
            <w:tcW w:w="690" w:type="pct"/>
            <w:vAlign w:val="center"/>
          </w:tcPr>
          <w:p w:rsidR="00246C89" w:rsidRPr="00CC2122" w:rsidRDefault="00246C89" w:rsidP="00194A1D">
            <w:pPr>
              <w:pStyle w:val="TableTextRight"/>
              <w:spacing w:line="240" w:lineRule="auto"/>
              <w:rPr>
                <w:b/>
                <w:i/>
              </w:rPr>
            </w:pPr>
            <w:r>
              <w:rPr>
                <w:b/>
                <w:i/>
              </w:rPr>
              <w:t>-2.0</w:t>
            </w:r>
          </w:p>
        </w:tc>
      </w:tr>
      <w:tr w:rsidR="00246C89" w:rsidTr="00194A1D">
        <w:tc>
          <w:tcPr>
            <w:tcW w:w="1554" w:type="pct"/>
            <w:shd w:val="clear" w:color="auto" w:fill="D7DDE9" w:themeFill="accent3"/>
            <w:vAlign w:val="center"/>
          </w:tcPr>
          <w:p w:rsidR="00246C89" w:rsidRPr="00960516" w:rsidRDefault="00246C89" w:rsidP="00194A1D">
            <w:pPr>
              <w:pStyle w:val="TableTextCentred"/>
              <w:keepNext/>
              <w:keepLines/>
              <w:spacing w:line="240" w:lineRule="auto"/>
              <w:jc w:val="left"/>
              <w:rPr>
                <w:szCs w:val="20"/>
              </w:rPr>
            </w:pPr>
            <w:r>
              <w:rPr>
                <w:szCs w:val="20"/>
              </w:rPr>
              <w:t>Total - revenue</w:t>
            </w:r>
          </w:p>
        </w:tc>
        <w:tc>
          <w:tcPr>
            <w:tcW w:w="689" w:type="pct"/>
            <w:shd w:val="clear" w:color="auto" w:fill="D7DDE9" w:themeFill="accent3"/>
            <w:vAlign w:val="center"/>
          </w:tcPr>
          <w:p w:rsidR="00246C89" w:rsidRPr="00960516" w:rsidRDefault="00246C89" w:rsidP="00194A1D">
            <w:pPr>
              <w:pStyle w:val="TableTextRight"/>
              <w:spacing w:line="240" w:lineRule="auto"/>
            </w:pPr>
            <w:r>
              <w:t>-</w:t>
            </w:r>
          </w:p>
        </w:tc>
        <w:tc>
          <w:tcPr>
            <w:tcW w:w="689" w:type="pct"/>
            <w:shd w:val="clear" w:color="auto" w:fill="D7DDE9" w:themeFill="accent3"/>
            <w:vAlign w:val="center"/>
          </w:tcPr>
          <w:p w:rsidR="00246C89" w:rsidRPr="00960516" w:rsidRDefault="00246C89" w:rsidP="00194A1D">
            <w:pPr>
              <w:pStyle w:val="TableTextRight"/>
              <w:spacing w:line="240" w:lineRule="auto"/>
            </w:pPr>
            <w:r>
              <w:t>-</w:t>
            </w:r>
          </w:p>
        </w:tc>
        <w:tc>
          <w:tcPr>
            <w:tcW w:w="689" w:type="pct"/>
            <w:shd w:val="clear" w:color="auto" w:fill="D7DDE9" w:themeFill="accent3"/>
            <w:vAlign w:val="center"/>
          </w:tcPr>
          <w:p w:rsidR="00246C89" w:rsidRPr="00960516" w:rsidRDefault="00246C89" w:rsidP="00194A1D">
            <w:pPr>
              <w:pStyle w:val="TableTextRight"/>
              <w:spacing w:line="240" w:lineRule="auto"/>
            </w:pPr>
            <w:r>
              <w:t>-1.0</w:t>
            </w:r>
          </w:p>
        </w:tc>
        <w:tc>
          <w:tcPr>
            <w:tcW w:w="689" w:type="pct"/>
            <w:shd w:val="clear" w:color="auto" w:fill="D7DDE9" w:themeFill="accent3"/>
            <w:vAlign w:val="center"/>
          </w:tcPr>
          <w:p w:rsidR="00246C89" w:rsidRPr="00960516" w:rsidRDefault="00246C89" w:rsidP="00194A1D">
            <w:pPr>
              <w:pStyle w:val="TableTextRight"/>
              <w:spacing w:line="240" w:lineRule="auto"/>
            </w:pPr>
            <w:r>
              <w:t>-1.0</w:t>
            </w:r>
          </w:p>
        </w:tc>
        <w:tc>
          <w:tcPr>
            <w:tcW w:w="690" w:type="pct"/>
            <w:shd w:val="clear" w:color="auto" w:fill="D7DDE9" w:themeFill="accent3"/>
            <w:vAlign w:val="center"/>
          </w:tcPr>
          <w:p w:rsidR="00246C89" w:rsidRPr="00960516" w:rsidDel="00006C75" w:rsidRDefault="00246C89" w:rsidP="00194A1D">
            <w:pPr>
              <w:pStyle w:val="TableTextRight"/>
              <w:spacing w:line="240" w:lineRule="auto"/>
              <w:rPr>
                <w:b/>
              </w:rPr>
            </w:pPr>
            <w:r>
              <w:rPr>
                <w:b/>
              </w:rPr>
              <w:t>-2.0</w:t>
            </w:r>
          </w:p>
        </w:tc>
      </w:tr>
      <w:tr w:rsidR="00246C89" w:rsidTr="00194A1D">
        <w:tc>
          <w:tcPr>
            <w:tcW w:w="5000" w:type="pct"/>
            <w:gridSpan w:val="6"/>
            <w:shd w:val="clear" w:color="auto" w:fill="E9ECF3" w:themeFill="accent2" w:themeFillTint="33"/>
            <w:vAlign w:val="center"/>
          </w:tcPr>
          <w:p w:rsidR="00246C89" w:rsidRDefault="00246C89" w:rsidP="00194A1D">
            <w:pPr>
              <w:pStyle w:val="TableTextRight"/>
              <w:spacing w:line="240" w:lineRule="auto"/>
              <w:jc w:val="left"/>
              <w:rPr>
                <w:b/>
              </w:rPr>
            </w:pPr>
            <w:r w:rsidRPr="00E02011">
              <w:rPr>
                <w:b/>
                <w:szCs w:val="20"/>
              </w:rPr>
              <w:t>Expenses</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Dad and Partner Pay</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1.0</w:t>
            </w:r>
          </w:p>
        </w:tc>
        <w:tc>
          <w:tcPr>
            <w:tcW w:w="690" w:type="pct"/>
            <w:vAlign w:val="center"/>
          </w:tcPr>
          <w:p w:rsidR="00246C89" w:rsidRPr="00CC2122" w:rsidRDefault="00246C89" w:rsidP="00194A1D">
            <w:pPr>
              <w:pStyle w:val="TableTextRight"/>
              <w:spacing w:line="240" w:lineRule="auto"/>
              <w:rPr>
                <w:b/>
                <w:i/>
              </w:rPr>
            </w:pPr>
            <w:r>
              <w:rPr>
                <w:b/>
                <w:i/>
              </w:rPr>
              <w:t>1.0</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Parental Leave Pay</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1.0</w:t>
            </w:r>
          </w:p>
        </w:tc>
        <w:tc>
          <w:tcPr>
            <w:tcW w:w="689" w:type="pct"/>
            <w:vAlign w:val="center"/>
          </w:tcPr>
          <w:p w:rsidR="00246C89" w:rsidRPr="00CC2122" w:rsidRDefault="00246C89" w:rsidP="00194A1D">
            <w:pPr>
              <w:pStyle w:val="TableTextRight"/>
              <w:spacing w:line="240" w:lineRule="auto"/>
              <w:rPr>
                <w:i/>
              </w:rPr>
            </w:pPr>
            <w:r>
              <w:rPr>
                <w:i/>
              </w:rPr>
              <w:t>2.0</w:t>
            </w:r>
          </w:p>
        </w:tc>
        <w:tc>
          <w:tcPr>
            <w:tcW w:w="689" w:type="pct"/>
            <w:vAlign w:val="center"/>
          </w:tcPr>
          <w:p w:rsidR="00246C89" w:rsidRPr="00CC2122" w:rsidRDefault="00246C89" w:rsidP="00194A1D">
            <w:pPr>
              <w:pStyle w:val="TableTextRight"/>
              <w:spacing w:line="240" w:lineRule="auto"/>
              <w:rPr>
                <w:i/>
              </w:rPr>
            </w:pPr>
            <w:r>
              <w:rPr>
                <w:i/>
              </w:rPr>
              <w:t>3.0</w:t>
            </w:r>
          </w:p>
        </w:tc>
        <w:tc>
          <w:tcPr>
            <w:tcW w:w="690" w:type="pct"/>
            <w:vAlign w:val="center"/>
          </w:tcPr>
          <w:p w:rsidR="00246C89" w:rsidRPr="00CC2122" w:rsidRDefault="00246C89" w:rsidP="00194A1D">
            <w:pPr>
              <w:pStyle w:val="TableTextRight"/>
              <w:spacing w:line="240" w:lineRule="auto"/>
              <w:rPr>
                <w:b/>
                <w:i/>
              </w:rPr>
            </w:pPr>
            <w:r>
              <w:rPr>
                <w:b/>
                <w:i/>
              </w:rPr>
              <w:t>5.0</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FTB-A</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20.0</w:t>
            </w:r>
          </w:p>
        </w:tc>
        <w:tc>
          <w:tcPr>
            <w:tcW w:w="690" w:type="pct"/>
            <w:vAlign w:val="center"/>
          </w:tcPr>
          <w:p w:rsidR="00246C89" w:rsidRPr="00CC2122" w:rsidRDefault="00246C89" w:rsidP="00194A1D">
            <w:pPr>
              <w:pStyle w:val="TableTextRight"/>
              <w:spacing w:line="240" w:lineRule="auto"/>
              <w:rPr>
                <w:b/>
                <w:i/>
              </w:rPr>
            </w:pPr>
            <w:r>
              <w:rPr>
                <w:b/>
                <w:i/>
              </w:rPr>
              <w:t>20.0</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FTB-B</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25.0</w:t>
            </w:r>
          </w:p>
        </w:tc>
        <w:tc>
          <w:tcPr>
            <w:tcW w:w="689" w:type="pct"/>
            <w:vAlign w:val="center"/>
          </w:tcPr>
          <w:p w:rsidR="00246C89" w:rsidRPr="00CC2122" w:rsidRDefault="00246C89" w:rsidP="00194A1D">
            <w:pPr>
              <w:pStyle w:val="TableTextRight"/>
              <w:spacing w:line="240" w:lineRule="auto"/>
              <w:rPr>
                <w:i/>
              </w:rPr>
            </w:pPr>
            <w:r>
              <w:rPr>
                <w:i/>
              </w:rPr>
              <w:t>40.0</w:t>
            </w:r>
          </w:p>
        </w:tc>
        <w:tc>
          <w:tcPr>
            <w:tcW w:w="689" w:type="pct"/>
            <w:vAlign w:val="center"/>
          </w:tcPr>
          <w:p w:rsidR="00246C89" w:rsidRPr="00CC2122" w:rsidRDefault="00246C89" w:rsidP="00194A1D">
            <w:pPr>
              <w:pStyle w:val="TableTextRight"/>
              <w:spacing w:line="240" w:lineRule="auto"/>
              <w:rPr>
                <w:i/>
              </w:rPr>
            </w:pPr>
            <w:r>
              <w:rPr>
                <w:i/>
              </w:rPr>
              <w:t>65.0</w:t>
            </w:r>
          </w:p>
        </w:tc>
        <w:tc>
          <w:tcPr>
            <w:tcW w:w="690" w:type="pct"/>
            <w:vAlign w:val="center"/>
          </w:tcPr>
          <w:p w:rsidR="00246C89" w:rsidRPr="00CC2122" w:rsidRDefault="00246C89" w:rsidP="00194A1D">
            <w:pPr>
              <w:pStyle w:val="TableTextRight"/>
              <w:spacing w:line="240" w:lineRule="auto"/>
              <w:rPr>
                <w:b/>
                <w:i/>
              </w:rPr>
            </w:pPr>
            <w:r>
              <w:rPr>
                <w:b/>
                <w:i/>
              </w:rPr>
              <w:t>130.0</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Health related expenses</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5.0</w:t>
            </w:r>
          </w:p>
        </w:tc>
        <w:tc>
          <w:tcPr>
            <w:tcW w:w="690" w:type="pct"/>
            <w:vAlign w:val="center"/>
          </w:tcPr>
          <w:p w:rsidR="00246C89" w:rsidRPr="00CC2122" w:rsidRDefault="00246C89" w:rsidP="00194A1D">
            <w:pPr>
              <w:pStyle w:val="TableTextRight"/>
              <w:spacing w:line="240" w:lineRule="auto"/>
              <w:rPr>
                <w:b/>
                <w:i/>
              </w:rPr>
            </w:pPr>
            <w:r>
              <w:rPr>
                <w:b/>
                <w:i/>
              </w:rPr>
              <w:t>5.0</w:t>
            </w:r>
          </w:p>
        </w:tc>
      </w:tr>
      <w:tr w:rsidR="00246C89" w:rsidTr="00194A1D">
        <w:tc>
          <w:tcPr>
            <w:tcW w:w="1554" w:type="pct"/>
            <w:vAlign w:val="center"/>
          </w:tcPr>
          <w:p w:rsidR="00246C89" w:rsidRPr="00CC2122" w:rsidRDefault="00246C89" w:rsidP="00194A1D">
            <w:pPr>
              <w:pStyle w:val="TableTextCentred"/>
              <w:keepNext/>
              <w:keepLines/>
              <w:spacing w:line="240" w:lineRule="auto"/>
              <w:jc w:val="left"/>
              <w:rPr>
                <w:i/>
                <w:szCs w:val="20"/>
              </w:rPr>
            </w:pPr>
            <w:r w:rsidRPr="00CC2122">
              <w:rPr>
                <w:i/>
                <w:szCs w:val="20"/>
              </w:rPr>
              <w:t>Departmental</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w:t>
            </w:r>
          </w:p>
        </w:tc>
        <w:tc>
          <w:tcPr>
            <w:tcW w:w="689" w:type="pct"/>
            <w:vAlign w:val="center"/>
          </w:tcPr>
          <w:p w:rsidR="00246C89" w:rsidRPr="00CC2122" w:rsidRDefault="00246C89" w:rsidP="00194A1D">
            <w:pPr>
              <w:pStyle w:val="TableTextRight"/>
              <w:spacing w:line="240" w:lineRule="auto"/>
              <w:rPr>
                <w:i/>
              </w:rPr>
            </w:pPr>
            <w:r>
              <w:rPr>
                <w:i/>
              </w:rPr>
              <w:t>1.0</w:t>
            </w:r>
          </w:p>
        </w:tc>
        <w:tc>
          <w:tcPr>
            <w:tcW w:w="689" w:type="pct"/>
            <w:vAlign w:val="center"/>
          </w:tcPr>
          <w:p w:rsidR="00246C89" w:rsidRPr="00CC2122" w:rsidRDefault="00246C89" w:rsidP="00194A1D">
            <w:pPr>
              <w:pStyle w:val="TableTextRight"/>
              <w:spacing w:line="240" w:lineRule="auto"/>
              <w:rPr>
                <w:i/>
              </w:rPr>
            </w:pPr>
            <w:r>
              <w:rPr>
                <w:i/>
              </w:rPr>
              <w:t>2.0</w:t>
            </w:r>
          </w:p>
        </w:tc>
        <w:tc>
          <w:tcPr>
            <w:tcW w:w="690" w:type="pct"/>
            <w:vAlign w:val="center"/>
          </w:tcPr>
          <w:p w:rsidR="00246C89" w:rsidRPr="00CC2122" w:rsidRDefault="00246C89" w:rsidP="00194A1D">
            <w:pPr>
              <w:pStyle w:val="TableTextRight"/>
              <w:spacing w:line="240" w:lineRule="auto"/>
              <w:rPr>
                <w:b/>
                <w:i/>
              </w:rPr>
            </w:pPr>
            <w:r>
              <w:rPr>
                <w:b/>
                <w:i/>
              </w:rPr>
              <w:t>3.0</w:t>
            </w:r>
          </w:p>
        </w:tc>
      </w:tr>
      <w:tr w:rsidR="00246C89" w:rsidTr="00194A1D">
        <w:tc>
          <w:tcPr>
            <w:tcW w:w="1554" w:type="pct"/>
            <w:shd w:val="clear" w:color="auto" w:fill="D7DDE9" w:themeFill="accent3"/>
            <w:vAlign w:val="center"/>
          </w:tcPr>
          <w:p w:rsidR="00246C89" w:rsidRPr="00B80802" w:rsidRDefault="00246C89" w:rsidP="00194A1D">
            <w:pPr>
              <w:pStyle w:val="TableTextCentred"/>
              <w:keepNext/>
              <w:keepLines/>
              <w:spacing w:line="240" w:lineRule="auto"/>
              <w:jc w:val="left"/>
              <w:rPr>
                <w:szCs w:val="20"/>
              </w:rPr>
            </w:pPr>
            <w:r>
              <w:rPr>
                <w:szCs w:val="20"/>
              </w:rPr>
              <w:t>Total – expenses</w:t>
            </w:r>
          </w:p>
        </w:tc>
        <w:tc>
          <w:tcPr>
            <w:tcW w:w="689" w:type="pct"/>
            <w:shd w:val="clear" w:color="auto" w:fill="D7DDE9" w:themeFill="accent3"/>
            <w:vAlign w:val="center"/>
          </w:tcPr>
          <w:p w:rsidR="00246C89" w:rsidRPr="00B80802" w:rsidRDefault="00246C89" w:rsidP="00194A1D">
            <w:pPr>
              <w:pStyle w:val="TableTextRight"/>
              <w:spacing w:line="240" w:lineRule="auto"/>
            </w:pPr>
            <w:r>
              <w:t>-</w:t>
            </w:r>
          </w:p>
        </w:tc>
        <w:tc>
          <w:tcPr>
            <w:tcW w:w="689" w:type="pct"/>
            <w:shd w:val="clear" w:color="auto" w:fill="D7DDE9" w:themeFill="accent3"/>
            <w:vAlign w:val="center"/>
          </w:tcPr>
          <w:p w:rsidR="00246C89" w:rsidRPr="00B80802" w:rsidRDefault="00246C89" w:rsidP="00194A1D">
            <w:pPr>
              <w:pStyle w:val="TableTextRight"/>
              <w:spacing w:line="240" w:lineRule="auto"/>
            </w:pPr>
            <w:r>
              <w:t>26.0</w:t>
            </w:r>
          </w:p>
        </w:tc>
        <w:tc>
          <w:tcPr>
            <w:tcW w:w="689" w:type="pct"/>
            <w:shd w:val="clear" w:color="auto" w:fill="D7DDE9" w:themeFill="accent3"/>
            <w:vAlign w:val="center"/>
          </w:tcPr>
          <w:p w:rsidR="00246C89" w:rsidRPr="00B80802" w:rsidRDefault="00246C89" w:rsidP="00194A1D">
            <w:pPr>
              <w:pStyle w:val="TableTextRight"/>
              <w:spacing w:line="240" w:lineRule="auto"/>
            </w:pPr>
            <w:r>
              <w:t>43.0</w:t>
            </w:r>
          </w:p>
        </w:tc>
        <w:tc>
          <w:tcPr>
            <w:tcW w:w="689" w:type="pct"/>
            <w:shd w:val="clear" w:color="auto" w:fill="D7DDE9" w:themeFill="accent3"/>
            <w:vAlign w:val="center"/>
          </w:tcPr>
          <w:p w:rsidR="00246C89" w:rsidRPr="00B80802" w:rsidRDefault="00246C89" w:rsidP="00194A1D">
            <w:pPr>
              <w:pStyle w:val="TableTextRight"/>
              <w:spacing w:line="240" w:lineRule="auto"/>
            </w:pPr>
            <w:r>
              <w:t>96.0</w:t>
            </w:r>
          </w:p>
        </w:tc>
        <w:tc>
          <w:tcPr>
            <w:tcW w:w="690" w:type="pct"/>
            <w:shd w:val="clear" w:color="auto" w:fill="D7DDE9" w:themeFill="accent3"/>
            <w:vAlign w:val="center"/>
          </w:tcPr>
          <w:p w:rsidR="00246C89" w:rsidRPr="00B80802" w:rsidDel="00006C75" w:rsidRDefault="00246C89" w:rsidP="00194A1D">
            <w:pPr>
              <w:pStyle w:val="TableTextRight"/>
              <w:spacing w:line="240" w:lineRule="auto"/>
              <w:rPr>
                <w:b/>
              </w:rPr>
            </w:pPr>
            <w:r>
              <w:rPr>
                <w:b/>
              </w:rPr>
              <w:t>164.0</w:t>
            </w:r>
          </w:p>
        </w:tc>
      </w:tr>
      <w:tr w:rsidR="00675B52" w:rsidRPr="007C2713" w:rsidTr="00194A1D">
        <w:tc>
          <w:tcPr>
            <w:tcW w:w="1554" w:type="pct"/>
            <w:shd w:val="clear" w:color="auto" w:fill="D7DDE9" w:themeFill="accent3"/>
            <w:vAlign w:val="center"/>
          </w:tcPr>
          <w:p w:rsidR="00675B52" w:rsidRPr="007C2713" w:rsidRDefault="00675B52" w:rsidP="00194A1D">
            <w:pPr>
              <w:pStyle w:val="TableText"/>
              <w:rPr>
                <w:b/>
              </w:rPr>
            </w:pPr>
            <w:r w:rsidRPr="007C2713">
              <w:rPr>
                <w:b/>
              </w:rPr>
              <w:t>Total</w:t>
            </w:r>
          </w:p>
        </w:tc>
        <w:tc>
          <w:tcPr>
            <w:tcW w:w="689" w:type="pct"/>
            <w:shd w:val="clear" w:color="auto" w:fill="D7DDE9" w:themeFill="accent3"/>
            <w:vAlign w:val="center"/>
          </w:tcPr>
          <w:p w:rsidR="00675B52" w:rsidRPr="00CC2122" w:rsidRDefault="00675B52" w:rsidP="00194A1D">
            <w:pPr>
              <w:pStyle w:val="TableTextRight"/>
              <w:spacing w:line="240" w:lineRule="auto"/>
              <w:rPr>
                <w:b/>
              </w:rPr>
            </w:pPr>
            <w:r w:rsidRPr="00CC2122">
              <w:rPr>
                <w:b/>
              </w:rPr>
              <w:t>-</w:t>
            </w:r>
          </w:p>
        </w:tc>
        <w:tc>
          <w:tcPr>
            <w:tcW w:w="689" w:type="pct"/>
            <w:shd w:val="clear" w:color="auto" w:fill="D7DDE9" w:themeFill="accent3"/>
            <w:vAlign w:val="center"/>
          </w:tcPr>
          <w:p w:rsidR="00675B52" w:rsidRPr="00CC2122" w:rsidRDefault="00675B52" w:rsidP="00194A1D">
            <w:pPr>
              <w:pStyle w:val="TableTextRight"/>
              <w:spacing w:line="240" w:lineRule="auto"/>
              <w:rPr>
                <w:b/>
              </w:rPr>
            </w:pPr>
            <w:r w:rsidRPr="00CC2122">
              <w:rPr>
                <w:b/>
              </w:rPr>
              <w:t>26.0</w:t>
            </w:r>
          </w:p>
        </w:tc>
        <w:tc>
          <w:tcPr>
            <w:tcW w:w="689" w:type="pct"/>
            <w:shd w:val="clear" w:color="auto" w:fill="D7DDE9" w:themeFill="accent3"/>
            <w:vAlign w:val="center"/>
          </w:tcPr>
          <w:p w:rsidR="00675B52" w:rsidRPr="00CC2122" w:rsidRDefault="00675B52" w:rsidP="00194A1D">
            <w:pPr>
              <w:pStyle w:val="TableTextRight"/>
              <w:spacing w:line="240" w:lineRule="auto"/>
              <w:rPr>
                <w:b/>
              </w:rPr>
            </w:pPr>
            <w:r w:rsidRPr="00CC2122">
              <w:rPr>
                <w:b/>
              </w:rPr>
              <w:t>42.0</w:t>
            </w:r>
          </w:p>
        </w:tc>
        <w:tc>
          <w:tcPr>
            <w:tcW w:w="689" w:type="pct"/>
            <w:shd w:val="clear" w:color="auto" w:fill="D7DDE9" w:themeFill="accent3"/>
            <w:vAlign w:val="center"/>
          </w:tcPr>
          <w:p w:rsidR="00675B52" w:rsidRPr="00CC2122" w:rsidRDefault="00675B52" w:rsidP="00194A1D">
            <w:pPr>
              <w:pStyle w:val="TableTextRight"/>
              <w:spacing w:line="240" w:lineRule="auto"/>
              <w:rPr>
                <w:b/>
              </w:rPr>
            </w:pPr>
            <w:r w:rsidRPr="00CC2122">
              <w:rPr>
                <w:b/>
              </w:rPr>
              <w:t>95.0</w:t>
            </w:r>
          </w:p>
        </w:tc>
        <w:tc>
          <w:tcPr>
            <w:tcW w:w="690" w:type="pct"/>
            <w:shd w:val="clear" w:color="auto" w:fill="D7DDE9" w:themeFill="accent3"/>
            <w:vAlign w:val="center"/>
          </w:tcPr>
          <w:p w:rsidR="00675B52" w:rsidRPr="00CC2122" w:rsidRDefault="00675B52" w:rsidP="00194A1D">
            <w:pPr>
              <w:pStyle w:val="TableTextRight"/>
              <w:spacing w:line="240" w:lineRule="auto"/>
              <w:rPr>
                <w:b/>
              </w:rPr>
            </w:pPr>
            <w:r w:rsidRPr="00CC2122">
              <w:rPr>
                <w:b/>
              </w:rPr>
              <w:t>162.0</w:t>
            </w:r>
          </w:p>
        </w:tc>
      </w:tr>
    </w:tbl>
    <w:p w:rsidR="005E4586" w:rsidRPr="005E4586" w:rsidRDefault="005E4586" w:rsidP="005C10EF">
      <w:pPr>
        <w:pStyle w:val="Footnotes"/>
        <w:numPr>
          <w:ilvl w:val="0"/>
          <w:numId w:val="26"/>
        </w:numPr>
        <w:ind w:left="284" w:hanging="284"/>
      </w:pPr>
      <w:r w:rsidRPr="005E458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246C89" w:rsidRPr="00246C89" w:rsidRDefault="00246C89" w:rsidP="005C10EF">
      <w:pPr>
        <w:pStyle w:val="Footnotes"/>
        <w:ind w:left="284" w:hanging="284"/>
      </w:pPr>
      <w:r w:rsidRPr="00246C89">
        <w:t>Figures may not sum to totals due to rounding.</w:t>
      </w:r>
    </w:p>
    <w:p w:rsidR="00246C89" w:rsidRDefault="00246C89" w:rsidP="005C10EF">
      <w:pPr>
        <w:pStyle w:val="Footnotes"/>
        <w:numPr>
          <w:ilvl w:val="0"/>
          <w:numId w:val="0"/>
        </w:numPr>
        <w:tabs>
          <w:tab w:val="left" w:pos="284"/>
        </w:tabs>
        <w:ind w:left="284" w:hanging="284"/>
      </w:pPr>
      <w:r>
        <w:t>..</w:t>
      </w:r>
      <w:r>
        <w:tab/>
        <w:t>Not zero but rounded to zero.</w:t>
      </w:r>
    </w:p>
    <w:p w:rsidR="00675B52" w:rsidRDefault="00246C89" w:rsidP="005C10EF">
      <w:pPr>
        <w:pStyle w:val="Footnotes"/>
        <w:numPr>
          <w:ilvl w:val="0"/>
          <w:numId w:val="22"/>
        </w:numPr>
        <w:tabs>
          <w:tab w:val="left" w:pos="567"/>
        </w:tabs>
        <w:ind w:left="284" w:hanging="284"/>
      </w:pPr>
      <w:r>
        <w:t>Indicates nil.</w:t>
      </w:r>
    </w:p>
    <w:p w:rsidR="00675B52" w:rsidRDefault="00675B52" w:rsidP="005C10EF">
      <w:pPr>
        <w:pStyle w:val="Caption"/>
        <w:keepLines/>
      </w:pPr>
      <w:r w:rsidRPr="002B36F1">
        <w:t xml:space="preserve">Table </w:t>
      </w:r>
      <w:r>
        <w:t>A2</w:t>
      </w:r>
      <w:r w:rsidRPr="002B36F1">
        <w:t xml:space="preserve">: </w:t>
      </w:r>
      <w:r>
        <w:t>Extending existing freezes on family payments thresholds to 2019</w:t>
      </w:r>
      <w:r>
        <w:noBreakHyphen/>
        <w:t>20—Underlying</w:t>
      </w:r>
      <w:r w:rsidR="005C10EF">
        <w:t> </w:t>
      </w:r>
      <w:r>
        <w:t>cash balance</w:t>
      </w:r>
      <w:r w:rsidRPr="00B46F22">
        <w:rPr>
          <w:vertAlign w:val="superscript"/>
        </w:rPr>
        <w:t>(a)</w:t>
      </w:r>
      <w:r>
        <w:rPr>
          <w:vertAlign w:val="superscript"/>
        </w:rPr>
        <w:t>(b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675B52" w:rsidTr="00194A1D">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675B52" w:rsidRPr="007C2713" w:rsidRDefault="00675B52" w:rsidP="005C10EF">
            <w:pPr>
              <w:pStyle w:val="TableText"/>
              <w:keepNext/>
              <w:keepLines/>
              <w:rPr>
                <w:b w:val="0"/>
              </w:rPr>
            </w:pPr>
            <w:r>
              <w:t>($</w:t>
            </w:r>
            <w:r w:rsidR="006C3F94">
              <w:t>m</w:t>
            </w:r>
            <w:r>
              <w:t>)</w:t>
            </w:r>
          </w:p>
        </w:tc>
        <w:tc>
          <w:tcPr>
            <w:tcW w:w="689" w:type="pct"/>
            <w:vAlign w:val="center"/>
          </w:tcPr>
          <w:p w:rsidR="00675B52" w:rsidRDefault="00675B52" w:rsidP="005C10EF">
            <w:pPr>
              <w:pStyle w:val="TableTextRight"/>
              <w:keepNext/>
              <w:keepLines/>
              <w:rPr>
                <w:b w:val="0"/>
              </w:rPr>
            </w:pPr>
            <w:r>
              <w:t>2016–17</w:t>
            </w:r>
          </w:p>
        </w:tc>
        <w:tc>
          <w:tcPr>
            <w:tcW w:w="689" w:type="pct"/>
            <w:vAlign w:val="center"/>
          </w:tcPr>
          <w:p w:rsidR="00675B52" w:rsidRDefault="00675B52" w:rsidP="005C10EF">
            <w:pPr>
              <w:pStyle w:val="TableTextRight"/>
              <w:keepNext/>
              <w:keepLines/>
              <w:rPr>
                <w:b w:val="0"/>
              </w:rPr>
            </w:pPr>
            <w:r>
              <w:t>2017–18</w:t>
            </w:r>
          </w:p>
        </w:tc>
        <w:tc>
          <w:tcPr>
            <w:tcW w:w="689" w:type="pct"/>
            <w:vAlign w:val="center"/>
          </w:tcPr>
          <w:p w:rsidR="00675B52" w:rsidRDefault="00675B52" w:rsidP="005C10EF">
            <w:pPr>
              <w:pStyle w:val="TableTextRight"/>
              <w:keepNext/>
              <w:keepLines/>
              <w:rPr>
                <w:b w:val="0"/>
              </w:rPr>
            </w:pPr>
            <w:r>
              <w:t>2018–19</w:t>
            </w:r>
          </w:p>
        </w:tc>
        <w:tc>
          <w:tcPr>
            <w:tcW w:w="689" w:type="pct"/>
            <w:vAlign w:val="center"/>
          </w:tcPr>
          <w:p w:rsidR="00675B52" w:rsidRDefault="00675B52" w:rsidP="005C10EF">
            <w:pPr>
              <w:pStyle w:val="TableTextRight"/>
              <w:keepNext/>
              <w:keepLines/>
              <w:rPr>
                <w:b w:val="0"/>
              </w:rPr>
            </w:pPr>
            <w:r>
              <w:t>2019–20</w:t>
            </w:r>
          </w:p>
        </w:tc>
        <w:tc>
          <w:tcPr>
            <w:tcW w:w="690" w:type="pct"/>
            <w:vAlign w:val="center"/>
          </w:tcPr>
          <w:p w:rsidR="00675B52" w:rsidRDefault="00675B52" w:rsidP="005C10EF">
            <w:pPr>
              <w:pStyle w:val="TableTextRight"/>
              <w:keepNext/>
              <w:keepLines/>
            </w:pPr>
            <w:r>
              <w:t>Total</w:t>
            </w:r>
            <w:r w:rsidR="006C3F94">
              <w:t xml:space="preserve"> to 2019–20</w:t>
            </w:r>
          </w:p>
        </w:tc>
      </w:tr>
      <w:tr w:rsidR="00675B52" w:rsidTr="00194A1D">
        <w:tc>
          <w:tcPr>
            <w:tcW w:w="5000" w:type="pct"/>
            <w:gridSpan w:val="6"/>
            <w:shd w:val="clear" w:color="auto" w:fill="E9ECF3" w:themeFill="accent2" w:themeFillTint="33"/>
            <w:vAlign w:val="center"/>
          </w:tcPr>
          <w:p w:rsidR="00675B52" w:rsidRPr="00E02011" w:rsidRDefault="00675B52" w:rsidP="005C10EF">
            <w:pPr>
              <w:pStyle w:val="TableTextCentred"/>
              <w:keepNext/>
              <w:keepLines/>
              <w:spacing w:line="240" w:lineRule="auto"/>
              <w:jc w:val="left"/>
              <w:rPr>
                <w:b/>
                <w:szCs w:val="20"/>
              </w:rPr>
            </w:pPr>
            <w:r w:rsidRPr="00E02011">
              <w:rPr>
                <w:b/>
                <w:szCs w:val="20"/>
              </w:rPr>
              <w:t>Re</w:t>
            </w:r>
            <w:r>
              <w:rPr>
                <w:b/>
                <w:szCs w:val="20"/>
              </w:rPr>
              <w:t>ceipts</w:t>
            </w:r>
          </w:p>
        </w:tc>
      </w:tr>
      <w:tr w:rsidR="00675B52" w:rsidTr="00194A1D">
        <w:tc>
          <w:tcPr>
            <w:tcW w:w="1554" w:type="pct"/>
            <w:vAlign w:val="center"/>
          </w:tcPr>
          <w:p w:rsidR="00675B52" w:rsidRPr="00CC2122" w:rsidRDefault="00675B52" w:rsidP="005C10EF">
            <w:pPr>
              <w:pStyle w:val="TableTextCentred"/>
              <w:keepNext/>
              <w:keepLines/>
              <w:spacing w:line="240" w:lineRule="auto"/>
              <w:jc w:val="left"/>
              <w:rPr>
                <w:i/>
                <w:szCs w:val="20"/>
              </w:rPr>
            </w:pPr>
            <w:r w:rsidRPr="00CC2122">
              <w:rPr>
                <w:i/>
                <w:szCs w:val="20"/>
              </w:rPr>
              <w:t>Dad and Partner Pay</w:t>
            </w:r>
            <w:r>
              <w:rPr>
                <w:i/>
                <w:szCs w:val="20"/>
              </w:rPr>
              <w:t xml:space="preserve"> - income tax</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90" w:type="pct"/>
            <w:vAlign w:val="center"/>
          </w:tcPr>
          <w:p w:rsidR="00675B52" w:rsidRPr="00CC2122" w:rsidRDefault="00675B52" w:rsidP="005C10EF">
            <w:pPr>
              <w:pStyle w:val="TableTextRight"/>
              <w:keepNext/>
              <w:keepLines/>
              <w:spacing w:line="240" w:lineRule="auto"/>
              <w:rPr>
                <w:b/>
                <w:i/>
              </w:rPr>
            </w:pPr>
            <w:r w:rsidRPr="00CC2122">
              <w:rPr>
                <w:b/>
                <w:i/>
              </w:rPr>
              <w:t>..</w:t>
            </w:r>
          </w:p>
        </w:tc>
      </w:tr>
      <w:tr w:rsidR="00675B52" w:rsidTr="00194A1D">
        <w:tc>
          <w:tcPr>
            <w:tcW w:w="1554" w:type="pct"/>
            <w:vAlign w:val="center"/>
          </w:tcPr>
          <w:p w:rsidR="00675B52" w:rsidRPr="00CC2122" w:rsidRDefault="00675B52" w:rsidP="005C10EF">
            <w:pPr>
              <w:pStyle w:val="TableTextCentred"/>
              <w:keepNext/>
              <w:keepLines/>
              <w:spacing w:line="240" w:lineRule="auto"/>
              <w:jc w:val="left"/>
              <w:rPr>
                <w:i/>
                <w:szCs w:val="20"/>
              </w:rPr>
            </w:pPr>
            <w:r w:rsidRPr="00CC2122">
              <w:rPr>
                <w:i/>
                <w:szCs w:val="20"/>
              </w:rPr>
              <w:t>Parental Leave Pay</w:t>
            </w:r>
            <w:r>
              <w:rPr>
                <w:i/>
                <w:szCs w:val="20"/>
              </w:rPr>
              <w:t xml:space="preserve"> </w:t>
            </w:r>
            <w:r w:rsidR="006C3F94">
              <w:rPr>
                <w:i/>
                <w:szCs w:val="20"/>
              </w:rPr>
              <w:t>–</w:t>
            </w:r>
            <w:r>
              <w:rPr>
                <w:i/>
                <w:szCs w:val="20"/>
              </w:rPr>
              <w:t xml:space="preserve"> income</w:t>
            </w:r>
            <w:r w:rsidR="006C3F94">
              <w:rPr>
                <w:i/>
                <w:szCs w:val="20"/>
              </w:rPr>
              <w:t> </w:t>
            </w:r>
            <w:r>
              <w:rPr>
                <w:i/>
                <w:szCs w:val="20"/>
              </w:rPr>
              <w:t>tax</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89" w:type="pct"/>
            <w:vAlign w:val="center"/>
          </w:tcPr>
          <w:p w:rsidR="00675B52" w:rsidRPr="00CC2122" w:rsidRDefault="00675B52" w:rsidP="005C10EF">
            <w:pPr>
              <w:pStyle w:val="TableTextRight"/>
              <w:keepNext/>
              <w:keepLines/>
              <w:spacing w:line="240" w:lineRule="auto"/>
              <w:rPr>
                <w:i/>
              </w:rPr>
            </w:pPr>
            <w:r w:rsidRPr="00CC2122">
              <w:rPr>
                <w:i/>
              </w:rPr>
              <w:t>..</w:t>
            </w:r>
          </w:p>
        </w:tc>
        <w:tc>
          <w:tcPr>
            <w:tcW w:w="689" w:type="pct"/>
            <w:vAlign w:val="center"/>
          </w:tcPr>
          <w:p w:rsidR="00675B52" w:rsidRPr="00CC2122" w:rsidRDefault="00675B52" w:rsidP="005C10EF">
            <w:pPr>
              <w:pStyle w:val="TableTextRight"/>
              <w:keepNext/>
              <w:keepLines/>
              <w:spacing w:line="240" w:lineRule="auto"/>
              <w:rPr>
                <w:i/>
              </w:rPr>
            </w:pPr>
            <w:r w:rsidRPr="00CC2122">
              <w:rPr>
                <w:i/>
              </w:rPr>
              <w:t>-1.0</w:t>
            </w:r>
          </w:p>
        </w:tc>
        <w:tc>
          <w:tcPr>
            <w:tcW w:w="689" w:type="pct"/>
            <w:vAlign w:val="center"/>
          </w:tcPr>
          <w:p w:rsidR="00675B52" w:rsidRPr="00CC2122" w:rsidRDefault="00675B52" w:rsidP="005C10EF">
            <w:pPr>
              <w:pStyle w:val="TableTextRight"/>
              <w:keepNext/>
              <w:keepLines/>
              <w:spacing w:line="240" w:lineRule="auto"/>
              <w:rPr>
                <w:i/>
              </w:rPr>
            </w:pPr>
            <w:r w:rsidRPr="00CC2122">
              <w:rPr>
                <w:i/>
              </w:rPr>
              <w:t>-1.0</w:t>
            </w:r>
          </w:p>
        </w:tc>
        <w:tc>
          <w:tcPr>
            <w:tcW w:w="690" w:type="pct"/>
            <w:vAlign w:val="center"/>
          </w:tcPr>
          <w:p w:rsidR="00675B52" w:rsidRPr="00CC2122" w:rsidRDefault="00675B52" w:rsidP="005C10EF">
            <w:pPr>
              <w:pStyle w:val="TableTextRight"/>
              <w:keepNext/>
              <w:keepLines/>
              <w:spacing w:line="240" w:lineRule="auto"/>
              <w:rPr>
                <w:b/>
                <w:i/>
              </w:rPr>
            </w:pPr>
            <w:r>
              <w:rPr>
                <w:b/>
                <w:i/>
              </w:rPr>
              <w:t>-2.0</w:t>
            </w:r>
          </w:p>
        </w:tc>
      </w:tr>
      <w:tr w:rsidR="00675B52" w:rsidTr="00194A1D">
        <w:tc>
          <w:tcPr>
            <w:tcW w:w="1554" w:type="pct"/>
            <w:shd w:val="clear" w:color="auto" w:fill="D7DDE9" w:themeFill="accent3"/>
            <w:vAlign w:val="center"/>
          </w:tcPr>
          <w:p w:rsidR="00675B52" w:rsidRPr="00960516" w:rsidRDefault="00675B52" w:rsidP="005C10EF">
            <w:pPr>
              <w:pStyle w:val="TableTextCentred"/>
              <w:keepNext/>
              <w:keepLines/>
              <w:spacing w:line="240" w:lineRule="auto"/>
              <w:jc w:val="left"/>
              <w:rPr>
                <w:szCs w:val="20"/>
              </w:rPr>
            </w:pPr>
            <w:r>
              <w:rPr>
                <w:szCs w:val="20"/>
              </w:rPr>
              <w:t xml:space="preserve">Total - </w:t>
            </w:r>
            <w:r w:rsidR="006C3F94">
              <w:rPr>
                <w:szCs w:val="20"/>
              </w:rPr>
              <w:t>receipts</w:t>
            </w:r>
          </w:p>
        </w:tc>
        <w:tc>
          <w:tcPr>
            <w:tcW w:w="689" w:type="pct"/>
            <w:shd w:val="clear" w:color="auto" w:fill="D7DDE9" w:themeFill="accent3"/>
            <w:vAlign w:val="center"/>
          </w:tcPr>
          <w:p w:rsidR="00675B52" w:rsidRPr="00960516" w:rsidRDefault="00675B52" w:rsidP="005C10EF">
            <w:pPr>
              <w:pStyle w:val="TableTextRight"/>
              <w:keepNext/>
              <w:keepLines/>
              <w:spacing w:line="240" w:lineRule="auto"/>
            </w:pPr>
            <w:r>
              <w:t>-</w:t>
            </w:r>
          </w:p>
        </w:tc>
        <w:tc>
          <w:tcPr>
            <w:tcW w:w="689" w:type="pct"/>
            <w:shd w:val="clear" w:color="auto" w:fill="D7DDE9" w:themeFill="accent3"/>
            <w:vAlign w:val="center"/>
          </w:tcPr>
          <w:p w:rsidR="00675B52" w:rsidRPr="00960516" w:rsidRDefault="00675B52" w:rsidP="005C10EF">
            <w:pPr>
              <w:pStyle w:val="TableTextRight"/>
              <w:keepNext/>
              <w:keepLines/>
              <w:spacing w:line="240" w:lineRule="auto"/>
            </w:pPr>
            <w:r>
              <w:t>-</w:t>
            </w:r>
          </w:p>
        </w:tc>
        <w:tc>
          <w:tcPr>
            <w:tcW w:w="689" w:type="pct"/>
            <w:shd w:val="clear" w:color="auto" w:fill="D7DDE9" w:themeFill="accent3"/>
            <w:vAlign w:val="center"/>
          </w:tcPr>
          <w:p w:rsidR="00675B52" w:rsidRPr="00960516" w:rsidRDefault="00675B52" w:rsidP="005C10EF">
            <w:pPr>
              <w:pStyle w:val="TableTextRight"/>
              <w:keepNext/>
              <w:keepLines/>
              <w:spacing w:line="240" w:lineRule="auto"/>
            </w:pPr>
            <w:r>
              <w:t>-1.0</w:t>
            </w:r>
          </w:p>
        </w:tc>
        <w:tc>
          <w:tcPr>
            <w:tcW w:w="689" w:type="pct"/>
            <w:shd w:val="clear" w:color="auto" w:fill="D7DDE9" w:themeFill="accent3"/>
            <w:vAlign w:val="center"/>
          </w:tcPr>
          <w:p w:rsidR="00675B52" w:rsidRPr="00960516" w:rsidRDefault="00675B52" w:rsidP="005C10EF">
            <w:pPr>
              <w:pStyle w:val="TableTextRight"/>
              <w:keepNext/>
              <w:keepLines/>
              <w:spacing w:line="240" w:lineRule="auto"/>
            </w:pPr>
            <w:r>
              <w:t>-1.0</w:t>
            </w:r>
          </w:p>
        </w:tc>
        <w:tc>
          <w:tcPr>
            <w:tcW w:w="690" w:type="pct"/>
            <w:shd w:val="clear" w:color="auto" w:fill="D7DDE9" w:themeFill="accent3"/>
            <w:vAlign w:val="center"/>
          </w:tcPr>
          <w:p w:rsidR="00675B52" w:rsidRPr="00960516" w:rsidDel="00006C75" w:rsidRDefault="00675B52" w:rsidP="005C10EF">
            <w:pPr>
              <w:pStyle w:val="TableTextRight"/>
              <w:keepNext/>
              <w:keepLines/>
              <w:spacing w:line="240" w:lineRule="auto"/>
              <w:rPr>
                <w:b/>
              </w:rPr>
            </w:pPr>
            <w:r>
              <w:rPr>
                <w:b/>
              </w:rPr>
              <w:t>-2.0</w:t>
            </w:r>
          </w:p>
        </w:tc>
      </w:tr>
      <w:tr w:rsidR="00675B52" w:rsidTr="00194A1D">
        <w:tc>
          <w:tcPr>
            <w:tcW w:w="5000" w:type="pct"/>
            <w:gridSpan w:val="6"/>
            <w:shd w:val="clear" w:color="auto" w:fill="E9ECF3" w:themeFill="accent2" w:themeFillTint="33"/>
            <w:vAlign w:val="center"/>
          </w:tcPr>
          <w:p w:rsidR="00675B52" w:rsidRDefault="0080154C" w:rsidP="005C10EF">
            <w:pPr>
              <w:pStyle w:val="TableTextRight"/>
              <w:keepNext/>
              <w:keepLines/>
              <w:spacing w:line="240" w:lineRule="auto"/>
              <w:jc w:val="left"/>
              <w:rPr>
                <w:b/>
              </w:rPr>
            </w:pPr>
            <w:r>
              <w:rPr>
                <w:b/>
                <w:szCs w:val="20"/>
              </w:rPr>
              <w:t>Payments</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Dad and Partner Pay</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1.0</w:t>
            </w:r>
          </w:p>
        </w:tc>
        <w:tc>
          <w:tcPr>
            <w:tcW w:w="690" w:type="pct"/>
            <w:vAlign w:val="center"/>
          </w:tcPr>
          <w:p w:rsidR="005E4586" w:rsidRPr="00CC2122" w:rsidRDefault="005E4586" w:rsidP="005C10EF">
            <w:pPr>
              <w:pStyle w:val="TableTextRight"/>
              <w:keepNext/>
              <w:keepLines/>
              <w:spacing w:line="240" w:lineRule="auto"/>
              <w:rPr>
                <w:b/>
                <w:i/>
              </w:rPr>
            </w:pPr>
            <w:r>
              <w:rPr>
                <w:b/>
                <w:i/>
              </w:rPr>
              <w:t>1.0</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Parental Leave Pay</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1.0</w:t>
            </w:r>
          </w:p>
        </w:tc>
        <w:tc>
          <w:tcPr>
            <w:tcW w:w="689" w:type="pct"/>
            <w:vAlign w:val="center"/>
          </w:tcPr>
          <w:p w:rsidR="005E4586" w:rsidRPr="00CC2122" w:rsidRDefault="005E4586" w:rsidP="005C10EF">
            <w:pPr>
              <w:pStyle w:val="TableTextRight"/>
              <w:keepNext/>
              <w:keepLines/>
              <w:spacing w:line="240" w:lineRule="auto"/>
              <w:rPr>
                <w:i/>
              </w:rPr>
            </w:pPr>
            <w:r>
              <w:rPr>
                <w:i/>
              </w:rPr>
              <w:t>2.0</w:t>
            </w:r>
          </w:p>
        </w:tc>
        <w:tc>
          <w:tcPr>
            <w:tcW w:w="689" w:type="pct"/>
            <w:vAlign w:val="center"/>
          </w:tcPr>
          <w:p w:rsidR="005E4586" w:rsidRPr="00CC2122" w:rsidRDefault="005E4586" w:rsidP="005C10EF">
            <w:pPr>
              <w:pStyle w:val="TableTextRight"/>
              <w:keepNext/>
              <w:keepLines/>
              <w:spacing w:line="240" w:lineRule="auto"/>
              <w:rPr>
                <w:i/>
              </w:rPr>
            </w:pPr>
            <w:r>
              <w:rPr>
                <w:i/>
              </w:rPr>
              <w:t>3.0</w:t>
            </w:r>
          </w:p>
        </w:tc>
        <w:tc>
          <w:tcPr>
            <w:tcW w:w="690" w:type="pct"/>
            <w:vAlign w:val="center"/>
          </w:tcPr>
          <w:p w:rsidR="005E4586" w:rsidRPr="00CC2122" w:rsidRDefault="005E4586" w:rsidP="005C10EF">
            <w:pPr>
              <w:pStyle w:val="TableTextRight"/>
              <w:keepNext/>
              <w:keepLines/>
              <w:spacing w:line="240" w:lineRule="auto"/>
              <w:rPr>
                <w:b/>
                <w:i/>
              </w:rPr>
            </w:pPr>
            <w:r>
              <w:rPr>
                <w:b/>
                <w:i/>
              </w:rPr>
              <w:t>5.0</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FTB-A</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20.0</w:t>
            </w:r>
          </w:p>
        </w:tc>
        <w:tc>
          <w:tcPr>
            <w:tcW w:w="690" w:type="pct"/>
            <w:vAlign w:val="center"/>
          </w:tcPr>
          <w:p w:rsidR="005E4586" w:rsidRPr="00CC2122" w:rsidRDefault="005E4586" w:rsidP="005C10EF">
            <w:pPr>
              <w:pStyle w:val="TableTextRight"/>
              <w:keepNext/>
              <w:keepLines/>
              <w:spacing w:line="240" w:lineRule="auto"/>
              <w:rPr>
                <w:b/>
                <w:i/>
              </w:rPr>
            </w:pPr>
            <w:r>
              <w:rPr>
                <w:b/>
                <w:i/>
              </w:rPr>
              <w:t>20.0</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FTB-B</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20.0</w:t>
            </w:r>
          </w:p>
        </w:tc>
        <w:tc>
          <w:tcPr>
            <w:tcW w:w="689" w:type="pct"/>
            <w:vAlign w:val="center"/>
          </w:tcPr>
          <w:p w:rsidR="005E4586" w:rsidRPr="00CC2122" w:rsidRDefault="005E4586" w:rsidP="005C10EF">
            <w:pPr>
              <w:pStyle w:val="TableTextRight"/>
              <w:keepNext/>
              <w:keepLines/>
              <w:spacing w:line="240" w:lineRule="auto"/>
              <w:rPr>
                <w:i/>
              </w:rPr>
            </w:pPr>
            <w:r>
              <w:rPr>
                <w:i/>
              </w:rPr>
              <w:t>45.0</w:t>
            </w:r>
          </w:p>
        </w:tc>
        <w:tc>
          <w:tcPr>
            <w:tcW w:w="689" w:type="pct"/>
            <w:vAlign w:val="center"/>
          </w:tcPr>
          <w:p w:rsidR="005E4586" w:rsidRPr="00CC2122" w:rsidRDefault="005E4586" w:rsidP="005C10EF">
            <w:pPr>
              <w:pStyle w:val="TableTextRight"/>
              <w:keepNext/>
              <w:keepLines/>
              <w:spacing w:line="240" w:lineRule="auto"/>
              <w:rPr>
                <w:i/>
              </w:rPr>
            </w:pPr>
            <w:r>
              <w:rPr>
                <w:i/>
              </w:rPr>
              <w:t>65.0</w:t>
            </w:r>
          </w:p>
        </w:tc>
        <w:tc>
          <w:tcPr>
            <w:tcW w:w="690" w:type="pct"/>
            <w:vAlign w:val="center"/>
          </w:tcPr>
          <w:p w:rsidR="005E4586" w:rsidRPr="00CC2122" w:rsidRDefault="005E4586" w:rsidP="005C10EF">
            <w:pPr>
              <w:pStyle w:val="TableTextRight"/>
              <w:keepNext/>
              <w:keepLines/>
              <w:spacing w:line="240" w:lineRule="auto"/>
              <w:rPr>
                <w:b/>
                <w:i/>
              </w:rPr>
            </w:pPr>
            <w:r>
              <w:rPr>
                <w:b/>
                <w:i/>
              </w:rPr>
              <w:t>130.0</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Health related expenses</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5.0</w:t>
            </w:r>
          </w:p>
        </w:tc>
        <w:tc>
          <w:tcPr>
            <w:tcW w:w="690" w:type="pct"/>
            <w:vAlign w:val="center"/>
          </w:tcPr>
          <w:p w:rsidR="005E4586" w:rsidRPr="00CC2122" w:rsidRDefault="005E4586" w:rsidP="005C10EF">
            <w:pPr>
              <w:pStyle w:val="TableTextRight"/>
              <w:keepNext/>
              <w:keepLines/>
              <w:spacing w:line="240" w:lineRule="auto"/>
              <w:rPr>
                <w:b/>
                <w:i/>
              </w:rPr>
            </w:pPr>
            <w:r>
              <w:rPr>
                <w:b/>
                <w:i/>
              </w:rPr>
              <w:t>5.0</w:t>
            </w:r>
          </w:p>
        </w:tc>
      </w:tr>
      <w:tr w:rsidR="005E4586" w:rsidTr="00194A1D">
        <w:tc>
          <w:tcPr>
            <w:tcW w:w="1554" w:type="pct"/>
            <w:vAlign w:val="center"/>
          </w:tcPr>
          <w:p w:rsidR="005E4586" w:rsidRPr="00CC2122" w:rsidRDefault="005E4586" w:rsidP="005C10EF">
            <w:pPr>
              <w:pStyle w:val="TableTextCentred"/>
              <w:keepNext/>
              <w:keepLines/>
              <w:spacing w:line="240" w:lineRule="auto"/>
              <w:jc w:val="left"/>
              <w:rPr>
                <w:i/>
                <w:szCs w:val="20"/>
              </w:rPr>
            </w:pPr>
            <w:r w:rsidRPr="00CC2122">
              <w:rPr>
                <w:i/>
                <w:szCs w:val="20"/>
              </w:rPr>
              <w:t>Departmental</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w:t>
            </w:r>
          </w:p>
        </w:tc>
        <w:tc>
          <w:tcPr>
            <w:tcW w:w="689" w:type="pct"/>
            <w:vAlign w:val="center"/>
          </w:tcPr>
          <w:p w:rsidR="005E4586" w:rsidRPr="00CC2122" w:rsidRDefault="005E4586" w:rsidP="005C10EF">
            <w:pPr>
              <w:pStyle w:val="TableTextRight"/>
              <w:keepNext/>
              <w:keepLines/>
              <w:spacing w:line="240" w:lineRule="auto"/>
              <w:rPr>
                <w:i/>
              </w:rPr>
            </w:pPr>
            <w:r>
              <w:rPr>
                <w:i/>
              </w:rPr>
              <w:t>1.0</w:t>
            </w:r>
          </w:p>
        </w:tc>
        <w:tc>
          <w:tcPr>
            <w:tcW w:w="689" w:type="pct"/>
            <w:vAlign w:val="center"/>
          </w:tcPr>
          <w:p w:rsidR="005E4586" w:rsidRPr="00CC2122" w:rsidRDefault="005E4586" w:rsidP="005C10EF">
            <w:pPr>
              <w:pStyle w:val="TableTextRight"/>
              <w:keepNext/>
              <w:keepLines/>
              <w:spacing w:line="240" w:lineRule="auto"/>
              <w:rPr>
                <w:i/>
              </w:rPr>
            </w:pPr>
            <w:r>
              <w:rPr>
                <w:i/>
              </w:rPr>
              <w:t>2.0</w:t>
            </w:r>
          </w:p>
        </w:tc>
        <w:tc>
          <w:tcPr>
            <w:tcW w:w="690" w:type="pct"/>
            <w:vAlign w:val="center"/>
          </w:tcPr>
          <w:p w:rsidR="005E4586" w:rsidRPr="00CC2122" w:rsidRDefault="005E4586" w:rsidP="005C10EF">
            <w:pPr>
              <w:pStyle w:val="TableTextRight"/>
              <w:keepNext/>
              <w:keepLines/>
              <w:spacing w:line="240" w:lineRule="auto"/>
              <w:rPr>
                <w:b/>
                <w:i/>
              </w:rPr>
            </w:pPr>
            <w:r>
              <w:rPr>
                <w:b/>
                <w:i/>
              </w:rPr>
              <w:t>3.0</w:t>
            </w:r>
          </w:p>
        </w:tc>
      </w:tr>
      <w:tr w:rsidR="005E4586" w:rsidTr="00194A1D">
        <w:tc>
          <w:tcPr>
            <w:tcW w:w="1554" w:type="pct"/>
            <w:shd w:val="clear" w:color="auto" w:fill="D7DDE9" w:themeFill="accent3"/>
            <w:vAlign w:val="center"/>
          </w:tcPr>
          <w:p w:rsidR="005E4586" w:rsidRPr="00B80802" w:rsidRDefault="005E4586" w:rsidP="005C10EF">
            <w:pPr>
              <w:pStyle w:val="TableTextCentred"/>
              <w:keepNext/>
              <w:keepLines/>
              <w:spacing w:line="240" w:lineRule="auto"/>
              <w:jc w:val="left"/>
              <w:rPr>
                <w:szCs w:val="20"/>
              </w:rPr>
            </w:pPr>
            <w:r>
              <w:rPr>
                <w:szCs w:val="20"/>
              </w:rPr>
              <w:t xml:space="preserve">Total – </w:t>
            </w:r>
            <w:r w:rsidR="0080154C">
              <w:rPr>
                <w:szCs w:val="20"/>
              </w:rPr>
              <w:t>payments</w:t>
            </w:r>
          </w:p>
        </w:tc>
        <w:tc>
          <w:tcPr>
            <w:tcW w:w="689" w:type="pct"/>
            <w:shd w:val="clear" w:color="auto" w:fill="D7DDE9" w:themeFill="accent3"/>
            <w:vAlign w:val="center"/>
          </w:tcPr>
          <w:p w:rsidR="005E4586" w:rsidRPr="00B80802" w:rsidRDefault="005E4586" w:rsidP="005C10EF">
            <w:pPr>
              <w:pStyle w:val="TableTextRight"/>
              <w:keepNext/>
              <w:keepLines/>
              <w:spacing w:line="240" w:lineRule="auto"/>
            </w:pPr>
            <w:r>
              <w:t>-</w:t>
            </w:r>
          </w:p>
        </w:tc>
        <w:tc>
          <w:tcPr>
            <w:tcW w:w="689" w:type="pct"/>
            <w:shd w:val="clear" w:color="auto" w:fill="D7DDE9" w:themeFill="accent3"/>
            <w:vAlign w:val="center"/>
          </w:tcPr>
          <w:p w:rsidR="005E4586" w:rsidRPr="00B80802" w:rsidRDefault="005E4586" w:rsidP="005C10EF">
            <w:pPr>
              <w:pStyle w:val="TableTextRight"/>
              <w:keepNext/>
              <w:keepLines/>
              <w:spacing w:line="240" w:lineRule="auto"/>
            </w:pPr>
            <w:r>
              <w:t>21.0</w:t>
            </w:r>
          </w:p>
        </w:tc>
        <w:tc>
          <w:tcPr>
            <w:tcW w:w="689" w:type="pct"/>
            <w:shd w:val="clear" w:color="auto" w:fill="D7DDE9" w:themeFill="accent3"/>
            <w:vAlign w:val="center"/>
          </w:tcPr>
          <w:p w:rsidR="005E4586" w:rsidRPr="00B80802" w:rsidRDefault="005E4586" w:rsidP="005C10EF">
            <w:pPr>
              <w:pStyle w:val="TableTextRight"/>
              <w:keepNext/>
              <w:keepLines/>
              <w:spacing w:line="240" w:lineRule="auto"/>
            </w:pPr>
            <w:r>
              <w:t>48.0</w:t>
            </w:r>
          </w:p>
        </w:tc>
        <w:tc>
          <w:tcPr>
            <w:tcW w:w="689" w:type="pct"/>
            <w:shd w:val="clear" w:color="auto" w:fill="D7DDE9" w:themeFill="accent3"/>
            <w:vAlign w:val="center"/>
          </w:tcPr>
          <w:p w:rsidR="005E4586" w:rsidRPr="00B80802" w:rsidRDefault="005E4586" w:rsidP="005C10EF">
            <w:pPr>
              <w:pStyle w:val="TableTextRight"/>
              <w:keepNext/>
              <w:keepLines/>
              <w:spacing w:line="240" w:lineRule="auto"/>
            </w:pPr>
            <w:r>
              <w:t>96.0</w:t>
            </w:r>
          </w:p>
        </w:tc>
        <w:tc>
          <w:tcPr>
            <w:tcW w:w="690" w:type="pct"/>
            <w:shd w:val="clear" w:color="auto" w:fill="D7DDE9" w:themeFill="accent3"/>
            <w:vAlign w:val="center"/>
          </w:tcPr>
          <w:p w:rsidR="005E4586" w:rsidRPr="00B80802" w:rsidDel="00006C75" w:rsidRDefault="005E4586" w:rsidP="005C10EF">
            <w:pPr>
              <w:pStyle w:val="TableTextRight"/>
              <w:keepNext/>
              <w:keepLines/>
              <w:spacing w:line="240" w:lineRule="auto"/>
              <w:rPr>
                <w:b/>
              </w:rPr>
            </w:pPr>
            <w:r>
              <w:rPr>
                <w:b/>
              </w:rPr>
              <w:t>164.0</w:t>
            </w:r>
          </w:p>
        </w:tc>
      </w:tr>
      <w:tr w:rsidR="005E4586" w:rsidRPr="007C2713" w:rsidTr="00194A1D">
        <w:tc>
          <w:tcPr>
            <w:tcW w:w="1554" w:type="pct"/>
            <w:shd w:val="clear" w:color="auto" w:fill="D7DDE9" w:themeFill="accent3"/>
            <w:vAlign w:val="center"/>
          </w:tcPr>
          <w:p w:rsidR="005E4586" w:rsidRPr="007C2713" w:rsidRDefault="005E4586" w:rsidP="005C10EF">
            <w:pPr>
              <w:pStyle w:val="TableText"/>
              <w:keepNext/>
              <w:keepLines/>
              <w:rPr>
                <w:b/>
              </w:rPr>
            </w:pPr>
            <w:r w:rsidRPr="007C2713">
              <w:rPr>
                <w:b/>
              </w:rPr>
              <w:t>Total</w:t>
            </w:r>
          </w:p>
        </w:tc>
        <w:tc>
          <w:tcPr>
            <w:tcW w:w="689" w:type="pct"/>
            <w:shd w:val="clear" w:color="auto" w:fill="D7DDE9" w:themeFill="accent3"/>
            <w:vAlign w:val="center"/>
          </w:tcPr>
          <w:p w:rsidR="005E4586" w:rsidRPr="00CC2122" w:rsidRDefault="005E4586" w:rsidP="005C10EF">
            <w:pPr>
              <w:pStyle w:val="TableTextRight"/>
              <w:keepNext/>
              <w:keepLines/>
              <w:spacing w:line="240" w:lineRule="auto"/>
              <w:rPr>
                <w:b/>
              </w:rPr>
            </w:pPr>
            <w:r w:rsidRPr="00CC2122">
              <w:rPr>
                <w:b/>
              </w:rPr>
              <w:t>-</w:t>
            </w:r>
          </w:p>
        </w:tc>
        <w:tc>
          <w:tcPr>
            <w:tcW w:w="689" w:type="pct"/>
            <w:shd w:val="clear" w:color="auto" w:fill="D7DDE9" w:themeFill="accent3"/>
            <w:vAlign w:val="center"/>
          </w:tcPr>
          <w:p w:rsidR="005E4586" w:rsidRPr="00CC2122" w:rsidRDefault="005E4586" w:rsidP="005C10EF">
            <w:pPr>
              <w:pStyle w:val="TableTextRight"/>
              <w:keepNext/>
              <w:keepLines/>
              <w:spacing w:line="240" w:lineRule="auto"/>
              <w:rPr>
                <w:b/>
              </w:rPr>
            </w:pPr>
            <w:r>
              <w:rPr>
                <w:b/>
              </w:rPr>
              <w:t>21.0</w:t>
            </w:r>
          </w:p>
        </w:tc>
        <w:tc>
          <w:tcPr>
            <w:tcW w:w="689" w:type="pct"/>
            <w:shd w:val="clear" w:color="auto" w:fill="D7DDE9" w:themeFill="accent3"/>
            <w:vAlign w:val="center"/>
          </w:tcPr>
          <w:p w:rsidR="005E4586" w:rsidRPr="00CC2122" w:rsidRDefault="005E4586" w:rsidP="005C10EF">
            <w:pPr>
              <w:pStyle w:val="TableTextRight"/>
              <w:keepNext/>
              <w:keepLines/>
              <w:spacing w:line="240" w:lineRule="auto"/>
              <w:rPr>
                <w:b/>
              </w:rPr>
            </w:pPr>
            <w:r>
              <w:rPr>
                <w:b/>
              </w:rPr>
              <w:t>47.0</w:t>
            </w:r>
          </w:p>
        </w:tc>
        <w:tc>
          <w:tcPr>
            <w:tcW w:w="689" w:type="pct"/>
            <w:shd w:val="clear" w:color="auto" w:fill="D7DDE9" w:themeFill="accent3"/>
            <w:vAlign w:val="center"/>
          </w:tcPr>
          <w:p w:rsidR="005E4586" w:rsidRPr="00CC2122" w:rsidRDefault="005E4586" w:rsidP="005C10EF">
            <w:pPr>
              <w:pStyle w:val="TableTextRight"/>
              <w:keepNext/>
              <w:keepLines/>
              <w:spacing w:line="240" w:lineRule="auto"/>
              <w:rPr>
                <w:b/>
              </w:rPr>
            </w:pPr>
            <w:r w:rsidRPr="00CC2122">
              <w:rPr>
                <w:b/>
              </w:rPr>
              <w:t>95.0</w:t>
            </w:r>
          </w:p>
        </w:tc>
        <w:tc>
          <w:tcPr>
            <w:tcW w:w="690" w:type="pct"/>
            <w:shd w:val="clear" w:color="auto" w:fill="D7DDE9" w:themeFill="accent3"/>
            <w:vAlign w:val="center"/>
          </w:tcPr>
          <w:p w:rsidR="005E4586" w:rsidRPr="00CC2122" w:rsidRDefault="005E4586" w:rsidP="005C10EF">
            <w:pPr>
              <w:pStyle w:val="TableTextRight"/>
              <w:keepNext/>
              <w:keepLines/>
              <w:spacing w:line="240" w:lineRule="auto"/>
              <w:rPr>
                <w:b/>
              </w:rPr>
            </w:pPr>
            <w:r w:rsidRPr="00CC2122">
              <w:rPr>
                <w:b/>
              </w:rPr>
              <w:t>162.0</w:t>
            </w:r>
          </w:p>
        </w:tc>
      </w:tr>
    </w:tbl>
    <w:p w:rsidR="005E4586" w:rsidRDefault="005E4586" w:rsidP="005C10EF">
      <w:pPr>
        <w:pStyle w:val="Footnotes"/>
        <w:keepNext/>
        <w:keepLines/>
        <w:numPr>
          <w:ilvl w:val="0"/>
          <w:numId w:val="24"/>
        </w:numPr>
        <w:ind w:left="284" w:hanging="284"/>
      </w:pPr>
      <w:r>
        <w:t xml:space="preserve">A positive number for the underlying cash balance indicates an increase in receipts or a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675B52" w:rsidRPr="00246C89" w:rsidRDefault="00675B52" w:rsidP="005C10EF">
      <w:pPr>
        <w:pStyle w:val="Footnotes"/>
        <w:keepNext/>
        <w:keepLines/>
        <w:ind w:left="284" w:hanging="284"/>
      </w:pPr>
      <w:r w:rsidRPr="00246C89">
        <w:t>Figures may not sum to totals due to rounding.</w:t>
      </w:r>
    </w:p>
    <w:p w:rsidR="00675B52" w:rsidRDefault="00675B52" w:rsidP="005C10EF">
      <w:pPr>
        <w:pStyle w:val="Footnotes"/>
        <w:keepNext/>
        <w:keepLines/>
        <w:numPr>
          <w:ilvl w:val="0"/>
          <w:numId w:val="0"/>
        </w:numPr>
        <w:tabs>
          <w:tab w:val="left" w:pos="284"/>
        </w:tabs>
        <w:ind w:left="284" w:hanging="284"/>
      </w:pPr>
      <w:r>
        <w:t>..</w:t>
      </w:r>
      <w:r>
        <w:tab/>
        <w:t>Not zero but rounded to zero.</w:t>
      </w:r>
    </w:p>
    <w:p w:rsidR="00675B52" w:rsidRDefault="00675B52" w:rsidP="005C10EF">
      <w:pPr>
        <w:pStyle w:val="Footnotes"/>
        <w:numPr>
          <w:ilvl w:val="0"/>
          <w:numId w:val="22"/>
        </w:numPr>
        <w:tabs>
          <w:tab w:val="left" w:pos="567"/>
        </w:tabs>
        <w:ind w:left="284" w:hanging="284"/>
      </w:pPr>
      <w:r>
        <w:t>Indicates nil.</w:t>
      </w:r>
    </w:p>
    <w:p w:rsidR="005C10EF" w:rsidRDefault="005C10EF" w:rsidP="005C10EF">
      <w:pPr>
        <w:pStyle w:val="BodyText"/>
      </w:pPr>
    </w:p>
    <w:p w:rsidR="00420CF4" w:rsidRDefault="00420CF4" w:rsidP="005C10EF">
      <w:pPr>
        <w:pStyle w:val="BodyText"/>
        <w:ind w:left="284" w:hanging="284"/>
        <w:contextualSpacing/>
        <w:sectPr w:rsidR="00420CF4" w:rsidSect="00762C05">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4" w:name="_Toc458081634"/>
      <w:r>
        <w:t>ALP010: Fine Repayment Reforms</w:t>
      </w:r>
      <w:bookmarkEnd w:id="14"/>
    </w:p>
    <w:p w:rsidR="009346E9" w:rsidRDefault="009346E9" w:rsidP="009346E9">
      <w:pPr>
        <w:pStyle w:val="BodyText"/>
      </w:pPr>
      <w:r>
        <w:rPr>
          <w:noProof/>
          <w:lang w:eastAsia="en-AU"/>
        </w:rPr>
        <w:drawing>
          <wp:inline distT="0" distB="0" distL="0" distR="0" wp14:anchorId="6AD272B9" wp14:editId="26882309">
            <wp:extent cx="2696845" cy="572135"/>
            <wp:effectExtent l="0" t="0" r="8255" b="0"/>
            <wp:docPr id="386" name="Picture 38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194A1D">
            <w:pPr>
              <w:pStyle w:val="PullOutBoxHeading"/>
              <w:rPr>
                <w:b/>
              </w:rPr>
            </w:pPr>
            <w:r w:rsidRPr="00E758BA">
              <w:rPr>
                <w:b/>
              </w:rPr>
              <w:t>Name of proposal:</w:t>
            </w:r>
          </w:p>
        </w:tc>
        <w:tc>
          <w:tcPr>
            <w:tcW w:w="3191" w:type="pct"/>
          </w:tcPr>
          <w:p w:rsidR="00420CF4" w:rsidRPr="00E758BA" w:rsidRDefault="00EF6727" w:rsidP="00194A1D">
            <w:pPr>
              <w:pStyle w:val="PullOutBoxHeading"/>
              <w:rPr>
                <w:b/>
              </w:rPr>
            </w:pPr>
            <w:r w:rsidRPr="00E758BA">
              <w:rPr>
                <w:b/>
              </w:rPr>
              <w:t>Fine Repayment Reforms</w:t>
            </w:r>
          </w:p>
        </w:tc>
      </w:tr>
      <w:tr w:rsidR="00420CF4" w:rsidRPr="00B45F94" w:rsidTr="00967BCD">
        <w:tc>
          <w:tcPr>
            <w:tcW w:w="1809" w:type="pct"/>
          </w:tcPr>
          <w:p w:rsidR="00420CF4" w:rsidRPr="00B45F94" w:rsidRDefault="00420CF4" w:rsidP="00194A1D">
            <w:pPr>
              <w:pStyle w:val="PullOutBoxBodyText"/>
            </w:pPr>
            <w:r w:rsidRPr="00B45F94">
              <w:t>Summary of proposal:</w:t>
            </w:r>
          </w:p>
        </w:tc>
        <w:tc>
          <w:tcPr>
            <w:tcW w:w="3191" w:type="pct"/>
          </w:tcPr>
          <w:p w:rsidR="00EF6727" w:rsidRDefault="00EF6727" w:rsidP="00194A1D">
            <w:pPr>
              <w:pStyle w:val="PullOutBoxBodyText"/>
            </w:pPr>
            <w:r>
              <w:t>This proposal would allow the Commonwealth to recover outstanding fines payable to state and territory governments from individuals through either increased income tax payments or reduced income support payments.</w:t>
            </w:r>
          </w:p>
          <w:p w:rsidR="00420CF4" w:rsidRPr="00B45F94" w:rsidRDefault="00EF6727" w:rsidP="00194A1D">
            <w:pPr>
              <w:pStyle w:val="PullOutBoxBodyText"/>
            </w:pPr>
            <w:r>
              <w:t>The proposal would have effect from 1 July 2017.</w:t>
            </w:r>
          </w:p>
        </w:tc>
      </w:tr>
      <w:tr w:rsidR="00420CF4" w:rsidRPr="00B45F94" w:rsidTr="00967BCD">
        <w:tc>
          <w:tcPr>
            <w:tcW w:w="1809" w:type="pct"/>
          </w:tcPr>
          <w:p w:rsidR="00420CF4" w:rsidRPr="00B45F94" w:rsidRDefault="00420CF4" w:rsidP="00194A1D">
            <w:pPr>
              <w:pStyle w:val="PullOutBoxBodyText"/>
            </w:pPr>
            <w:r>
              <w:t>Party:</w:t>
            </w:r>
          </w:p>
        </w:tc>
        <w:tc>
          <w:tcPr>
            <w:tcW w:w="3191" w:type="pct"/>
          </w:tcPr>
          <w:p w:rsidR="00420CF4" w:rsidRPr="00B45F94" w:rsidRDefault="00420CF4" w:rsidP="00194A1D">
            <w:pPr>
              <w:pStyle w:val="PullOutBoxBodyText"/>
            </w:pPr>
            <w:r>
              <w:t>Australian Labor Party</w:t>
            </w:r>
          </w:p>
        </w:tc>
      </w:tr>
      <w:tr w:rsidR="00420CF4" w:rsidRPr="00B45F94" w:rsidTr="00967BCD">
        <w:tc>
          <w:tcPr>
            <w:tcW w:w="1809" w:type="pct"/>
          </w:tcPr>
          <w:p w:rsidR="00420CF4" w:rsidRPr="00B45F94" w:rsidRDefault="00420CF4" w:rsidP="00194A1D">
            <w:pPr>
              <w:pStyle w:val="PullOutBoxBodyText"/>
            </w:pPr>
            <w:r w:rsidRPr="00B45F94">
              <w:t>Expiry date for the costing:</w:t>
            </w:r>
          </w:p>
        </w:tc>
        <w:tc>
          <w:tcPr>
            <w:tcW w:w="3191" w:type="pct"/>
          </w:tcPr>
          <w:p w:rsidR="00420CF4" w:rsidRPr="00B45F94" w:rsidRDefault="00EC102A" w:rsidP="00194A1D">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EF6727" w:rsidRDefault="00EF6727" w:rsidP="00782E22">
      <w:pPr>
        <w:pStyle w:val="BodyText"/>
      </w:pPr>
      <w:r>
        <w:t>The financial implications of the administered revenue and expenses under this proposal are unquantifiable as the quantity of state fines that would be included cannot be readily estimated.  Given that the Commonwealth would be collecting fines on behalf of the states and territories, less administration costs, the net impact of the proposal on the Commonwealth would be small, mainly reflecting differences in the timing of collections and payments to the states.</w:t>
      </w:r>
    </w:p>
    <w:p w:rsidR="00EF6727" w:rsidRDefault="00EF6727" w:rsidP="00782E22">
      <w:pPr>
        <w:pStyle w:val="BodyText"/>
      </w:pPr>
      <w:r>
        <w:t>The proposal would increase departmental expenditure, with that expenditure being recovered from amounts paid to the states.  The financial implications would include an increase in departmental expenses for the Australian Taxation Office (ATO) and the Department of Human Services (DHS) expected to total $16 million over the 2016-17 Budget forward estimates period, offset by an equivalent recovery of these amounts by withholding a proportion of the funding that would be paid to the states.</w:t>
      </w:r>
    </w:p>
    <w:p w:rsidR="00EF6727" w:rsidRDefault="00EF6727" w:rsidP="00782E22">
      <w:pPr>
        <w:pStyle w:val="BodyText"/>
      </w:pPr>
      <w:r>
        <w:t xml:space="preserve">This proposal would have ongoing unquantifiable impacts that extend beyond the forward estimates period.  A breakdown of the financial implications over the 2016-17 Budget forward estimates period is provided at </w:t>
      </w:r>
      <w:r w:rsidRPr="00BA45BF">
        <w:rPr>
          <w:u w:val="single"/>
        </w:rPr>
        <w:t>Attachment A</w:t>
      </w:r>
      <w:r>
        <w:t>.</w:t>
      </w:r>
    </w:p>
    <w:p w:rsidR="00EF6727" w:rsidRDefault="00EF6727" w:rsidP="00782E22">
      <w:pPr>
        <w:pStyle w:val="BodyText"/>
      </w:pPr>
      <w:r>
        <w:t>The included departmental funding reflects the upfront cost of changes to IT systems and ongoing costs to administer the proposal.  The cost of setting up the IT systems is assumed to be a fixed value irrespective of the volume of payments.  The departmental costs w</w:t>
      </w:r>
      <w:r w:rsidR="00BA45BF">
        <w:t>ere estimated based on the 2014</w:t>
      </w:r>
      <w:r w:rsidR="00BA45BF">
        <w:noBreakHyphen/>
      </w:r>
      <w:r>
        <w:t xml:space="preserve">15 Budget measure, </w:t>
      </w:r>
      <w:r w:rsidRPr="00BA45BF">
        <w:rPr>
          <w:i/>
        </w:rPr>
        <w:t>Trade Support Loans – establishment</w:t>
      </w:r>
      <w:r>
        <w:t>.</w:t>
      </w:r>
    </w:p>
    <w:p w:rsidR="00EF6727" w:rsidRPr="00EF6727" w:rsidRDefault="00EF6727" w:rsidP="00782E22">
      <w:pPr>
        <w:pStyle w:val="BodyText"/>
      </w:pPr>
      <w:r>
        <w:t>This costing is considered unquantifiable and therefore no reliability rating has been assigned.</w:t>
      </w:r>
    </w:p>
    <w:p w:rsidR="00420CF4" w:rsidRDefault="00420CF4" w:rsidP="00194A1D">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194A1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194A1D">
            <w:pPr>
              <w:pStyle w:val="TableHeading"/>
            </w:pPr>
            <w:r>
              <w:t>Impact on</w:t>
            </w:r>
            <w:r w:rsidR="00BA45BF">
              <w:t xml:space="preserve"> ($m)</w:t>
            </w:r>
          </w:p>
        </w:tc>
        <w:tc>
          <w:tcPr>
            <w:tcW w:w="721" w:type="pct"/>
            <w:vAlign w:val="center"/>
          </w:tcPr>
          <w:p w:rsidR="00420CF4" w:rsidRPr="00FC1F1C" w:rsidRDefault="00420CF4" w:rsidP="00194A1D">
            <w:pPr>
              <w:pStyle w:val="TableHeadingRight"/>
            </w:pPr>
            <w:r>
              <w:t>2016–17</w:t>
            </w:r>
          </w:p>
        </w:tc>
        <w:tc>
          <w:tcPr>
            <w:tcW w:w="721" w:type="pct"/>
            <w:vAlign w:val="center"/>
          </w:tcPr>
          <w:p w:rsidR="00420CF4" w:rsidRPr="00FC1F1C" w:rsidRDefault="00420CF4" w:rsidP="00194A1D">
            <w:pPr>
              <w:pStyle w:val="TableHeadingRight"/>
            </w:pPr>
            <w:r>
              <w:t>2017–18</w:t>
            </w:r>
          </w:p>
        </w:tc>
        <w:tc>
          <w:tcPr>
            <w:tcW w:w="722" w:type="pct"/>
            <w:vAlign w:val="center"/>
          </w:tcPr>
          <w:p w:rsidR="00420CF4" w:rsidRPr="00FC1F1C" w:rsidRDefault="00420CF4" w:rsidP="00194A1D">
            <w:pPr>
              <w:pStyle w:val="TableHeadingRight"/>
            </w:pPr>
            <w:r>
              <w:t>2018–19</w:t>
            </w:r>
          </w:p>
        </w:tc>
        <w:tc>
          <w:tcPr>
            <w:tcW w:w="721" w:type="pct"/>
            <w:vAlign w:val="center"/>
          </w:tcPr>
          <w:p w:rsidR="00420CF4" w:rsidRPr="00FC1F1C" w:rsidRDefault="00420CF4" w:rsidP="00194A1D">
            <w:pPr>
              <w:pStyle w:val="TableHeadingRight"/>
            </w:pPr>
            <w:r>
              <w:t>2019–20</w:t>
            </w:r>
          </w:p>
        </w:tc>
        <w:tc>
          <w:tcPr>
            <w:tcW w:w="722" w:type="pct"/>
            <w:vAlign w:val="center"/>
          </w:tcPr>
          <w:p w:rsidR="00420CF4" w:rsidRDefault="00EC4962" w:rsidP="00194A1D">
            <w:pPr>
              <w:pStyle w:val="TableTextRight"/>
              <w:keepNext/>
              <w:keepLines/>
            </w:pPr>
            <w:r>
              <w:t>Total</w:t>
            </w:r>
          </w:p>
        </w:tc>
      </w:tr>
      <w:tr w:rsidR="00EF6727" w:rsidTr="00194A1D">
        <w:tc>
          <w:tcPr>
            <w:tcW w:w="1393" w:type="pct"/>
            <w:vAlign w:val="center"/>
          </w:tcPr>
          <w:p w:rsidR="00EF6727" w:rsidRDefault="00EF6727" w:rsidP="00194A1D">
            <w:pPr>
              <w:pStyle w:val="TableText"/>
              <w:keepNext/>
              <w:keepLines/>
            </w:pPr>
            <w:r>
              <w:t>Fiscal balance</w:t>
            </w:r>
          </w:p>
        </w:tc>
        <w:tc>
          <w:tcPr>
            <w:tcW w:w="721" w:type="pct"/>
            <w:vAlign w:val="center"/>
          </w:tcPr>
          <w:p w:rsidR="00EF6727" w:rsidRPr="003A3459" w:rsidRDefault="00EF6727" w:rsidP="00194A1D">
            <w:pPr>
              <w:pStyle w:val="TableTextCentred"/>
              <w:keepNext/>
              <w:keepLines/>
              <w:spacing w:line="240" w:lineRule="auto"/>
              <w:jc w:val="right"/>
              <w:rPr>
                <w:szCs w:val="20"/>
              </w:rPr>
            </w:pPr>
            <w:r>
              <w:rPr>
                <w:szCs w:val="20"/>
              </w:rPr>
              <w:t>-</w:t>
            </w:r>
          </w:p>
        </w:tc>
        <w:tc>
          <w:tcPr>
            <w:tcW w:w="721"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2"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1"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2" w:type="pct"/>
            <w:vAlign w:val="center"/>
          </w:tcPr>
          <w:p w:rsidR="00EF6727" w:rsidRPr="00B87FD5" w:rsidRDefault="00EF6727" w:rsidP="00194A1D">
            <w:pPr>
              <w:pStyle w:val="TableTextCentred"/>
              <w:keepNext/>
              <w:keepLines/>
              <w:spacing w:line="240" w:lineRule="auto"/>
              <w:jc w:val="right"/>
              <w:rPr>
                <w:b/>
                <w:szCs w:val="20"/>
              </w:rPr>
            </w:pPr>
            <w:r w:rsidRPr="00B87FD5">
              <w:rPr>
                <w:b/>
                <w:szCs w:val="20"/>
              </w:rPr>
              <w:t>*</w:t>
            </w:r>
          </w:p>
        </w:tc>
      </w:tr>
      <w:tr w:rsidR="00EF6727" w:rsidTr="00194A1D">
        <w:tc>
          <w:tcPr>
            <w:tcW w:w="1393" w:type="pct"/>
            <w:vAlign w:val="center"/>
          </w:tcPr>
          <w:p w:rsidR="00EF6727" w:rsidRDefault="00EF6727" w:rsidP="00194A1D">
            <w:pPr>
              <w:pStyle w:val="TableText"/>
            </w:pPr>
            <w:r>
              <w:t>Underlying cash balance</w:t>
            </w:r>
          </w:p>
        </w:tc>
        <w:tc>
          <w:tcPr>
            <w:tcW w:w="721" w:type="pct"/>
            <w:vAlign w:val="center"/>
          </w:tcPr>
          <w:p w:rsidR="00EF6727" w:rsidRPr="003A3459" w:rsidRDefault="00EF6727" w:rsidP="00194A1D">
            <w:pPr>
              <w:pStyle w:val="TableTextCentred"/>
              <w:keepNext/>
              <w:keepLines/>
              <w:spacing w:line="240" w:lineRule="auto"/>
              <w:jc w:val="right"/>
              <w:rPr>
                <w:szCs w:val="20"/>
              </w:rPr>
            </w:pPr>
            <w:r>
              <w:rPr>
                <w:szCs w:val="20"/>
              </w:rPr>
              <w:t>-</w:t>
            </w:r>
          </w:p>
        </w:tc>
        <w:tc>
          <w:tcPr>
            <w:tcW w:w="721"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2"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1" w:type="pct"/>
            <w:vAlign w:val="center"/>
          </w:tcPr>
          <w:p w:rsidR="00EF6727" w:rsidRPr="00B87FD5" w:rsidRDefault="00EF6727" w:rsidP="00194A1D">
            <w:pPr>
              <w:pStyle w:val="TableTextCentred"/>
              <w:keepNext/>
              <w:keepLines/>
              <w:spacing w:line="240" w:lineRule="auto"/>
              <w:jc w:val="right"/>
              <w:rPr>
                <w:szCs w:val="20"/>
              </w:rPr>
            </w:pPr>
            <w:r w:rsidRPr="00B87FD5">
              <w:rPr>
                <w:szCs w:val="20"/>
              </w:rPr>
              <w:t>*</w:t>
            </w:r>
          </w:p>
        </w:tc>
        <w:tc>
          <w:tcPr>
            <w:tcW w:w="722" w:type="pct"/>
            <w:vAlign w:val="center"/>
          </w:tcPr>
          <w:p w:rsidR="00EF6727" w:rsidRPr="00B87FD5" w:rsidRDefault="00EF6727" w:rsidP="00194A1D">
            <w:pPr>
              <w:pStyle w:val="TableTextCentred"/>
              <w:keepNext/>
              <w:keepLines/>
              <w:spacing w:line="240" w:lineRule="auto"/>
              <w:jc w:val="right"/>
              <w:rPr>
                <w:b/>
                <w:szCs w:val="20"/>
              </w:rPr>
            </w:pPr>
            <w:r w:rsidRPr="00B87FD5">
              <w:rPr>
                <w:b/>
                <w:szCs w:val="20"/>
              </w:rPr>
              <w:t>*</w:t>
            </w:r>
          </w:p>
        </w:tc>
      </w:tr>
    </w:tbl>
    <w:p w:rsidR="00EF6727" w:rsidRDefault="00EF6727" w:rsidP="00EC4962">
      <w:pPr>
        <w:pStyle w:val="Footnotes"/>
        <w:numPr>
          <w:ilvl w:val="0"/>
          <w:numId w:val="0"/>
        </w:numPr>
        <w:ind w:left="284" w:hanging="284"/>
      </w:pPr>
      <w:r>
        <w:t>*</w:t>
      </w:r>
      <w:r>
        <w:tab/>
      </w:r>
      <w:r w:rsidR="00BA45BF">
        <w:t>I</w:t>
      </w:r>
      <w:r>
        <w:t>ndicates unquantifiable.</w:t>
      </w:r>
    </w:p>
    <w:p w:rsidR="00EF6727" w:rsidRPr="00CA5D42" w:rsidRDefault="00EF6727" w:rsidP="003768DC">
      <w:pPr>
        <w:pStyle w:val="Footnotes"/>
        <w:numPr>
          <w:ilvl w:val="0"/>
          <w:numId w:val="13"/>
        </w:numPr>
        <w:ind w:left="284" w:hanging="284"/>
      </w:pPr>
      <w:r>
        <w:t>Indicates nil.</w:t>
      </w:r>
    </w:p>
    <w:p w:rsidR="00420CF4" w:rsidRDefault="00420CF4" w:rsidP="00420CF4">
      <w:pPr>
        <w:pStyle w:val="CostingsH7"/>
      </w:pPr>
      <w:r>
        <w:t>Key assumptions</w:t>
      </w:r>
    </w:p>
    <w:p w:rsidR="00EF6727" w:rsidRDefault="00EF6727" w:rsidP="00782E22">
      <w:pPr>
        <w:pStyle w:val="BodyText17ptAbove"/>
      </w:pPr>
      <w:r>
        <w:t xml:space="preserve">The Parliamentary Budget Office has assumed that the departmental costs for ATO and DHS to set up and administer the scheme would be the same for each department.  Payments of fine revenue to the states would be made by the Department of the Treasury under arrangements similar to those for paying Goods and Services Tax (GST) to the states, and the administrative costs of the ATO and DHS would be recovered from these payments. </w:t>
      </w:r>
    </w:p>
    <w:p w:rsidR="00EF6727" w:rsidRPr="00EF6727" w:rsidRDefault="00EF6727" w:rsidP="00782E22">
      <w:pPr>
        <w:pStyle w:val="BodyText17ptAbove"/>
      </w:pPr>
      <w:r>
        <w:t>Departmental estimates have been rounded to the nearest $1 million.</w:t>
      </w:r>
    </w:p>
    <w:p w:rsidR="00420CF4" w:rsidRDefault="00895394" w:rsidP="00420CF4">
      <w:pPr>
        <w:pStyle w:val="CostingsH7"/>
      </w:pPr>
      <w:r>
        <w:t>Data Sources</w:t>
      </w:r>
    </w:p>
    <w:p w:rsidR="00EF6727" w:rsidRDefault="00EF6727" w:rsidP="00782E22">
      <w:pPr>
        <w:pStyle w:val="BodyText17ptAbove"/>
      </w:pPr>
      <w:r w:rsidRPr="00EF6727">
        <w:t>Data from the Central Budget Management System provided by the Department of Finance.</w:t>
      </w:r>
    </w:p>
    <w:p w:rsidR="008A35EA" w:rsidRDefault="008A35EA" w:rsidP="008A35EA">
      <w:pPr>
        <w:pStyle w:val="BodyText"/>
      </w:pPr>
    </w:p>
    <w:p w:rsidR="008A35EA" w:rsidRDefault="008A35EA" w:rsidP="008A35EA">
      <w:pPr>
        <w:pStyle w:val="BodyText"/>
        <w:sectPr w:rsidR="008A35EA" w:rsidSect="00967BCD">
          <w:footnotePr>
            <w:numRestart w:val="eachSect"/>
          </w:footnotePr>
          <w:pgSz w:w="11906" w:h="16838" w:code="9"/>
          <w:pgMar w:top="1361" w:right="1797" w:bottom="1474" w:left="1797" w:header="283" w:footer="454" w:gutter="0"/>
          <w:cols w:space="708"/>
          <w:docGrid w:linePitch="360"/>
        </w:sectPr>
      </w:pPr>
    </w:p>
    <w:p w:rsidR="00420CF4" w:rsidRDefault="00EF6727" w:rsidP="00194A1D">
      <w:pPr>
        <w:pStyle w:val="Heading6"/>
        <w:numPr>
          <w:ilvl w:val="0"/>
          <w:numId w:val="10"/>
        </w:numPr>
        <w:tabs>
          <w:tab w:val="right" w:pos="1418"/>
          <w:tab w:val="right" w:pos="1701"/>
          <w:tab w:val="right" w:pos="1985"/>
        </w:tabs>
      </w:pPr>
      <w:r>
        <w:t xml:space="preserve">Attachment </w:t>
      </w:r>
      <w:r w:rsidRPr="00FC6579">
        <w:t>A:</w:t>
      </w:r>
      <w:r>
        <w:t xml:space="preserve"> Fine Repayment Reforms—financial implications</w:t>
      </w:r>
    </w:p>
    <w:p w:rsidR="00420CF4" w:rsidRDefault="00420CF4" w:rsidP="00194A1D">
      <w:pPr>
        <w:pStyle w:val="Caption"/>
        <w:keepLines/>
      </w:pPr>
      <w:r w:rsidRPr="002B36F1">
        <w:t xml:space="preserve">Table </w:t>
      </w:r>
      <w:r>
        <w:t>A1</w:t>
      </w:r>
      <w:r w:rsidRPr="002B36F1">
        <w:t xml:space="preserve">: </w:t>
      </w:r>
      <w:r w:rsidR="00EF6727">
        <w:t>Fine Repayment Reforms—Financial implications</w:t>
      </w:r>
      <w:r w:rsidR="00EF6727">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194A1D">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194A1D">
            <w:pPr>
              <w:pStyle w:val="TableText"/>
              <w:keepNext/>
              <w:keepLines/>
              <w:rPr>
                <w:b w:val="0"/>
              </w:rPr>
            </w:pPr>
            <w:r>
              <w:t>($</w:t>
            </w:r>
            <w:r w:rsidR="00BA45BF">
              <w:t>m</w:t>
            </w:r>
            <w:r>
              <w:t>)</w:t>
            </w:r>
          </w:p>
        </w:tc>
        <w:tc>
          <w:tcPr>
            <w:tcW w:w="689" w:type="pct"/>
            <w:vAlign w:val="center"/>
          </w:tcPr>
          <w:p w:rsidR="00420CF4" w:rsidRDefault="00420CF4" w:rsidP="00194A1D">
            <w:pPr>
              <w:pStyle w:val="TableTextRight"/>
              <w:keepNext/>
              <w:keepLines/>
              <w:rPr>
                <w:b w:val="0"/>
              </w:rPr>
            </w:pPr>
            <w:r>
              <w:t>2016–17</w:t>
            </w:r>
          </w:p>
        </w:tc>
        <w:tc>
          <w:tcPr>
            <w:tcW w:w="689" w:type="pct"/>
            <w:vAlign w:val="center"/>
          </w:tcPr>
          <w:p w:rsidR="00420CF4" w:rsidRDefault="00420CF4" w:rsidP="00194A1D">
            <w:pPr>
              <w:pStyle w:val="TableTextRight"/>
              <w:keepNext/>
              <w:keepLines/>
              <w:rPr>
                <w:b w:val="0"/>
              </w:rPr>
            </w:pPr>
            <w:r>
              <w:t>2017–18</w:t>
            </w:r>
          </w:p>
        </w:tc>
        <w:tc>
          <w:tcPr>
            <w:tcW w:w="689" w:type="pct"/>
            <w:vAlign w:val="center"/>
          </w:tcPr>
          <w:p w:rsidR="00420CF4" w:rsidRDefault="00420CF4" w:rsidP="00194A1D">
            <w:pPr>
              <w:pStyle w:val="TableTextRight"/>
              <w:keepNext/>
              <w:keepLines/>
              <w:rPr>
                <w:b w:val="0"/>
              </w:rPr>
            </w:pPr>
            <w:r>
              <w:t>2018–19</w:t>
            </w:r>
          </w:p>
        </w:tc>
        <w:tc>
          <w:tcPr>
            <w:tcW w:w="689" w:type="pct"/>
            <w:vAlign w:val="center"/>
          </w:tcPr>
          <w:p w:rsidR="00420CF4" w:rsidRDefault="00420CF4" w:rsidP="00194A1D">
            <w:pPr>
              <w:pStyle w:val="TableTextRight"/>
              <w:keepNext/>
              <w:keepLines/>
              <w:rPr>
                <w:b w:val="0"/>
              </w:rPr>
            </w:pPr>
            <w:r>
              <w:t>2019–20</w:t>
            </w:r>
          </w:p>
        </w:tc>
        <w:tc>
          <w:tcPr>
            <w:tcW w:w="690" w:type="pct"/>
            <w:vAlign w:val="center"/>
          </w:tcPr>
          <w:p w:rsidR="00420CF4" w:rsidRDefault="00EF6727" w:rsidP="00194A1D">
            <w:pPr>
              <w:pStyle w:val="TableTextRight"/>
              <w:keepNext/>
              <w:keepLines/>
            </w:pPr>
            <w:r w:rsidRPr="00EF6727">
              <w:t>Total to 2019–20</w:t>
            </w:r>
          </w:p>
        </w:tc>
      </w:tr>
      <w:tr w:rsidR="00EF6727" w:rsidTr="00194A1D">
        <w:tc>
          <w:tcPr>
            <w:tcW w:w="5000" w:type="pct"/>
            <w:gridSpan w:val="6"/>
            <w:shd w:val="clear" w:color="auto" w:fill="E9ECF3" w:themeFill="accent2" w:themeFillTint="33"/>
            <w:vAlign w:val="center"/>
          </w:tcPr>
          <w:p w:rsidR="00EF6727" w:rsidRPr="00AF6A15" w:rsidRDefault="00EF6727" w:rsidP="00194A1D">
            <w:pPr>
              <w:pStyle w:val="TableTextCentred"/>
              <w:keepNext/>
              <w:keepLines/>
              <w:spacing w:line="240" w:lineRule="auto"/>
              <w:jc w:val="left"/>
              <w:rPr>
                <w:b/>
                <w:i/>
                <w:szCs w:val="20"/>
              </w:rPr>
            </w:pPr>
            <w:r>
              <w:rPr>
                <w:b/>
              </w:rPr>
              <w:t>Impact on fiscal and underlying cash balances</w:t>
            </w:r>
          </w:p>
        </w:tc>
      </w:tr>
      <w:tr w:rsidR="00EF6727" w:rsidTr="00194A1D">
        <w:tc>
          <w:tcPr>
            <w:tcW w:w="5000" w:type="pct"/>
            <w:gridSpan w:val="6"/>
            <w:shd w:val="clear" w:color="auto" w:fill="E9ECF3" w:themeFill="accent2" w:themeFillTint="33"/>
            <w:vAlign w:val="center"/>
          </w:tcPr>
          <w:p w:rsidR="00EF6727" w:rsidRPr="00AF6A15" w:rsidRDefault="00EF6727" w:rsidP="00194A1D">
            <w:pPr>
              <w:pStyle w:val="TableTextCentred"/>
              <w:keepNext/>
              <w:keepLines/>
              <w:spacing w:line="240" w:lineRule="auto"/>
              <w:jc w:val="left"/>
              <w:rPr>
                <w:b/>
                <w:i/>
                <w:szCs w:val="20"/>
              </w:rPr>
            </w:pPr>
            <w:r>
              <w:rPr>
                <w:b/>
              </w:rPr>
              <w:t>Revenue</w:t>
            </w:r>
          </w:p>
        </w:tc>
      </w:tr>
      <w:tr w:rsidR="00EF6727" w:rsidTr="00194A1D">
        <w:tc>
          <w:tcPr>
            <w:tcW w:w="1554" w:type="pct"/>
            <w:vAlign w:val="center"/>
          </w:tcPr>
          <w:p w:rsidR="00EF6727" w:rsidRPr="00027340" w:rsidRDefault="00EF6727" w:rsidP="00194A1D">
            <w:pPr>
              <w:pStyle w:val="TableTextCentred"/>
              <w:keepNext/>
              <w:keepLines/>
              <w:spacing w:line="240" w:lineRule="auto"/>
              <w:jc w:val="left"/>
              <w:rPr>
                <w:szCs w:val="20"/>
              </w:rPr>
            </w:pPr>
            <w:r>
              <w:rPr>
                <w:szCs w:val="20"/>
              </w:rPr>
              <w:t>Fines collected</w:t>
            </w:r>
          </w:p>
        </w:tc>
        <w:tc>
          <w:tcPr>
            <w:tcW w:w="689" w:type="pct"/>
            <w:vAlign w:val="center"/>
          </w:tcPr>
          <w:p w:rsidR="00EF6727" w:rsidRPr="00AF6A15" w:rsidRDefault="00EF6727" w:rsidP="00194A1D">
            <w:pPr>
              <w:pStyle w:val="TableTextCentred"/>
              <w:keepNext/>
              <w:keepLines/>
              <w:spacing w:line="240" w:lineRule="auto"/>
              <w:jc w:val="right"/>
              <w:rPr>
                <w:i/>
                <w:szCs w:val="20"/>
              </w:rPr>
            </w:pPr>
            <w:r w:rsidRPr="00AF6A15">
              <w:rPr>
                <w:i/>
                <w:szCs w:val="20"/>
              </w:rPr>
              <w:t>-</w:t>
            </w:r>
          </w:p>
        </w:tc>
        <w:tc>
          <w:tcPr>
            <w:tcW w:w="689" w:type="pct"/>
            <w:vAlign w:val="center"/>
          </w:tcPr>
          <w:p w:rsidR="00EF6727" w:rsidRPr="00AF6A15" w:rsidRDefault="00EF6727" w:rsidP="00194A1D">
            <w:pPr>
              <w:pStyle w:val="TableTextCentred"/>
              <w:keepNext/>
              <w:keepLines/>
              <w:spacing w:line="240" w:lineRule="auto"/>
              <w:jc w:val="right"/>
              <w:rPr>
                <w:i/>
                <w:szCs w:val="20"/>
              </w:rPr>
            </w:pPr>
            <w:r w:rsidRPr="00AF6A15">
              <w:rPr>
                <w:i/>
                <w:szCs w:val="20"/>
              </w:rPr>
              <w:t>*</w:t>
            </w:r>
          </w:p>
        </w:tc>
        <w:tc>
          <w:tcPr>
            <w:tcW w:w="689" w:type="pct"/>
            <w:vAlign w:val="center"/>
          </w:tcPr>
          <w:p w:rsidR="00EF6727" w:rsidRPr="00AF6A15" w:rsidRDefault="00EF6727" w:rsidP="00194A1D">
            <w:pPr>
              <w:pStyle w:val="TableTextCentred"/>
              <w:keepNext/>
              <w:keepLines/>
              <w:spacing w:line="240" w:lineRule="auto"/>
              <w:jc w:val="right"/>
              <w:rPr>
                <w:i/>
                <w:szCs w:val="20"/>
              </w:rPr>
            </w:pPr>
            <w:r w:rsidRPr="00AF6A15">
              <w:rPr>
                <w:i/>
                <w:szCs w:val="20"/>
              </w:rPr>
              <w:t>*</w:t>
            </w:r>
          </w:p>
        </w:tc>
        <w:tc>
          <w:tcPr>
            <w:tcW w:w="689" w:type="pct"/>
            <w:vAlign w:val="center"/>
          </w:tcPr>
          <w:p w:rsidR="00EF6727" w:rsidRPr="00AF6A15" w:rsidRDefault="00EF6727" w:rsidP="00194A1D">
            <w:pPr>
              <w:pStyle w:val="TableTextCentred"/>
              <w:keepNext/>
              <w:keepLines/>
              <w:spacing w:line="240" w:lineRule="auto"/>
              <w:jc w:val="right"/>
              <w:rPr>
                <w:i/>
                <w:szCs w:val="20"/>
              </w:rPr>
            </w:pPr>
            <w:r w:rsidRPr="00AF6A15">
              <w:rPr>
                <w:i/>
                <w:szCs w:val="20"/>
              </w:rPr>
              <w:t>*</w:t>
            </w:r>
          </w:p>
        </w:tc>
        <w:tc>
          <w:tcPr>
            <w:tcW w:w="690" w:type="pct"/>
            <w:vAlign w:val="center"/>
          </w:tcPr>
          <w:p w:rsidR="00EF6727" w:rsidRPr="00AF6A15" w:rsidRDefault="00EF6727" w:rsidP="00194A1D">
            <w:pPr>
              <w:pStyle w:val="TableTextCentred"/>
              <w:keepNext/>
              <w:keepLines/>
              <w:spacing w:line="240" w:lineRule="auto"/>
              <w:jc w:val="right"/>
              <w:rPr>
                <w:b/>
                <w:i/>
                <w:szCs w:val="20"/>
              </w:rPr>
            </w:pPr>
            <w:r w:rsidRPr="00AF6A15">
              <w:rPr>
                <w:b/>
                <w:i/>
                <w:szCs w:val="20"/>
              </w:rPr>
              <w:t>*</w:t>
            </w:r>
          </w:p>
        </w:tc>
      </w:tr>
      <w:tr w:rsidR="00EF6727" w:rsidTr="00194A1D">
        <w:tc>
          <w:tcPr>
            <w:tcW w:w="1554" w:type="pct"/>
            <w:vAlign w:val="center"/>
          </w:tcPr>
          <w:p w:rsidR="00EF6727" w:rsidRPr="00027340" w:rsidRDefault="00EF6727" w:rsidP="00194A1D">
            <w:pPr>
              <w:pStyle w:val="TableTextCentred"/>
              <w:keepNext/>
              <w:keepLines/>
              <w:spacing w:line="240" w:lineRule="auto"/>
              <w:jc w:val="left"/>
              <w:rPr>
                <w:szCs w:val="20"/>
              </w:rPr>
            </w:pPr>
            <w:r>
              <w:rPr>
                <w:szCs w:val="20"/>
              </w:rPr>
              <w:t>Departmental expense collected from states</w:t>
            </w:r>
          </w:p>
        </w:tc>
        <w:tc>
          <w:tcPr>
            <w:tcW w:w="689" w:type="pct"/>
            <w:vAlign w:val="center"/>
          </w:tcPr>
          <w:p w:rsidR="00EF6727" w:rsidRPr="00E97EF4" w:rsidRDefault="00EF6727" w:rsidP="00194A1D">
            <w:pPr>
              <w:pStyle w:val="TableTextRight"/>
              <w:keepNext/>
              <w:keepLines/>
              <w:spacing w:line="240" w:lineRule="auto"/>
              <w:rPr>
                <w:i/>
              </w:rPr>
            </w:pPr>
            <w:r w:rsidRPr="00AF6A15">
              <w:rPr>
                <w:i/>
                <w:szCs w:val="20"/>
              </w:rPr>
              <w:t>-</w:t>
            </w:r>
          </w:p>
        </w:tc>
        <w:tc>
          <w:tcPr>
            <w:tcW w:w="689" w:type="pct"/>
            <w:vAlign w:val="center"/>
          </w:tcPr>
          <w:p w:rsidR="00EF6727" w:rsidRPr="00E97EF4" w:rsidRDefault="00EF6727" w:rsidP="00194A1D">
            <w:pPr>
              <w:pStyle w:val="TableTextRight"/>
              <w:keepNext/>
              <w:keepLines/>
              <w:spacing w:line="240" w:lineRule="auto"/>
              <w:rPr>
                <w:i/>
              </w:rPr>
            </w:pPr>
            <w:r w:rsidRPr="00E97EF4">
              <w:rPr>
                <w:i/>
              </w:rPr>
              <w:t>14</w:t>
            </w:r>
          </w:p>
        </w:tc>
        <w:tc>
          <w:tcPr>
            <w:tcW w:w="689" w:type="pct"/>
            <w:vAlign w:val="center"/>
          </w:tcPr>
          <w:p w:rsidR="00EF6727" w:rsidRPr="00E97EF4" w:rsidRDefault="00EF6727" w:rsidP="00194A1D">
            <w:pPr>
              <w:pStyle w:val="TableTextRight"/>
              <w:keepNext/>
              <w:keepLines/>
              <w:spacing w:line="240" w:lineRule="auto"/>
              <w:rPr>
                <w:i/>
              </w:rPr>
            </w:pPr>
            <w:r w:rsidRPr="00E97EF4">
              <w:rPr>
                <w:i/>
              </w:rPr>
              <w:t>2</w:t>
            </w:r>
          </w:p>
        </w:tc>
        <w:tc>
          <w:tcPr>
            <w:tcW w:w="689" w:type="pct"/>
            <w:vAlign w:val="center"/>
          </w:tcPr>
          <w:p w:rsidR="00EF6727" w:rsidRPr="00E97EF4" w:rsidRDefault="00EF6727" w:rsidP="00194A1D">
            <w:pPr>
              <w:pStyle w:val="TableTextRight"/>
              <w:keepNext/>
              <w:keepLines/>
              <w:spacing w:line="240" w:lineRule="auto"/>
              <w:rPr>
                <w:i/>
              </w:rPr>
            </w:pPr>
            <w:r w:rsidRPr="00E97EF4">
              <w:rPr>
                <w:i/>
              </w:rPr>
              <w:t>2</w:t>
            </w:r>
          </w:p>
        </w:tc>
        <w:tc>
          <w:tcPr>
            <w:tcW w:w="690" w:type="pct"/>
            <w:vAlign w:val="center"/>
          </w:tcPr>
          <w:p w:rsidR="00EF6727" w:rsidRPr="00E97EF4" w:rsidRDefault="00EF6727" w:rsidP="00194A1D">
            <w:pPr>
              <w:pStyle w:val="TableTextRight"/>
              <w:keepNext/>
              <w:keepLines/>
              <w:spacing w:line="240" w:lineRule="auto"/>
              <w:rPr>
                <w:b/>
                <w:i/>
              </w:rPr>
            </w:pPr>
            <w:r w:rsidRPr="00E97EF4">
              <w:rPr>
                <w:b/>
                <w:i/>
              </w:rPr>
              <w:t>16</w:t>
            </w:r>
          </w:p>
        </w:tc>
      </w:tr>
      <w:tr w:rsidR="00EF6727" w:rsidTr="00194A1D">
        <w:tc>
          <w:tcPr>
            <w:tcW w:w="5000" w:type="pct"/>
            <w:gridSpan w:val="6"/>
            <w:shd w:val="clear" w:color="auto" w:fill="E9ECF3" w:themeFill="accent2" w:themeFillTint="33"/>
            <w:vAlign w:val="center"/>
          </w:tcPr>
          <w:p w:rsidR="00EF6727" w:rsidRDefault="00EF6727" w:rsidP="00194A1D">
            <w:pPr>
              <w:pStyle w:val="TableTextRight"/>
              <w:keepNext/>
              <w:keepLines/>
              <w:jc w:val="left"/>
            </w:pPr>
            <w:r w:rsidRPr="006869D8">
              <w:rPr>
                <w:b/>
              </w:rPr>
              <w:t>Expense</w:t>
            </w:r>
          </w:p>
        </w:tc>
      </w:tr>
      <w:tr w:rsidR="00BA45BF" w:rsidRPr="007C2713" w:rsidTr="00194A1D">
        <w:tc>
          <w:tcPr>
            <w:tcW w:w="1554" w:type="pct"/>
            <w:shd w:val="clear" w:color="auto" w:fill="auto"/>
            <w:vAlign w:val="center"/>
          </w:tcPr>
          <w:p w:rsidR="00BA45BF" w:rsidRPr="00027340" w:rsidRDefault="00BA45BF" w:rsidP="00194A1D">
            <w:pPr>
              <w:pStyle w:val="TableTextCentred"/>
              <w:keepNext/>
              <w:keepLines/>
              <w:spacing w:line="240" w:lineRule="auto"/>
              <w:jc w:val="left"/>
              <w:rPr>
                <w:szCs w:val="20"/>
              </w:rPr>
            </w:pPr>
            <w:r>
              <w:rPr>
                <w:szCs w:val="20"/>
              </w:rPr>
              <w:t>Administered</w:t>
            </w:r>
          </w:p>
        </w:tc>
        <w:tc>
          <w:tcPr>
            <w:tcW w:w="689" w:type="pct"/>
            <w:shd w:val="clear" w:color="auto" w:fill="auto"/>
            <w:vAlign w:val="center"/>
          </w:tcPr>
          <w:p w:rsidR="00BA45BF" w:rsidRPr="00AF6A15" w:rsidRDefault="00BA45BF" w:rsidP="00194A1D">
            <w:pPr>
              <w:pStyle w:val="TableTextCentred"/>
              <w:keepNext/>
              <w:keepLines/>
              <w:spacing w:line="240" w:lineRule="auto"/>
              <w:jc w:val="right"/>
              <w:rPr>
                <w:i/>
                <w:szCs w:val="20"/>
              </w:rPr>
            </w:pPr>
            <w:r w:rsidRPr="00AF6A15">
              <w:rPr>
                <w:i/>
                <w:szCs w:val="20"/>
              </w:rPr>
              <w:t>-</w:t>
            </w:r>
          </w:p>
        </w:tc>
        <w:tc>
          <w:tcPr>
            <w:tcW w:w="689" w:type="pct"/>
            <w:shd w:val="clear" w:color="auto" w:fill="auto"/>
            <w:vAlign w:val="center"/>
          </w:tcPr>
          <w:p w:rsidR="00BA45BF" w:rsidRPr="00AF6A15" w:rsidRDefault="00BA45BF" w:rsidP="00194A1D">
            <w:pPr>
              <w:pStyle w:val="TableTextCentred"/>
              <w:keepNext/>
              <w:keepLines/>
              <w:spacing w:line="240" w:lineRule="auto"/>
              <w:jc w:val="right"/>
              <w:rPr>
                <w:i/>
                <w:szCs w:val="20"/>
              </w:rPr>
            </w:pPr>
            <w:r w:rsidRPr="00AF6A15">
              <w:rPr>
                <w:i/>
                <w:szCs w:val="20"/>
              </w:rPr>
              <w:t>*</w:t>
            </w:r>
          </w:p>
        </w:tc>
        <w:tc>
          <w:tcPr>
            <w:tcW w:w="689" w:type="pct"/>
            <w:shd w:val="clear" w:color="auto" w:fill="auto"/>
            <w:vAlign w:val="center"/>
          </w:tcPr>
          <w:p w:rsidR="00BA45BF" w:rsidRPr="00AF6A15" w:rsidRDefault="00BA45BF" w:rsidP="00194A1D">
            <w:pPr>
              <w:pStyle w:val="TableTextCentred"/>
              <w:keepNext/>
              <w:keepLines/>
              <w:spacing w:line="240" w:lineRule="auto"/>
              <w:jc w:val="right"/>
              <w:rPr>
                <w:i/>
                <w:szCs w:val="20"/>
              </w:rPr>
            </w:pPr>
            <w:r w:rsidRPr="00AF6A15">
              <w:rPr>
                <w:i/>
                <w:szCs w:val="20"/>
              </w:rPr>
              <w:t>*</w:t>
            </w:r>
          </w:p>
        </w:tc>
        <w:tc>
          <w:tcPr>
            <w:tcW w:w="689" w:type="pct"/>
            <w:shd w:val="clear" w:color="auto" w:fill="auto"/>
            <w:vAlign w:val="center"/>
          </w:tcPr>
          <w:p w:rsidR="00BA45BF" w:rsidRPr="00AF6A15" w:rsidRDefault="00BA45BF" w:rsidP="00194A1D">
            <w:pPr>
              <w:pStyle w:val="TableTextCentred"/>
              <w:keepNext/>
              <w:keepLines/>
              <w:spacing w:line="240" w:lineRule="auto"/>
              <w:jc w:val="right"/>
              <w:rPr>
                <w:i/>
                <w:szCs w:val="20"/>
              </w:rPr>
            </w:pPr>
            <w:r w:rsidRPr="00AF6A15">
              <w:rPr>
                <w:i/>
                <w:szCs w:val="20"/>
              </w:rPr>
              <w:t>*</w:t>
            </w:r>
          </w:p>
        </w:tc>
        <w:tc>
          <w:tcPr>
            <w:tcW w:w="690" w:type="pct"/>
            <w:shd w:val="clear" w:color="auto" w:fill="auto"/>
            <w:vAlign w:val="center"/>
          </w:tcPr>
          <w:p w:rsidR="00BA45BF" w:rsidRPr="00AF6A15" w:rsidRDefault="00BA45BF" w:rsidP="00194A1D">
            <w:pPr>
              <w:pStyle w:val="TableTextCentred"/>
              <w:keepNext/>
              <w:keepLines/>
              <w:spacing w:line="240" w:lineRule="auto"/>
              <w:jc w:val="right"/>
              <w:rPr>
                <w:b/>
                <w:i/>
                <w:szCs w:val="20"/>
              </w:rPr>
            </w:pPr>
            <w:r w:rsidRPr="00AF6A15">
              <w:rPr>
                <w:b/>
                <w:i/>
                <w:szCs w:val="20"/>
              </w:rPr>
              <w:t>*</w:t>
            </w:r>
          </w:p>
        </w:tc>
      </w:tr>
      <w:tr w:rsidR="00BA45BF" w:rsidRPr="007C2713" w:rsidTr="00194A1D">
        <w:tc>
          <w:tcPr>
            <w:tcW w:w="1554" w:type="pct"/>
            <w:shd w:val="clear" w:color="auto" w:fill="auto"/>
            <w:vAlign w:val="center"/>
          </w:tcPr>
          <w:p w:rsidR="00BA45BF" w:rsidRPr="00027340" w:rsidRDefault="00BA45BF" w:rsidP="00194A1D">
            <w:pPr>
              <w:pStyle w:val="TableTextCentred"/>
              <w:keepNext/>
              <w:keepLines/>
              <w:spacing w:line="240" w:lineRule="auto"/>
              <w:jc w:val="left"/>
              <w:rPr>
                <w:szCs w:val="20"/>
              </w:rPr>
            </w:pPr>
            <w:r>
              <w:rPr>
                <w:szCs w:val="20"/>
              </w:rPr>
              <w:t>Departmental - DHS</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AF6A15">
              <w:rPr>
                <w:i/>
                <w:szCs w:val="20"/>
              </w:rPr>
              <w:t>-</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-7</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-1</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-1</w:t>
            </w:r>
          </w:p>
        </w:tc>
        <w:tc>
          <w:tcPr>
            <w:tcW w:w="690" w:type="pct"/>
            <w:shd w:val="clear" w:color="auto" w:fill="auto"/>
            <w:vAlign w:val="center"/>
          </w:tcPr>
          <w:p w:rsidR="00BA45BF" w:rsidRPr="00E97EF4" w:rsidRDefault="00BA45BF" w:rsidP="00194A1D">
            <w:pPr>
              <w:pStyle w:val="TableTextRight"/>
              <w:keepNext/>
              <w:keepLines/>
              <w:spacing w:line="240" w:lineRule="auto"/>
              <w:rPr>
                <w:b/>
                <w:i/>
              </w:rPr>
            </w:pPr>
            <w:r w:rsidRPr="00E97EF4">
              <w:rPr>
                <w:b/>
                <w:i/>
              </w:rPr>
              <w:t>-8</w:t>
            </w:r>
          </w:p>
        </w:tc>
      </w:tr>
      <w:tr w:rsidR="00BA45BF" w:rsidRPr="007C2713" w:rsidTr="00194A1D">
        <w:tc>
          <w:tcPr>
            <w:tcW w:w="1554" w:type="pct"/>
            <w:shd w:val="clear" w:color="auto" w:fill="auto"/>
            <w:vAlign w:val="center"/>
          </w:tcPr>
          <w:p w:rsidR="00BA45BF" w:rsidRPr="00027340" w:rsidRDefault="00BA45BF" w:rsidP="00194A1D">
            <w:pPr>
              <w:pStyle w:val="TableTextCentred"/>
              <w:keepNext/>
              <w:keepLines/>
              <w:spacing w:line="240" w:lineRule="auto"/>
              <w:jc w:val="left"/>
              <w:rPr>
                <w:szCs w:val="20"/>
              </w:rPr>
            </w:pPr>
            <w:r>
              <w:rPr>
                <w:szCs w:val="20"/>
              </w:rPr>
              <w:t>Departmental - DSS</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AF6A15">
              <w:rPr>
                <w:i/>
                <w:szCs w:val="20"/>
              </w:rPr>
              <w:t>-</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-7</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-1</w:t>
            </w:r>
          </w:p>
        </w:tc>
        <w:tc>
          <w:tcPr>
            <w:tcW w:w="689" w:type="pct"/>
            <w:shd w:val="clear" w:color="auto" w:fill="auto"/>
            <w:vAlign w:val="center"/>
          </w:tcPr>
          <w:p w:rsidR="00BA45BF" w:rsidRPr="00E97EF4" w:rsidRDefault="00BA45BF" w:rsidP="00194A1D">
            <w:pPr>
              <w:pStyle w:val="TableTextRight"/>
              <w:keepNext/>
              <w:keepLines/>
              <w:spacing w:line="240" w:lineRule="auto"/>
              <w:rPr>
                <w:i/>
              </w:rPr>
            </w:pPr>
            <w:r w:rsidRPr="00E97EF4">
              <w:rPr>
                <w:i/>
              </w:rPr>
              <w:t>-1</w:t>
            </w:r>
          </w:p>
        </w:tc>
        <w:tc>
          <w:tcPr>
            <w:tcW w:w="690" w:type="pct"/>
            <w:shd w:val="clear" w:color="auto" w:fill="auto"/>
            <w:vAlign w:val="center"/>
          </w:tcPr>
          <w:p w:rsidR="00BA45BF" w:rsidRPr="00E97EF4" w:rsidRDefault="00BA45BF" w:rsidP="00194A1D">
            <w:pPr>
              <w:pStyle w:val="TableTextRight"/>
              <w:keepNext/>
              <w:keepLines/>
              <w:spacing w:line="240" w:lineRule="auto"/>
              <w:rPr>
                <w:b/>
                <w:i/>
              </w:rPr>
            </w:pPr>
            <w:r w:rsidRPr="00E97EF4">
              <w:rPr>
                <w:b/>
                <w:i/>
              </w:rPr>
              <w:t>-8</w:t>
            </w:r>
          </w:p>
        </w:tc>
      </w:tr>
      <w:tr w:rsidR="00BA45BF" w:rsidRPr="007C2713" w:rsidTr="00194A1D">
        <w:tc>
          <w:tcPr>
            <w:tcW w:w="1554" w:type="pct"/>
            <w:shd w:val="clear" w:color="auto" w:fill="D7DDE9" w:themeFill="accent3"/>
            <w:vAlign w:val="center"/>
          </w:tcPr>
          <w:p w:rsidR="00BA45BF" w:rsidRPr="007C2713" w:rsidRDefault="00BA45BF" w:rsidP="005C10EF">
            <w:pPr>
              <w:pStyle w:val="TableText"/>
              <w:keepNext/>
              <w:keepLines/>
              <w:rPr>
                <w:b/>
              </w:rPr>
            </w:pPr>
            <w:r w:rsidRPr="007C2713">
              <w:rPr>
                <w:b/>
              </w:rPr>
              <w:t>Total</w:t>
            </w:r>
          </w:p>
        </w:tc>
        <w:tc>
          <w:tcPr>
            <w:tcW w:w="689" w:type="pct"/>
            <w:shd w:val="clear" w:color="auto" w:fill="D7DDE9" w:themeFill="accent3"/>
            <w:vAlign w:val="center"/>
          </w:tcPr>
          <w:p w:rsidR="00BA45BF" w:rsidRPr="006869D8" w:rsidRDefault="00BA45BF" w:rsidP="005C10EF">
            <w:pPr>
              <w:pStyle w:val="TableTextCentred"/>
              <w:keepNext/>
              <w:keepLines/>
              <w:spacing w:line="240" w:lineRule="auto"/>
              <w:jc w:val="right"/>
              <w:rPr>
                <w:b/>
                <w:szCs w:val="20"/>
              </w:rPr>
            </w:pPr>
            <w:r w:rsidRPr="006869D8">
              <w:rPr>
                <w:b/>
                <w:szCs w:val="20"/>
              </w:rPr>
              <w:t>-</w:t>
            </w:r>
          </w:p>
        </w:tc>
        <w:tc>
          <w:tcPr>
            <w:tcW w:w="689" w:type="pct"/>
            <w:shd w:val="clear" w:color="auto" w:fill="D7DDE9" w:themeFill="accent3"/>
            <w:vAlign w:val="center"/>
          </w:tcPr>
          <w:p w:rsidR="00BA45BF" w:rsidRPr="006869D8" w:rsidRDefault="00BA45BF" w:rsidP="005C10EF">
            <w:pPr>
              <w:pStyle w:val="TableTextCentred"/>
              <w:keepNext/>
              <w:keepLines/>
              <w:spacing w:line="240" w:lineRule="auto"/>
              <w:jc w:val="right"/>
              <w:rPr>
                <w:b/>
                <w:szCs w:val="20"/>
              </w:rPr>
            </w:pPr>
            <w:r w:rsidRPr="006869D8">
              <w:rPr>
                <w:b/>
                <w:szCs w:val="20"/>
              </w:rPr>
              <w:t>*</w:t>
            </w:r>
          </w:p>
        </w:tc>
        <w:tc>
          <w:tcPr>
            <w:tcW w:w="689" w:type="pct"/>
            <w:shd w:val="clear" w:color="auto" w:fill="D7DDE9" w:themeFill="accent3"/>
            <w:vAlign w:val="center"/>
          </w:tcPr>
          <w:p w:rsidR="00BA45BF" w:rsidRPr="006869D8" w:rsidRDefault="00BA45BF" w:rsidP="005C10EF">
            <w:pPr>
              <w:pStyle w:val="TableTextCentred"/>
              <w:keepNext/>
              <w:keepLines/>
              <w:spacing w:line="240" w:lineRule="auto"/>
              <w:jc w:val="right"/>
              <w:rPr>
                <w:b/>
                <w:szCs w:val="20"/>
              </w:rPr>
            </w:pPr>
            <w:r w:rsidRPr="006869D8">
              <w:rPr>
                <w:b/>
                <w:szCs w:val="20"/>
              </w:rPr>
              <w:t>*</w:t>
            </w:r>
          </w:p>
        </w:tc>
        <w:tc>
          <w:tcPr>
            <w:tcW w:w="689" w:type="pct"/>
            <w:shd w:val="clear" w:color="auto" w:fill="D7DDE9" w:themeFill="accent3"/>
            <w:vAlign w:val="center"/>
          </w:tcPr>
          <w:p w:rsidR="00BA45BF" w:rsidRPr="006869D8" w:rsidRDefault="00BA45BF" w:rsidP="005C10EF">
            <w:pPr>
              <w:pStyle w:val="TableTextCentred"/>
              <w:keepNext/>
              <w:keepLines/>
              <w:spacing w:line="240" w:lineRule="auto"/>
              <w:jc w:val="right"/>
              <w:rPr>
                <w:b/>
                <w:szCs w:val="20"/>
              </w:rPr>
            </w:pPr>
            <w:r w:rsidRPr="006869D8">
              <w:rPr>
                <w:b/>
                <w:szCs w:val="20"/>
              </w:rPr>
              <w:t>*</w:t>
            </w:r>
          </w:p>
        </w:tc>
        <w:tc>
          <w:tcPr>
            <w:tcW w:w="690" w:type="pct"/>
            <w:shd w:val="clear" w:color="auto" w:fill="D7DDE9" w:themeFill="accent3"/>
            <w:vAlign w:val="center"/>
          </w:tcPr>
          <w:p w:rsidR="00BA45BF" w:rsidRPr="006869D8" w:rsidRDefault="00BA45BF" w:rsidP="005C10EF">
            <w:pPr>
              <w:pStyle w:val="TableTextCentred"/>
              <w:keepNext/>
              <w:keepLines/>
              <w:spacing w:line="240" w:lineRule="auto"/>
              <w:jc w:val="right"/>
              <w:rPr>
                <w:b/>
                <w:szCs w:val="20"/>
              </w:rPr>
            </w:pPr>
            <w:r w:rsidRPr="006869D8">
              <w:rPr>
                <w:b/>
                <w:szCs w:val="20"/>
              </w:rPr>
              <w:t>*</w:t>
            </w:r>
          </w:p>
        </w:tc>
      </w:tr>
    </w:tbl>
    <w:p w:rsidR="00BA45BF" w:rsidRPr="00BC3049" w:rsidRDefault="00BA45BF" w:rsidP="005C10EF">
      <w:pPr>
        <w:pStyle w:val="Footnotes"/>
        <w:keepNext/>
        <w:keepLines/>
        <w:numPr>
          <w:ilvl w:val="0"/>
          <w:numId w:val="25"/>
        </w:numPr>
        <w:spacing w:before="113"/>
        <w:ind w:left="284" w:hanging="284"/>
      </w:pPr>
      <w:r w:rsidRPr="00BC3049">
        <w:t>A positive number indicates an increase in revenue or decrease in expenses or net capital investment in accrual and cash terms.  A negative number indicates a decrease in revenue or an increase in expenses or net capital investment in accrual and cash terms</w:t>
      </w:r>
      <w:r>
        <w:t>.</w:t>
      </w:r>
    </w:p>
    <w:p w:rsidR="00BA45BF" w:rsidRDefault="00BA45BF" w:rsidP="005C10EF">
      <w:pPr>
        <w:pStyle w:val="Footnotes"/>
        <w:keepNext/>
        <w:keepLines/>
        <w:numPr>
          <w:ilvl w:val="0"/>
          <w:numId w:val="14"/>
        </w:numPr>
        <w:spacing w:before="113" w:after="113"/>
        <w:ind w:left="284" w:hanging="284"/>
      </w:pPr>
      <w:r>
        <w:t>Figures may not sum to totals due to rounding.</w:t>
      </w:r>
    </w:p>
    <w:p w:rsidR="00BA45BF" w:rsidRDefault="00BA45BF" w:rsidP="005C10EF">
      <w:pPr>
        <w:pStyle w:val="Footnotes"/>
        <w:keepNext/>
        <w:keepLines/>
        <w:numPr>
          <w:ilvl w:val="0"/>
          <w:numId w:val="0"/>
        </w:numPr>
        <w:ind w:left="284" w:hanging="284"/>
      </w:pPr>
      <w:r>
        <w:t>*</w:t>
      </w:r>
      <w:r>
        <w:tab/>
        <w:t>Indicates unquantifiable.</w:t>
      </w:r>
    </w:p>
    <w:p w:rsidR="00420CF4" w:rsidRPr="00951305" w:rsidRDefault="00BA45BF" w:rsidP="005C10EF">
      <w:pPr>
        <w:pStyle w:val="Footnotes"/>
        <w:numPr>
          <w:ilvl w:val="0"/>
          <w:numId w:val="13"/>
        </w:numPr>
        <w:spacing w:before="113" w:after="113"/>
        <w:ind w:left="284" w:hanging="284"/>
      </w:pPr>
      <w:r>
        <w:t>Indicates nil.</w:t>
      </w:r>
    </w:p>
    <w:p w:rsidR="00420CF4" w:rsidRDefault="00420CF4" w:rsidP="005C10EF">
      <w:pPr>
        <w:pStyle w:val="BodyText"/>
        <w:ind w:left="284" w:hanging="284"/>
        <w:contextualSpacing/>
      </w:pPr>
    </w:p>
    <w:p w:rsidR="005C10EF" w:rsidRPr="005C10EF" w:rsidRDefault="005C10EF" w:rsidP="005C10EF">
      <w:pPr>
        <w:pStyle w:val="BodyText"/>
        <w:sectPr w:rsidR="005C10EF" w:rsidRPr="005C10EF"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5" w:name="_Toc458081635"/>
      <w:r>
        <w:t>ALP011: Giving the ACCC more teeth</w:t>
      </w:r>
      <w:bookmarkEnd w:id="15"/>
    </w:p>
    <w:p w:rsidR="009346E9" w:rsidRDefault="009346E9" w:rsidP="009346E9">
      <w:pPr>
        <w:pStyle w:val="BodyText"/>
      </w:pPr>
      <w:r>
        <w:rPr>
          <w:noProof/>
          <w:lang w:eastAsia="en-AU"/>
        </w:rPr>
        <w:drawing>
          <wp:inline distT="0" distB="0" distL="0" distR="0" wp14:anchorId="4FB4E576" wp14:editId="69D3CDDC">
            <wp:extent cx="2696845" cy="572135"/>
            <wp:effectExtent l="0" t="0" r="8255" b="0"/>
            <wp:docPr id="385" name="Picture 38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194A1D">
            <w:pPr>
              <w:pStyle w:val="PullOutBoxHeading"/>
              <w:rPr>
                <w:b/>
              </w:rPr>
            </w:pPr>
            <w:r w:rsidRPr="00E758BA">
              <w:rPr>
                <w:b/>
              </w:rPr>
              <w:t>Name of proposal:</w:t>
            </w:r>
          </w:p>
        </w:tc>
        <w:tc>
          <w:tcPr>
            <w:tcW w:w="3191" w:type="pct"/>
          </w:tcPr>
          <w:p w:rsidR="00420CF4" w:rsidRPr="00E758BA" w:rsidRDefault="00420BD0" w:rsidP="00194A1D">
            <w:pPr>
              <w:pStyle w:val="PullOutBoxHeading"/>
              <w:rPr>
                <w:b/>
              </w:rPr>
            </w:pPr>
            <w:r w:rsidRPr="00E758BA">
              <w:rPr>
                <w:b/>
              </w:rPr>
              <w:t>Giving the ACCC more teeth</w:t>
            </w:r>
          </w:p>
        </w:tc>
      </w:tr>
      <w:tr w:rsidR="00420CF4" w:rsidRPr="00B45F94" w:rsidTr="00967BCD">
        <w:tc>
          <w:tcPr>
            <w:tcW w:w="1809" w:type="pct"/>
          </w:tcPr>
          <w:p w:rsidR="00420CF4" w:rsidRPr="00B45F94" w:rsidRDefault="00420CF4" w:rsidP="00194A1D">
            <w:pPr>
              <w:pStyle w:val="PullOutBoxBodyText"/>
            </w:pPr>
            <w:r w:rsidRPr="00B45F94">
              <w:t>Summary of proposal:</w:t>
            </w:r>
          </w:p>
        </w:tc>
        <w:tc>
          <w:tcPr>
            <w:tcW w:w="3191" w:type="pct"/>
          </w:tcPr>
          <w:p w:rsidR="00420BD0" w:rsidRDefault="00420BD0" w:rsidP="00194A1D">
            <w:pPr>
              <w:pStyle w:val="PullOutBoxBodyText"/>
            </w:pPr>
            <w:r>
              <w:t>The proposal has four components:</w:t>
            </w:r>
          </w:p>
          <w:p w:rsidR="00420BD0" w:rsidRPr="005538B5" w:rsidRDefault="00420BD0" w:rsidP="00194A1D">
            <w:pPr>
              <w:pStyle w:val="PullOutBoxBodyText"/>
              <w:rPr>
                <w:u w:val="single"/>
              </w:rPr>
            </w:pPr>
            <w:r w:rsidRPr="005538B5">
              <w:rPr>
                <w:u w:val="single"/>
              </w:rPr>
              <w:t>Component 1</w:t>
            </w:r>
            <w:r>
              <w:rPr>
                <w:u w:val="single"/>
              </w:rPr>
              <w:t xml:space="preserve"> </w:t>
            </w:r>
            <w:r w:rsidR="00194A1D">
              <w:rPr>
                <w:u w:val="single"/>
              </w:rPr>
              <w:t xml:space="preserve">– </w:t>
            </w:r>
            <w:r>
              <w:rPr>
                <w:u w:val="single"/>
              </w:rPr>
              <w:t xml:space="preserve">Increase </w:t>
            </w:r>
            <w:r w:rsidRPr="005538B5">
              <w:rPr>
                <w:u w:val="single"/>
              </w:rPr>
              <w:t>Australian Consumer Law</w:t>
            </w:r>
            <w:r>
              <w:rPr>
                <w:u w:val="single"/>
              </w:rPr>
              <w:t xml:space="preserve"> (ACL) penalties</w:t>
            </w:r>
          </w:p>
          <w:p w:rsidR="00420BD0" w:rsidRDefault="00420BD0" w:rsidP="00194A1D">
            <w:pPr>
              <w:pStyle w:val="PullOutBoxBullet"/>
            </w:pPr>
            <w:r>
              <w:t>I</w:t>
            </w:r>
            <w:r w:rsidRPr="005538B5">
              <w:t>ncrease</w:t>
            </w:r>
            <w:r w:rsidRPr="004E77D6">
              <w:t xml:space="preserve"> civil penalties under the </w:t>
            </w:r>
            <w:r w:rsidRPr="00F40C66">
              <w:t>ACL</w:t>
            </w:r>
            <w:r w:rsidRPr="004E77D6">
              <w:t xml:space="preserve"> from a maximum of $1.1 million to $10</w:t>
            </w:r>
            <w:r>
              <w:t> </w:t>
            </w:r>
            <w:r w:rsidRPr="004E77D6">
              <w:t xml:space="preserve">million, bringing penalties in-line with the competition provisions of the </w:t>
            </w:r>
            <w:r w:rsidRPr="004E77D6">
              <w:rPr>
                <w:i/>
              </w:rPr>
              <w:t>Competition and Consumer Act 2010</w:t>
            </w:r>
            <w:r w:rsidRPr="004E77D6">
              <w:t xml:space="preserve"> (CCA)</w:t>
            </w:r>
            <w:r w:rsidR="00194A1D">
              <w:t>.</w:t>
            </w:r>
          </w:p>
          <w:p w:rsidR="00420BD0" w:rsidRPr="00194A1D" w:rsidRDefault="00420BD0" w:rsidP="00194A1D">
            <w:pPr>
              <w:pStyle w:val="PullOutBoxBodyText"/>
              <w:rPr>
                <w:u w:val="single"/>
              </w:rPr>
            </w:pPr>
            <w:r w:rsidRPr="00194A1D">
              <w:rPr>
                <w:u w:val="single"/>
              </w:rPr>
              <w:t xml:space="preserve">Component 2 </w:t>
            </w:r>
            <w:r w:rsidR="00194A1D" w:rsidRPr="00194A1D">
              <w:rPr>
                <w:u w:val="single"/>
              </w:rPr>
              <w:t>–</w:t>
            </w:r>
            <w:r w:rsidRPr="00194A1D">
              <w:rPr>
                <w:u w:val="single"/>
              </w:rPr>
              <w:t xml:space="preserve"> Increase Australian Competition and Consumer Commission (ACCC)  litigation funding</w:t>
            </w:r>
          </w:p>
          <w:p w:rsidR="00420BD0" w:rsidRDefault="00420BD0" w:rsidP="00194A1D">
            <w:pPr>
              <w:pStyle w:val="PullOutBoxBullet"/>
            </w:pPr>
            <w:r>
              <w:t>I</w:t>
            </w:r>
            <w:r w:rsidRPr="00BE3A37">
              <w:t>ncrease</w:t>
            </w:r>
            <w:r w:rsidRPr="005538B5">
              <w:t xml:space="preserve"> t</w:t>
            </w:r>
            <w:r w:rsidRPr="004E77D6">
              <w:t>he ACCC’s litigation budget</w:t>
            </w:r>
            <w:r>
              <w:t xml:space="preserve"> by</w:t>
            </w:r>
            <w:r w:rsidRPr="004E77D6">
              <w:t xml:space="preserve"> $24.5 million</w:t>
            </w:r>
            <w:r>
              <w:t xml:space="preserve"> per year.</w:t>
            </w:r>
          </w:p>
          <w:p w:rsidR="00420BD0" w:rsidRPr="00194A1D" w:rsidRDefault="00420BD0" w:rsidP="00194A1D">
            <w:pPr>
              <w:pStyle w:val="PullOutBoxBodyText"/>
              <w:rPr>
                <w:u w:val="single"/>
              </w:rPr>
            </w:pPr>
            <w:r w:rsidRPr="00194A1D">
              <w:rPr>
                <w:u w:val="single"/>
              </w:rPr>
              <w:t xml:space="preserve">Component 3 </w:t>
            </w:r>
            <w:r w:rsidR="00194A1D" w:rsidRPr="00194A1D">
              <w:rPr>
                <w:u w:val="single"/>
              </w:rPr>
              <w:t>–</w:t>
            </w:r>
            <w:r w:rsidRPr="00194A1D">
              <w:rPr>
                <w:u w:val="single"/>
              </w:rPr>
              <w:t xml:space="preserve"> Allow market studies to be conducted by the ACCC</w:t>
            </w:r>
          </w:p>
          <w:p w:rsidR="00420BD0" w:rsidRDefault="00420BD0" w:rsidP="00194A1D">
            <w:pPr>
              <w:pStyle w:val="PullOutBoxBullet"/>
            </w:pPr>
            <w:r>
              <w:t>A</w:t>
            </w:r>
            <w:r w:rsidRPr="004E77D6">
              <w:t xml:space="preserve">mend the CCA to </w:t>
            </w:r>
            <w:r>
              <w:t xml:space="preserve">allow the ACCC to conduct </w:t>
            </w:r>
            <w:r w:rsidRPr="004E77D6">
              <w:t>independent market studies to explore public interest issues such as market concentration and impacts on inequality in certain markets.</w:t>
            </w:r>
            <w:r>
              <w:t xml:space="preserve"> </w:t>
            </w:r>
            <w:r w:rsidRPr="004E77D6">
              <w:t xml:space="preserve"> No additional funding </w:t>
            </w:r>
            <w:r>
              <w:t>would</w:t>
            </w:r>
            <w:r w:rsidRPr="004E77D6">
              <w:t xml:space="preserve"> be provided for this </w:t>
            </w:r>
            <w:r>
              <w:t>component.</w:t>
            </w:r>
          </w:p>
          <w:p w:rsidR="00420BD0" w:rsidRPr="00194A1D" w:rsidRDefault="00420BD0" w:rsidP="00194A1D">
            <w:pPr>
              <w:pStyle w:val="PullOutBoxBodyText"/>
              <w:rPr>
                <w:u w:val="single"/>
              </w:rPr>
            </w:pPr>
            <w:r w:rsidRPr="00194A1D">
              <w:rPr>
                <w:u w:val="single"/>
              </w:rPr>
              <w:t xml:space="preserve">Component 4 </w:t>
            </w:r>
            <w:r w:rsidR="00194A1D" w:rsidRPr="00194A1D">
              <w:rPr>
                <w:u w:val="single"/>
              </w:rPr>
              <w:t>–</w:t>
            </w:r>
            <w:r w:rsidRPr="00194A1D">
              <w:rPr>
                <w:u w:val="single"/>
              </w:rPr>
              <w:t xml:space="preserve"> Adopt European Union penalties</w:t>
            </w:r>
          </w:p>
          <w:p w:rsidR="00420BD0" w:rsidRPr="004E77D6" w:rsidRDefault="00420BD0" w:rsidP="00194A1D">
            <w:pPr>
              <w:pStyle w:val="PullOutBoxBullet"/>
            </w:pPr>
            <w:r>
              <w:t>A</w:t>
            </w:r>
            <w:r w:rsidRPr="004E77D6">
              <w:t>dopt the European Union’s methodology in calculating penalties for anticompetitive conduct</w:t>
            </w:r>
            <w:r>
              <w:t>, w</w:t>
            </w:r>
            <w:r w:rsidRPr="004E77D6">
              <w:t xml:space="preserve">hich is based on 30 per cent of the annual sales of the product or service relating to the infringement, multiplied by the number of years the infringement took </w:t>
            </w:r>
            <w:r w:rsidR="00194A1D">
              <w:t>place.</w:t>
            </w:r>
          </w:p>
          <w:p w:rsidR="00420CF4" w:rsidRPr="00420BD0" w:rsidRDefault="00420BD0" w:rsidP="00194A1D">
            <w:pPr>
              <w:pStyle w:val="PullOutBoxBodyText"/>
            </w:pPr>
            <w:r w:rsidRPr="00420BD0">
              <w:t>This proposal would commence from 1 July 2017.</w:t>
            </w:r>
          </w:p>
        </w:tc>
      </w:tr>
      <w:tr w:rsidR="00420CF4" w:rsidRPr="00B45F94" w:rsidTr="00967BCD">
        <w:tc>
          <w:tcPr>
            <w:tcW w:w="1809" w:type="pct"/>
          </w:tcPr>
          <w:p w:rsidR="00420CF4" w:rsidRPr="00B45F94" w:rsidRDefault="00420CF4" w:rsidP="00194A1D">
            <w:pPr>
              <w:pStyle w:val="PullOutBoxBodyText"/>
            </w:pPr>
            <w:r>
              <w:t>Party:</w:t>
            </w:r>
          </w:p>
        </w:tc>
        <w:tc>
          <w:tcPr>
            <w:tcW w:w="3191" w:type="pct"/>
          </w:tcPr>
          <w:p w:rsidR="00420CF4" w:rsidRPr="00B45F94" w:rsidRDefault="00420CF4" w:rsidP="00194A1D">
            <w:pPr>
              <w:pStyle w:val="PullOutBoxBodyText"/>
            </w:pPr>
            <w:r>
              <w:t>Australian Labor Party</w:t>
            </w:r>
          </w:p>
        </w:tc>
      </w:tr>
      <w:tr w:rsidR="00420CF4" w:rsidRPr="00B45F94" w:rsidTr="00967BCD">
        <w:tc>
          <w:tcPr>
            <w:tcW w:w="1809" w:type="pct"/>
          </w:tcPr>
          <w:p w:rsidR="00420CF4" w:rsidRPr="00B45F94" w:rsidRDefault="00420CF4" w:rsidP="00194A1D">
            <w:pPr>
              <w:pStyle w:val="PullOutBoxBodyText"/>
            </w:pPr>
            <w:r w:rsidRPr="00B45F94">
              <w:t>Expiry date for the costing:</w:t>
            </w:r>
          </w:p>
        </w:tc>
        <w:tc>
          <w:tcPr>
            <w:tcW w:w="3191" w:type="pct"/>
          </w:tcPr>
          <w:p w:rsidR="00420CF4" w:rsidRPr="00B45F94" w:rsidRDefault="00EC102A" w:rsidP="00194A1D">
            <w:pPr>
              <w:pStyle w:val="PullOutBoxBodyText"/>
            </w:pPr>
            <w:r>
              <w:t>R</w:t>
            </w:r>
            <w:r w:rsidRPr="0064604B">
              <w:t xml:space="preserve">elease of the </w:t>
            </w:r>
            <w:r>
              <w:t>next economic and fiscal update</w:t>
            </w:r>
          </w:p>
        </w:tc>
      </w:tr>
    </w:tbl>
    <w:p w:rsidR="008B2720" w:rsidRDefault="008B2720" w:rsidP="00420CF4">
      <w:pPr>
        <w:pStyle w:val="CostingsH7"/>
        <w:sectPr w:rsidR="008B2720"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CostingsH7"/>
      </w:pPr>
      <w:r w:rsidRPr="00BF1EE6">
        <w:t>Costing overview</w:t>
      </w:r>
    </w:p>
    <w:p w:rsidR="00420BD0" w:rsidRDefault="00420BD0" w:rsidP="00420BD0">
      <w:pPr>
        <w:pStyle w:val="BodyText"/>
      </w:pPr>
      <w:r>
        <w:t xml:space="preserve">Components 1 to 3 of this proposal would be expected to increase both the fiscal and underlying cash balances by $92.6 million over the 2016-17 Budget forward estimates period.  This reflects an increase in revenue of $166.1 million from the increased ACL civil penalties component which is partially offset by increased departmental expenses of $73.5 million associated with the increased ACCC litigation budget.  It was not possible to quantify the financial implications of Component 4 of this proposal due to a lack of relevant data.  A breakdown of the financial implications over the 2016-17 Budget forward estimates period is provided at </w:t>
      </w:r>
      <w:r w:rsidRPr="00E226A1">
        <w:rPr>
          <w:u w:val="single"/>
        </w:rPr>
        <w:t>Attachment</w:t>
      </w:r>
      <w:r>
        <w:rPr>
          <w:u w:val="single"/>
        </w:rPr>
        <w:t> A</w:t>
      </w:r>
      <w:r>
        <w:t>.</w:t>
      </w:r>
    </w:p>
    <w:p w:rsidR="00420BD0" w:rsidRPr="004B34E5" w:rsidRDefault="00420BD0" w:rsidP="00420BD0">
      <w:pPr>
        <w:pStyle w:val="BodyText"/>
      </w:pPr>
      <w:r w:rsidRPr="00F07D9A">
        <w:t>Th</w:t>
      </w:r>
      <w:r>
        <w:t>e</w:t>
      </w:r>
      <w:r w:rsidRPr="00F07D9A">
        <w:t xml:space="preserve"> </w:t>
      </w:r>
      <w:r>
        <w:t xml:space="preserve">financial implications of this proposal would </w:t>
      </w:r>
      <w:r w:rsidRPr="00F07D9A">
        <w:t xml:space="preserve">extend beyond the </w:t>
      </w:r>
      <w:r>
        <w:t>2016</w:t>
      </w:r>
      <w:r>
        <w:noBreakHyphen/>
        <w:t xml:space="preserve">17 Budget </w:t>
      </w:r>
      <w:r w:rsidRPr="00F07D9A">
        <w:t>forward estimates</w:t>
      </w:r>
      <w:r>
        <w:t xml:space="preserve"> period.  The estimated impact declines steadily from $29.2 million in 2020-21 to $22.5 million in 2026-27.</w:t>
      </w:r>
    </w:p>
    <w:p w:rsidR="00420BD0" w:rsidRPr="004414D1" w:rsidRDefault="00420BD0" w:rsidP="00420BD0">
      <w:pPr>
        <w:pStyle w:val="BodyText"/>
      </w:pPr>
      <w:r>
        <w:t>This costing is considered to be of low reliability due to the considerable uncertainty around behavioural responses related to compliance with the ACL, the extent to which increased penalties would actually be imposed by judges, and the inherent uncertainty in estimating revenue from litigation.</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194A1D">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194A1D">
            <w:pPr>
              <w:pStyle w:val="TableHeading"/>
            </w:pPr>
            <w:r>
              <w:t>Impact on</w:t>
            </w:r>
            <w:r w:rsidR="00420BD0">
              <w:t xml:space="preserve"> ($m)</w:t>
            </w:r>
          </w:p>
        </w:tc>
        <w:tc>
          <w:tcPr>
            <w:tcW w:w="721" w:type="pct"/>
            <w:vAlign w:val="center"/>
          </w:tcPr>
          <w:p w:rsidR="00420CF4" w:rsidRPr="00FC1F1C" w:rsidRDefault="00420CF4" w:rsidP="00194A1D">
            <w:pPr>
              <w:pStyle w:val="TableHeadingRight"/>
            </w:pPr>
            <w:r>
              <w:t>2016–17</w:t>
            </w:r>
          </w:p>
        </w:tc>
        <w:tc>
          <w:tcPr>
            <w:tcW w:w="721" w:type="pct"/>
            <w:vAlign w:val="center"/>
          </w:tcPr>
          <w:p w:rsidR="00420CF4" w:rsidRPr="00FC1F1C" w:rsidRDefault="00420CF4" w:rsidP="00194A1D">
            <w:pPr>
              <w:pStyle w:val="TableHeadingRight"/>
            </w:pPr>
            <w:r>
              <w:t>2017–18</w:t>
            </w:r>
          </w:p>
        </w:tc>
        <w:tc>
          <w:tcPr>
            <w:tcW w:w="722" w:type="pct"/>
            <w:vAlign w:val="center"/>
          </w:tcPr>
          <w:p w:rsidR="00420CF4" w:rsidRPr="00FC1F1C" w:rsidRDefault="00420CF4" w:rsidP="00194A1D">
            <w:pPr>
              <w:pStyle w:val="TableHeadingRight"/>
            </w:pPr>
            <w:r>
              <w:t>2018–19</w:t>
            </w:r>
          </w:p>
        </w:tc>
        <w:tc>
          <w:tcPr>
            <w:tcW w:w="721" w:type="pct"/>
            <w:vAlign w:val="center"/>
          </w:tcPr>
          <w:p w:rsidR="00420CF4" w:rsidRPr="00FC1F1C" w:rsidRDefault="00420CF4" w:rsidP="00194A1D">
            <w:pPr>
              <w:pStyle w:val="TableHeadingRight"/>
            </w:pPr>
            <w:r>
              <w:t>2019–20</w:t>
            </w:r>
          </w:p>
        </w:tc>
        <w:tc>
          <w:tcPr>
            <w:tcW w:w="722" w:type="pct"/>
            <w:vAlign w:val="center"/>
          </w:tcPr>
          <w:p w:rsidR="00420CF4" w:rsidRDefault="00420CF4" w:rsidP="00194A1D">
            <w:pPr>
              <w:pStyle w:val="TableTextRight"/>
            </w:pPr>
            <w:r>
              <w:t>Total</w:t>
            </w:r>
          </w:p>
        </w:tc>
      </w:tr>
      <w:tr w:rsidR="00420BD0" w:rsidTr="00194A1D">
        <w:tc>
          <w:tcPr>
            <w:tcW w:w="1393" w:type="pct"/>
            <w:vAlign w:val="center"/>
          </w:tcPr>
          <w:p w:rsidR="00420BD0" w:rsidRDefault="00420BD0" w:rsidP="00194A1D">
            <w:pPr>
              <w:pStyle w:val="TableText"/>
            </w:pPr>
            <w:r>
              <w:t>Fiscal balance</w:t>
            </w:r>
          </w:p>
        </w:tc>
        <w:tc>
          <w:tcPr>
            <w:tcW w:w="721" w:type="pct"/>
            <w:vAlign w:val="center"/>
          </w:tcPr>
          <w:p w:rsidR="00420BD0" w:rsidRPr="003A3459" w:rsidRDefault="00420BD0" w:rsidP="00194A1D">
            <w:pPr>
              <w:pStyle w:val="TableTextCentred"/>
              <w:keepNext/>
              <w:keepLines/>
              <w:jc w:val="right"/>
              <w:rPr>
                <w:szCs w:val="20"/>
              </w:rPr>
            </w:pPr>
            <w:r>
              <w:rPr>
                <w:szCs w:val="20"/>
              </w:rPr>
              <w:t>-</w:t>
            </w:r>
          </w:p>
        </w:tc>
        <w:tc>
          <w:tcPr>
            <w:tcW w:w="721" w:type="pct"/>
            <w:vAlign w:val="center"/>
          </w:tcPr>
          <w:p w:rsidR="00420BD0" w:rsidRPr="003A3459" w:rsidRDefault="00420BD0" w:rsidP="00194A1D">
            <w:pPr>
              <w:pStyle w:val="TableTextCentred"/>
              <w:keepNext/>
              <w:keepLines/>
              <w:jc w:val="right"/>
              <w:rPr>
                <w:noProof/>
                <w:szCs w:val="20"/>
              </w:rPr>
            </w:pPr>
            <w:r w:rsidRPr="00397415">
              <w:rPr>
                <w:noProof/>
                <w:szCs w:val="20"/>
              </w:rPr>
              <w:t>31.2</w:t>
            </w:r>
          </w:p>
        </w:tc>
        <w:tc>
          <w:tcPr>
            <w:tcW w:w="722" w:type="pct"/>
            <w:vAlign w:val="center"/>
          </w:tcPr>
          <w:p w:rsidR="00420BD0" w:rsidRPr="003A3459" w:rsidRDefault="00420BD0" w:rsidP="00194A1D">
            <w:pPr>
              <w:pStyle w:val="TableTextCentred"/>
              <w:keepNext/>
              <w:keepLines/>
              <w:jc w:val="right"/>
              <w:rPr>
                <w:noProof/>
                <w:szCs w:val="20"/>
              </w:rPr>
            </w:pPr>
            <w:r w:rsidRPr="00397415">
              <w:rPr>
                <w:noProof/>
                <w:szCs w:val="20"/>
              </w:rPr>
              <w:t>31.2</w:t>
            </w:r>
          </w:p>
        </w:tc>
        <w:tc>
          <w:tcPr>
            <w:tcW w:w="721" w:type="pct"/>
            <w:vAlign w:val="center"/>
          </w:tcPr>
          <w:p w:rsidR="00420BD0" w:rsidRPr="003A3459" w:rsidRDefault="00420BD0" w:rsidP="00194A1D">
            <w:pPr>
              <w:pStyle w:val="TableTextCentred"/>
              <w:keepNext/>
              <w:keepLines/>
              <w:jc w:val="right"/>
              <w:rPr>
                <w:noProof/>
                <w:szCs w:val="20"/>
              </w:rPr>
            </w:pPr>
            <w:r w:rsidRPr="00397415">
              <w:rPr>
                <w:noProof/>
                <w:szCs w:val="20"/>
              </w:rPr>
              <w:t>30.2</w:t>
            </w:r>
          </w:p>
        </w:tc>
        <w:tc>
          <w:tcPr>
            <w:tcW w:w="722" w:type="pct"/>
            <w:vAlign w:val="center"/>
          </w:tcPr>
          <w:p w:rsidR="00420BD0" w:rsidRPr="00397415" w:rsidRDefault="00420BD0" w:rsidP="00194A1D">
            <w:pPr>
              <w:pStyle w:val="TableTextCentred"/>
              <w:keepNext/>
              <w:keepLines/>
              <w:jc w:val="right"/>
              <w:rPr>
                <w:b/>
                <w:noProof/>
                <w:szCs w:val="20"/>
              </w:rPr>
            </w:pPr>
            <w:r w:rsidRPr="00397415">
              <w:rPr>
                <w:b/>
                <w:noProof/>
                <w:szCs w:val="20"/>
              </w:rPr>
              <w:t>92.6</w:t>
            </w:r>
          </w:p>
        </w:tc>
      </w:tr>
      <w:tr w:rsidR="00420BD0" w:rsidTr="00194A1D">
        <w:tc>
          <w:tcPr>
            <w:tcW w:w="1393" w:type="pct"/>
            <w:vAlign w:val="center"/>
          </w:tcPr>
          <w:p w:rsidR="00420BD0" w:rsidRDefault="00420BD0" w:rsidP="00194A1D">
            <w:pPr>
              <w:pStyle w:val="TableText"/>
            </w:pPr>
            <w:r>
              <w:t>Underlying cash balance</w:t>
            </w:r>
          </w:p>
        </w:tc>
        <w:tc>
          <w:tcPr>
            <w:tcW w:w="721" w:type="pct"/>
            <w:vAlign w:val="center"/>
          </w:tcPr>
          <w:p w:rsidR="00420BD0" w:rsidRPr="003A3459" w:rsidRDefault="00420BD0" w:rsidP="00194A1D">
            <w:pPr>
              <w:pStyle w:val="TableTextCentred"/>
              <w:keepNext/>
              <w:keepLines/>
              <w:jc w:val="right"/>
              <w:rPr>
                <w:szCs w:val="20"/>
              </w:rPr>
            </w:pPr>
            <w:r>
              <w:rPr>
                <w:szCs w:val="20"/>
              </w:rPr>
              <w:t>-</w:t>
            </w:r>
          </w:p>
        </w:tc>
        <w:tc>
          <w:tcPr>
            <w:tcW w:w="721" w:type="pct"/>
            <w:vAlign w:val="center"/>
          </w:tcPr>
          <w:p w:rsidR="00420BD0" w:rsidRPr="003A3459" w:rsidRDefault="00420BD0" w:rsidP="00194A1D">
            <w:pPr>
              <w:pStyle w:val="TableTextCentred"/>
              <w:keepNext/>
              <w:keepLines/>
              <w:jc w:val="right"/>
              <w:rPr>
                <w:szCs w:val="20"/>
              </w:rPr>
            </w:pPr>
            <w:r w:rsidRPr="00333908">
              <w:rPr>
                <w:noProof/>
                <w:szCs w:val="20"/>
              </w:rPr>
              <w:t>31.2</w:t>
            </w:r>
          </w:p>
        </w:tc>
        <w:tc>
          <w:tcPr>
            <w:tcW w:w="722" w:type="pct"/>
            <w:vAlign w:val="center"/>
          </w:tcPr>
          <w:p w:rsidR="00420BD0" w:rsidRPr="003A3459" w:rsidRDefault="00420BD0" w:rsidP="00194A1D">
            <w:pPr>
              <w:pStyle w:val="TableTextCentred"/>
              <w:keepNext/>
              <w:keepLines/>
              <w:jc w:val="right"/>
              <w:rPr>
                <w:szCs w:val="20"/>
              </w:rPr>
            </w:pPr>
            <w:r w:rsidRPr="00333908">
              <w:rPr>
                <w:noProof/>
                <w:szCs w:val="20"/>
              </w:rPr>
              <w:t>31.2</w:t>
            </w:r>
          </w:p>
        </w:tc>
        <w:tc>
          <w:tcPr>
            <w:tcW w:w="721" w:type="pct"/>
            <w:vAlign w:val="center"/>
          </w:tcPr>
          <w:p w:rsidR="00420BD0" w:rsidRPr="003A3459" w:rsidRDefault="00420BD0" w:rsidP="00194A1D">
            <w:pPr>
              <w:pStyle w:val="TableTextCentred"/>
              <w:keepNext/>
              <w:keepLines/>
              <w:jc w:val="right"/>
              <w:rPr>
                <w:szCs w:val="20"/>
              </w:rPr>
            </w:pPr>
            <w:r w:rsidRPr="00333908">
              <w:rPr>
                <w:noProof/>
                <w:szCs w:val="20"/>
              </w:rPr>
              <w:t>30.2</w:t>
            </w:r>
          </w:p>
        </w:tc>
        <w:tc>
          <w:tcPr>
            <w:tcW w:w="722" w:type="pct"/>
            <w:vAlign w:val="center"/>
          </w:tcPr>
          <w:p w:rsidR="00420BD0" w:rsidRPr="00C363AE" w:rsidRDefault="00420BD0" w:rsidP="00194A1D">
            <w:pPr>
              <w:pStyle w:val="TableTextCentred"/>
              <w:keepNext/>
              <w:keepLines/>
              <w:jc w:val="right"/>
              <w:rPr>
                <w:b/>
                <w:szCs w:val="20"/>
              </w:rPr>
            </w:pPr>
            <w:r w:rsidRPr="00333908">
              <w:rPr>
                <w:b/>
                <w:noProof/>
                <w:szCs w:val="20"/>
              </w:rPr>
              <w:t>92.6</w:t>
            </w:r>
          </w:p>
        </w:tc>
      </w:tr>
    </w:tbl>
    <w:p w:rsidR="00420CF4" w:rsidRDefault="00420CF4" w:rsidP="003768DC">
      <w:pPr>
        <w:pStyle w:val="Footnotes"/>
        <w:numPr>
          <w:ilvl w:val="0"/>
          <w:numId w:val="29"/>
        </w:numPr>
        <w:ind w:left="284" w:hanging="284"/>
      </w:pPr>
      <w:r>
        <w:t xml:space="preserve">A positive </w:t>
      </w:r>
      <w:r w:rsidRPr="00FC1F1C">
        <w:t>number indicates an increase in the relevant budget balance, a negative number a decrease.</w:t>
      </w:r>
    </w:p>
    <w:p w:rsidR="00420CF4" w:rsidRDefault="00420CF4" w:rsidP="003768DC">
      <w:pPr>
        <w:pStyle w:val="Footnotes"/>
        <w:numPr>
          <w:ilvl w:val="0"/>
          <w:numId w:val="14"/>
        </w:numPr>
        <w:ind w:left="284" w:hanging="284"/>
      </w:pPr>
      <w:r w:rsidRPr="00967BCD">
        <w:t>Figures may not sum to totals due to rounding.</w:t>
      </w:r>
    </w:p>
    <w:p w:rsidR="00420BD0" w:rsidRPr="00420BD0" w:rsidRDefault="00420BD0" w:rsidP="003768DC">
      <w:pPr>
        <w:pStyle w:val="Footnotes"/>
        <w:numPr>
          <w:ilvl w:val="0"/>
          <w:numId w:val="28"/>
        </w:numPr>
        <w:ind w:left="284" w:hanging="284"/>
        <w:rPr>
          <w:rStyle w:val="FootnoteReference"/>
          <w:vertAlign w:val="baseline"/>
        </w:rPr>
      </w:pPr>
      <w:r>
        <w:t>Indicates nil.</w:t>
      </w:r>
    </w:p>
    <w:p w:rsidR="00420CF4" w:rsidRDefault="00420CF4" w:rsidP="00420CF4">
      <w:pPr>
        <w:pStyle w:val="CostingsH7"/>
      </w:pPr>
      <w:r>
        <w:t>Key assumptions</w:t>
      </w:r>
    </w:p>
    <w:p w:rsidR="00EC4962" w:rsidRPr="00AA77C8" w:rsidRDefault="00EC4962" w:rsidP="003768DC">
      <w:pPr>
        <w:pStyle w:val="Bullet1"/>
        <w:keepNext/>
        <w:numPr>
          <w:ilvl w:val="0"/>
          <w:numId w:val="27"/>
        </w:numPr>
        <w:spacing w:before="240" w:after="0" w:line="240" w:lineRule="auto"/>
        <w:ind w:left="284" w:hanging="284"/>
        <w:rPr>
          <w:b/>
        </w:rPr>
      </w:pPr>
      <w:r>
        <w:t>T</w:t>
      </w:r>
      <w:r w:rsidRPr="00462951">
        <w:t>he increase in civil penalties associated with ACL would result in a 50 per cent decline in the number of cases.</w:t>
      </w:r>
      <w:r>
        <w:t xml:space="preserve">  </w:t>
      </w:r>
    </w:p>
    <w:p w:rsidR="008B2720" w:rsidRDefault="00EC4962" w:rsidP="005C10EF">
      <w:pPr>
        <w:pStyle w:val="Bullet1"/>
        <w:keepLines w:val="0"/>
        <w:numPr>
          <w:ilvl w:val="0"/>
          <w:numId w:val="27"/>
        </w:numPr>
        <w:spacing w:before="240" w:after="0" w:line="240" w:lineRule="auto"/>
        <w:ind w:left="284" w:hanging="284"/>
      </w:pPr>
      <w:r w:rsidRPr="00AA77C8">
        <w:t>The proposed increase in penalties would result in the average value of ACL penalties increasing to the average value of competition penalties, reflecting a range of penalties (less than the maximum penalty) expected to be applied.</w:t>
      </w:r>
    </w:p>
    <w:p w:rsidR="00420CF4" w:rsidRDefault="00420CF4" w:rsidP="005C10EF">
      <w:pPr>
        <w:pStyle w:val="CostingsH7"/>
      </w:pPr>
      <w:r>
        <w:t>Methodology</w:t>
      </w:r>
    </w:p>
    <w:p w:rsidR="00EC4962" w:rsidRDefault="00EC4962" w:rsidP="005C10EF">
      <w:pPr>
        <w:pStyle w:val="BodyText"/>
        <w:keepNext/>
        <w:keepLines/>
      </w:pPr>
      <w:r>
        <w:t>The increase in revenue from increased civil penalties for ACL cases was estimated by multiplying the average revenue from competition cases by the number of ACL cases from 1 July 2017, after allowing for the behavioural assumption noted above.  The costing does not include any departmental expenditure associated with the increased civil penalties component as these are not expected to be significant.</w:t>
      </w:r>
    </w:p>
    <w:p w:rsidR="00EC4962" w:rsidRDefault="00EC4962" w:rsidP="00EC4962">
      <w:pPr>
        <w:pStyle w:val="BodyText"/>
      </w:pPr>
      <w:r>
        <w:t>Doubling the ACCC’s litigation budget and amending the CCA to allow independent market studies to be conducted by the ACCC were costed based on fixed capped annual funding for each element.</w:t>
      </w:r>
    </w:p>
    <w:p w:rsidR="00EC4962" w:rsidRPr="00002D5D" w:rsidRDefault="00EC4962" w:rsidP="00EC4962">
      <w:pPr>
        <w:pStyle w:val="BodyText"/>
      </w:pPr>
      <w:r>
        <w:t>As specified, the costing does not include additional funding for the independent ACCC market studies (Component 3).</w:t>
      </w:r>
    </w:p>
    <w:p w:rsidR="00420CF4" w:rsidRDefault="00420CF4" w:rsidP="00420CF4">
      <w:pPr>
        <w:pStyle w:val="CostingsH7"/>
      </w:pPr>
      <w:r>
        <w:t>Data sources</w:t>
      </w:r>
    </w:p>
    <w:p w:rsidR="00EC4962" w:rsidRDefault="00EC4962" w:rsidP="00503677">
      <w:pPr>
        <w:pStyle w:val="ListBullet"/>
      </w:pPr>
      <w:r>
        <w:t xml:space="preserve">The </w:t>
      </w:r>
      <w:r w:rsidR="00503677" w:rsidRPr="00503677">
        <w:t>Australian Competition and Consumer Commission</w:t>
      </w:r>
      <w:r>
        <w:t xml:space="preserve"> provided estimates of revenue from all sources, net of enforcement costs, separately for competition and consumer protection related cases.</w:t>
      </w:r>
    </w:p>
    <w:p w:rsidR="00EC4962" w:rsidRDefault="00EC4962" w:rsidP="00503677">
      <w:pPr>
        <w:pStyle w:val="ListBullet"/>
      </w:pPr>
      <w:r>
        <w:t>The Department of Finance provided indexation parameters.</w:t>
      </w:r>
    </w:p>
    <w:p w:rsidR="005C10EF" w:rsidRDefault="005C10EF" w:rsidP="005C10EF">
      <w:pPr>
        <w:pStyle w:val="BodyText"/>
      </w:pPr>
    </w:p>
    <w:p w:rsidR="005C10EF" w:rsidRDefault="005C10EF" w:rsidP="005C10EF">
      <w:pPr>
        <w:pStyle w:val="BodyText"/>
        <w:sectPr w:rsidR="005C10EF"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D07929">
      <w:pPr>
        <w:pStyle w:val="Heading6"/>
        <w:numPr>
          <w:ilvl w:val="0"/>
          <w:numId w:val="10"/>
        </w:numPr>
        <w:tabs>
          <w:tab w:val="right" w:pos="1418"/>
          <w:tab w:val="right" w:pos="1701"/>
          <w:tab w:val="right" w:pos="1985"/>
        </w:tabs>
        <w:spacing w:before="480"/>
      </w:pPr>
      <w:r>
        <w:t xml:space="preserve">Attachment </w:t>
      </w:r>
      <w:r w:rsidR="00EC4962" w:rsidRPr="00FC6579">
        <w:t>A:</w:t>
      </w:r>
      <w:r w:rsidR="00EC4962">
        <w:rPr>
          <w:noProof/>
        </w:rPr>
        <w:t xml:space="preserve"> </w:t>
      </w:r>
      <w:r w:rsidR="00EC4962" w:rsidRPr="0066437B">
        <w:rPr>
          <w:noProof/>
        </w:rPr>
        <w:t>Giving the ACCC more teeth</w:t>
      </w:r>
      <w:r w:rsidR="00EC4962">
        <w:t>—financial</w:t>
      </w:r>
      <w:r w:rsidR="007D334C">
        <w:t> </w:t>
      </w:r>
      <w:r w:rsidR="00EC4962">
        <w:t>implications</w:t>
      </w:r>
    </w:p>
    <w:p w:rsidR="00420CF4" w:rsidRDefault="00420CF4" w:rsidP="00420CF4">
      <w:pPr>
        <w:pStyle w:val="Caption"/>
      </w:pPr>
      <w:r w:rsidRPr="002B36F1">
        <w:t xml:space="preserve">Table </w:t>
      </w:r>
      <w:r>
        <w:t>A1</w:t>
      </w:r>
      <w:r w:rsidRPr="002B36F1">
        <w:t xml:space="preserve">: </w:t>
      </w:r>
      <w:r w:rsidR="00EC4962" w:rsidRPr="0066437B">
        <w:rPr>
          <w:noProof/>
        </w:rPr>
        <w:t>Giving the ACCC more teeth</w:t>
      </w:r>
      <w:r w:rsidR="00EC4962">
        <w:t>—Financial implications</w:t>
      </w:r>
      <w:r w:rsidR="00EC4962" w:rsidRPr="00B46F22">
        <w:rPr>
          <w:vertAlign w:val="superscript"/>
        </w:rPr>
        <w:t>(a)</w:t>
      </w:r>
      <w:r w:rsidR="00EC4962">
        <w:rPr>
          <w:vertAlign w:val="superscript"/>
        </w:rPr>
        <w:t>(b)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967BCD">
        <w:trPr>
          <w:cnfStyle w:val="100000000000" w:firstRow="1" w:lastRow="0" w:firstColumn="0" w:lastColumn="0" w:oddVBand="0" w:evenVBand="0" w:oddHBand="0" w:evenHBand="0" w:firstRowFirstColumn="0" w:firstRowLastColumn="0" w:lastRowFirstColumn="0" w:lastRowLastColumn="0"/>
        </w:trPr>
        <w:tc>
          <w:tcPr>
            <w:tcW w:w="1554" w:type="pct"/>
          </w:tcPr>
          <w:p w:rsidR="00420CF4" w:rsidRPr="007C2713" w:rsidRDefault="00420CF4" w:rsidP="00967BCD">
            <w:pPr>
              <w:pStyle w:val="TableText"/>
              <w:rPr>
                <w:b w:val="0"/>
              </w:rPr>
            </w:pPr>
            <w:r>
              <w:t>($</w:t>
            </w:r>
            <w:r w:rsidR="00EC4962">
              <w:t>m</w:t>
            </w:r>
            <w:r>
              <w:t>)</w:t>
            </w:r>
          </w:p>
        </w:tc>
        <w:tc>
          <w:tcPr>
            <w:tcW w:w="689" w:type="pct"/>
          </w:tcPr>
          <w:p w:rsidR="00420CF4" w:rsidRDefault="00420CF4" w:rsidP="00967BCD">
            <w:pPr>
              <w:pStyle w:val="TableTextRight"/>
              <w:rPr>
                <w:b w:val="0"/>
              </w:rPr>
            </w:pPr>
            <w:r>
              <w:t>2016–17</w:t>
            </w:r>
          </w:p>
        </w:tc>
        <w:tc>
          <w:tcPr>
            <w:tcW w:w="689" w:type="pct"/>
          </w:tcPr>
          <w:p w:rsidR="00420CF4" w:rsidRDefault="00420CF4" w:rsidP="00967BCD">
            <w:pPr>
              <w:pStyle w:val="TableTextRight"/>
              <w:rPr>
                <w:b w:val="0"/>
              </w:rPr>
            </w:pPr>
            <w:r>
              <w:t>2017–18</w:t>
            </w:r>
          </w:p>
        </w:tc>
        <w:tc>
          <w:tcPr>
            <w:tcW w:w="689" w:type="pct"/>
          </w:tcPr>
          <w:p w:rsidR="00420CF4" w:rsidRDefault="00420CF4" w:rsidP="00967BCD">
            <w:pPr>
              <w:pStyle w:val="TableTextRight"/>
              <w:rPr>
                <w:b w:val="0"/>
              </w:rPr>
            </w:pPr>
            <w:r>
              <w:t>2018–19</w:t>
            </w:r>
          </w:p>
        </w:tc>
        <w:tc>
          <w:tcPr>
            <w:tcW w:w="689" w:type="pct"/>
          </w:tcPr>
          <w:p w:rsidR="00420CF4" w:rsidRDefault="00420CF4" w:rsidP="00967BCD">
            <w:pPr>
              <w:pStyle w:val="TableTextRight"/>
              <w:rPr>
                <w:b w:val="0"/>
              </w:rPr>
            </w:pPr>
            <w:r>
              <w:t>2019–20</w:t>
            </w:r>
          </w:p>
        </w:tc>
        <w:tc>
          <w:tcPr>
            <w:tcW w:w="690" w:type="pct"/>
          </w:tcPr>
          <w:p w:rsidR="00420CF4" w:rsidRDefault="00420CF4" w:rsidP="00967BCD">
            <w:pPr>
              <w:pStyle w:val="TableTextRight"/>
            </w:pPr>
            <w:r>
              <w:t>Total</w:t>
            </w:r>
            <w:r w:rsidR="00EC4962">
              <w:t xml:space="preserve"> to 2019–20</w:t>
            </w:r>
          </w:p>
        </w:tc>
      </w:tr>
      <w:tr w:rsidR="00EC4962" w:rsidTr="00EC4962">
        <w:tc>
          <w:tcPr>
            <w:tcW w:w="5000" w:type="pct"/>
            <w:gridSpan w:val="6"/>
            <w:shd w:val="clear" w:color="auto" w:fill="E9ECF3" w:themeFill="accent2" w:themeFillTint="33"/>
          </w:tcPr>
          <w:p w:rsidR="00EC4962" w:rsidRDefault="00EC4962" w:rsidP="00EC4962">
            <w:pPr>
              <w:pStyle w:val="TableTextRight"/>
              <w:jc w:val="left"/>
            </w:pPr>
            <w:r>
              <w:rPr>
                <w:b/>
              </w:rPr>
              <w:t>Impact on f</w:t>
            </w:r>
            <w:r w:rsidRPr="00C363AE">
              <w:rPr>
                <w:b/>
              </w:rPr>
              <w:t>iscal and underlying cash balances</w:t>
            </w:r>
          </w:p>
        </w:tc>
      </w:tr>
      <w:tr w:rsidR="00EC4962" w:rsidTr="00111844">
        <w:tc>
          <w:tcPr>
            <w:tcW w:w="1554" w:type="pct"/>
          </w:tcPr>
          <w:p w:rsidR="00EC4962" w:rsidRPr="00AB55AE" w:rsidRDefault="00EC4962" w:rsidP="00EC4962">
            <w:pPr>
              <w:pStyle w:val="TableTextCentred"/>
              <w:keepNext/>
              <w:keepLines/>
              <w:jc w:val="left"/>
              <w:rPr>
                <w:i/>
                <w:szCs w:val="20"/>
              </w:rPr>
            </w:pPr>
            <w:r>
              <w:rPr>
                <w:szCs w:val="20"/>
              </w:rPr>
              <w:t xml:space="preserve">Revenue - </w:t>
            </w:r>
            <w:r w:rsidRPr="00333908">
              <w:rPr>
                <w:szCs w:val="20"/>
              </w:rPr>
              <w:t>Increased ACL civil penalties</w:t>
            </w:r>
          </w:p>
        </w:tc>
        <w:tc>
          <w:tcPr>
            <w:tcW w:w="689" w:type="pct"/>
            <w:vAlign w:val="bottom"/>
          </w:tcPr>
          <w:p w:rsidR="00EC4962" w:rsidRPr="004B479B" w:rsidRDefault="00EC4962" w:rsidP="00111844">
            <w:pPr>
              <w:pStyle w:val="TableTextRight"/>
              <w:rPr>
                <w:i/>
              </w:rPr>
            </w:pPr>
            <w:r w:rsidRPr="00AF6A15">
              <w:rPr>
                <w:i/>
              </w:rPr>
              <w:t xml:space="preserve"> -   </w:t>
            </w:r>
          </w:p>
        </w:tc>
        <w:tc>
          <w:tcPr>
            <w:tcW w:w="689" w:type="pct"/>
            <w:vAlign w:val="bottom"/>
          </w:tcPr>
          <w:p w:rsidR="00EC4962" w:rsidRPr="004B479B" w:rsidRDefault="00EC4962" w:rsidP="00111844">
            <w:pPr>
              <w:pStyle w:val="TableTextRight"/>
              <w:rPr>
                <w:i/>
              </w:rPr>
            </w:pPr>
            <w:r w:rsidRPr="00AF6A15">
              <w:rPr>
                <w:i/>
              </w:rPr>
              <w:t xml:space="preserve"> 55.7 </w:t>
            </w:r>
          </w:p>
        </w:tc>
        <w:tc>
          <w:tcPr>
            <w:tcW w:w="689" w:type="pct"/>
            <w:vAlign w:val="bottom"/>
          </w:tcPr>
          <w:p w:rsidR="00EC4962" w:rsidRPr="004B479B" w:rsidRDefault="00EC4962" w:rsidP="00111844">
            <w:pPr>
              <w:pStyle w:val="TableTextRight"/>
              <w:rPr>
                <w:i/>
              </w:rPr>
            </w:pPr>
            <w:r w:rsidRPr="00AF6A15">
              <w:rPr>
                <w:i/>
              </w:rPr>
              <w:t xml:space="preserve"> 55.7 </w:t>
            </w:r>
          </w:p>
        </w:tc>
        <w:tc>
          <w:tcPr>
            <w:tcW w:w="689" w:type="pct"/>
            <w:vAlign w:val="bottom"/>
          </w:tcPr>
          <w:p w:rsidR="00EC4962" w:rsidRPr="004B479B" w:rsidRDefault="00EC4962" w:rsidP="00111844">
            <w:pPr>
              <w:pStyle w:val="TableTextRight"/>
              <w:rPr>
                <w:i/>
              </w:rPr>
            </w:pPr>
            <w:r w:rsidRPr="00AF6A15">
              <w:rPr>
                <w:i/>
              </w:rPr>
              <w:t xml:space="preserve"> 54.7 </w:t>
            </w:r>
          </w:p>
        </w:tc>
        <w:tc>
          <w:tcPr>
            <w:tcW w:w="690" w:type="pct"/>
            <w:vAlign w:val="bottom"/>
          </w:tcPr>
          <w:p w:rsidR="00EC4962" w:rsidRPr="004B479B" w:rsidRDefault="00EC4962" w:rsidP="00111844">
            <w:pPr>
              <w:pStyle w:val="TableTextRight"/>
              <w:rPr>
                <w:b/>
                <w:i/>
              </w:rPr>
            </w:pPr>
            <w:r w:rsidRPr="00AF6A15">
              <w:rPr>
                <w:b/>
                <w:i/>
              </w:rPr>
              <w:t xml:space="preserve"> 166.1 </w:t>
            </w:r>
          </w:p>
        </w:tc>
      </w:tr>
      <w:tr w:rsidR="00EC4962" w:rsidTr="00111844">
        <w:tc>
          <w:tcPr>
            <w:tcW w:w="1554" w:type="pct"/>
          </w:tcPr>
          <w:p w:rsidR="00EC4962" w:rsidRPr="00AB55AE" w:rsidRDefault="00EC4962" w:rsidP="00EC4962">
            <w:pPr>
              <w:pStyle w:val="TableTextCentred"/>
              <w:keepNext/>
              <w:keepLines/>
              <w:jc w:val="left"/>
              <w:rPr>
                <w:i/>
                <w:szCs w:val="20"/>
              </w:rPr>
            </w:pPr>
            <w:r>
              <w:rPr>
                <w:szCs w:val="20"/>
              </w:rPr>
              <w:t xml:space="preserve">Departmental expenses - </w:t>
            </w:r>
            <w:r w:rsidRPr="00333908">
              <w:rPr>
                <w:szCs w:val="20"/>
              </w:rPr>
              <w:t>Increased ACCC litigation budget</w:t>
            </w:r>
          </w:p>
        </w:tc>
        <w:tc>
          <w:tcPr>
            <w:tcW w:w="689" w:type="pct"/>
            <w:vAlign w:val="bottom"/>
          </w:tcPr>
          <w:p w:rsidR="00EC4962" w:rsidRPr="004B479B" w:rsidRDefault="00EC4962" w:rsidP="00111844">
            <w:pPr>
              <w:pStyle w:val="TableTextRight"/>
              <w:rPr>
                <w:i/>
              </w:rPr>
            </w:pPr>
            <w:r w:rsidRPr="00AF6A15">
              <w:rPr>
                <w:i/>
              </w:rPr>
              <w:t xml:space="preserve"> -   </w:t>
            </w:r>
          </w:p>
        </w:tc>
        <w:tc>
          <w:tcPr>
            <w:tcW w:w="689" w:type="pct"/>
            <w:vAlign w:val="bottom"/>
          </w:tcPr>
          <w:p w:rsidR="00EC4962" w:rsidRPr="004B479B" w:rsidRDefault="00EC4962" w:rsidP="00111844">
            <w:pPr>
              <w:pStyle w:val="TableTextRight"/>
              <w:rPr>
                <w:i/>
              </w:rPr>
            </w:pPr>
            <w:r w:rsidRPr="00AF6A15">
              <w:rPr>
                <w:i/>
              </w:rPr>
              <w:t xml:space="preserve">-24.5 </w:t>
            </w:r>
          </w:p>
        </w:tc>
        <w:tc>
          <w:tcPr>
            <w:tcW w:w="689" w:type="pct"/>
            <w:vAlign w:val="bottom"/>
          </w:tcPr>
          <w:p w:rsidR="00EC4962" w:rsidRPr="004B479B" w:rsidRDefault="00EC4962" w:rsidP="00111844">
            <w:pPr>
              <w:pStyle w:val="TableTextRight"/>
              <w:rPr>
                <w:i/>
              </w:rPr>
            </w:pPr>
            <w:r w:rsidRPr="00AF6A15">
              <w:rPr>
                <w:i/>
              </w:rPr>
              <w:t xml:space="preserve">-24.5 </w:t>
            </w:r>
          </w:p>
        </w:tc>
        <w:tc>
          <w:tcPr>
            <w:tcW w:w="689" w:type="pct"/>
            <w:vAlign w:val="bottom"/>
          </w:tcPr>
          <w:p w:rsidR="00EC4962" w:rsidRPr="004B479B" w:rsidRDefault="00EC4962" w:rsidP="00111844">
            <w:pPr>
              <w:pStyle w:val="TableTextRight"/>
              <w:rPr>
                <w:i/>
              </w:rPr>
            </w:pPr>
            <w:r w:rsidRPr="00AF6A15">
              <w:rPr>
                <w:i/>
              </w:rPr>
              <w:t xml:space="preserve">-24.5 </w:t>
            </w:r>
          </w:p>
        </w:tc>
        <w:tc>
          <w:tcPr>
            <w:tcW w:w="690" w:type="pct"/>
            <w:vAlign w:val="bottom"/>
          </w:tcPr>
          <w:p w:rsidR="00EC4962" w:rsidRPr="004B479B" w:rsidRDefault="00EC4962" w:rsidP="00111844">
            <w:pPr>
              <w:pStyle w:val="TableTextRight"/>
              <w:rPr>
                <w:b/>
                <w:i/>
              </w:rPr>
            </w:pPr>
            <w:r w:rsidRPr="00AF6A15">
              <w:rPr>
                <w:b/>
                <w:i/>
              </w:rPr>
              <w:t xml:space="preserve">-73.5 </w:t>
            </w:r>
          </w:p>
        </w:tc>
      </w:tr>
      <w:tr w:rsidR="00EC4962" w:rsidRPr="007C2713" w:rsidTr="00111844">
        <w:tc>
          <w:tcPr>
            <w:tcW w:w="1554" w:type="pct"/>
            <w:shd w:val="clear" w:color="auto" w:fill="D7DDE9" w:themeFill="accent3"/>
          </w:tcPr>
          <w:p w:rsidR="00EC4962" w:rsidRPr="007C2713" w:rsidRDefault="00EC4962" w:rsidP="00967BCD">
            <w:pPr>
              <w:pStyle w:val="TableText"/>
              <w:rPr>
                <w:b/>
              </w:rPr>
            </w:pPr>
            <w:r w:rsidRPr="007C2713">
              <w:rPr>
                <w:b/>
              </w:rPr>
              <w:t>Total</w:t>
            </w:r>
          </w:p>
        </w:tc>
        <w:tc>
          <w:tcPr>
            <w:tcW w:w="689" w:type="pct"/>
            <w:shd w:val="clear" w:color="auto" w:fill="D7DDE9" w:themeFill="accent3"/>
          </w:tcPr>
          <w:p w:rsidR="00EC4962" w:rsidRPr="0055406D" w:rsidRDefault="00EC4962" w:rsidP="00111844">
            <w:pPr>
              <w:pStyle w:val="TableTextRight"/>
              <w:rPr>
                <w:b/>
                <w:i/>
              </w:rPr>
            </w:pPr>
            <w:r w:rsidRPr="00333908">
              <w:rPr>
                <w:b/>
              </w:rPr>
              <w:t>-</w:t>
            </w:r>
          </w:p>
        </w:tc>
        <w:tc>
          <w:tcPr>
            <w:tcW w:w="689" w:type="pct"/>
            <w:shd w:val="clear" w:color="auto" w:fill="D7DDE9" w:themeFill="accent3"/>
            <w:vAlign w:val="bottom"/>
          </w:tcPr>
          <w:p w:rsidR="00EC4962" w:rsidRPr="0055406D" w:rsidRDefault="00EC4962" w:rsidP="00111844">
            <w:pPr>
              <w:pStyle w:val="TableTextRight"/>
              <w:rPr>
                <w:b/>
                <w:i/>
              </w:rPr>
            </w:pPr>
            <w:r w:rsidRPr="0066437B">
              <w:rPr>
                <w:b/>
              </w:rPr>
              <w:t xml:space="preserve"> 31.2 </w:t>
            </w:r>
          </w:p>
        </w:tc>
        <w:tc>
          <w:tcPr>
            <w:tcW w:w="689" w:type="pct"/>
            <w:shd w:val="clear" w:color="auto" w:fill="D7DDE9" w:themeFill="accent3"/>
            <w:vAlign w:val="bottom"/>
          </w:tcPr>
          <w:p w:rsidR="00EC4962" w:rsidRPr="0055406D" w:rsidRDefault="00EC4962" w:rsidP="00111844">
            <w:pPr>
              <w:pStyle w:val="TableTextRight"/>
              <w:rPr>
                <w:b/>
                <w:i/>
              </w:rPr>
            </w:pPr>
            <w:r w:rsidRPr="0066437B">
              <w:rPr>
                <w:b/>
              </w:rPr>
              <w:t xml:space="preserve"> 31.2 </w:t>
            </w:r>
          </w:p>
        </w:tc>
        <w:tc>
          <w:tcPr>
            <w:tcW w:w="689" w:type="pct"/>
            <w:shd w:val="clear" w:color="auto" w:fill="D7DDE9" w:themeFill="accent3"/>
            <w:vAlign w:val="bottom"/>
          </w:tcPr>
          <w:p w:rsidR="00EC4962" w:rsidRPr="0055406D" w:rsidRDefault="00EC4962" w:rsidP="00111844">
            <w:pPr>
              <w:pStyle w:val="TableTextRight"/>
              <w:rPr>
                <w:b/>
                <w:i/>
              </w:rPr>
            </w:pPr>
            <w:r w:rsidRPr="0066437B">
              <w:rPr>
                <w:b/>
              </w:rPr>
              <w:t xml:space="preserve"> 30.2 </w:t>
            </w:r>
          </w:p>
        </w:tc>
        <w:tc>
          <w:tcPr>
            <w:tcW w:w="690" w:type="pct"/>
            <w:shd w:val="clear" w:color="auto" w:fill="D7DDE9" w:themeFill="accent3"/>
            <w:vAlign w:val="bottom"/>
          </w:tcPr>
          <w:p w:rsidR="00EC4962" w:rsidRPr="00C363AE" w:rsidRDefault="00EC4962" w:rsidP="00111844">
            <w:pPr>
              <w:pStyle w:val="TableTextRight"/>
              <w:rPr>
                <w:b/>
                <w:i/>
              </w:rPr>
            </w:pPr>
            <w:r w:rsidRPr="0066437B">
              <w:rPr>
                <w:b/>
              </w:rPr>
              <w:t xml:space="preserve"> 92.6 </w:t>
            </w:r>
          </w:p>
        </w:tc>
      </w:tr>
    </w:tbl>
    <w:p w:rsidR="00EC4962" w:rsidRPr="00EC4962" w:rsidRDefault="00EC4962" w:rsidP="005C10EF">
      <w:pPr>
        <w:pStyle w:val="Footnotes"/>
        <w:numPr>
          <w:ilvl w:val="0"/>
          <w:numId w:val="30"/>
        </w:numPr>
        <w:ind w:left="284" w:hanging="284"/>
      </w:pPr>
      <w:r w:rsidRPr="00EC4962">
        <w:t>A positive number indicates an increase in revenue or decrease in expenses or net capital investment in accrual and cash terms. A negative number indicates a decrease in revenue or an increase in expenses or net capital investment in accrual and cash terms.</w:t>
      </w:r>
    </w:p>
    <w:p w:rsidR="00EC4962" w:rsidRPr="00EC4962" w:rsidRDefault="00EC4962" w:rsidP="005C10EF">
      <w:pPr>
        <w:pStyle w:val="Footnotes"/>
        <w:ind w:left="284" w:hanging="284"/>
      </w:pPr>
      <w:r w:rsidRPr="00EC4962">
        <w:t>Figures may not sum to totals due to rounding.</w:t>
      </w:r>
    </w:p>
    <w:p w:rsidR="00420CF4" w:rsidRPr="00EC4962" w:rsidRDefault="00EC4962" w:rsidP="005C10EF">
      <w:pPr>
        <w:pStyle w:val="Footnotes"/>
        <w:numPr>
          <w:ilvl w:val="0"/>
          <w:numId w:val="0"/>
        </w:numPr>
        <w:ind w:left="284" w:hanging="284"/>
      </w:pPr>
      <w:r w:rsidRPr="00EC4962">
        <w:t>-</w:t>
      </w:r>
      <w:r w:rsidRPr="00EC4962">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6" w:name="_Toc458081636"/>
      <w:r>
        <w:t>ALP012: Increasing the value of penalty units under the Crimes Act</w:t>
      </w:r>
      <w:bookmarkEnd w:id="16"/>
    </w:p>
    <w:p w:rsidR="009346E9" w:rsidRDefault="009346E9" w:rsidP="009346E9">
      <w:pPr>
        <w:pStyle w:val="BodyText"/>
      </w:pPr>
      <w:r>
        <w:rPr>
          <w:noProof/>
          <w:lang w:eastAsia="en-AU"/>
        </w:rPr>
        <w:drawing>
          <wp:inline distT="0" distB="0" distL="0" distR="0" wp14:anchorId="7D8D63A2" wp14:editId="34344194">
            <wp:extent cx="2696845" cy="572135"/>
            <wp:effectExtent l="0" t="0" r="8255" b="0"/>
            <wp:docPr id="384" name="Picture 38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346E9" w:rsidRPr="009346E9" w:rsidRDefault="009346E9" w:rsidP="009346E9">
      <w:pPr>
        <w:pStyle w:val="BodyText"/>
      </w:pP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0133BA">
            <w:pPr>
              <w:pStyle w:val="PullOutBoxHeading"/>
              <w:rPr>
                <w:b/>
              </w:rPr>
            </w:pPr>
            <w:r w:rsidRPr="00E758BA">
              <w:rPr>
                <w:b/>
              </w:rPr>
              <w:t>Name of proposal:</w:t>
            </w:r>
          </w:p>
        </w:tc>
        <w:tc>
          <w:tcPr>
            <w:tcW w:w="3191" w:type="pct"/>
          </w:tcPr>
          <w:p w:rsidR="00420CF4" w:rsidRPr="00E758BA" w:rsidRDefault="00252ECF" w:rsidP="000133BA">
            <w:pPr>
              <w:pStyle w:val="PullOutBoxHeading"/>
              <w:rPr>
                <w:b/>
              </w:rPr>
            </w:pPr>
            <w:r w:rsidRPr="00E758BA">
              <w:rPr>
                <w:b/>
              </w:rPr>
              <w:t>Increasing the value of penalty units under the Crimes Act</w:t>
            </w:r>
          </w:p>
        </w:tc>
      </w:tr>
      <w:tr w:rsidR="00420CF4" w:rsidRPr="00B45F94" w:rsidTr="00967BCD">
        <w:tc>
          <w:tcPr>
            <w:tcW w:w="1809" w:type="pct"/>
          </w:tcPr>
          <w:p w:rsidR="00420CF4" w:rsidRPr="00B45F94" w:rsidRDefault="00420CF4" w:rsidP="000133BA">
            <w:pPr>
              <w:pStyle w:val="PullOutBoxBodyText"/>
            </w:pPr>
            <w:r w:rsidRPr="00B45F94">
              <w:t>Summary of proposal:</w:t>
            </w:r>
          </w:p>
        </w:tc>
        <w:tc>
          <w:tcPr>
            <w:tcW w:w="3191" w:type="pct"/>
          </w:tcPr>
          <w:p w:rsidR="00252ECF" w:rsidRDefault="00252ECF" w:rsidP="000133BA">
            <w:pPr>
              <w:pStyle w:val="PullOutBoxBodyText"/>
            </w:pPr>
            <w:r>
              <w:t xml:space="preserve">The proposal would amend the </w:t>
            </w:r>
            <w:r w:rsidRPr="00252ECF">
              <w:rPr>
                <w:i/>
              </w:rPr>
              <w:t>Crimes Act 1914</w:t>
            </w:r>
            <w:r>
              <w:t xml:space="preserve"> to increase the value of penalty units to $210, with the indexation rate for penalty units to be the greater of the existing indexation or Male Total Average Weekly Earnings (MTAWE), with indexation to commence from 1 July 2017.</w:t>
            </w:r>
          </w:p>
          <w:p w:rsidR="00420CF4" w:rsidRPr="00B45F94" w:rsidRDefault="00252ECF" w:rsidP="000133BA">
            <w:pPr>
              <w:pStyle w:val="PullOutBoxBodyText"/>
            </w:pPr>
            <w:r>
              <w:t>The proposal would have effect from 1 July 2017.</w:t>
            </w:r>
          </w:p>
        </w:tc>
      </w:tr>
      <w:tr w:rsidR="00420CF4" w:rsidRPr="00B45F94" w:rsidTr="00967BCD">
        <w:tc>
          <w:tcPr>
            <w:tcW w:w="1809" w:type="pct"/>
          </w:tcPr>
          <w:p w:rsidR="00420CF4" w:rsidRPr="00B45F94" w:rsidRDefault="00420CF4" w:rsidP="000133BA">
            <w:pPr>
              <w:pStyle w:val="PullOutBoxBodyText"/>
            </w:pPr>
            <w:r>
              <w:t>Party:</w:t>
            </w:r>
          </w:p>
        </w:tc>
        <w:tc>
          <w:tcPr>
            <w:tcW w:w="3191" w:type="pct"/>
          </w:tcPr>
          <w:p w:rsidR="00420CF4" w:rsidRPr="00B45F94" w:rsidRDefault="00420CF4" w:rsidP="000133BA">
            <w:pPr>
              <w:pStyle w:val="PullOutBoxBodyText"/>
            </w:pPr>
            <w:r>
              <w:t>Australian Labor Party</w:t>
            </w:r>
          </w:p>
        </w:tc>
      </w:tr>
      <w:tr w:rsidR="00420CF4" w:rsidRPr="00B45F94" w:rsidTr="00967BCD">
        <w:tc>
          <w:tcPr>
            <w:tcW w:w="1809" w:type="pct"/>
          </w:tcPr>
          <w:p w:rsidR="00420CF4" w:rsidRPr="00B45F94" w:rsidRDefault="00420CF4" w:rsidP="000133BA">
            <w:pPr>
              <w:pStyle w:val="PullOutBoxBodyText"/>
            </w:pPr>
            <w:r w:rsidRPr="00B45F94">
              <w:t>Expiry date for the costing:</w:t>
            </w:r>
          </w:p>
        </w:tc>
        <w:tc>
          <w:tcPr>
            <w:tcW w:w="3191" w:type="pct"/>
          </w:tcPr>
          <w:p w:rsidR="00420CF4" w:rsidRPr="00B45F94" w:rsidRDefault="00EC102A" w:rsidP="000133BA">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252ECF" w:rsidRDefault="00252ECF" w:rsidP="00252ECF">
      <w:pPr>
        <w:pStyle w:val="BodyText"/>
      </w:pPr>
      <w:r>
        <w:t>This proposal would be expected to increase the fiscal and underlying cash balances by $101.0 million over the 2016-17 Budget forward estimates period.  This impact is entirely a result of an increase in revenue.  This proposal would not be expected to result in an increase in departmental expenditure as it would not be administratively burdensome.</w:t>
      </w:r>
    </w:p>
    <w:p w:rsidR="00252ECF" w:rsidRPr="00252ECF" w:rsidRDefault="00252ECF" w:rsidP="00252ECF">
      <w:pPr>
        <w:pStyle w:val="BodyText"/>
      </w:pPr>
      <w:r>
        <w:t>This proposal would be expected to have an ongoing impact beyond the 2016-17 Budget forward estimates period, increasing by approximately $6 million every second year, from 2020-21 onwards, in line with the legislated application of indexation.</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B4097F" w:rsidTr="000133B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B4097F" w:rsidRDefault="00420CF4" w:rsidP="000133BA">
            <w:pPr>
              <w:pStyle w:val="TableHeading"/>
              <w:rPr>
                <w:szCs w:val="20"/>
              </w:rPr>
            </w:pPr>
            <w:r w:rsidRPr="00B4097F">
              <w:rPr>
                <w:szCs w:val="20"/>
              </w:rPr>
              <w:t>Impact on</w:t>
            </w:r>
            <w:r w:rsidR="00252ECF" w:rsidRPr="00B4097F">
              <w:rPr>
                <w:szCs w:val="20"/>
              </w:rPr>
              <w:t xml:space="preserve"> ($m)</w:t>
            </w:r>
          </w:p>
        </w:tc>
        <w:tc>
          <w:tcPr>
            <w:tcW w:w="721" w:type="pct"/>
            <w:vAlign w:val="center"/>
          </w:tcPr>
          <w:p w:rsidR="00420CF4" w:rsidRPr="00B4097F" w:rsidRDefault="00420CF4" w:rsidP="000133BA">
            <w:pPr>
              <w:pStyle w:val="TableHeadingRight"/>
              <w:rPr>
                <w:szCs w:val="20"/>
              </w:rPr>
            </w:pPr>
            <w:r w:rsidRPr="00B4097F">
              <w:rPr>
                <w:szCs w:val="20"/>
              </w:rPr>
              <w:t>2016–17</w:t>
            </w:r>
          </w:p>
        </w:tc>
        <w:tc>
          <w:tcPr>
            <w:tcW w:w="721" w:type="pct"/>
            <w:vAlign w:val="center"/>
          </w:tcPr>
          <w:p w:rsidR="00420CF4" w:rsidRPr="00B4097F" w:rsidRDefault="00420CF4" w:rsidP="000133BA">
            <w:pPr>
              <w:pStyle w:val="TableHeadingRight"/>
              <w:rPr>
                <w:szCs w:val="20"/>
              </w:rPr>
            </w:pPr>
            <w:r w:rsidRPr="00B4097F">
              <w:rPr>
                <w:szCs w:val="20"/>
              </w:rPr>
              <w:t>2017–18</w:t>
            </w:r>
          </w:p>
        </w:tc>
        <w:tc>
          <w:tcPr>
            <w:tcW w:w="722" w:type="pct"/>
            <w:vAlign w:val="center"/>
          </w:tcPr>
          <w:p w:rsidR="00420CF4" w:rsidRPr="00B4097F" w:rsidRDefault="00420CF4" w:rsidP="000133BA">
            <w:pPr>
              <w:pStyle w:val="TableHeadingRight"/>
              <w:rPr>
                <w:szCs w:val="20"/>
              </w:rPr>
            </w:pPr>
            <w:r w:rsidRPr="00B4097F">
              <w:rPr>
                <w:szCs w:val="20"/>
              </w:rPr>
              <w:t>2018–19</w:t>
            </w:r>
          </w:p>
        </w:tc>
        <w:tc>
          <w:tcPr>
            <w:tcW w:w="721" w:type="pct"/>
            <w:vAlign w:val="center"/>
          </w:tcPr>
          <w:p w:rsidR="00420CF4" w:rsidRPr="00B4097F" w:rsidRDefault="00420CF4" w:rsidP="000133BA">
            <w:pPr>
              <w:pStyle w:val="TableHeadingRight"/>
              <w:rPr>
                <w:szCs w:val="20"/>
              </w:rPr>
            </w:pPr>
            <w:r w:rsidRPr="00B4097F">
              <w:rPr>
                <w:szCs w:val="20"/>
              </w:rPr>
              <w:t>2019–20</w:t>
            </w:r>
          </w:p>
        </w:tc>
        <w:tc>
          <w:tcPr>
            <w:tcW w:w="722" w:type="pct"/>
            <w:vAlign w:val="center"/>
          </w:tcPr>
          <w:p w:rsidR="00420CF4" w:rsidRPr="00B4097F" w:rsidRDefault="00252ECF" w:rsidP="000133BA">
            <w:pPr>
              <w:pStyle w:val="TableTextRight"/>
              <w:rPr>
                <w:szCs w:val="20"/>
              </w:rPr>
            </w:pPr>
            <w:r w:rsidRPr="00B4097F">
              <w:rPr>
                <w:szCs w:val="20"/>
              </w:rPr>
              <w:t>Total</w:t>
            </w:r>
          </w:p>
        </w:tc>
      </w:tr>
      <w:tr w:rsidR="00252ECF" w:rsidRPr="00B4097F" w:rsidTr="000133BA">
        <w:tc>
          <w:tcPr>
            <w:tcW w:w="1393" w:type="pct"/>
            <w:vAlign w:val="center"/>
          </w:tcPr>
          <w:p w:rsidR="00252ECF" w:rsidRPr="00B4097F" w:rsidRDefault="00252ECF" w:rsidP="000133BA">
            <w:pPr>
              <w:pStyle w:val="TableText"/>
              <w:rPr>
                <w:szCs w:val="20"/>
              </w:rPr>
            </w:pPr>
            <w:r w:rsidRPr="00B4097F">
              <w:rPr>
                <w:szCs w:val="20"/>
              </w:rPr>
              <w:t>Fiscal balance</w:t>
            </w:r>
          </w:p>
        </w:tc>
        <w:tc>
          <w:tcPr>
            <w:tcW w:w="721" w:type="pct"/>
            <w:vAlign w:val="center"/>
          </w:tcPr>
          <w:p w:rsidR="00252ECF" w:rsidRPr="00B4097F" w:rsidRDefault="00252ECF" w:rsidP="000133BA">
            <w:pPr>
              <w:spacing w:before="70" w:after="70"/>
              <w:jc w:val="right"/>
              <w:rPr>
                <w:color w:val="000000"/>
                <w:sz w:val="20"/>
                <w:szCs w:val="20"/>
              </w:rPr>
            </w:pPr>
            <w:r w:rsidRPr="00B4097F">
              <w:rPr>
                <w:color w:val="000000"/>
                <w:sz w:val="20"/>
                <w:szCs w:val="20"/>
              </w:rPr>
              <w:t>-</w:t>
            </w:r>
          </w:p>
        </w:tc>
        <w:tc>
          <w:tcPr>
            <w:tcW w:w="721"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16.0</w:t>
            </w:r>
          </w:p>
        </w:tc>
        <w:tc>
          <w:tcPr>
            <w:tcW w:w="722"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39.0</w:t>
            </w:r>
          </w:p>
        </w:tc>
        <w:tc>
          <w:tcPr>
            <w:tcW w:w="721"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46.0</w:t>
            </w:r>
          </w:p>
        </w:tc>
        <w:tc>
          <w:tcPr>
            <w:tcW w:w="722" w:type="pct"/>
            <w:vAlign w:val="center"/>
          </w:tcPr>
          <w:p w:rsidR="00252ECF" w:rsidRPr="00B4097F" w:rsidRDefault="00252ECF" w:rsidP="00E44952">
            <w:pPr>
              <w:spacing w:before="70" w:after="70"/>
              <w:jc w:val="right"/>
              <w:rPr>
                <w:b/>
                <w:bCs/>
                <w:color w:val="000000"/>
                <w:sz w:val="20"/>
                <w:szCs w:val="20"/>
              </w:rPr>
            </w:pPr>
            <w:r w:rsidRPr="00B4097F">
              <w:rPr>
                <w:b/>
                <w:bCs/>
                <w:color w:val="000000"/>
                <w:sz w:val="20"/>
                <w:szCs w:val="20"/>
              </w:rPr>
              <w:t>101.0</w:t>
            </w:r>
          </w:p>
        </w:tc>
      </w:tr>
      <w:tr w:rsidR="00252ECF" w:rsidRPr="00B4097F" w:rsidTr="000133BA">
        <w:tc>
          <w:tcPr>
            <w:tcW w:w="1393" w:type="pct"/>
            <w:vAlign w:val="center"/>
          </w:tcPr>
          <w:p w:rsidR="00252ECF" w:rsidRPr="00B4097F" w:rsidRDefault="00252ECF" w:rsidP="000133BA">
            <w:pPr>
              <w:pStyle w:val="TableText"/>
              <w:rPr>
                <w:szCs w:val="20"/>
              </w:rPr>
            </w:pPr>
            <w:r w:rsidRPr="00B4097F">
              <w:rPr>
                <w:szCs w:val="20"/>
              </w:rPr>
              <w:t>Underlying cash balance</w:t>
            </w:r>
          </w:p>
        </w:tc>
        <w:tc>
          <w:tcPr>
            <w:tcW w:w="721" w:type="pct"/>
            <w:vAlign w:val="center"/>
          </w:tcPr>
          <w:p w:rsidR="00252ECF" w:rsidRPr="00B4097F" w:rsidRDefault="00252ECF" w:rsidP="000133BA">
            <w:pPr>
              <w:spacing w:before="70" w:after="70"/>
              <w:jc w:val="right"/>
              <w:rPr>
                <w:color w:val="000000"/>
                <w:sz w:val="20"/>
                <w:szCs w:val="20"/>
              </w:rPr>
            </w:pPr>
            <w:r w:rsidRPr="00B4097F">
              <w:rPr>
                <w:color w:val="000000"/>
                <w:sz w:val="20"/>
                <w:szCs w:val="20"/>
              </w:rPr>
              <w:t>-</w:t>
            </w:r>
          </w:p>
        </w:tc>
        <w:tc>
          <w:tcPr>
            <w:tcW w:w="721"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16.0</w:t>
            </w:r>
          </w:p>
        </w:tc>
        <w:tc>
          <w:tcPr>
            <w:tcW w:w="722"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39.0</w:t>
            </w:r>
          </w:p>
        </w:tc>
        <w:tc>
          <w:tcPr>
            <w:tcW w:w="721" w:type="pct"/>
            <w:vAlign w:val="center"/>
          </w:tcPr>
          <w:p w:rsidR="00252ECF" w:rsidRPr="00B4097F" w:rsidRDefault="00252ECF" w:rsidP="00E44952">
            <w:pPr>
              <w:spacing w:before="70" w:after="70"/>
              <w:jc w:val="right"/>
              <w:rPr>
                <w:color w:val="000000"/>
                <w:sz w:val="20"/>
                <w:szCs w:val="20"/>
              </w:rPr>
            </w:pPr>
            <w:r w:rsidRPr="00B4097F">
              <w:rPr>
                <w:color w:val="000000"/>
                <w:sz w:val="20"/>
                <w:szCs w:val="20"/>
              </w:rPr>
              <w:t>46.0</w:t>
            </w:r>
          </w:p>
        </w:tc>
        <w:tc>
          <w:tcPr>
            <w:tcW w:w="722" w:type="pct"/>
            <w:vAlign w:val="center"/>
          </w:tcPr>
          <w:p w:rsidR="00252ECF" w:rsidRPr="00B4097F" w:rsidRDefault="00252ECF" w:rsidP="00E44952">
            <w:pPr>
              <w:spacing w:before="70" w:after="70"/>
              <w:jc w:val="right"/>
              <w:rPr>
                <w:b/>
                <w:bCs/>
                <w:color w:val="000000"/>
                <w:sz w:val="20"/>
                <w:szCs w:val="20"/>
              </w:rPr>
            </w:pPr>
            <w:r w:rsidRPr="00B4097F">
              <w:rPr>
                <w:b/>
                <w:bCs/>
                <w:color w:val="000000"/>
                <w:sz w:val="20"/>
                <w:szCs w:val="20"/>
              </w:rPr>
              <w:t>101.0</w:t>
            </w:r>
          </w:p>
        </w:tc>
      </w:tr>
    </w:tbl>
    <w:p w:rsidR="00420CF4" w:rsidRDefault="00420CF4" w:rsidP="003768DC">
      <w:pPr>
        <w:pStyle w:val="Footnotes"/>
        <w:numPr>
          <w:ilvl w:val="0"/>
          <w:numId w:val="32"/>
        </w:numPr>
        <w:ind w:left="284" w:hanging="284"/>
      </w:pPr>
      <w:r>
        <w:t xml:space="preserve">A positive </w:t>
      </w:r>
      <w:r w:rsidRPr="00FC1F1C">
        <w:t>number indicates an increase in the relevant budget balance, a negative number a decrease.</w:t>
      </w:r>
    </w:p>
    <w:p w:rsidR="00420CF4" w:rsidRDefault="00420CF4" w:rsidP="003768DC">
      <w:pPr>
        <w:pStyle w:val="Footnotes"/>
        <w:numPr>
          <w:ilvl w:val="0"/>
          <w:numId w:val="14"/>
        </w:numPr>
        <w:ind w:left="284" w:hanging="284"/>
      </w:pPr>
      <w:r w:rsidRPr="00967BCD">
        <w:t>Figures may not sum to totals due to rounding.</w:t>
      </w:r>
    </w:p>
    <w:p w:rsidR="00252ECF" w:rsidRDefault="00252ECF" w:rsidP="003768DC">
      <w:pPr>
        <w:pStyle w:val="Footnotes"/>
        <w:numPr>
          <w:ilvl w:val="0"/>
          <w:numId w:val="31"/>
        </w:numPr>
        <w:spacing w:before="113"/>
        <w:ind w:left="284" w:hanging="284"/>
      </w:pPr>
      <w:r>
        <w:t>Indicates nil.</w:t>
      </w:r>
    </w:p>
    <w:p w:rsidR="00420CF4" w:rsidRDefault="00420CF4" w:rsidP="00E44952">
      <w:pPr>
        <w:pStyle w:val="CostingsH7"/>
      </w:pPr>
      <w:r>
        <w:t>Methodology</w:t>
      </w:r>
    </w:p>
    <w:p w:rsidR="00252ECF" w:rsidRDefault="00252ECF" w:rsidP="00E44952">
      <w:pPr>
        <w:pStyle w:val="BodyText"/>
        <w:keepNext/>
        <w:keepLines/>
      </w:pPr>
      <w:r>
        <w:t xml:space="preserve">This proposal was costed based on the costing model associated with the 2015-16 Budget measure, </w:t>
      </w:r>
      <w:r w:rsidRPr="001C20CF">
        <w:rPr>
          <w:i/>
        </w:rPr>
        <w:t>Commonwealth penalty units – increase in value to reflect inflation</w:t>
      </w:r>
      <w:r>
        <w:t>.  This model was updated to reflect parameters as at the 2016-17 Budget and extended to cover</w:t>
      </w:r>
      <w:r w:rsidR="001C20CF">
        <w:t xml:space="preserve"> the period 2016-17 to 2026-27.</w:t>
      </w:r>
    </w:p>
    <w:p w:rsidR="00252ECF" w:rsidRPr="00252ECF" w:rsidRDefault="00252ECF" w:rsidP="00252ECF">
      <w:pPr>
        <w:pStyle w:val="BodyText"/>
      </w:pPr>
      <w:r>
        <w:t>Estimates have been rounded to the nearest $1 million.</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7" w:name="_Toc458081637"/>
      <w:r>
        <w:t>ALP013: Introducing a new fee category for publicly listed corporations</w:t>
      </w:r>
      <w:bookmarkEnd w:id="17"/>
    </w:p>
    <w:p w:rsidR="009346E9" w:rsidRDefault="009346E9" w:rsidP="009346E9">
      <w:pPr>
        <w:pStyle w:val="BodyText"/>
      </w:pPr>
      <w:r>
        <w:rPr>
          <w:noProof/>
          <w:lang w:eastAsia="en-AU"/>
        </w:rPr>
        <w:drawing>
          <wp:inline distT="0" distB="0" distL="0" distR="0" wp14:anchorId="53C48AAE" wp14:editId="36090CBA">
            <wp:extent cx="2696845" cy="572135"/>
            <wp:effectExtent l="0" t="0" r="8255" b="0"/>
            <wp:docPr id="383" name="Picture 38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2B4BAB">
            <w:pPr>
              <w:pStyle w:val="PullOutBoxHeading"/>
              <w:rPr>
                <w:b/>
              </w:rPr>
            </w:pPr>
            <w:r w:rsidRPr="00E758BA">
              <w:rPr>
                <w:b/>
              </w:rPr>
              <w:t>Name of proposal:</w:t>
            </w:r>
          </w:p>
        </w:tc>
        <w:tc>
          <w:tcPr>
            <w:tcW w:w="3191" w:type="pct"/>
          </w:tcPr>
          <w:p w:rsidR="00420CF4" w:rsidRPr="00E758BA" w:rsidRDefault="00695B97" w:rsidP="002B4BAB">
            <w:pPr>
              <w:pStyle w:val="PullOutBoxHeading"/>
              <w:rPr>
                <w:b/>
              </w:rPr>
            </w:pPr>
            <w:r w:rsidRPr="00E758BA">
              <w:rPr>
                <w:b/>
              </w:rPr>
              <w:t>Introducing a new fee category for publicly listed corporations</w:t>
            </w:r>
          </w:p>
        </w:tc>
      </w:tr>
      <w:tr w:rsidR="00420CF4" w:rsidRPr="00B45F94" w:rsidTr="00967BCD">
        <w:tc>
          <w:tcPr>
            <w:tcW w:w="1809" w:type="pct"/>
          </w:tcPr>
          <w:p w:rsidR="00420CF4" w:rsidRPr="00CD19D5" w:rsidRDefault="00420CF4" w:rsidP="002B4BAB">
            <w:pPr>
              <w:pStyle w:val="PullOutBoxBodyText"/>
            </w:pPr>
            <w:r w:rsidRPr="00CD19D5">
              <w:t>Summary of proposal:</w:t>
            </w:r>
          </w:p>
        </w:tc>
        <w:tc>
          <w:tcPr>
            <w:tcW w:w="3191" w:type="pct"/>
          </w:tcPr>
          <w:p w:rsidR="00695B97" w:rsidRPr="00CD19D5" w:rsidRDefault="00695B97" w:rsidP="002B4BAB">
            <w:pPr>
              <w:pStyle w:val="PullOutBoxBodyText"/>
            </w:pPr>
            <w:r w:rsidRPr="00CD19D5">
              <w:t xml:space="preserve">The proposal would introduce a new fee category for publicly listed companies that would be set at 1.5 times the fee for corporations.  That is, the fee would be 50 per cent greater than the fee for corporations as stated in the </w:t>
            </w:r>
            <w:r w:rsidRPr="00CD19D5">
              <w:rPr>
                <w:i/>
              </w:rPr>
              <w:t>Federal Court and Federal Circuit Court Regulation 2012</w:t>
            </w:r>
            <w:r w:rsidRPr="00CD19D5">
              <w:t>.</w:t>
            </w:r>
          </w:p>
          <w:p w:rsidR="00695B97" w:rsidRPr="00CD19D5" w:rsidRDefault="00695B97" w:rsidP="002B4BAB">
            <w:pPr>
              <w:pStyle w:val="PullOutBoxBodyText"/>
            </w:pPr>
            <w:r w:rsidRPr="00CD19D5">
              <w:t xml:space="preserve">The following items in Schedule 1, Part 1 of the </w:t>
            </w:r>
            <w:r w:rsidRPr="00CD19D5">
              <w:rPr>
                <w:i/>
              </w:rPr>
              <w:t>Federal</w:t>
            </w:r>
            <w:r w:rsidR="00CD19D5">
              <w:rPr>
                <w:i/>
              </w:rPr>
              <w:t> </w:t>
            </w:r>
            <w:r w:rsidRPr="00CD19D5">
              <w:rPr>
                <w:i/>
              </w:rPr>
              <w:t>Court and Federal Circuit Court Regulation 2012</w:t>
            </w:r>
            <w:r w:rsidRPr="00CD19D5">
              <w:t xml:space="preserve"> would have a new fee category for publicly listed companies set at 1.5 times the fee for corporations: 101, 105, 106, 107, 108, 109, 110, 111, 114, 115, 115A, 115B, 116, 117, 118, 119, 120, 121, 122, 126 and 132.</w:t>
            </w:r>
          </w:p>
          <w:p w:rsidR="00695B97" w:rsidRPr="00CD19D5" w:rsidRDefault="00695B97" w:rsidP="002B4BAB">
            <w:pPr>
              <w:pStyle w:val="PullOutBoxBodyText"/>
            </w:pPr>
            <w:r w:rsidRPr="00CD19D5">
              <w:t xml:space="preserve">The following items in Schedule 1, Part 2 of the </w:t>
            </w:r>
            <w:r w:rsidRPr="00CD19D5">
              <w:rPr>
                <w:i/>
              </w:rPr>
              <w:t>Federal</w:t>
            </w:r>
            <w:r w:rsidR="00CD19D5" w:rsidRPr="00CD19D5">
              <w:rPr>
                <w:i/>
              </w:rPr>
              <w:t> </w:t>
            </w:r>
            <w:r w:rsidRPr="00CD19D5">
              <w:rPr>
                <w:i/>
              </w:rPr>
              <w:t>Court and Federal Circuit Court Regulation 2012</w:t>
            </w:r>
            <w:r w:rsidRPr="00CD19D5">
              <w:t xml:space="preserve"> would have a new fee category for publicly listed companies set at 1.5 times the fee for corporations: 201, 204, 205, 207, 215, 216, 218 and 222.</w:t>
            </w:r>
          </w:p>
          <w:p w:rsidR="00695B97" w:rsidRPr="00CD19D5" w:rsidRDefault="00695B97" w:rsidP="002B4BAB">
            <w:pPr>
              <w:pStyle w:val="PullOutBoxBodyText"/>
            </w:pPr>
            <w:r w:rsidRPr="00CD19D5">
              <w:t>Existing indexation arrangements for the fees would remain unchanged.</w:t>
            </w:r>
          </w:p>
          <w:p w:rsidR="00420CF4" w:rsidRPr="00CD19D5" w:rsidRDefault="00695B97" w:rsidP="002B4BAB">
            <w:pPr>
              <w:pStyle w:val="PullOutBoxBodyText"/>
            </w:pPr>
            <w:r w:rsidRPr="00CD19D5">
              <w:t>The proposal would commence on 1 January 2017.</w:t>
            </w:r>
          </w:p>
        </w:tc>
      </w:tr>
      <w:tr w:rsidR="00420CF4" w:rsidRPr="00B45F94" w:rsidTr="00967BCD">
        <w:tc>
          <w:tcPr>
            <w:tcW w:w="1809" w:type="pct"/>
          </w:tcPr>
          <w:p w:rsidR="00420CF4" w:rsidRPr="00B45F94" w:rsidRDefault="00420CF4" w:rsidP="002B4BAB">
            <w:pPr>
              <w:pStyle w:val="PullOutBoxBodyText"/>
            </w:pPr>
            <w:r>
              <w:t>Party:</w:t>
            </w:r>
          </w:p>
        </w:tc>
        <w:tc>
          <w:tcPr>
            <w:tcW w:w="3191" w:type="pct"/>
          </w:tcPr>
          <w:p w:rsidR="00420CF4" w:rsidRPr="00B45F94" w:rsidRDefault="00420CF4" w:rsidP="002B4BAB">
            <w:pPr>
              <w:pStyle w:val="PullOutBoxBodyText"/>
            </w:pPr>
            <w:r>
              <w:t>Australian Labor Party</w:t>
            </w:r>
          </w:p>
        </w:tc>
      </w:tr>
      <w:tr w:rsidR="00420CF4" w:rsidRPr="00B45F94" w:rsidTr="00967BCD">
        <w:tc>
          <w:tcPr>
            <w:tcW w:w="1809" w:type="pct"/>
          </w:tcPr>
          <w:p w:rsidR="00420CF4" w:rsidRPr="00B45F94" w:rsidRDefault="00420CF4" w:rsidP="002B4BAB">
            <w:pPr>
              <w:pStyle w:val="PullOutBoxBodyText"/>
            </w:pPr>
            <w:r w:rsidRPr="00B45F94">
              <w:t>Expiry date for the costing:</w:t>
            </w:r>
          </w:p>
        </w:tc>
        <w:tc>
          <w:tcPr>
            <w:tcW w:w="3191" w:type="pct"/>
          </w:tcPr>
          <w:p w:rsidR="00420CF4" w:rsidRPr="00B45F94" w:rsidRDefault="00EC102A" w:rsidP="002B4BAB">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695B97" w:rsidRPr="00695B97" w:rsidRDefault="00695B97" w:rsidP="00695B97">
      <w:pPr>
        <w:pStyle w:val="BodyText"/>
      </w:pPr>
      <w:r w:rsidRPr="00695B97">
        <w:t>This proposal would be expected to increase the fiscal and underlying cash balances by $23.5</w:t>
      </w:r>
      <w:r w:rsidR="00CD19D5">
        <w:t> </w:t>
      </w:r>
      <w:r w:rsidRPr="00695B97">
        <w:t>million over the 2016-17 Budget forward estimates period.  This is entirely due to an increase in revenue from court fees.  This proposal would not be expected to result in an increase in departmental expenditure as it would not be administratively burdensome to implement.</w:t>
      </w:r>
    </w:p>
    <w:p w:rsidR="00695B97" w:rsidRPr="00695B97" w:rsidRDefault="00695B97" w:rsidP="009346E9">
      <w:pPr>
        <w:pStyle w:val="BodyText"/>
        <w:keepNext/>
        <w:keepLines/>
      </w:pPr>
      <w:r w:rsidRPr="00695B97">
        <w:t>This costing is considered to be of very low reliability due to the lack of availability and reliability of data.  The Federal Circuit Court of Australia (FCC) and the Federal Court of Australia (FCA) do not keep current data on proceedings based on whether participants are publicly listed companies, corporations or individuals.  Furthermore, the FCC and FCA have not been able to provide historic data for the period when it was previously collected.</w:t>
      </w:r>
    </w:p>
    <w:p w:rsidR="00695B97" w:rsidRPr="00695B97" w:rsidRDefault="00695B97" w:rsidP="00695B97">
      <w:pPr>
        <w:pStyle w:val="BodyText"/>
      </w:pPr>
      <w:r w:rsidRPr="00695B97">
        <w:t>This proposal would be expected to have an ongoing impact beyond the 2016-17 Budget forward estimates period in line with the impact expected in 2019-20.</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2B4BAB">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2B4BAB">
            <w:pPr>
              <w:pStyle w:val="TableHeading"/>
              <w:tabs>
                <w:tab w:val="right" w:pos="2047"/>
              </w:tabs>
            </w:pPr>
            <w:r>
              <w:t>Impact on</w:t>
            </w:r>
            <w:r w:rsidR="00695B97">
              <w:t xml:space="preserve"> ($m)</w:t>
            </w:r>
          </w:p>
        </w:tc>
        <w:tc>
          <w:tcPr>
            <w:tcW w:w="721" w:type="pct"/>
            <w:vAlign w:val="center"/>
          </w:tcPr>
          <w:p w:rsidR="00420CF4" w:rsidRPr="00FC1F1C" w:rsidRDefault="00420CF4" w:rsidP="002B4BAB">
            <w:pPr>
              <w:pStyle w:val="TableHeadingRight"/>
            </w:pPr>
            <w:r>
              <w:t>2016–17</w:t>
            </w:r>
          </w:p>
        </w:tc>
        <w:tc>
          <w:tcPr>
            <w:tcW w:w="721" w:type="pct"/>
            <w:vAlign w:val="center"/>
          </w:tcPr>
          <w:p w:rsidR="00420CF4" w:rsidRPr="00FC1F1C" w:rsidRDefault="00420CF4" w:rsidP="002B4BAB">
            <w:pPr>
              <w:pStyle w:val="TableHeadingRight"/>
            </w:pPr>
            <w:r>
              <w:t>2017–18</w:t>
            </w:r>
          </w:p>
        </w:tc>
        <w:tc>
          <w:tcPr>
            <w:tcW w:w="722" w:type="pct"/>
            <w:vAlign w:val="center"/>
          </w:tcPr>
          <w:p w:rsidR="00420CF4" w:rsidRPr="00FC1F1C" w:rsidRDefault="00420CF4" w:rsidP="002B4BAB">
            <w:pPr>
              <w:pStyle w:val="TableHeadingRight"/>
            </w:pPr>
            <w:r>
              <w:t>2018–19</w:t>
            </w:r>
          </w:p>
        </w:tc>
        <w:tc>
          <w:tcPr>
            <w:tcW w:w="721" w:type="pct"/>
            <w:vAlign w:val="center"/>
          </w:tcPr>
          <w:p w:rsidR="00420CF4" w:rsidRPr="00FC1F1C" w:rsidRDefault="00420CF4" w:rsidP="002B4BAB">
            <w:pPr>
              <w:pStyle w:val="TableHeadingRight"/>
            </w:pPr>
            <w:r>
              <w:t>2019–20</w:t>
            </w:r>
          </w:p>
        </w:tc>
        <w:tc>
          <w:tcPr>
            <w:tcW w:w="722" w:type="pct"/>
            <w:vAlign w:val="center"/>
          </w:tcPr>
          <w:p w:rsidR="00420CF4" w:rsidRDefault="00420CF4" w:rsidP="002B4BAB">
            <w:pPr>
              <w:pStyle w:val="TableTextRight"/>
            </w:pPr>
            <w:r>
              <w:t>Total</w:t>
            </w:r>
          </w:p>
        </w:tc>
      </w:tr>
      <w:tr w:rsidR="00695B97" w:rsidRPr="002E2175" w:rsidTr="002B4BAB">
        <w:tc>
          <w:tcPr>
            <w:tcW w:w="1393" w:type="pct"/>
            <w:vAlign w:val="center"/>
          </w:tcPr>
          <w:p w:rsidR="00695B97" w:rsidRPr="002E2175" w:rsidRDefault="00695B97" w:rsidP="002B4BAB">
            <w:pPr>
              <w:pStyle w:val="TableText"/>
              <w:rPr>
                <w:szCs w:val="20"/>
              </w:rPr>
            </w:pPr>
            <w:r w:rsidRPr="002E2175">
              <w:rPr>
                <w:szCs w:val="20"/>
              </w:rPr>
              <w:t>Fiscal balance</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4.8</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6.2</w:t>
            </w:r>
          </w:p>
        </w:tc>
        <w:tc>
          <w:tcPr>
            <w:tcW w:w="722" w:type="pct"/>
            <w:vAlign w:val="center"/>
          </w:tcPr>
          <w:p w:rsidR="00695B97" w:rsidRPr="002E2175" w:rsidRDefault="00695B97" w:rsidP="002B4BAB">
            <w:pPr>
              <w:spacing w:before="70" w:after="70"/>
              <w:jc w:val="right"/>
              <w:rPr>
                <w:sz w:val="20"/>
                <w:szCs w:val="20"/>
              </w:rPr>
            </w:pPr>
            <w:r w:rsidRPr="002E2175">
              <w:rPr>
                <w:sz w:val="20"/>
                <w:szCs w:val="20"/>
              </w:rPr>
              <w:t>6.2</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6.1</w:t>
            </w:r>
          </w:p>
        </w:tc>
        <w:tc>
          <w:tcPr>
            <w:tcW w:w="722" w:type="pct"/>
            <w:vAlign w:val="center"/>
          </w:tcPr>
          <w:p w:rsidR="00695B97" w:rsidRPr="002E2175" w:rsidRDefault="00695B97" w:rsidP="002B4BAB">
            <w:pPr>
              <w:spacing w:before="70" w:after="70"/>
              <w:jc w:val="right"/>
              <w:rPr>
                <w:b/>
                <w:sz w:val="20"/>
                <w:szCs w:val="20"/>
              </w:rPr>
            </w:pPr>
            <w:r w:rsidRPr="002E2175">
              <w:rPr>
                <w:b/>
                <w:sz w:val="20"/>
                <w:szCs w:val="20"/>
              </w:rPr>
              <w:t>23.5</w:t>
            </w:r>
          </w:p>
        </w:tc>
      </w:tr>
      <w:tr w:rsidR="00695B97" w:rsidRPr="002E2175" w:rsidTr="002B4BAB">
        <w:tc>
          <w:tcPr>
            <w:tcW w:w="1393" w:type="pct"/>
            <w:vAlign w:val="center"/>
          </w:tcPr>
          <w:p w:rsidR="00695B97" w:rsidRPr="002E2175" w:rsidRDefault="00695B97" w:rsidP="002B4BAB">
            <w:pPr>
              <w:pStyle w:val="TableText"/>
              <w:rPr>
                <w:szCs w:val="20"/>
              </w:rPr>
            </w:pPr>
            <w:r w:rsidRPr="002E2175">
              <w:rPr>
                <w:szCs w:val="20"/>
              </w:rPr>
              <w:t>Underlying cash balance</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4.8</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6.2</w:t>
            </w:r>
          </w:p>
        </w:tc>
        <w:tc>
          <w:tcPr>
            <w:tcW w:w="722" w:type="pct"/>
            <w:vAlign w:val="center"/>
          </w:tcPr>
          <w:p w:rsidR="00695B97" w:rsidRPr="002E2175" w:rsidRDefault="00695B97" w:rsidP="002B4BAB">
            <w:pPr>
              <w:spacing w:before="70" w:after="70"/>
              <w:jc w:val="right"/>
              <w:rPr>
                <w:sz w:val="20"/>
                <w:szCs w:val="20"/>
              </w:rPr>
            </w:pPr>
            <w:r w:rsidRPr="002E2175">
              <w:rPr>
                <w:sz w:val="20"/>
                <w:szCs w:val="20"/>
              </w:rPr>
              <w:t>6.2</w:t>
            </w:r>
          </w:p>
        </w:tc>
        <w:tc>
          <w:tcPr>
            <w:tcW w:w="721" w:type="pct"/>
            <w:vAlign w:val="center"/>
          </w:tcPr>
          <w:p w:rsidR="00695B97" w:rsidRPr="002E2175" w:rsidRDefault="00695B97" w:rsidP="002B4BAB">
            <w:pPr>
              <w:spacing w:before="70" w:after="70"/>
              <w:jc w:val="right"/>
              <w:rPr>
                <w:sz w:val="20"/>
                <w:szCs w:val="20"/>
              </w:rPr>
            </w:pPr>
            <w:r w:rsidRPr="002E2175">
              <w:rPr>
                <w:sz w:val="20"/>
                <w:szCs w:val="20"/>
              </w:rPr>
              <w:t>6.1</w:t>
            </w:r>
          </w:p>
        </w:tc>
        <w:tc>
          <w:tcPr>
            <w:tcW w:w="722" w:type="pct"/>
            <w:vAlign w:val="center"/>
          </w:tcPr>
          <w:p w:rsidR="00695B97" w:rsidRPr="002E2175" w:rsidRDefault="00695B97" w:rsidP="002B4BAB">
            <w:pPr>
              <w:spacing w:before="70" w:after="70"/>
              <w:jc w:val="right"/>
              <w:rPr>
                <w:b/>
                <w:sz w:val="20"/>
                <w:szCs w:val="20"/>
              </w:rPr>
            </w:pPr>
            <w:r w:rsidRPr="002E2175">
              <w:rPr>
                <w:b/>
                <w:sz w:val="20"/>
                <w:szCs w:val="20"/>
              </w:rPr>
              <w:t>23.5</w:t>
            </w:r>
          </w:p>
        </w:tc>
      </w:tr>
    </w:tbl>
    <w:p w:rsidR="00420CF4" w:rsidRDefault="00420CF4" w:rsidP="002C43F8">
      <w:pPr>
        <w:pStyle w:val="Footnotes"/>
        <w:numPr>
          <w:ilvl w:val="0"/>
          <w:numId w:val="183"/>
        </w:numPr>
        <w:ind w:left="284" w:hanging="284"/>
      </w:pPr>
      <w:r>
        <w:t xml:space="preserve">A positive </w:t>
      </w:r>
      <w:r w:rsidRPr="00FC1F1C">
        <w:t>number indicates an increase in the relevant budget balance, a negative number a decrease.</w:t>
      </w:r>
    </w:p>
    <w:p w:rsidR="00420CF4" w:rsidRPr="00967BCD" w:rsidRDefault="00420CF4" w:rsidP="00337FF7">
      <w:pPr>
        <w:pStyle w:val="Footnotes"/>
        <w:numPr>
          <w:ilvl w:val="0"/>
          <w:numId w:val="14"/>
        </w:numPr>
        <w:ind w:left="284" w:hanging="284"/>
        <w:rPr>
          <w:rStyle w:val="FootnoteReference"/>
          <w:vertAlign w:val="baseline"/>
        </w:rPr>
      </w:pPr>
      <w:r w:rsidRPr="00967BCD">
        <w:t>Figures may not sum to totals due to rounding.</w:t>
      </w:r>
    </w:p>
    <w:p w:rsidR="00420CF4" w:rsidRDefault="00420CF4" w:rsidP="00420CF4">
      <w:pPr>
        <w:pStyle w:val="CostingsH7"/>
      </w:pPr>
      <w:r>
        <w:t>Key assumptions</w:t>
      </w:r>
    </w:p>
    <w:p w:rsidR="00695B97" w:rsidRDefault="00695B97" w:rsidP="00695B97">
      <w:pPr>
        <w:pStyle w:val="BodyText"/>
      </w:pPr>
      <w:r>
        <w:t>In costing this proposal it has been assumed that:</w:t>
      </w:r>
    </w:p>
    <w:p w:rsidR="00695B97" w:rsidRDefault="00695B97" w:rsidP="00695B97">
      <w:pPr>
        <w:pStyle w:val="ListBullet"/>
      </w:pPr>
      <w:r>
        <w:t>companies would make up around 85 per cent of filings in the FCC and FCA</w:t>
      </w:r>
    </w:p>
    <w:p w:rsidR="00695B97" w:rsidRPr="00695B97" w:rsidRDefault="00695B97" w:rsidP="00695B97">
      <w:pPr>
        <w:pStyle w:val="ListBullet"/>
      </w:pPr>
      <w:r>
        <w:t>half of the filings associated with companies would be publicly listed companies.</w:t>
      </w:r>
    </w:p>
    <w:p w:rsidR="00420CF4" w:rsidRDefault="00420CF4" w:rsidP="00420CF4">
      <w:pPr>
        <w:pStyle w:val="CostingsH7"/>
      </w:pPr>
      <w:r>
        <w:t>Methodology</w:t>
      </w:r>
    </w:p>
    <w:p w:rsidR="00695B97" w:rsidRPr="00695B97" w:rsidRDefault="00695B97" w:rsidP="00695B97">
      <w:pPr>
        <w:pStyle w:val="BodyText"/>
      </w:pPr>
      <w:r w:rsidRPr="00695B97">
        <w:t xml:space="preserve">Historic filing numbers and fee revenues at the aggregate level were used to derive an average unit price for filings.  This price was applied to the projected numbers of filings to produce projections of aggregate fee revenue.  Aggregate projected fees for all corporations were separated into fees from publicly listed companies using assumed proportions of filing (see </w:t>
      </w:r>
      <w:r w:rsidRPr="00CD19D5">
        <w:rPr>
          <w:i/>
        </w:rPr>
        <w:t>Key assumptions</w:t>
      </w:r>
      <w:r w:rsidRPr="00695B97">
        <w:t>) which were then increased by the proposed increase in fees (50</w:t>
      </w:r>
      <w:r w:rsidR="00895394">
        <w:t> </w:t>
      </w:r>
      <w:r w:rsidRPr="00695B97">
        <w:t>per</w:t>
      </w:r>
      <w:r w:rsidR="00895394">
        <w:t> </w:t>
      </w:r>
      <w:r w:rsidRPr="00695B97">
        <w:t>cent).</w:t>
      </w:r>
    </w:p>
    <w:p w:rsidR="00420CF4" w:rsidRDefault="00420CF4" w:rsidP="00420CF4">
      <w:pPr>
        <w:pStyle w:val="CostingsH7"/>
      </w:pPr>
      <w:r>
        <w:t>Data sources</w:t>
      </w:r>
    </w:p>
    <w:p w:rsidR="00695B97" w:rsidRPr="00D9545A" w:rsidRDefault="00695B97" w:rsidP="00695B97">
      <w:pPr>
        <w:pStyle w:val="BodyText"/>
      </w:pPr>
      <w:r w:rsidRPr="00D9545A">
        <w:t>The Attorney-General’s Department provided data from the FCC and FCA covering:</w:t>
      </w:r>
    </w:p>
    <w:p w:rsidR="00695B97" w:rsidRPr="00D9545A" w:rsidRDefault="00695B97" w:rsidP="00695B97">
      <w:pPr>
        <w:pStyle w:val="ListBullet"/>
      </w:pPr>
      <w:r w:rsidRPr="00D9545A">
        <w:t>historic filing numbers by cause of action</w:t>
      </w:r>
    </w:p>
    <w:p w:rsidR="00695B97" w:rsidRPr="00D9545A" w:rsidRDefault="00695B97" w:rsidP="00695B97">
      <w:pPr>
        <w:pStyle w:val="ListBullet"/>
      </w:pPr>
      <w:r w:rsidRPr="00D9545A">
        <w:t>projected total filing numbers by court</w:t>
      </w:r>
    </w:p>
    <w:p w:rsidR="00695B97" w:rsidRPr="00D9545A" w:rsidRDefault="00695B97" w:rsidP="00695B97">
      <w:pPr>
        <w:pStyle w:val="ListBullet"/>
      </w:pPr>
      <w:r w:rsidRPr="00D9545A">
        <w:t>historic aggregate fees by court</w:t>
      </w:r>
    </w:p>
    <w:p w:rsidR="00695B97" w:rsidRPr="00D9545A" w:rsidRDefault="00695B97" w:rsidP="00695B97">
      <w:pPr>
        <w:pStyle w:val="ListBullet"/>
      </w:pPr>
      <w:r w:rsidRPr="00D9545A">
        <w:t>current fees and indexation arrangements by fee type</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8" w:name="_Toc458081638"/>
      <w:r>
        <w:t>ALP014: Multinational Tax Package</w:t>
      </w:r>
      <w:bookmarkEnd w:id="18"/>
    </w:p>
    <w:p w:rsidR="00745988" w:rsidRDefault="00745988" w:rsidP="00745988">
      <w:pPr>
        <w:pStyle w:val="BodyText"/>
      </w:pPr>
      <w:r>
        <w:rPr>
          <w:noProof/>
          <w:lang w:eastAsia="en-AU"/>
        </w:rPr>
        <w:drawing>
          <wp:inline distT="0" distB="0" distL="0" distR="0" wp14:anchorId="143A1B68" wp14:editId="143A2479">
            <wp:extent cx="2696845" cy="572135"/>
            <wp:effectExtent l="0" t="0" r="8255" b="0"/>
            <wp:docPr id="382" name="Picture 38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BA4F28">
            <w:pPr>
              <w:pStyle w:val="PullOutBoxHeading"/>
              <w:rPr>
                <w:b/>
              </w:rPr>
            </w:pPr>
            <w:r w:rsidRPr="00E758BA">
              <w:rPr>
                <w:b/>
              </w:rPr>
              <w:t>Name of proposal:</w:t>
            </w:r>
          </w:p>
        </w:tc>
        <w:tc>
          <w:tcPr>
            <w:tcW w:w="3191" w:type="pct"/>
          </w:tcPr>
          <w:p w:rsidR="00420CF4" w:rsidRPr="00E758BA" w:rsidRDefault="006A523F" w:rsidP="00BA4F28">
            <w:pPr>
              <w:pStyle w:val="PullOutBoxHeading"/>
              <w:rPr>
                <w:b/>
              </w:rPr>
            </w:pPr>
            <w:r w:rsidRPr="00E758BA">
              <w:rPr>
                <w:b/>
              </w:rPr>
              <w:t>Multinational Tax Package</w:t>
            </w:r>
          </w:p>
        </w:tc>
      </w:tr>
      <w:tr w:rsidR="00420CF4" w:rsidRPr="00B45F94" w:rsidTr="00967BCD">
        <w:tc>
          <w:tcPr>
            <w:tcW w:w="1809" w:type="pct"/>
          </w:tcPr>
          <w:p w:rsidR="00420CF4" w:rsidRPr="00B45F94" w:rsidRDefault="00420CF4" w:rsidP="00BA4F28">
            <w:pPr>
              <w:pStyle w:val="PullOutBoxBodyText"/>
            </w:pPr>
            <w:r w:rsidRPr="00B45F94">
              <w:t>Summary of proposal:</w:t>
            </w:r>
          </w:p>
        </w:tc>
        <w:tc>
          <w:tcPr>
            <w:tcW w:w="3191" w:type="pct"/>
          </w:tcPr>
          <w:p w:rsidR="006A523F" w:rsidRPr="006A523F" w:rsidRDefault="006A523F" w:rsidP="00BA4F28">
            <w:pPr>
              <w:pStyle w:val="PullOutBoxBodyText"/>
            </w:pPr>
            <w:r w:rsidRPr="006A523F">
              <w:t>This proposal is intended to increase tax compliance and reduce base erosion and profit shifting.  The proposed package would:</w:t>
            </w:r>
          </w:p>
          <w:p w:rsidR="006A523F" w:rsidRPr="00BA4F28" w:rsidRDefault="006A523F" w:rsidP="00BA4F28">
            <w:pPr>
              <w:pStyle w:val="PullOutBoxBullet"/>
            </w:pPr>
            <w:r w:rsidRPr="006A523F">
              <w:t>incr</w:t>
            </w:r>
            <w:r w:rsidRPr="00BA4F28">
              <w:t>ease compliance funding for the Australian Taxation Office (ATO) by $50 million per annum</w:t>
            </w:r>
          </w:p>
          <w:p w:rsidR="006A523F" w:rsidRPr="00BA4F28" w:rsidRDefault="006A523F" w:rsidP="00BA4F28">
            <w:pPr>
              <w:pStyle w:val="PullOutBoxBullet"/>
            </w:pPr>
            <w:r w:rsidRPr="00BA4F28">
              <w:t>change the thin capitalisation rules by removing the ‘safe harbour’ and ‘arm’s-length’ debt tests, leaving only the ‘worldwide gearing debt amount’ test</w:t>
            </w:r>
          </w:p>
          <w:p w:rsidR="006A523F" w:rsidRPr="006A523F" w:rsidRDefault="006A523F" w:rsidP="00BA4F28">
            <w:pPr>
              <w:pStyle w:val="PullOutBoxBullet"/>
            </w:pPr>
            <w:r w:rsidRPr="00BA4F28">
              <w:t>split hybrid instruments into their debt and equity components and apply the proposed Organisation for Econ</w:t>
            </w:r>
            <w:r w:rsidRPr="006A523F">
              <w:t>omic Co-operation and Development (OECD) rules that relate to hybrid instruments.</w:t>
            </w:r>
          </w:p>
          <w:p w:rsidR="00420CF4" w:rsidRPr="006A523F" w:rsidRDefault="006A523F" w:rsidP="00BA4F28">
            <w:pPr>
              <w:pStyle w:val="PullOutBoxBodyText"/>
            </w:pPr>
            <w:r w:rsidRPr="006A523F">
              <w:t xml:space="preserve">This proposal </w:t>
            </w:r>
            <w:r>
              <w:t>would have effect from the 2017</w:t>
            </w:r>
            <w:r>
              <w:noBreakHyphen/>
            </w:r>
            <w:r w:rsidRPr="006A523F">
              <w:t>18 year of income.</w:t>
            </w:r>
          </w:p>
        </w:tc>
      </w:tr>
      <w:tr w:rsidR="00420CF4" w:rsidRPr="00B45F94" w:rsidTr="00967BCD">
        <w:tc>
          <w:tcPr>
            <w:tcW w:w="1809" w:type="pct"/>
          </w:tcPr>
          <w:p w:rsidR="00420CF4" w:rsidRPr="00B45F94" w:rsidRDefault="00420CF4" w:rsidP="00BA4F28">
            <w:pPr>
              <w:pStyle w:val="PullOutBoxBodyText"/>
            </w:pPr>
            <w:r>
              <w:t>Party:</w:t>
            </w:r>
          </w:p>
        </w:tc>
        <w:tc>
          <w:tcPr>
            <w:tcW w:w="3191" w:type="pct"/>
          </w:tcPr>
          <w:p w:rsidR="00420CF4" w:rsidRPr="00B45F94" w:rsidRDefault="00420CF4" w:rsidP="00BA4F28">
            <w:pPr>
              <w:pStyle w:val="PullOutBoxBodyText"/>
            </w:pPr>
            <w:r>
              <w:t>Australian Labor Party</w:t>
            </w:r>
          </w:p>
        </w:tc>
      </w:tr>
      <w:tr w:rsidR="00420CF4" w:rsidRPr="00B45F94" w:rsidTr="00967BCD">
        <w:tc>
          <w:tcPr>
            <w:tcW w:w="1809" w:type="pct"/>
          </w:tcPr>
          <w:p w:rsidR="00420CF4" w:rsidRPr="00B45F94" w:rsidRDefault="00420CF4" w:rsidP="00BA4F28">
            <w:pPr>
              <w:pStyle w:val="PullOutBoxBodyText"/>
            </w:pPr>
            <w:r w:rsidRPr="00B45F94">
              <w:t>Expiry date for the costing:</w:t>
            </w:r>
          </w:p>
        </w:tc>
        <w:tc>
          <w:tcPr>
            <w:tcW w:w="3191" w:type="pct"/>
          </w:tcPr>
          <w:p w:rsidR="00420CF4" w:rsidRPr="00B45F94" w:rsidRDefault="00EC102A" w:rsidP="00BA4F28">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6A523F" w:rsidRPr="006A523F" w:rsidRDefault="006A523F" w:rsidP="006A523F">
      <w:pPr>
        <w:pStyle w:val="BodyText"/>
      </w:pPr>
      <w:r w:rsidRPr="006A523F">
        <w:t>This proposal would be expected to increase the fiscal balance by $1,650 million and increase the underlying cash balance by $1,630 million over the 2016-17 Budget forward estimates period.  The fiscal balance impact of the proposal reflects an increase in revenue of $1,800</w:t>
      </w:r>
      <w:r>
        <w:t> </w:t>
      </w:r>
      <w:r w:rsidRPr="006A523F">
        <w:t>million and an increase in departme</w:t>
      </w:r>
      <w:r>
        <w:t>ntal expenses of $150 million.</w:t>
      </w:r>
    </w:p>
    <w:p w:rsidR="006A523F" w:rsidRPr="006A523F" w:rsidRDefault="006A523F" w:rsidP="006A523F">
      <w:pPr>
        <w:pStyle w:val="BodyText"/>
      </w:pPr>
      <w:r w:rsidRPr="006A523F">
        <w:t xml:space="preserve">Detailed financial implications are provided at </w:t>
      </w:r>
      <w:r w:rsidRPr="006A523F">
        <w:rPr>
          <w:u w:val="single"/>
        </w:rPr>
        <w:t>Attachment A</w:t>
      </w:r>
      <w:r w:rsidRPr="006A523F">
        <w:t>.</w:t>
      </w:r>
    </w:p>
    <w:p w:rsidR="006A523F" w:rsidRPr="006A523F" w:rsidRDefault="006A523F" w:rsidP="006A523F">
      <w:pPr>
        <w:pStyle w:val="BodyText"/>
      </w:pPr>
      <w:r w:rsidRPr="006A523F">
        <w:t>This proposal would have an ongoing impact that extends beyond the 2016-17 B</w:t>
      </w:r>
      <w:r>
        <w:t>udget forward estimates period.</w:t>
      </w:r>
    </w:p>
    <w:p w:rsidR="006A523F" w:rsidRPr="006A523F" w:rsidRDefault="006A523F" w:rsidP="006A523F">
      <w:pPr>
        <w:pStyle w:val="BodyText"/>
      </w:pPr>
      <w:r w:rsidRPr="006A523F">
        <w:t>The difference between the fiscal and underlying cash balances primarily reflects a difference between when additional compliance activity occurs and when the resultant additional revenue from that compliance activity is collected.</w:t>
      </w:r>
    </w:p>
    <w:p w:rsidR="006A523F" w:rsidRPr="006A523F" w:rsidRDefault="006A523F" w:rsidP="00745988">
      <w:pPr>
        <w:pStyle w:val="BodyText"/>
        <w:keepNext/>
        <w:keepLines/>
      </w:pPr>
      <w:r w:rsidRPr="006A523F">
        <w:t>This costing is considered to be of low reliability.  To reliably cost this proposal would require detailed knowledge of the current tax practices of large multinational companies and their likely behavioural responses to this proposal.  As there is very little reliable data on which to</w:t>
      </w:r>
      <w:r>
        <w:t xml:space="preserve"> </w:t>
      </w:r>
      <w:r w:rsidRPr="006A523F">
        <w:t>base these estimates the costing is highly sensitive to a range of assumptions.  Moreover, in practice the revenue raised under this proposal could be very volatile, changing considerably from year to year depending on the outcomes of ATO compliance casework.</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BA4F28">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BA4F28">
            <w:pPr>
              <w:pStyle w:val="TableHeading"/>
            </w:pPr>
            <w:r>
              <w:t>Impact on</w:t>
            </w:r>
            <w:r w:rsidR="00BA4F28">
              <w:t xml:space="preserve"> ($m)</w:t>
            </w:r>
          </w:p>
        </w:tc>
        <w:tc>
          <w:tcPr>
            <w:tcW w:w="721" w:type="pct"/>
            <w:vAlign w:val="center"/>
          </w:tcPr>
          <w:p w:rsidR="00420CF4" w:rsidRPr="00FC1F1C" w:rsidRDefault="00420CF4" w:rsidP="00BA4F28">
            <w:pPr>
              <w:pStyle w:val="TableHeadingRight"/>
            </w:pPr>
            <w:r>
              <w:t>2016–17</w:t>
            </w:r>
          </w:p>
        </w:tc>
        <w:tc>
          <w:tcPr>
            <w:tcW w:w="721" w:type="pct"/>
            <w:vAlign w:val="center"/>
          </w:tcPr>
          <w:p w:rsidR="00420CF4" w:rsidRPr="00FC1F1C" w:rsidRDefault="00420CF4" w:rsidP="00BA4F28">
            <w:pPr>
              <w:pStyle w:val="TableHeadingRight"/>
            </w:pPr>
            <w:r>
              <w:t>2017–18</w:t>
            </w:r>
          </w:p>
        </w:tc>
        <w:tc>
          <w:tcPr>
            <w:tcW w:w="722" w:type="pct"/>
            <w:vAlign w:val="center"/>
          </w:tcPr>
          <w:p w:rsidR="00420CF4" w:rsidRPr="00FC1F1C" w:rsidRDefault="00420CF4" w:rsidP="00BA4F28">
            <w:pPr>
              <w:pStyle w:val="TableHeadingRight"/>
            </w:pPr>
            <w:r>
              <w:t>2018–19</w:t>
            </w:r>
          </w:p>
        </w:tc>
        <w:tc>
          <w:tcPr>
            <w:tcW w:w="721" w:type="pct"/>
            <w:vAlign w:val="center"/>
          </w:tcPr>
          <w:p w:rsidR="00420CF4" w:rsidRPr="00FC1F1C" w:rsidRDefault="00420CF4" w:rsidP="00BA4F28">
            <w:pPr>
              <w:pStyle w:val="TableHeadingRight"/>
            </w:pPr>
            <w:r>
              <w:t>2019–20</w:t>
            </w:r>
          </w:p>
        </w:tc>
        <w:tc>
          <w:tcPr>
            <w:tcW w:w="722" w:type="pct"/>
            <w:vAlign w:val="center"/>
          </w:tcPr>
          <w:p w:rsidR="00420CF4" w:rsidRDefault="00420CF4" w:rsidP="00BA4F28">
            <w:pPr>
              <w:pStyle w:val="TableTextRight"/>
              <w:ind w:left="0"/>
            </w:pPr>
            <w:r>
              <w:t>Total to 2019–20</w:t>
            </w:r>
          </w:p>
        </w:tc>
      </w:tr>
      <w:tr w:rsidR="006A523F" w:rsidTr="00BA4F28">
        <w:tc>
          <w:tcPr>
            <w:tcW w:w="1393" w:type="pct"/>
            <w:vAlign w:val="center"/>
          </w:tcPr>
          <w:p w:rsidR="006A523F" w:rsidRDefault="006A523F" w:rsidP="00BA4F28">
            <w:pPr>
              <w:pStyle w:val="TableText"/>
            </w:pPr>
            <w:r>
              <w:t>Fiscal balance</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390.0</w:t>
            </w:r>
          </w:p>
        </w:tc>
        <w:tc>
          <w:tcPr>
            <w:tcW w:w="722" w:type="pct"/>
            <w:vAlign w:val="center"/>
          </w:tcPr>
          <w:p w:rsidR="006A523F" w:rsidRPr="003A3459" w:rsidRDefault="006A523F" w:rsidP="00BA4F28">
            <w:pPr>
              <w:pStyle w:val="TableTextCentred"/>
              <w:keepNext/>
              <w:keepLines/>
              <w:spacing w:line="240" w:lineRule="auto"/>
              <w:jc w:val="right"/>
              <w:rPr>
                <w:szCs w:val="20"/>
              </w:rPr>
            </w:pPr>
            <w:r>
              <w:rPr>
                <w:szCs w:val="20"/>
              </w:rPr>
              <w:t>640.0</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620.0</w:t>
            </w:r>
          </w:p>
        </w:tc>
        <w:tc>
          <w:tcPr>
            <w:tcW w:w="722" w:type="pct"/>
            <w:vAlign w:val="center"/>
          </w:tcPr>
          <w:p w:rsidR="006A523F" w:rsidRPr="00C363AE" w:rsidRDefault="006A523F" w:rsidP="00BA4F28">
            <w:pPr>
              <w:pStyle w:val="TableTextCentred"/>
              <w:keepNext/>
              <w:keepLines/>
              <w:spacing w:line="240" w:lineRule="auto"/>
              <w:jc w:val="right"/>
              <w:rPr>
                <w:b/>
                <w:szCs w:val="20"/>
              </w:rPr>
            </w:pPr>
            <w:r>
              <w:rPr>
                <w:b/>
                <w:szCs w:val="20"/>
              </w:rPr>
              <w:t>1,650.0</w:t>
            </w:r>
          </w:p>
        </w:tc>
      </w:tr>
      <w:tr w:rsidR="006A523F" w:rsidTr="00BA4F28">
        <w:tc>
          <w:tcPr>
            <w:tcW w:w="1393" w:type="pct"/>
            <w:vAlign w:val="center"/>
          </w:tcPr>
          <w:p w:rsidR="006A523F" w:rsidRDefault="006A523F" w:rsidP="00BA4F28">
            <w:pPr>
              <w:pStyle w:val="TableText"/>
            </w:pPr>
            <w:r>
              <w:t>Underlying cash balance</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390.0</w:t>
            </w:r>
          </w:p>
        </w:tc>
        <w:tc>
          <w:tcPr>
            <w:tcW w:w="722" w:type="pct"/>
            <w:vAlign w:val="center"/>
          </w:tcPr>
          <w:p w:rsidR="006A523F" w:rsidRPr="003A3459" w:rsidRDefault="006A523F" w:rsidP="00BA4F28">
            <w:pPr>
              <w:pStyle w:val="TableTextCentred"/>
              <w:keepNext/>
              <w:keepLines/>
              <w:spacing w:line="240" w:lineRule="auto"/>
              <w:jc w:val="right"/>
              <w:rPr>
                <w:szCs w:val="20"/>
              </w:rPr>
            </w:pPr>
            <w:r>
              <w:rPr>
                <w:szCs w:val="20"/>
              </w:rPr>
              <w:t>640.0</w:t>
            </w:r>
          </w:p>
        </w:tc>
        <w:tc>
          <w:tcPr>
            <w:tcW w:w="721" w:type="pct"/>
            <w:vAlign w:val="center"/>
          </w:tcPr>
          <w:p w:rsidR="006A523F" w:rsidRPr="003A3459" w:rsidRDefault="006A523F" w:rsidP="00BA4F28">
            <w:pPr>
              <w:pStyle w:val="TableTextCentred"/>
              <w:keepNext/>
              <w:keepLines/>
              <w:spacing w:line="240" w:lineRule="auto"/>
              <w:jc w:val="right"/>
              <w:rPr>
                <w:szCs w:val="20"/>
              </w:rPr>
            </w:pPr>
            <w:r>
              <w:rPr>
                <w:szCs w:val="20"/>
              </w:rPr>
              <w:t>600.0</w:t>
            </w:r>
          </w:p>
        </w:tc>
        <w:tc>
          <w:tcPr>
            <w:tcW w:w="722" w:type="pct"/>
            <w:vAlign w:val="center"/>
          </w:tcPr>
          <w:p w:rsidR="006A523F" w:rsidRPr="00C363AE" w:rsidRDefault="006A523F" w:rsidP="00BA4F28">
            <w:pPr>
              <w:pStyle w:val="TableTextCentred"/>
              <w:keepNext/>
              <w:keepLines/>
              <w:spacing w:line="240" w:lineRule="auto"/>
              <w:jc w:val="right"/>
              <w:rPr>
                <w:b/>
                <w:szCs w:val="20"/>
              </w:rPr>
            </w:pPr>
            <w:r>
              <w:rPr>
                <w:b/>
                <w:szCs w:val="20"/>
              </w:rPr>
              <w:t>1,630.0</w:t>
            </w:r>
          </w:p>
        </w:tc>
      </w:tr>
    </w:tbl>
    <w:p w:rsidR="00420CF4" w:rsidRDefault="00420CF4" w:rsidP="002C43F8">
      <w:pPr>
        <w:pStyle w:val="Footnotes"/>
        <w:numPr>
          <w:ilvl w:val="0"/>
          <w:numId w:val="52"/>
        </w:numPr>
        <w:ind w:left="284" w:hanging="284"/>
      </w:pPr>
      <w:r>
        <w:t xml:space="preserve">A positive </w:t>
      </w:r>
      <w:r w:rsidRPr="00FC1F1C">
        <w:t>number indicates an increase in the relevant budget balance, a negative number a decrease.</w:t>
      </w:r>
    </w:p>
    <w:p w:rsidR="00420CF4" w:rsidRPr="00967BCD" w:rsidRDefault="00420CF4" w:rsidP="003768DC">
      <w:pPr>
        <w:pStyle w:val="Footnotes"/>
        <w:numPr>
          <w:ilvl w:val="0"/>
          <w:numId w:val="14"/>
        </w:numPr>
        <w:ind w:left="284" w:hanging="284"/>
        <w:rPr>
          <w:rStyle w:val="FootnoteReference"/>
          <w:vertAlign w:val="baseline"/>
        </w:rPr>
      </w:pPr>
      <w:r w:rsidRPr="00967BCD">
        <w:t>Figures may not sum to totals due to rounding.</w:t>
      </w:r>
    </w:p>
    <w:p w:rsidR="00420CF4" w:rsidRDefault="00420CF4" w:rsidP="00420CF4">
      <w:pPr>
        <w:pStyle w:val="CostingsH7"/>
      </w:pPr>
      <w:r>
        <w:t>Key assumptions</w:t>
      </w:r>
    </w:p>
    <w:p w:rsidR="006A523F" w:rsidRDefault="006A523F" w:rsidP="006A523F">
      <w:pPr>
        <w:pStyle w:val="CostingsH8"/>
      </w:pPr>
      <w:r>
        <w:t>Increased ATO compliance</w:t>
      </w:r>
    </w:p>
    <w:p w:rsidR="006A523F" w:rsidRPr="006A523F" w:rsidRDefault="006A523F" w:rsidP="006A523F">
      <w:pPr>
        <w:pStyle w:val="BodyText"/>
      </w:pPr>
      <w:r w:rsidRPr="006A523F">
        <w:t>This component of the proposal would increase ATO funding in order to increase the number of compliance staff working in the multinational corporate area.  The additional staff would focus on, among other things, assessing compliance with the oth</w:t>
      </w:r>
      <w:r w:rsidR="00BA4F28">
        <w:t>er components of this proposal.</w:t>
      </w:r>
    </w:p>
    <w:p w:rsidR="006A523F" w:rsidRPr="006A523F" w:rsidRDefault="006A523F" w:rsidP="006A523F">
      <w:pPr>
        <w:pStyle w:val="BodyText"/>
      </w:pPr>
      <w:r w:rsidRPr="006A523F">
        <w:t>The Parliamentary Budget Office (PBO) has made the following assumptions regarding this component of the proposal:</w:t>
      </w:r>
    </w:p>
    <w:p w:rsidR="006A523F" w:rsidRDefault="006A523F" w:rsidP="006A523F">
      <w:pPr>
        <w:pStyle w:val="ListBullet"/>
      </w:pPr>
      <w:r>
        <w:t>A proportion of the additional revenue raised from this proposal would be as a result of increased voluntary compliance.</w:t>
      </w:r>
    </w:p>
    <w:p w:rsidR="006A523F" w:rsidRDefault="006A523F" w:rsidP="006A523F">
      <w:pPr>
        <w:pStyle w:val="ListBullet"/>
      </w:pPr>
      <w:r>
        <w:t xml:space="preserve">There would be a diminishing return to new </w:t>
      </w:r>
      <w:r w:rsidR="00E15FC9">
        <w:t>compliance spending over time.</w:t>
      </w:r>
    </w:p>
    <w:p w:rsidR="006A523F" w:rsidRDefault="006A523F" w:rsidP="006A523F">
      <w:pPr>
        <w:pStyle w:val="ListBullet"/>
      </w:pPr>
      <w:r>
        <w:t>There would be a delay between when additional revenue is raised and when the ca</w:t>
      </w:r>
      <w:r w:rsidR="00E15FC9">
        <w:t>sh is expected to be collected.</w:t>
      </w:r>
    </w:p>
    <w:p w:rsidR="006A523F" w:rsidRDefault="006A523F" w:rsidP="006A523F">
      <w:pPr>
        <w:pStyle w:val="ListBullet"/>
      </w:pPr>
      <w:r>
        <w:t>A weighted average tax rate is assumed in order to account for the phased commencement of the reduction in the company</w:t>
      </w:r>
      <w:r w:rsidR="00E15FC9">
        <w:t xml:space="preserve"> tax rate announced in the 2016</w:t>
      </w:r>
      <w:r w:rsidR="00E15FC9">
        <w:noBreakHyphen/>
      </w:r>
      <w:r>
        <w:t>17 Budget.</w:t>
      </w:r>
    </w:p>
    <w:p w:rsidR="00E15FC9" w:rsidRDefault="00E15FC9" w:rsidP="00E15FC9">
      <w:pPr>
        <w:pStyle w:val="CostingsH8"/>
      </w:pPr>
      <w:r>
        <w:t>Worldwide gearing ratio</w:t>
      </w:r>
    </w:p>
    <w:p w:rsidR="00E15FC9" w:rsidRDefault="00E15FC9" w:rsidP="004C268F">
      <w:pPr>
        <w:pStyle w:val="BodyText"/>
      </w:pPr>
      <w:r>
        <w:t>The PBO has made the following assumptions in relation to this component of the proposal:</w:t>
      </w:r>
    </w:p>
    <w:p w:rsidR="00E15FC9" w:rsidRDefault="00E15FC9" w:rsidP="004C268F">
      <w:pPr>
        <w:pStyle w:val="ListBullet"/>
      </w:pPr>
      <w:r>
        <w:t>The available ATO company data on thin capitalisation shows that very few companies have used the ‘worldwide gearing debt amount’ test to determine their allowable deduction amount, with most using either the ‘safe harbour’ or ‘arm’s length’ test.  This means that most companies have not been required to submit information on the level of their worldwide gearing to the ATO.</w:t>
      </w:r>
    </w:p>
    <w:p w:rsidR="00E15FC9" w:rsidRDefault="00E15FC9" w:rsidP="004C268F">
      <w:pPr>
        <w:pStyle w:val="ListBullet"/>
      </w:pPr>
      <w:r>
        <w:t>In the absence of this information, the PBO has calculated the average debt/equity ratios by industry group.  Companies are assumed to have a worldwide gearing ratio equal to the average of their industry.</w:t>
      </w:r>
    </w:p>
    <w:p w:rsidR="00E15FC9" w:rsidRDefault="00E15FC9" w:rsidP="004C268F">
      <w:pPr>
        <w:pStyle w:val="ListBullet"/>
      </w:pPr>
      <w:r>
        <w:t>The costing makes an allowance for the possibility that some companies may alter their behaviour in order to avo</w:t>
      </w:r>
      <w:r w:rsidR="00BA4F28">
        <w:t>id the impact of this proposal.</w:t>
      </w:r>
    </w:p>
    <w:p w:rsidR="00E15FC9" w:rsidRDefault="00E15FC9" w:rsidP="004C268F">
      <w:pPr>
        <w:pStyle w:val="ListBullet"/>
      </w:pPr>
      <w:r>
        <w:t>The ATO would not vary the company pay as you go (PAYG) instalments in the first year o</w:t>
      </w:r>
      <w:r w:rsidR="000045F9">
        <w:t>f income of this proposal (2017</w:t>
      </w:r>
      <w:r w:rsidR="000045F9">
        <w:noBreakHyphen/>
      </w:r>
      <w:r>
        <w:t>18).  Where this proposal results in a company payin</w:t>
      </w:r>
      <w:r w:rsidR="000045F9">
        <w:t>g higher income tax in the 2017</w:t>
      </w:r>
      <w:r w:rsidR="000045F9">
        <w:noBreakHyphen/>
      </w:r>
      <w:r>
        <w:t xml:space="preserve">18 income year, this would flow through to higher PAYG instalments in subsequent years. </w:t>
      </w:r>
    </w:p>
    <w:p w:rsidR="004C268F" w:rsidRDefault="004C268F" w:rsidP="004C268F">
      <w:pPr>
        <w:pStyle w:val="CostingsH8"/>
      </w:pPr>
      <w:r>
        <w:t>Hybrid mismatches</w:t>
      </w:r>
    </w:p>
    <w:p w:rsidR="004C268F" w:rsidRDefault="004C268F" w:rsidP="004C268F">
      <w:pPr>
        <w:pStyle w:val="BodyText"/>
      </w:pPr>
      <w:r>
        <w:t xml:space="preserve">The 2016-17 Budget measure, </w:t>
      </w:r>
      <w:r w:rsidRPr="009D3447">
        <w:rPr>
          <w:i/>
        </w:rPr>
        <w:t>Tax Integrity Package – implementing the OECD hybrid mismatch arrangement rules</w:t>
      </w:r>
      <w:r>
        <w:t xml:space="preserve"> (Budget paper 2, page 34) applies the OECD rules to eliminate hybrid mismatch arrangements, taking into account the recommendations made by the Board of Taxation in its report on the Australian implementation of the OECD hybrid mismatch rules.</w:t>
      </w:r>
    </w:p>
    <w:p w:rsidR="004C268F" w:rsidRDefault="004C268F" w:rsidP="004C268F">
      <w:pPr>
        <w:pStyle w:val="BodyText"/>
      </w:pPr>
      <w:r>
        <w:t>The only substant</w:t>
      </w:r>
      <w:r w:rsidR="002A6FD7">
        <w:t>ive difference between the 2016</w:t>
      </w:r>
      <w:r w:rsidR="002A6FD7">
        <w:noBreakHyphen/>
      </w:r>
      <w:r>
        <w:t>17 Budget measure and this proposal is the start date.</w:t>
      </w:r>
    </w:p>
    <w:p w:rsidR="004C268F" w:rsidRDefault="004C268F" w:rsidP="004C268F">
      <w:pPr>
        <w:pStyle w:val="ListBullet"/>
      </w:pPr>
      <w:r>
        <w:t>While this propos</w:t>
      </w:r>
      <w:r w:rsidR="002A6FD7">
        <w:t>al would commence from the 2017</w:t>
      </w:r>
      <w:r w:rsidR="002A6FD7">
        <w:noBreakHyphen/>
        <w:t>18 year of income, the 2016</w:t>
      </w:r>
      <w:r w:rsidR="002A6FD7">
        <w:noBreakHyphen/>
      </w:r>
      <w:r>
        <w:t>17 Budget measure will apply from the later of 1 January 2018 or the date of Royal Assent of the enabling legislation.</w:t>
      </w:r>
    </w:p>
    <w:p w:rsidR="004C268F" w:rsidRDefault="004C268F" w:rsidP="004C268F">
      <w:pPr>
        <w:pStyle w:val="ListBullet2"/>
      </w:pPr>
      <w:r>
        <w:t>Thi</w:t>
      </w:r>
      <w:r w:rsidR="002A6FD7">
        <w:t>s costing assumes that the 2016</w:t>
      </w:r>
      <w:r w:rsidR="002A6FD7">
        <w:noBreakHyphen/>
      </w:r>
      <w:r>
        <w:t>17 Budget measure would apply from 1</w:t>
      </w:r>
      <w:r w:rsidR="002A6FD7">
        <w:t> </w:t>
      </w:r>
      <w:r>
        <w:t>January</w:t>
      </w:r>
      <w:r w:rsidR="002A6FD7">
        <w:t> </w:t>
      </w:r>
      <w:r>
        <w:t>2018.</w:t>
      </w:r>
    </w:p>
    <w:p w:rsidR="004C268F" w:rsidRDefault="004C268F" w:rsidP="004C268F">
      <w:pPr>
        <w:pStyle w:val="BodyText"/>
      </w:pPr>
      <w:r>
        <w:t>It is estimated that the difference in start date would result in a small increase in revenue in 2018-19 which rounds to zero in this costing.</w:t>
      </w:r>
    </w:p>
    <w:p w:rsidR="004C268F" w:rsidRDefault="004C268F" w:rsidP="004C268F">
      <w:pPr>
        <w:pStyle w:val="CostingsH8"/>
      </w:pPr>
      <w:r>
        <w:t>Financial impact of interactions between the components of the proposal</w:t>
      </w:r>
    </w:p>
    <w:p w:rsidR="004C268F" w:rsidRDefault="004C268F" w:rsidP="004C268F">
      <w:pPr>
        <w:pStyle w:val="BodyText"/>
      </w:pPr>
      <w:r>
        <w:t xml:space="preserve">The combined impact of the components in this proposal would result in a number of interactions.  The key interactions are: </w:t>
      </w:r>
    </w:p>
    <w:p w:rsidR="004C268F" w:rsidRDefault="004C268F" w:rsidP="004C268F">
      <w:pPr>
        <w:pStyle w:val="ListBullet"/>
      </w:pPr>
      <w:r>
        <w:t>ATO compliance activity would be expected to be more effective as a result of the new rules in this proposal.</w:t>
      </w:r>
    </w:p>
    <w:p w:rsidR="004C268F" w:rsidRDefault="004C268F" w:rsidP="004C268F">
      <w:pPr>
        <w:pStyle w:val="ListBullet"/>
      </w:pPr>
      <w:r>
        <w:t>Introducing a package of proposals has a combined effect of closing a number of ‘loopholes’ in the current law and would reduce the number of alternative arrangements that multinational companies could take advantage of in order to avoid company tax.</w:t>
      </w:r>
    </w:p>
    <w:p w:rsidR="00420CF4" w:rsidRDefault="00420CF4" w:rsidP="00420CF4">
      <w:pPr>
        <w:pStyle w:val="CostingsH7"/>
      </w:pPr>
      <w:r>
        <w:t>Methodology</w:t>
      </w:r>
    </w:p>
    <w:p w:rsidR="004C268F" w:rsidRDefault="004C268F" w:rsidP="004C268F">
      <w:pPr>
        <w:pStyle w:val="CostingsH8"/>
      </w:pPr>
      <w:r>
        <w:t>Increased ATO compliance</w:t>
      </w:r>
    </w:p>
    <w:p w:rsidR="004C268F" w:rsidRPr="004C268F" w:rsidRDefault="004C268F" w:rsidP="004C268F">
      <w:pPr>
        <w:pStyle w:val="BodyText"/>
      </w:pPr>
      <w:r w:rsidRPr="004C268F">
        <w:t>The financial impact of this proposal is based on the number of additional staff that would be hired under this proposal and the estimated additional compliance activity that could be performed with those extra staff.</w:t>
      </w:r>
    </w:p>
    <w:p w:rsidR="004C268F" w:rsidRDefault="004C268F" w:rsidP="00B567D7">
      <w:pPr>
        <w:pStyle w:val="CostingsH8"/>
      </w:pPr>
      <w:r>
        <w:t xml:space="preserve">Worldwide gearing ratio </w:t>
      </w:r>
    </w:p>
    <w:p w:rsidR="004C268F" w:rsidRPr="004C268F" w:rsidRDefault="004C268F" w:rsidP="00B567D7">
      <w:pPr>
        <w:pStyle w:val="BodyText"/>
        <w:keepNext/>
        <w:keepLines/>
      </w:pPr>
      <w:r w:rsidRPr="004C268F">
        <w:t>The financial impact of this proposal is based on ATO unit record debt deduction data for multinational companies.  The impact of this proposal was estimated by calculating the allowable debt deduction under the proposed rules (‘worldwide gearing debt amount’ test only) for each company and subtracting the current amount of allowable debt deductions (where companies can use the ‘safe harbour’, ‘arm’s length’ or the ‘worldwi</w:t>
      </w:r>
      <w:r>
        <w:t>de gearing debt amount’ test).</w:t>
      </w:r>
    </w:p>
    <w:p w:rsidR="00420CF4" w:rsidRDefault="00420CF4" w:rsidP="00420CF4">
      <w:pPr>
        <w:pStyle w:val="CostingsH7"/>
      </w:pPr>
      <w:r>
        <w:t>Data sources</w:t>
      </w:r>
    </w:p>
    <w:p w:rsidR="00923993" w:rsidRPr="00923993" w:rsidRDefault="00923993" w:rsidP="004C268F">
      <w:pPr>
        <w:pStyle w:val="BodyText"/>
      </w:pPr>
      <w:r w:rsidRPr="00923993">
        <w:t>The Australian Tax Office provided:</w:t>
      </w:r>
    </w:p>
    <w:p w:rsidR="004C268F" w:rsidRPr="00923993" w:rsidRDefault="004C268F" w:rsidP="0073534F">
      <w:pPr>
        <w:pStyle w:val="ListBullet"/>
      </w:pPr>
      <w:r w:rsidRPr="00923993">
        <w:t>Unit record data from the thin capitalisation schedule</w:t>
      </w:r>
    </w:p>
    <w:p w:rsidR="004C268F" w:rsidRDefault="004C268F" w:rsidP="0073534F">
      <w:pPr>
        <w:pStyle w:val="ListBullet"/>
      </w:pPr>
      <w:r w:rsidRPr="00923993">
        <w:t>ATO international dealings schedule data</w:t>
      </w:r>
    </w:p>
    <w:p w:rsidR="008A35EA" w:rsidRDefault="008A35EA" w:rsidP="008A35EA">
      <w:pPr>
        <w:pStyle w:val="BodyText"/>
      </w:pPr>
    </w:p>
    <w:p w:rsidR="008A35EA" w:rsidRDefault="008A35EA" w:rsidP="008A35EA">
      <w:pPr>
        <w:pStyle w:val="BodyText"/>
        <w:sectPr w:rsidR="008A35EA"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7D334C">
      <w:pPr>
        <w:pStyle w:val="Heading6"/>
      </w:pPr>
      <w:r>
        <w:t>Attachment</w:t>
      </w:r>
      <w:r w:rsidR="004C268F" w:rsidRPr="004C268F">
        <w:t xml:space="preserve"> </w:t>
      </w:r>
      <w:r w:rsidR="004C268F" w:rsidRPr="00FC6579">
        <w:t>A:</w:t>
      </w:r>
      <w:r w:rsidR="004C268F">
        <w:t xml:space="preserve"> Multinational Tax Package—financial implications</w:t>
      </w:r>
      <w:r>
        <w:t xml:space="preserve"> </w:t>
      </w:r>
    </w:p>
    <w:p w:rsidR="00420CF4" w:rsidRDefault="00420CF4" w:rsidP="007D334C">
      <w:pPr>
        <w:pStyle w:val="Caption"/>
        <w:keepLines/>
      </w:pPr>
      <w:r w:rsidRPr="002B36F1">
        <w:t xml:space="preserve">Table </w:t>
      </w:r>
      <w:r>
        <w:t>A1</w:t>
      </w:r>
      <w:r w:rsidRPr="002B36F1">
        <w:t xml:space="preserve">: </w:t>
      </w:r>
      <w:r w:rsidR="004C268F" w:rsidRPr="004C268F">
        <w:t>Multinational Tax Package—Fiscal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B567D7">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7D334C">
            <w:pPr>
              <w:pStyle w:val="TableText"/>
              <w:keepNext/>
              <w:keepLines/>
              <w:ind w:right="0"/>
              <w:rPr>
                <w:b w:val="0"/>
              </w:rPr>
            </w:pPr>
            <w:r>
              <w:t>($</w:t>
            </w:r>
            <w:r w:rsidR="004C268F">
              <w:t>m</w:t>
            </w:r>
            <w:r>
              <w:t>)</w:t>
            </w:r>
          </w:p>
        </w:tc>
        <w:tc>
          <w:tcPr>
            <w:tcW w:w="689" w:type="pct"/>
            <w:vAlign w:val="center"/>
          </w:tcPr>
          <w:p w:rsidR="00420CF4" w:rsidRDefault="00420CF4" w:rsidP="007D334C">
            <w:pPr>
              <w:pStyle w:val="TableTextRight"/>
              <w:keepNext/>
              <w:keepLines/>
              <w:rPr>
                <w:b w:val="0"/>
              </w:rPr>
            </w:pPr>
            <w:r>
              <w:t>2016–17</w:t>
            </w:r>
          </w:p>
        </w:tc>
        <w:tc>
          <w:tcPr>
            <w:tcW w:w="689" w:type="pct"/>
            <w:vAlign w:val="center"/>
          </w:tcPr>
          <w:p w:rsidR="00420CF4" w:rsidRDefault="00420CF4" w:rsidP="007D334C">
            <w:pPr>
              <w:pStyle w:val="TableTextRight"/>
              <w:keepNext/>
              <w:keepLines/>
              <w:rPr>
                <w:b w:val="0"/>
              </w:rPr>
            </w:pPr>
            <w:r>
              <w:t>2017–18</w:t>
            </w:r>
          </w:p>
        </w:tc>
        <w:tc>
          <w:tcPr>
            <w:tcW w:w="689" w:type="pct"/>
            <w:vAlign w:val="center"/>
          </w:tcPr>
          <w:p w:rsidR="00420CF4" w:rsidRDefault="00420CF4" w:rsidP="007D334C">
            <w:pPr>
              <w:pStyle w:val="TableTextRight"/>
              <w:keepNext/>
              <w:keepLines/>
              <w:rPr>
                <w:b w:val="0"/>
              </w:rPr>
            </w:pPr>
            <w:r>
              <w:t>2018–19</w:t>
            </w:r>
          </w:p>
        </w:tc>
        <w:tc>
          <w:tcPr>
            <w:tcW w:w="689" w:type="pct"/>
            <w:vAlign w:val="center"/>
          </w:tcPr>
          <w:p w:rsidR="00420CF4" w:rsidRDefault="00420CF4" w:rsidP="007D334C">
            <w:pPr>
              <w:pStyle w:val="TableTextRight"/>
              <w:keepNext/>
              <w:keepLines/>
              <w:rPr>
                <w:b w:val="0"/>
              </w:rPr>
            </w:pPr>
            <w:r>
              <w:t>2019–20</w:t>
            </w:r>
          </w:p>
        </w:tc>
        <w:tc>
          <w:tcPr>
            <w:tcW w:w="690" w:type="pct"/>
            <w:vAlign w:val="center"/>
          </w:tcPr>
          <w:p w:rsidR="00420CF4" w:rsidRDefault="00420CF4" w:rsidP="007D334C">
            <w:pPr>
              <w:pStyle w:val="TableTextRight"/>
              <w:keepNext/>
              <w:keepLines/>
            </w:pPr>
            <w:r>
              <w:t>Total</w:t>
            </w:r>
            <w:r w:rsidR="004C268F">
              <w:t xml:space="preserve"> to 2019–20</w:t>
            </w:r>
          </w:p>
        </w:tc>
      </w:tr>
      <w:tr w:rsidR="00DF2EFD" w:rsidTr="00B567D7">
        <w:tc>
          <w:tcPr>
            <w:tcW w:w="5000" w:type="pct"/>
            <w:gridSpan w:val="6"/>
            <w:shd w:val="clear" w:color="auto" w:fill="E9ECF3" w:themeFill="accent2" w:themeFillTint="33"/>
            <w:vAlign w:val="center"/>
          </w:tcPr>
          <w:p w:rsidR="00DF2EFD" w:rsidRDefault="00DF2EFD" w:rsidP="007D334C">
            <w:pPr>
              <w:pStyle w:val="TableTextRight"/>
              <w:keepNext/>
              <w:keepLines/>
              <w:jc w:val="left"/>
            </w:pPr>
            <w:r w:rsidRPr="004C268F">
              <w:rPr>
                <w:b/>
              </w:rPr>
              <w:t>Revenue</w:t>
            </w:r>
          </w:p>
        </w:tc>
      </w:tr>
      <w:tr w:rsidR="004C268F" w:rsidTr="00B567D7">
        <w:tc>
          <w:tcPr>
            <w:tcW w:w="1554" w:type="pct"/>
            <w:vAlign w:val="center"/>
          </w:tcPr>
          <w:p w:rsidR="004C268F" w:rsidRPr="003A3459" w:rsidRDefault="004C268F" w:rsidP="007D334C">
            <w:pPr>
              <w:pStyle w:val="TableTextCentred"/>
              <w:keepNext/>
              <w:keepLines/>
              <w:spacing w:line="240" w:lineRule="auto"/>
              <w:jc w:val="left"/>
              <w:rPr>
                <w:szCs w:val="20"/>
              </w:rPr>
            </w:pPr>
            <w:r>
              <w:rPr>
                <w:szCs w:val="20"/>
              </w:rPr>
              <w:t>ATO compliance funding</w:t>
            </w:r>
          </w:p>
        </w:tc>
        <w:tc>
          <w:tcPr>
            <w:tcW w:w="689" w:type="pct"/>
            <w:vAlign w:val="center"/>
          </w:tcPr>
          <w:p w:rsidR="004C268F" w:rsidRPr="00AA66FB" w:rsidRDefault="004C268F" w:rsidP="007D334C">
            <w:pPr>
              <w:pStyle w:val="TableTextRight"/>
              <w:keepNext/>
              <w:keepLines/>
              <w:spacing w:line="240" w:lineRule="auto"/>
            </w:pPr>
            <w:r w:rsidRPr="00AA66FB">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20.0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60.0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140.0</w:t>
            </w:r>
          </w:p>
        </w:tc>
        <w:tc>
          <w:tcPr>
            <w:tcW w:w="690" w:type="pct"/>
            <w:vAlign w:val="center"/>
          </w:tcPr>
          <w:p w:rsidR="004C268F" w:rsidRPr="007B02A8" w:rsidRDefault="004C268F" w:rsidP="007D334C">
            <w:pPr>
              <w:pStyle w:val="TableTextRight"/>
              <w:keepNext/>
              <w:keepLines/>
              <w:spacing w:line="240" w:lineRule="auto"/>
              <w:rPr>
                <w:b/>
                <w:i/>
              </w:rPr>
            </w:pPr>
            <w:r w:rsidRPr="007B02A8">
              <w:rPr>
                <w:b/>
                <w:i/>
              </w:rPr>
              <w:t>220.0</w:t>
            </w:r>
          </w:p>
        </w:tc>
      </w:tr>
      <w:tr w:rsidR="004C268F" w:rsidTr="00B567D7">
        <w:tc>
          <w:tcPr>
            <w:tcW w:w="1554" w:type="pct"/>
            <w:vAlign w:val="center"/>
          </w:tcPr>
          <w:p w:rsidR="004C268F" w:rsidRPr="003A3459" w:rsidRDefault="004C268F" w:rsidP="007D334C">
            <w:pPr>
              <w:pStyle w:val="TableTextCentred"/>
              <w:keepNext/>
              <w:keepLines/>
              <w:spacing w:line="240" w:lineRule="auto"/>
              <w:jc w:val="left"/>
              <w:rPr>
                <w:szCs w:val="20"/>
              </w:rPr>
            </w:pPr>
            <w:r>
              <w:rPr>
                <w:szCs w:val="20"/>
              </w:rPr>
              <w:t>Worldwide gearing ratio</w:t>
            </w:r>
          </w:p>
        </w:tc>
        <w:tc>
          <w:tcPr>
            <w:tcW w:w="689" w:type="pct"/>
            <w:vAlign w:val="center"/>
          </w:tcPr>
          <w:p w:rsidR="004C268F" w:rsidRPr="00C41A73" w:rsidRDefault="004C268F" w:rsidP="007D334C">
            <w:pPr>
              <w:pStyle w:val="TableTextRight"/>
              <w:keepNext/>
              <w:keepLines/>
              <w:spacing w:line="240" w:lineRule="auto"/>
            </w:pPr>
            <w:r w:rsidRPr="00C41A73">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400.0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600.0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500.0</w:t>
            </w:r>
          </w:p>
        </w:tc>
        <w:tc>
          <w:tcPr>
            <w:tcW w:w="690" w:type="pct"/>
            <w:vAlign w:val="center"/>
          </w:tcPr>
          <w:p w:rsidR="004C268F" w:rsidRPr="007B02A8" w:rsidRDefault="004C268F" w:rsidP="007D334C">
            <w:pPr>
              <w:pStyle w:val="TableTextRight"/>
              <w:keepNext/>
              <w:keepLines/>
              <w:spacing w:line="240" w:lineRule="auto"/>
              <w:rPr>
                <w:b/>
                <w:i/>
              </w:rPr>
            </w:pPr>
            <w:r w:rsidRPr="007B02A8">
              <w:rPr>
                <w:b/>
                <w:i/>
              </w:rPr>
              <w:t>1,500.0</w:t>
            </w:r>
          </w:p>
        </w:tc>
      </w:tr>
      <w:tr w:rsidR="004C268F" w:rsidTr="00B567D7">
        <w:tc>
          <w:tcPr>
            <w:tcW w:w="1554" w:type="pct"/>
            <w:vAlign w:val="center"/>
          </w:tcPr>
          <w:p w:rsidR="004C268F" w:rsidRPr="003A3459" w:rsidRDefault="004C268F" w:rsidP="007D334C">
            <w:pPr>
              <w:pStyle w:val="TableTextCentred"/>
              <w:keepNext/>
              <w:keepLines/>
              <w:spacing w:line="240" w:lineRule="auto"/>
              <w:jc w:val="left"/>
              <w:rPr>
                <w:szCs w:val="20"/>
              </w:rPr>
            </w:pPr>
            <w:r>
              <w:rPr>
                <w:szCs w:val="20"/>
              </w:rPr>
              <w:t>Hybrid mismatches</w:t>
            </w:r>
          </w:p>
        </w:tc>
        <w:tc>
          <w:tcPr>
            <w:tcW w:w="689" w:type="pct"/>
            <w:vAlign w:val="center"/>
          </w:tcPr>
          <w:p w:rsidR="004C268F" w:rsidRPr="00C41A73" w:rsidRDefault="004C268F" w:rsidP="007D334C">
            <w:pPr>
              <w:pStyle w:val="TableTextRight"/>
              <w:keepNext/>
              <w:keepLines/>
              <w:spacing w:line="240" w:lineRule="auto"/>
            </w:pPr>
            <w:r w:rsidRPr="00C41A73">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w:t>
            </w:r>
          </w:p>
        </w:tc>
        <w:tc>
          <w:tcPr>
            <w:tcW w:w="690" w:type="pct"/>
            <w:vAlign w:val="center"/>
          </w:tcPr>
          <w:p w:rsidR="004C268F" w:rsidRPr="007B02A8" w:rsidRDefault="004C268F" w:rsidP="007D334C">
            <w:pPr>
              <w:pStyle w:val="TableTextRight"/>
              <w:keepNext/>
              <w:keepLines/>
              <w:spacing w:line="240" w:lineRule="auto"/>
              <w:rPr>
                <w:b/>
                <w:i/>
              </w:rPr>
            </w:pPr>
            <w:r w:rsidRPr="007B02A8">
              <w:rPr>
                <w:b/>
                <w:i/>
              </w:rPr>
              <w:t>..</w:t>
            </w:r>
          </w:p>
        </w:tc>
      </w:tr>
      <w:tr w:rsidR="004C268F" w:rsidTr="00B567D7">
        <w:tc>
          <w:tcPr>
            <w:tcW w:w="1554" w:type="pct"/>
            <w:vAlign w:val="center"/>
          </w:tcPr>
          <w:p w:rsidR="004C268F" w:rsidRDefault="004C268F" w:rsidP="007D334C">
            <w:pPr>
              <w:pStyle w:val="TableTextCentred"/>
              <w:keepNext/>
              <w:keepLines/>
              <w:spacing w:line="240" w:lineRule="auto"/>
              <w:jc w:val="left"/>
              <w:rPr>
                <w:szCs w:val="20"/>
              </w:rPr>
            </w:pPr>
            <w:r>
              <w:rPr>
                <w:szCs w:val="20"/>
              </w:rPr>
              <w:t>Interactions of components</w:t>
            </w:r>
          </w:p>
        </w:tc>
        <w:tc>
          <w:tcPr>
            <w:tcW w:w="689" w:type="pct"/>
            <w:vAlign w:val="center"/>
          </w:tcPr>
          <w:p w:rsidR="004C268F" w:rsidRPr="00C41A73" w:rsidRDefault="004C268F" w:rsidP="007D334C">
            <w:pPr>
              <w:pStyle w:val="TableTextRight"/>
              <w:keepNext/>
              <w:keepLines/>
              <w:spacing w:line="240" w:lineRule="auto"/>
            </w:pPr>
            <w:r w:rsidRPr="00C41A73">
              <w:t>-</w:t>
            </w:r>
          </w:p>
        </w:tc>
        <w:tc>
          <w:tcPr>
            <w:tcW w:w="689" w:type="pct"/>
            <w:vAlign w:val="center"/>
          </w:tcPr>
          <w:p w:rsidR="004C268F" w:rsidRPr="007B02A8" w:rsidRDefault="004C268F" w:rsidP="007D334C">
            <w:pPr>
              <w:pStyle w:val="TableTextRight"/>
              <w:keepNext/>
              <w:keepLines/>
              <w:spacing w:line="240" w:lineRule="auto"/>
              <w:rPr>
                <w:i/>
              </w:rPr>
            </w:pPr>
            <w:r w:rsidRPr="007B02A8">
              <w:rPr>
                <w:i/>
              </w:rPr>
              <w:t>20.0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30.0</w:t>
            </w:r>
          </w:p>
        </w:tc>
        <w:tc>
          <w:tcPr>
            <w:tcW w:w="689" w:type="pct"/>
            <w:vAlign w:val="center"/>
          </w:tcPr>
          <w:p w:rsidR="004C268F" w:rsidRPr="007B02A8" w:rsidRDefault="004C268F" w:rsidP="007D334C">
            <w:pPr>
              <w:pStyle w:val="TableTextRight"/>
              <w:keepNext/>
              <w:keepLines/>
              <w:spacing w:line="240" w:lineRule="auto"/>
              <w:rPr>
                <w:i/>
              </w:rPr>
            </w:pPr>
            <w:r w:rsidRPr="007B02A8">
              <w:rPr>
                <w:i/>
              </w:rPr>
              <w:t>30.0</w:t>
            </w:r>
          </w:p>
        </w:tc>
        <w:tc>
          <w:tcPr>
            <w:tcW w:w="690" w:type="pct"/>
            <w:vAlign w:val="center"/>
          </w:tcPr>
          <w:p w:rsidR="004C268F" w:rsidRPr="007B02A8" w:rsidRDefault="004C268F" w:rsidP="007D334C">
            <w:pPr>
              <w:pStyle w:val="TableTextRight"/>
              <w:keepNext/>
              <w:keepLines/>
              <w:spacing w:line="240" w:lineRule="auto"/>
              <w:rPr>
                <w:b/>
                <w:i/>
              </w:rPr>
            </w:pPr>
            <w:r w:rsidRPr="007B02A8">
              <w:rPr>
                <w:b/>
                <w:i/>
              </w:rPr>
              <w:t>80.0</w:t>
            </w:r>
          </w:p>
        </w:tc>
      </w:tr>
      <w:tr w:rsidR="00DF2EFD" w:rsidTr="00B567D7">
        <w:tc>
          <w:tcPr>
            <w:tcW w:w="5000" w:type="pct"/>
            <w:gridSpan w:val="6"/>
            <w:shd w:val="clear" w:color="auto" w:fill="E9ECF3" w:themeFill="accent2" w:themeFillTint="33"/>
            <w:vAlign w:val="center"/>
          </w:tcPr>
          <w:p w:rsidR="00DF2EFD" w:rsidRDefault="00DF2EFD" w:rsidP="007D334C">
            <w:pPr>
              <w:pStyle w:val="TableTextRight"/>
              <w:keepNext/>
              <w:keepLines/>
              <w:jc w:val="left"/>
            </w:pPr>
            <w:r w:rsidRPr="004C268F">
              <w:rPr>
                <w:b/>
              </w:rPr>
              <w:t>Departmental</w:t>
            </w:r>
          </w:p>
        </w:tc>
      </w:tr>
      <w:tr w:rsidR="004C268F" w:rsidTr="00B567D7">
        <w:tc>
          <w:tcPr>
            <w:tcW w:w="1554" w:type="pct"/>
            <w:vAlign w:val="center"/>
          </w:tcPr>
          <w:p w:rsidR="004C268F" w:rsidRPr="003A3459" w:rsidRDefault="004C268F" w:rsidP="007D334C">
            <w:pPr>
              <w:pStyle w:val="TableTextCentred"/>
              <w:keepNext/>
              <w:keepLines/>
              <w:spacing w:line="240" w:lineRule="auto"/>
              <w:jc w:val="left"/>
              <w:rPr>
                <w:szCs w:val="20"/>
              </w:rPr>
            </w:pPr>
            <w:r>
              <w:rPr>
                <w:szCs w:val="20"/>
              </w:rPr>
              <w:t>ATO compliance funding</w:t>
            </w:r>
          </w:p>
        </w:tc>
        <w:tc>
          <w:tcPr>
            <w:tcW w:w="689" w:type="pct"/>
            <w:vAlign w:val="center"/>
          </w:tcPr>
          <w:p w:rsidR="004C268F" w:rsidRPr="00C41A73" w:rsidRDefault="004C268F" w:rsidP="007D334C">
            <w:pPr>
              <w:pStyle w:val="TableTextRight"/>
              <w:keepNext/>
              <w:keepLines/>
              <w:spacing w:line="240" w:lineRule="auto"/>
            </w:pPr>
            <w:r>
              <w:rPr>
                <w:i/>
              </w:rPr>
              <w:t>-</w:t>
            </w:r>
          </w:p>
        </w:tc>
        <w:tc>
          <w:tcPr>
            <w:tcW w:w="689" w:type="pct"/>
            <w:vAlign w:val="center"/>
          </w:tcPr>
          <w:p w:rsidR="004C268F" w:rsidRPr="00C41A73" w:rsidRDefault="004C268F" w:rsidP="007D334C">
            <w:pPr>
              <w:pStyle w:val="TableTextRight"/>
              <w:keepNext/>
              <w:keepLines/>
              <w:spacing w:line="240" w:lineRule="auto"/>
            </w:pPr>
            <w:r>
              <w:rPr>
                <w:i/>
              </w:rPr>
              <w:t>-50.0</w:t>
            </w:r>
          </w:p>
        </w:tc>
        <w:tc>
          <w:tcPr>
            <w:tcW w:w="689" w:type="pct"/>
            <w:vAlign w:val="center"/>
          </w:tcPr>
          <w:p w:rsidR="004C268F" w:rsidRPr="00C41A73" w:rsidRDefault="004C268F" w:rsidP="007D334C">
            <w:pPr>
              <w:pStyle w:val="TableTextRight"/>
              <w:keepNext/>
              <w:keepLines/>
              <w:spacing w:line="240" w:lineRule="auto"/>
            </w:pPr>
            <w:r>
              <w:rPr>
                <w:i/>
              </w:rPr>
              <w:t>-50.0</w:t>
            </w:r>
          </w:p>
        </w:tc>
        <w:tc>
          <w:tcPr>
            <w:tcW w:w="689" w:type="pct"/>
            <w:vAlign w:val="center"/>
          </w:tcPr>
          <w:p w:rsidR="004C268F" w:rsidRPr="00C41A73" w:rsidRDefault="004C268F" w:rsidP="007D334C">
            <w:pPr>
              <w:pStyle w:val="TableTextRight"/>
              <w:keepNext/>
              <w:keepLines/>
              <w:spacing w:line="240" w:lineRule="auto"/>
            </w:pPr>
            <w:r>
              <w:rPr>
                <w:i/>
              </w:rPr>
              <w:t>-50.0</w:t>
            </w:r>
          </w:p>
        </w:tc>
        <w:tc>
          <w:tcPr>
            <w:tcW w:w="690" w:type="pct"/>
            <w:vAlign w:val="center"/>
          </w:tcPr>
          <w:p w:rsidR="004C268F" w:rsidRPr="00C41A73" w:rsidRDefault="004C268F" w:rsidP="007D334C">
            <w:pPr>
              <w:pStyle w:val="TableTextRight"/>
              <w:keepNext/>
              <w:keepLines/>
              <w:spacing w:line="240" w:lineRule="auto"/>
              <w:rPr>
                <w:b/>
              </w:rPr>
            </w:pPr>
            <w:r>
              <w:rPr>
                <w:b/>
                <w:i/>
              </w:rPr>
              <w:t>-150.0</w:t>
            </w:r>
          </w:p>
        </w:tc>
      </w:tr>
      <w:tr w:rsidR="004C268F" w:rsidRPr="007C2713" w:rsidTr="00B567D7">
        <w:tc>
          <w:tcPr>
            <w:tcW w:w="1554" w:type="pct"/>
            <w:shd w:val="clear" w:color="auto" w:fill="D7DDE9" w:themeFill="accent3"/>
            <w:vAlign w:val="center"/>
          </w:tcPr>
          <w:p w:rsidR="004C268F" w:rsidRPr="0055406D" w:rsidRDefault="004C268F" w:rsidP="007D334C">
            <w:pPr>
              <w:pStyle w:val="TableTextCentred"/>
              <w:keepNext/>
              <w:keepLines/>
              <w:spacing w:line="240" w:lineRule="auto"/>
              <w:jc w:val="left"/>
              <w:rPr>
                <w:b/>
                <w:szCs w:val="20"/>
              </w:rPr>
            </w:pPr>
            <w:r w:rsidRPr="0055406D">
              <w:rPr>
                <w:b/>
                <w:szCs w:val="20"/>
              </w:rPr>
              <w:t>Total</w:t>
            </w:r>
          </w:p>
        </w:tc>
        <w:tc>
          <w:tcPr>
            <w:tcW w:w="689" w:type="pct"/>
            <w:shd w:val="clear" w:color="auto" w:fill="D7DDE9" w:themeFill="accent3"/>
            <w:vAlign w:val="center"/>
          </w:tcPr>
          <w:p w:rsidR="004C268F" w:rsidRPr="00C41A73" w:rsidRDefault="004C268F" w:rsidP="007D334C">
            <w:pPr>
              <w:pStyle w:val="TableTextRight"/>
              <w:keepNext/>
              <w:keepLines/>
              <w:spacing w:line="240" w:lineRule="auto"/>
              <w:rPr>
                <w:b/>
              </w:rPr>
            </w:pPr>
            <w:r>
              <w:rPr>
                <w:b/>
              </w:rPr>
              <w:t>-</w:t>
            </w:r>
          </w:p>
        </w:tc>
        <w:tc>
          <w:tcPr>
            <w:tcW w:w="689" w:type="pct"/>
            <w:shd w:val="clear" w:color="auto" w:fill="D7DDE9" w:themeFill="accent3"/>
            <w:vAlign w:val="center"/>
          </w:tcPr>
          <w:p w:rsidR="004C268F" w:rsidRPr="00C41A73" w:rsidRDefault="004C268F" w:rsidP="007D334C">
            <w:pPr>
              <w:pStyle w:val="TableTextRight"/>
              <w:keepNext/>
              <w:keepLines/>
              <w:spacing w:line="240" w:lineRule="auto"/>
              <w:rPr>
                <w:b/>
              </w:rPr>
            </w:pPr>
            <w:r w:rsidRPr="00C41A73">
              <w:rPr>
                <w:b/>
              </w:rPr>
              <w:t>390</w:t>
            </w:r>
            <w:r>
              <w:rPr>
                <w:b/>
              </w:rPr>
              <w:t>.0</w:t>
            </w:r>
          </w:p>
        </w:tc>
        <w:tc>
          <w:tcPr>
            <w:tcW w:w="689" w:type="pct"/>
            <w:shd w:val="clear" w:color="auto" w:fill="D7DDE9" w:themeFill="accent3"/>
            <w:vAlign w:val="center"/>
          </w:tcPr>
          <w:p w:rsidR="004C268F" w:rsidRPr="00C41A73" w:rsidRDefault="004C268F" w:rsidP="007D334C">
            <w:pPr>
              <w:pStyle w:val="TableTextRight"/>
              <w:keepNext/>
              <w:keepLines/>
              <w:spacing w:line="240" w:lineRule="auto"/>
              <w:rPr>
                <w:b/>
              </w:rPr>
            </w:pPr>
            <w:r w:rsidRPr="00C41A73">
              <w:rPr>
                <w:b/>
              </w:rPr>
              <w:t>640</w:t>
            </w:r>
            <w:r>
              <w:rPr>
                <w:b/>
              </w:rPr>
              <w:t>.0</w:t>
            </w:r>
          </w:p>
        </w:tc>
        <w:tc>
          <w:tcPr>
            <w:tcW w:w="689" w:type="pct"/>
            <w:shd w:val="clear" w:color="auto" w:fill="D7DDE9" w:themeFill="accent3"/>
            <w:vAlign w:val="center"/>
          </w:tcPr>
          <w:p w:rsidR="004C268F" w:rsidRPr="00C41A73" w:rsidRDefault="004C268F" w:rsidP="007D334C">
            <w:pPr>
              <w:pStyle w:val="TableTextRight"/>
              <w:keepNext/>
              <w:keepLines/>
              <w:spacing w:line="240" w:lineRule="auto"/>
              <w:rPr>
                <w:b/>
              </w:rPr>
            </w:pPr>
            <w:r w:rsidRPr="00C41A73">
              <w:rPr>
                <w:b/>
              </w:rPr>
              <w:t>620</w:t>
            </w:r>
            <w:r>
              <w:rPr>
                <w:b/>
              </w:rPr>
              <w:t>.0</w:t>
            </w:r>
          </w:p>
        </w:tc>
        <w:tc>
          <w:tcPr>
            <w:tcW w:w="690" w:type="pct"/>
            <w:shd w:val="clear" w:color="auto" w:fill="D7DDE9" w:themeFill="accent3"/>
            <w:vAlign w:val="center"/>
          </w:tcPr>
          <w:p w:rsidR="004C268F" w:rsidRPr="00C41A73" w:rsidRDefault="004C268F" w:rsidP="007D334C">
            <w:pPr>
              <w:pStyle w:val="TableTextRight"/>
              <w:keepNext/>
              <w:keepLines/>
              <w:spacing w:line="240" w:lineRule="auto"/>
              <w:rPr>
                <w:b/>
              </w:rPr>
            </w:pPr>
            <w:r w:rsidRPr="00C41A73">
              <w:rPr>
                <w:b/>
              </w:rPr>
              <w:t>1,650</w:t>
            </w:r>
            <w:r>
              <w:rPr>
                <w:b/>
              </w:rPr>
              <w:t>.0</w:t>
            </w:r>
          </w:p>
        </w:tc>
      </w:tr>
    </w:tbl>
    <w:p w:rsidR="004C268F" w:rsidRDefault="004C268F" w:rsidP="007D334C">
      <w:pPr>
        <w:pStyle w:val="Footnotes"/>
        <w:keepNext/>
        <w:keepLines/>
        <w:numPr>
          <w:ilvl w:val="0"/>
          <w:numId w:val="51"/>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4C268F" w:rsidRDefault="004C268F" w:rsidP="007D334C">
      <w:pPr>
        <w:pStyle w:val="Footnotes"/>
        <w:keepNext/>
        <w:keepLines/>
        <w:ind w:left="284" w:hanging="284"/>
      </w:pPr>
      <w:r>
        <w:t>Figures may not sum to totals due to rounding.</w:t>
      </w:r>
    </w:p>
    <w:p w:rsidR="004C268F" w:rsidRDefault="004C268F" w:rsidP="007D334C">
      <w:pPr>
        <w:pStyle w:val="Footnotes"/>
        <w:keepNext/>
        <w:keepLines/>
        <w:numPr>
          <w:ilvl w:val="0"/>
          <w:numId w:val="0"/>
        </w:numPr>
        <w:ind w:left="284" w:hanging="284"/>
      </w:pPr>
      <w:r>
        <w:t>..</w:t>
      </w:r>
      <w:r>
        <w:tab/>
        <w:t>Not zero but rounded to zero.</w:t>
      </w:r>
    </w:p>
    <w:p w:rsidR="00C1432E" w:rsidRDefault="004C268F" w:rsidP="007D334C">
      <w:pPr>
        <w:pStyle w:val="Footnotes"/>
        <w:keepNext/>
        <w:keepLines/>
        <w:numPr>
          <w:ilvl w:val="0"/>
          <w:numId w:val="0"/>
        </w:numPr>
        <w:ind w:left="284" w:hanging="284"/>
      </w:pPr>
      <w:r>
        <w:t>-</w:t>
      </w:r>
      <w:r>
        <w:tab/>
        <w:t>Indicates nil.</w:t>
      </w:r>
    </w:p>
    <w:p w:rsidR="00A176C8" w:rsidRPr="00A176C8" w:rsidRDefault="00A176C8" w:rsidP="007D334C">
      <w:pPr>
        <w:keepNext/>
        <w:keepLines/>
        <w:spacing w:before="340" w:after="114"/>
        <w:rPr>
          <w:rFonts w:ascii="Calibri" w:eastAsia="Calibri" w:hAnsi="Calibri" w:cs="Times New Roman"/>
          <w:b/>
          <w:bCs/>
          <w:color w:val="1F497D"/>
          <w:spacing w:val="-4"/>
          <w:vertAlign w:val="superscript"/>
        </w:rPr>
      </w:pPr>
      <w:r w:rsidRPr="00A176C8">
        <w:rPr>
          <w:rFonts w:ascii="Calibri" w:eastAsia="Calibri" w:hAnsi="Calibri" w:cs="Times New Roman"/>
          <w:b/>
          <w:bCs/>
          <w:color w:val="1F497D"/>
          <w:spacing w:val="-4"/>
        </w:rPr>
        <w:t>Table A2: Multinational Tax Package—Underlying cash balance</w:t>
      </w:r>
      <w:r w:rsidRPr="00A176C8">
        <w:rPr>
          <w:rFonts w:ascii="Calibri" w:eastAsia="Calibri" w:hAnsi="Calibri" w:cs="Times New Roman"/>
          <w:b/>
          <w:bCs/>
          <w:color w:val="1F497D"/>
          <w:spacing w:val="-4"/>
          <w:vertAlign w:val="superscript"/>
        </w:rPr>
        <w:t>(a)(b)</w:t>
      </w:r>
    </w:p>
    <w:tbl>
      <w:tblPr>
        <w:tblStyle w:val="TableGrid48"/>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A176C8" w:rsidRPr="00A176C8" w:rsidTr="00FE44E3">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rPr>
                <w:b/>
                <w:szCs w:val="20"/>
              </w:rPr>
            </w:pPr>
            <w:r w:rsidRPr="00A176C8">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176C8">
              <w:t>2016–17</w:t>
            </w:r>
          </w:p>
        </w:tc>
        <w:tc>
          <w:tcPr>
            <w:tcW w:w="682"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176C8">
              <w:t>2017–18</w:t>
            </w:r>
          </w:p>
        </w:tc>
        <w:tc>
          <w:tcPr>
            <w:tcW w:w="682"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176C8">
              <w:t>2018–19</w:t>
            </w:r>
          </w:p>
        </w:tc>
        <w:tc>
          <w:tcPr>
            <w:tcW w:w="682"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A176C8">
              <w:t>2019–20</w:t>
            </w:r>
          </w:p>
        </w:tc>
        <w:tc>
          <w:tcPr>
            <w:tcW w:w="682" w:type="pct"/>
            <w:tcBorders>
              <w:top w:val="single" w:sz="4" w:space="0" w:color="788184"/>
              <w:left w:val="single" w:sz="4" w:space="0" w:color="788184"/>
              <w:bottom w:val="single" w:sz="4" w:space="0" w:color="788184"/>
              <w:right w:val="single" w:sz="4" w:space="0" w:color="788184"/>
            </w:tcBorders>
          </w:tcPr>
          <w:p w:rsidR="00A176C8" w:rsidRPr="00A176C8" w:rsidRDefault="00A176C8" w:rsidP="007D334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A176C8">
              <w:rPr>
                <w:b/>
              </w:rPr>
              <w:t>Total to 2019–20</w:t>
            </w:r>
          </w:p>
        </w:tc>
      </w:tr>
      <w:tr w:rsidR="00A176C8" w:rsidRPr="00A176C8" w:rsidTr="00BB7A5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hemeFill="accent2" w:themeFillTint="33"/>
          </w:tcPr>
          <w:p w:rsidR="00A176C8" w:rsidRPr="00A176C8" w:rsidRDefault="00A176C8" w:rsidP="007D334C">
            <w:pPr>
              <w:keepNext/>
              <w:keepLines/>
              <w:ind w:left="57" w:right="57"/>
              <w:rPr>
                <w:b/>
              </w:rPr>
            </w:pPr>
            <w:r w:rsidRPr="00A176C8">
              <w:rPr>
                <w:b/>
                <w:szCs w:val="20"/>
              </w:rPr>
              <w:t>Receipts</w:t>
            </w:r>
          </w:p>
        </w:tc>
      </w:tr>
      <w:tr w:rsidR="00A176C8" w:rsidRPr="00A176C8" w:rsidTr="00FE44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ind w:left="57" w:right="57"/>
              <w:rPr>
                <w:szCs w:val="20"/>
              </w:rPr>
            </w:pPr>
            <w:r w:rsidRPr="00A176C8">
              <w:rPr>
                <w:szCs w:val="20"/>
              </w:rPr>
              <w:t>ATO compliance funding</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pPr>
            <w:r w:rsidRPr="00A176C8">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60.0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120.0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i/>
              </w:rPr>
            </w:pPr>
            <w:r w:rsidRPr="00A176C8">
              <w:rPr>
                <w:b/>
                <w:i/>
              </w:rPr>
              <w:t>200.0</w:t>
            </w:r>
          </w:p>
        </w:tc>
      </w:tr>
      <w:tr w:rsidR="00A176C8" w:rsidRPr="00A176C8" w:rsidTr="00FE44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ind w:left="57" w:right="57"/>
              <w:rPr>
                <w:szCs w:val="20"/>
              </w:rPr>
            </w:pPr>
            <w:r w:rsidRPr="00A176C8">
              <w:rPr>
                <w:szCs w:val="20"/>
              </w:rPr>
              <w:t>Worldwide gearing ratio</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400.0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600.0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500.0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176C8">
              <w:rPr>
                <w:rFonts w:ascii="Calibri" w:hAnsi="Calibri"/>
                <w:b/>
                <w:i/>
              </w:rPr>
              <w:t>1,500.0</w:t>
            </w:r>
          </w:p>
        </w:tc>
      </w:tr>
      <w:tr w:rsidR="00A176C8" w:rsidRPr="00A176C8" w:rsidTr="00FE44E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ind w:left="57" w:right="57"/>
              <w:rPr>
                <w:szCs w:val="20"/>
              </w:rPr>
            </w:pPr>
            <w:r w:rsidRPr="00A176C8">
              <w:rPr>
                <w:szCs w:val="20"/>
              </w:rPr>
              <w:t>Hybrid mismatches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pPr>
            <w:r w:rsidRPr="00A176C8">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i/>
              </w:rPr>
            </w:pPr>
            <w:r w:rsidRPr="00A176C8">
              <w:rPr>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i/>
              </w:rPr>
            </w:pPr>
            <w:r w:rsidRPr="00A176C8">
              <w:rPr>
                <w:b/>
                <w:i/>
              </w:rPr>
              <w:t>..</w:t>
            </w:r>
          </w:p>
        </w:tc>
      </w:tr>
      <w:tr w:rsidR="00A176C8" w:rsidRPr="00A176C8" w:rsidTr="00FE44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ind w:left="57" w:right="57"/>
              <w:rPr>
                <w:szCs w:val="20"/>
              </w:rPr>
            </w:pPr>
            <w:r w:rsidRPr="00A176C8">
              <w:rPr>
                <w:szCs w:val="20"/>
              </w:rPr>
              <w:t>Interactions of components</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20.0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A176C8">
              <w:rPr>
                <w:rFonts w:ascii="Calibri" w:hAnsi="Calibri"/>
                <w:i/>
              </w:rPr>
              <w:t>30.0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A176C8">
              <w:rPr>
                <w:rFonts w:ascii="Calibri" w:hAnsi="Calibri"/>
                <w:b/>
                <w:i/>
              </w:rPr>
              <w:t>80.0</w:t>
            </w:r>
          </w:p>
        </w:tc>
      </w:tr>
      <w:tr w:rsidR="00A176C8" w:rsidRPr="00A176C8" w:rsidTr="00BB7A5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hemeFill="accent2" w:themeFillTint="33"/>
          </w:tcPr>
          <w:p w:rsidR="00A176C8" w:rsidRPr="00A176C8" w:rsidRDefault="00A176C8" w:rsidP="007D334C">
            <w:pPr>
              <w:keepNext/>
              <w:keepLines/>
              <w:ind w:left="57" w:right="57"/>
              <w:rPr>
                <w:b/>
              </w:rPr>
            </w:pPr>
            <w:r w:rsidRPr="00A176C8">
              <w:rPr>
                <w:b/>
                <w:szCs w:val="20"/>
              </w:rPr>
              <w:t>Departmental</w:t>
            </w:r>
          </w:p>
        </w:tc>
      </w:tr>
      <w:tr w:rsidR="00A176C8" w:rsidRPr="00A176C8" w:rsidTr="00FE44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ind w:left="57" w:right="57"/>
              <w:rPr>
                <w:szCs w:val="20"/>
              </w:rPr>
            </w:pPr>
            <w:r w:rsidRPr="00A176C8">
              <w:rPr>
                <w:szCs w:val="20"/>
              </w:rPr>
              <w:t>ATO compliance funding</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i/>
              </w:rPr>
              <w:t>-50.0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i/>
              </w:rPr>
              <w:t>-50.0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A176C8">
              <w:rPr>
                <w:rFonts w:ascii="Calibri" w:hAnsi="Calibri"/>
                <w:i/>
              </w:rPr>
              <w:t>-50.0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A176C8" w:rsidRPr="00A176C8" w:rsidRDefault="00A176C8" w:rsidP="007D334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A176C8">
              <w:rPr>
                <w:rFonts w:ascii="Calibri" w:hAnsi="Calibri"/>
                <w:b/>
                <w:i/>
              </w:rPr>
              <w:t>-150.0</w:t>
            </w:r>
          </w:p>
        </w:tc>
      </w:tr>
      <w:tr w:rsidR="00A176C8" w:rsidRPr="00A176C8" w:rsidTr="00BB7A5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ind w:left="57" w:right="57"/>
              <w:rPr>
                <w:b/>
                <w:szCs w:val="20"/>
              </w:rPr>
            </w:pPr>
            <w:r w:rsidRPr="00A176C8">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rPr>
            </w:pPr>
            <w:r w:rsidRPr="00A176C8">
              <w:rPr>
                <w:b/>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rPr>
            </w:pPr>
            <w:r w:rsidRPr="00A176C8">
              <w:rPr>
                <w:b/>
              </w:rPr>
              <w:t>390.0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rPr>
            </w:pPr>
            <w:r w:rsidRPr="00A176C8">
              <w:rPr>
                <w:b/>
              </w:rPr>
              <w:t>640.0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rPr>
            </w:pPr>
            <w:r w:rsidRPr="00A176C8">
              <w:rPr>
                <w:b/>
              </w:rPr>
              <w:t>600.0</w:t>
            </w:r>
          </w:p>
        </w:tc>
        <w:tc>
          <w:tcPr>
            <w:tcW w:w="682" w:type="pct"/>
            <w:tcBorders>
              <w:top w:val="single" w:sz="4" w:space="0" w:color="788184"/>
              <w:left w:val="single" w:sz="4" w:space="0" w:color="788184"/>
              <w:bottom w:val="single" w:sz="4" w:space="0" w:color="788184"/>
              <w:right w:val="single" w:sz="4" w:space="0" w:color="788184"/>
            </w:tcBorders>
            <w:shd w:val="clear" w:color="auto" w:fill="D7DDE9" w:themeFill="accent3"/>
          </w:tcPr>
          <w:p w:rsidR="00A176C8" w:rsidRPr="00A176C8" w:rsidRDefault="00A176C8" w:rsidP="007D334C">
            <w:pPr>
              <w:keepNext/>
              <w:keepLines/>
              <w:cnfStyle w:val="000000010000" w:firstRow="0" w:lastRow="0" w:firstColumn="0" w:lastColumn="0" w:oddVBand="0" w:evenVBand="0" w:oddHBand="0" w:evenHBand="1" w:firstRowFirstColumn="0" w:firstRowLastColumn="0" w:lastRowFirstColumn="0" w:lastRowLastColumn="0"/>
              <w:rPr>
                <w:b/>
              </w:rPr>
            </w:pPr>
            <w:r w:rsidRPr="00A176C8">
              <w:rPr>
                <w:b/>
              </w:rPr>
              <w:t>1,630.0</w:t>
            </w:r>
          </w:p>
        </w:tc>
      </w:tr>
    </w:tbl>
    <w:p w:rsidR="00A176C8" w:rsidRPr="00A176C8" w:rsidRDefault="00A176C8" w:rsidP="007D334C">
      <w:pPr>
        <w:pStyle w:val="Footnotes"/>
        <w:keepNext/>
        <w:keepLines/>
        <w:numPr>
          <w:ilvl w:val="0"/>
          <w:numId w:val="209"/>
        </w:numPr>
        <w:spacing w:before="113" w:after="113"/>
        <w:ind w:left="284" w:hanging="284"/>
        <w:rPr>
          <w:rFonts w:ascii="Calibri" w:eastAsia="Calibri" w:hAnsi="Calibri" w:cs="Times New Roman"/>
        </w:rPr>
      </w:pPr>
      <w:r w:rsidRPr="00A176C8">
        <w:rPr>
          <w:rFonts w:ascii="Calibri" w:eastAsia="Calibri" w:hAnsi="Calibri" w:cs="Times New Roman"/>
        </w:rPr>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A176C8" w:rsidRPr="00A176C8" w:rsidRDefault="00A176C8" w:rsidP="007D334C">
      <w:pPr>
        <w:keepNext/>
        <w:keepLines/>
        <w:numPr>
          <w:ilvl w:val="0"/>
          <w:numId w:val="14"/>
        </w:numPr>
        <w:spacing w:before="113" w:after="113" w:line="260" w:lineRule="atLeast"/>
        <w:ind w:left="284" w:hanging="284"/>
        <w:contextualSpacing/>
        <w:rPr>
          <w:rFonts w:ascii="Calibri" w:eastAsia="Calibri" w:hAnsi="Calibri" w:cs="Times New Roman"/>
          <w:sz w:val="20"/>
          <w:szCs w:val="20"/>
        </w:rPr>
      </w:pPr>
      <w:r w:rsidRPr="00A176C8">
        <w:rPr>
          <w:rFonts w:ascii="Calibri" w:eastAsia="Calibri" w:hAnsi="Calibri" w:cs="Times New Roman"/>
          <w:sz w:val="20"/>
          <w:szCs w:val="20"/>
        </w:rPr>
        <w:t>Figures may not sum to totals due to rounding.</w:t>
      </w:r>
    </w:p>
    <w:p w:rsidR="00A176C8" w:rsidRPr="00A176C8" w:rsidRDefault="00A176C8" w:rsidP="007D334C">
      <w:pPr>
        <w:keepNext/>
        <w:keepLines/>
        <w:spacing w:before="113" w:after="113" w:line="260" w:lineRule="atLeast"/>
        <w:ind w:left="284" w:hanging="284"/>
        <w:contextualSpacing/>
        <w:rPr>
          <w:rFonts w:ascii="Calibri" w:eastAsia="Calibri" w:hAnsi="Calibri" w:cs="Times New Roman"/>
          <w:sz w:val="20"/>
          <w:szCs w:val="20"/>
        </w:rPr>
      </w:pPr>
      <w:r w:rsidRPr="00A176C8">
        <w:rPr>
          <w:rFonts w:ascii="Calibri" w:eastAsia="Calibri" w:hAnsi="Calibri" w:cs="Times New Roman"/>
          <w:sz w:val="20"/>
          <w:szCs w:val="20"/>
        </w:rPr>
        <w:t>..</w:t>
      </w:r>
      <w:r w:rsidRPr="00A176C8">
        <w:rPr>
          <w:rFonts w:ascii="Calibri" w:eastAsia="Calibri" w:hAnsi="Calibri" w:cs="Times New Roman"/>
          <w:sz w:val="20"/>
          <w:szCs w:val="20"/>
        </w:rPr>
        <w:tab/>
        <w:t>Not zero but rounded to zero.</w:t>
      </w:r>
    </w:p>
    <w:p w:rsidR="00A176C8" w:rsidRPr="00A176C8" w:rsidRDefault="00A176C8" w:rsidP="007D334C">
      <w:pPr>
        <w:numPr>
          <w:ilvl w:val="0"/>
          <w:numId w:val="13"/>
        </w:numPr>
        <w:spacing w:before="113" w:after="113" w:line="260" w:lineRule="atLeast"/>
        <w:ind w:left="284" w:hanging="284"/>
        <w:contextualSpacing/>
        <w:rPr>
          <w:rFonts w:ascii="Calibri" w:eastAsia="Calibri" w:hAnsi="Calibri" w:cs="Times New Roman"/>
          <w:sz w:val="20"/>
          <w:szCs w:val="20"/>
        </w:rPr>
      </w:pPr>
      <w:r w:rsidRPr="00A176C8">
        <w:rPr>
          <w:rFonts w:ascii="Calibri" w:eastAsia="Calibri" w:hAnsi="Calibri" w:cs="Times New Roman"/>
          <w:sz w:val="20"/>
          <w:szCs w:val="20"/>
        </w:rPr>
        <w:t>Indicates nil.</w:t>
      </w:r>
    </w:p>
    <w:p w:rsidR="00A176C8" w:rsidRDefault="00A176C8" w:rsidP="007D334C">
      <w:pPr>
        <w:pStyle w:val="BodyText"/>
        <w:ind w:left="284" w:hanging="284"/>
        <w:contextualSpacing/>
        <w:sectPr w:rsidR="00A176C8"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19" w:name="_Toc458081639"/>
      <w:r>
        <w:t>ALP015: Negative Gearing and CGT reform</w:t>
      </w:r>
      <w:bookmarkEnd w:id="19"/>
    </w:p>
    <w:p w:rsidR="00745988" w:rsidRDefault="00745988" w:rsidP="00745988">
      <w:pPr>
        <w:pStyle w:val="BodyText"/>
      </w:pPr>
      <w:r>
        <w:rPr>
          <w:noProof/>
          <w:lang w:eastAsia="en-AU"/>
        </w:rPr>
        <w:drawing>
          <wp:inline distT="0" distB="0" distL="0" distR="0" wp14:anchorId="1595F892" wp14:editId="356DBEE0">
            <wp:extent cx="2696845" cy="572135"/>
            <wp:effectExtent l="0" t="0" r="8255" b="0"/>
            <wp:docPr id="378" name="Picture 37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5B11F6">
            <w:pPr>
              <w:pStyle w:val="PullOutBoxHeading"/>
              <w:rPr>
                <w:b/>
              </w:rPr>
            </w:pPr>
            <w:r w:rsidRPr="00E758BA">
              <w:rPr>
                <w:b/>
              </w:rPr>
              <w:t>Name of proposal:</w:t>
            </w:r>
          </w:p>
        </w:tc>
        <w:tc>
          <w:tcPr>
            <w:tcW w:w="3191" w:type="pct"/>
          </w:tcPr>
          <w:p w:rsidR="00420CF4" w:rsidRPr="00E758BA" w:rsidRDefault="00002C16" w:rsidP="005B11F6">
            <w:pPr>
              <w:pStyle w:val="PullOutBoxHeading"/>
              <w:rPr>
                <w:b/>
              </w:rPr>
            </w:pPr>
            <w:r w:rsidRPr="00E758BA">
              <w:rPr>
                <w:b/>
              </w:rPr>
              <w:t>Negative Gearing and CGT reform</w:t>
            </w:r>
          </w:p>
        </w:tc>
      </w:tr>
      <w:tr w:rsidR="00420CF4" w:rsidRPr="00B45F94" w:rsidTr="00967BCD">
        <w:tc>
          <w:tcPr>
            <w:tcW w:w="1809" w:type="pct"/>
          </w:tcPr>
          <w:p w:rsidR="00420CF4" w:rsidRPr="00B45F94" w:rsidRDefault="00420CF4" w:rsidP="005B11F6">
            <w:pPr>
              <w:pStyle w:val="PullOutBoxHeading"/>
            </w:pPr>
            <w:r w:rsidRPr="00B45F94">
              <w:t>Summary of proposal:</w:t>
            </w:r>
          </w:p>
        </w:tc>
        <w:tc>
          <w:tcPr>
            <w:tcW w:w="3191" w:type="pct"/>
          </w:tcPr>
          <w:p w:rsidR="00002C16" w:rsidRPr="00002C16" w:rsidRDefault="00002C16" w:rsidP="005B11F6">
            <w:pPr>
              <w:pStyle w:val="PullOutBoxBodyText"/>
            </w:pPr>
            <w:r w:rsidRPr="00002C16">
              <w:t>The proposal has two components.</w:t>
            </w:r>
          </w:p>
          <w:p w:rsidR="00420CF4" w:rsidRPr="005B11F6" w:rsidRDefault="00002C16" w:rsidP="005B11F6">
            <w:pPr>
              <w:pStyle w:val="PullOutBoxBodyText"/>
              <w:rPr>
                <w:u w:val="single"/>
              </w:rPr>
            </w:pPr>
            <w:r w:rsidRPr="005B11F6">
              <w:rPr>
                <w:u w:val="single"/>
              </w:rPr>
              <w:t>Component 1 - Remove negative gearing</w:t>
            </w:r>
          </w:p>
          <w:p w:rsidR="00002C16" w:rsidRPr="005B11F6" w:rsidRDefault="00002C16" w:rsidP="005B11F6">
            <w:pPr>
              <w:pStyle w:val="PullOutBoxBullet"/>
            </w:pPr>
            <w:r w:rsidRPr="005B11F6">
              <w:t>This component would remove negative gearing arrangements for all non</w:t>
            </w:r>
            <w:r w:rsidRPr="005B11F6">
              <w:noBreakHyphen/>
              <w:t>business investment assets by individuals, superannuation funds, partnerships, trusts and companies, but allow these taxpayers to negatively gear non-business related investments in the construction and purchase of new dwellings.</w:t>
            </w:r>
          </w:p>
          <w:p w:rsidR="00002C16" w:rsidRPr="00130954" w:rsidRDefault="00002C16" w:rsidP="00130954">
            <w:pPr>
              <w:pStyle w:val="PullOutBoxBullet2"/>
            </w:pPr>
            <w:r>
              <w:t>I</w:t>
            </w:r>
            <w:r w:rsidRPr="00130954">
              <w:t>n removing negative gearing any investment losses could still be used to offset any investment gains, regardless of asset class.</w:t>
            </w:r>
          </w:p>
          <w:p w:rsidR="00002C16" w:rsidRPr="00130954" w:rsidRDefault="00002C16" w:rsidP="00130954">
            <w:pPr>
              <w:pStyle w:val="PullOutBoxBullet2"/>
            </w:pPr>
            <w:r w:rsidRPr="00130954">
              <w:t>Within-year non-business investment losses could be accumulated and used to offset any future capital gain made on these assets.</w:t>
            </w:r>
          </w:p>
          <w:p w:rsidR="00002C16" w:rsidRPr="005B11F6" w:rsidRDefault="00002C16" w:rsidP="005B11F6">
            <w:pPr>
              <w:pStyle w:val="PullOutBoxBodyText"/>
              <w:rPr>
                <w:u w:val="single"/>
              </w:rPr>
            </w:pPr>
            <w:r w:rsidRPr="005B11F6">
              <w:rPr>
                <w:u w:val="single"/>
              </w:rPr>
              <w:t>Component 2 - Halve the capital gains tax (CGT) discount</w:t>
            </w:r>
          </w:p>
          <w:p w:rsidR="00002C16" w:rsidRPr="005B11F6" w:rsidRDefault="00002C16" w:rsidP="005B11F6">
            <w:pPr>
              <w:pStyle w:val="PullOutBoxBullet"/>
            </w:pPr>
            <w:r w:rsidRPr="005B11F6">
              <w:t>This component would change the CGT discount from 50 per cent after a 12-month holding period to a 25</w:t>
            </w:r>
            <w:r w:rsidR="0002270A" w:rsidRPr="005B11F6">
              <w:t> </w:t>
            </w:r>
            <w:r w:rsidRPr="005B11F6">
              <w:t>per cent discount after a 12-month period.</w:t>
            </w:r>
          </w:p>
          <w:p w:rsidR="00002C16" w:rsidRDefault="00002C16" w:rsidP="00CD5F40">
            <w:pPr>
              <w:pStyle w:val="PullOutBoxBullet2"/>
            </w:pPr>
            <w:r>
              <w:t>The changes to the CGT discount would not apply to superannuation funds or to small businesses which also access the 50 per cent active asset reduction concession.</w:t>
            </w:r>
          </w:p>
          <w:p w:rsidR="00002C16" w:rsidRPr="00B45F94" w:rsidRDefault="00002C16" w:rsidP="005B11F6">
            <w:pPr>
              <w:pStyle w:val="PullOutBoxBodyText"/>
            </w:pPr>
            <w:r>
              <w:t>The proposal would have effect from 1 July 2017 and would only apply to assets purchased or investments made on or after 1 July 2017.</w:t>
            </w:r>
          </w:p>
        </w:tc>
      </w:tr>
      <w:tr w:rsidR="00420CF4" w:rsidRPr="00B45F94" w:rsidTr="00967BCD">
        <w:tc>
          <w:tcPr>
            <w:tcW w:w="1809" w:type="pct"/>
          </w:tcPr>
          <w:p w:rsidR="00420CF4" w:rsidRPr="00B45F94" w:rsidRDefault="00420CF4" w:rsidP="005B11F6">
            <w:pPr>
              <w:pStyle w:val="PullOutBoxBodyText"/>
            </w:pPr>
            <w:r>
              <w:t>Party:</w:t>
            </w:r>
          </w:p>
        </w:tc>
        <w:tc>
          <w:tcPr>
            <w:tcW w:w="3191" w:type="pct"/>
          </w:tcPr>
          <w:p w:rsidR="00420CF4" w:rsidRPr="00B45F94" w:rsidRDefault="00420CF4" w:rsidP="005B11F6">
            <w:pPr>
              <w:pStyle w:val="PullOutBoxBodyText"/>
            </w:pPr>
            <w:r>
              <w:t>Australian Labor Party</w:t>
            </w:r>
          </w:p>
        </w:tc>
      </w:tr>
      <w:tr w:rsidR="00420CF4" w:rsidRPr="00B45F94" w:rsidTr="00967BCD">
        <w:tc>
          <w:tcPr>
            <w:tcW w:w="1809" w:type="pct"/>
          </w:tcPr>
          <w:p w:rsidR="00420CF4" w:rsidRPr="00B45F94" w:rsidRDefault="00420CF4" w:rsidP="005B11F6">
            <w:pPr>
              <w:pStyle w:val="PullOutBoxBodyText"/>
            </w:pPr>
            <w:r w:rsidRPr="00B45F94">
              <w:t>Expiry date for the costing:</w:t>
            </w:r>
          </w:p>
        </w:tc>
        <w:tc>
          <w:tcPr>
            <w:tcW w:w="3191" w:type="pct"/>
          </w:tcPr>
          <w:p w:rsidR="00420CF4" w:rsidRPr="00B45F94" w:rsidRDefault="00EC102A" w:rsidP="005B11F6">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3205CF" w:rsidRPr="003205CF" w:rsidRDefault="003205CF" w:rsidP="003205CF">
      <w:pPr>
        <w:pStyle w:val="BodyText"/>
      </w:pPr>
      <w:r w:rsidRPr="003205CF">
        <w:t>This proposal would be expected to increase both the fiscal and underlying cash balances by $1,929 million over the 2016</w:t>
      </w:r>
      <w:r w:rsidR="0002270A">
        <w:noBreakHyphen/>
      </w:r>
      <w:r w:rsidRPr="003205CF">
        <w:t>17 Budget forward estimates period.  This reflects a net increase in revenue of $1,950 million, partially offset by an increase in departmental expenses of $21</w:t>
      </w:r>
      <w:r w:rsidR="0002270A">
        <w:t> </w:t>
      </w:r>
      <w:r w:rsidRPr="003205CF">
        <w:t>million over this period.</w:t>
      </w:r>
    </w:p>
    <w:p w:rsidR="003205CF" w:rsidRPr="003205CF" w:rsidRDefault="003205CF" w:rsidP="003205CF">
      <w:pPr>
        <w:pStyle w:val="BodyText"/>
        <w:keepNext/>
        <w:keepLines/>
      </w:pPr>
      <w:r w:rsidRPr="003205CF">
        <w:t>This proposal would have an ongoing impa</w:t>
      </w:r>
      <w:r w:rsidR="00E84989">
        <w:t>ct that extends beyond the 2016</w:t>
      </w:r>
      <w:r w:rsidR="00E84989">
        <w:noBreakHyphen/>
      </w:r>
      <w:r w:rsidRPr="003205CF">
        <w:t>17 Budget forward estimates period.  The proposal would not fully mature</w:t>
      </w:r>
      <w:r w:rsidR="00111844" w:rsidRPr="00E53973">
        <w:rPr>
          <w:rStyle w:val="FootnoteReference"/>
        </w:rPr>
        <w:footnoteReference w:id="3"/>
      </w:r>
      <w:r w:rsidRPr="003205CF">
        <w:t xml:space="preserve"> until there were no remaining affected assets covered by the grandfathering provisions (that is, purchased prior to 1 July 2017).  Detailed financial implications of the proposal are provided at </w:t>
      </w:r>
      <w:r w:rsidRPr="00E84989">
        <w:rPr>
          <w:u w:val="single"/>
        </w:rPr>
        <w:t>Attachment A</w:t>
      </w:r>
      <w:r w:rsidRPr="003205CF">
        <w:t>.</w:t>
      </w:r>
    </w:p>
    <w:p w:rsidR="003205CF" w:rsidRPr="003205CF" w:rsidRDefault="003205CF" w:rsidP="003205CF">
      <w:pPr>
        <w:pStyle w:val="BodyText"/>
      </w:pPr>
      <w:r w:rsidRPr="003205CF">
        <w:t>The increase in departmental expenses associated with the proposal would allow the Australian Taxation Office (ATO) to make systems changes, conduct information campaigns and undertake compliance activities.</w:t>
      </w:r>
    </w:p>
    <w:p w:rsidR="003205CF" w:rsidRDefault="003205CF" w:rsidP="003205CF">
      <w:pPr>
        <w:pStyle w:val="BodyText"/>
      </w:pPr>
      <w:r w:rsidRPr="003205CF">
        <w:t>The costing is considered to be of low reliability, reflecting the low reliability of each of the two components due to the:</w:t>
      </w:r>
    </w:p>
    <w:p w:rsidR="003205CF" w:rsidRDefault="003205CF" w:rsidP="003205CF">
      <w:pPr>
        <w:pStyle w:val="ListBullet"/>
      </w:pPr>
      <w:r>
        <w:t>significant gap between the implementation date and when the proposal reaches maturity, as well as uncertainty surrounding behavioural responses and broader economic impacts (Component 1)</w:t>
      </w:r>
    </w:p>
    <w:p w:rsidR="003205CF" w:rsidRDefault="003205CF" w:rsidP="003205CF">
      <w:pPr>
        <w:pStyle w:val="ListBullet"/>
      </w:pPr>
      <w:r>
        <w:t>large volatility in CGT revenue and uncertainty around the size of possible behavioural responses and broader economic impacts (Component 2).</w:t>
      </w:r>
    </w:p>
    <w:p w:rsidR="003205CF" w:rsidRPr="003205CF" w:rsidRDefault="003205CF" w:rsidP="003205CF">
      <w:pPr>
        <w:pStyle w:val="BodyText"/>
      </w:pPr>
      <w:r w:rsidRPr="003205CF">
        <w:t>The reliability of the costing decreases the further into the future the estimates are projected.</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5B11F6">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5B11F6">
            <w:pPr>
              <w:pStyle w:val="TableHeading"/>
            </w:pPr>
            <w:r>
              <w:t>Impact on</w:t>
            </w:r>
            <w:r w:rsidR="003205CF">
              <w:t xml:space="preserve"> ($m)</w:t>
            </w:r>
          </w:p>
        </w:tc>
        <w:tc>
          <w:tcPr>
            <w:tcW w:w="721" w:type="pct"/>
            <w:vAlign w:val="center"/>
          </w:tcPr>
          <w:p w:rsidR="00420CF4" w:rsidRPr="00FC1F1C" w:rsidRDefault="00420CF4" w:rsidP="005B11F6">
            <w:pPr>
              <w:pStyle w:val="TableHeadingRight"/>
            </w:pPr>
            <w:r>
              <w:t>2016–17</w:t>
            </w:r>
          </w:p>
        </w:tc>
        <w:tc>
          <w:tcPr>
            <w:tcW w:w="721" w:type="pct"/>
            <w:vAlign w:val="center"/>
          </w:tcPr>
          <w:p w:rsidR="00420CF4" w:rsidRPr="00FC1F1C" w:rsidRDefault="00420CF4" w:rsidP="005B11F6">
            <w:pPr>
              <w:pStyle w:val="TableHeadingRight"/>
            </w:pPr>
            <w:r>
              <w:t>2017–18</w:t>
            </w:r>
          </w:p>
        </w:tc>
        <w:tc>
          <w:tcPr>
            <w:tcW w:w="722" w:type="pct"/>
            <w:vAlign w:val="center"/>
          </w:tcPr>
          <w:p w:rsidR="00420CF4" w:rsidRPr="00FC1F1C" w:rsidRDefault="00420CF4" w:rsidP="005B11F6">
            <w:pPr>
              <w:pStyle w:val="TableHeadingRight"/>
            </w:pPr>
            <w:r>
              <w:t>2018–19</w:t>
            </w:r>
          </w:p>
        </w:tc>
        <w:tc>
          <w:tcPr>
            <w:tcW w:w="721" w:type="pct"/>
            <w:vAlign w:val="center"/>
          </w:tcPr>
          <w:p w:rsidR="00420CF4" w:rsidRPr="00FC1F1C" w:rsidRDefault="00420CF4" w:rsidP="005B11F6">
            <w:pPr>
              <w:pStyle w:val="TableHeadingRight"/>
            </w:pPr>
            <w:r>
              <w:t>2019–20</w:t>
            </w:r>
          </w:p>
        </w:tc>
        <w:tc>
          <w:tcPr>
            <w:tcW w:w="722" w:type="pct"/>
            <w:vAlign w:val="center"/>
          </w:tcPr>
          <w:p w:rsidR="00420CF4" w:rsidRDefault="00420CF4" w:rsidP="005B11F6">
            <w:pPr>
              <w:pStyle w:val="TableTextRight"/>
            </w:pPr>
            <w:r>
              <w:t>Total</w:t>
            </w:r>
          </w:p>
        </w:tc>
      </w:tr>
      <w:tr w:rsidR="003205CF" w:rsidTr="005B11F6">
        <w:tc>
          <w:tcPr>
            <w:tcW w:w="1393" w:type="pct"/>
            <w:vAlign w:val="center"/>
          </w:tcPr>
          <w:p w:rsidR="003205CF" w:rsidRDefault="003205CF" w:rsidP="005B11F6">
            <w:pPr>
              <w:pStyle w:val="TableText"/>
            </w:pPr>
            <w:r>
              <w:t>Fiscal balance</w:t>
            </w:r>
          </w:p>
        </w:tc>
        <w:tc>
          <w:tcPr>
            <w:tcW w:w="721" w:type="pct"/>
            <w:vAlign w:val="center"/>
          </w:tcPr>
          <w:p w:rsidR="003205CF" w:rsidRPr="003A3459" w:rsidRDefault="003205CF" w:rsidP="005B11F6">
            <w:pPr>
              <w:pStyle w:val="TableTextCentred"/>
              <w:keepNext/>
              <w:keepLines/>
              <w:jc w:val="right"/>
              <w:rPr>
                <w:szCs w:val="20"/>
              </w:rPr>
            </w:pPr>
            <w:r>
              <w:rPr>
                <w:szCs w:val="20"/>
              </w:rPr>
              <w:t>-</w:t>
            </w:r>
          </w:p>
        </w:tc>
        <w:tc>
          <w:tcPr>
            <w:tcW w:w="721" w:type="pct"/>
            <w:vAlign w:val="center"/>
          </w:tcPr>
          <w:p w:rsidR="003205CF" w:rsidRPr="003A3459" w:rsidRDefault="003205CF" w:rsidP="005B11F6">
            <w:pPr>
              <w:pStyle w:val="TableTextCentred"/>
              <w:keepNext/>
              <w:keepLines/>
              <w:jc w:val="right"/>
              <w:rPr>
                <w:szCs w:val="20"/>
              </w:rPr>
            </w:pPr>
            <w:r>
              <w:rPr>
                <w:szCs w:val="20"/>
              </w:rPr>
              <w:t>-12.0</w:t>
            </w:r>
          </w:p>
        </w:tc>
        <w:tc>
          <w:tcPr>
            <w:tcW w:w="722" w:type="pct"/>
            <w:vAlign w:val="center"/>
          </w:tcPr>
          <w:p w:rsidR="003205CF" w:rsidRPr="00B73AC8" w:rsidRDefault="003205CF" w:rsidP="005B11F6">
            <w:pPr>
              <w:pStyle w:val="TableTextCentred"/>
              <w:keepNext/>
              <w:keepLines/>
              <w:jc w:val="right"/>
              <w:rPr>
                <w:szCs w:val="20"/>
              </w:rPr>
            </w:pPr>
            <w:r>
              <w:rPr>
                <w:szCs w:val="20"/>
              </w:rPr>
              <w:t>542.0</w:t>
            </w:r>
          </w:p>
        </w:tc>
        <w:tc>
          <w:tcPr>
            <w:tcW w:w="721" w:type="pct"/>
            <w:vAlign w:val="center"/>
          </w:tcPr>
          <w:p w:rsidR="003205CF" w:rsidRPr="00B73AC8" w:rsidRDefault="003205CF" w:rsidP="005B11F6">
            <w:pPr>
              <w:pStyle w:val="TableTextCentred"/>
              <w:keepNext/>
              <w:keepLines/>
              <w:jc w:val="right"/>
              <w:rPr>
                <w:szCs w:val="20"/>
              </w:rPr>
            </w:pPr>
            <w:r>
              <w:rPr>
                <w:szCs w:val="20"/>
              </w:rPr>
              <w:t>1,399.0</w:t>
            </w:r>
          </w:p>
        </w:tc>
        <w:tc>
          <w:tcPr>
            <w:tcW w:w="722" w:type="pct"/>
            <w:vAlign w:val="center"/>
          </w:tcPr>
          <w:p w:rsidR="003205CF" w:rsidRPr="00F97DFF" w:rsidRDefault="003205CF" w:rsidP="005B11F6">
            <w:pPr>
              <w:pStyle w:val="TableTextCentred"/>
              <w:keepNext/>
              <w:keepLines/>
              <w:jc w:val="right"/>
              <w:rPr>
                <w:b/>
                <w:szCs w:val="20"/>
              </w:rPr>
            </w:pPr>
            <w:r>
              <w:rPr>
                <w:b/>
                <w:szCs w:val="20"/>
              </w:rPr>
              <w:t>1,929.0</w:t>
            </w:r>
          </w:p>
        </w:tc>
      </w:tr>
      <w:tr w:rsidR="003205CF" w:rsidTr="005B11F6">
        <w:tc>
          <w:tcPr>
            <w:tcW w:w="1393" w:type="pct"/>
            <w:vAlign w:val="center"/>
          </w:tcPr>
          <w:p w:rsidR="003205CF" w:rsidRDefault="003205CF" w:rsidP="005B11F6">
            <w:pPr>
              <w:pStyle w:val="TableText"/>
            </w:pPr>
            <w:r>
              <w:t>Underlying cash balance</w:t>
            </w:r>
          </w:p>
        </w:tc>
        <w:tc>
          <w:tcPr>
            <w:tcW w:w="721" w:type="pct"/>
            <w:vAlign w:val="center"/>
          </w:tcPr>
          <w:p w:rsidR="003205CF" w:rsidRPr="003A3459" w:rsidRDefault="003205CF" w:rsidP="005B11F6">
            <w:pPr>
              <w:pStyle w:val="TableTextCentred"/>
              <w:keepNext/>
              <w:keepLines/>
              <w:jc w:val="right"/>
              <w:rPr>
                <w:szCs w:val="20"/>
              </w:rPr>
            </w:pPr>
            <w:r>
              <w:rPr>
                <w:szCs w:val="20"/>
              </w:rPr>
              <w:t>-</w:t>
            </w:r>
          </w:p>
        </w:tc>
        <w:tc>
          <w:tcPr>
            <w:tcW w:w="721" w:type="pct"/>
            <w:vAlign w:val="center"/>
          </w:tcPr>
          <w:p w:rsidR="003205CF" w:rsidRPr="003A3459" w:rsidRDefault="003205CF" w:rsidP="005B11F6">
            <w:pPr>
              <w:pStyle w:val="TableTextCentred"/>
              <w:keepNext/>
              <w:keepLines/>
              <w:jc w:val="right"/>
              <w:rPr>
                <w:szCs w:val="20"/>
              </w:rPr>
            </w:pPr>
            <w:r>
              <w:rPr>
                <w:szCs w:val="20"/>
              </w:rPr>
              <w:t>-12.0</w:t>
            </w:r>
          </w:p>
        </w:tc>
        <w:tc>
          <w:tcPr>
            <w:tcW w:w="722" w:type="pct"/>
            <w:vAlign w:val="center"/>
          </w:tcPr>
          <w:p w:rsidR="003205CF" w:rsidRPr="00B73AC8" w:rsidRDefault="003205CF" w:rsidP="005B11F6">
            <w:pPr>
              <w:pStyle w:val="TableTextCentred"/>
              <w:keepNext/>
              <w:keepLines/>
              <w:jc w:val="right"/>
              <w:rPr>
                <w:szCs w:val="20"/>
              </w:rPr>
            </w:pPr>
            <w:r>
              <w:rPr>
                <w:szCs w:val="20"/>
              </w:rPr>
              <w:t>542.0</w:t>
            </w:r>
          </w:p>
        </w:tc>
        <w:tc>
          <w:tcPr>
            <w:tcW w:w="721" w:type="pct"/>
            <w:vAlign w:val="center"/>
          </w:tcPr>
          <w:p w:rsidR="003205CF" w:rsidRPr="00B73AC8" w:rsidRDefault="003205CF" w:rsidP="005B11F6">
            <w:pPr>
              <w:pStyle w:val="TableTextCentred"/>
              <w:keepNext/>
              <w:keepLines/>
              <w:jc w:val="right"/>
              <w:rPr>
                <w:szCs w:val="20"/>
              </w:rPr>
            </w:pPr>
            <w:r>
              <w:rPr>
                <w:szCs w:val="20"/>
              </w:rPr>
              <w:t>1,399.0</w:t>
            </w:r>
          </w:p>
        </w:tc>
        <w:tc>
          <w:tcPr>
            <w:tcW w:w="722" w:type="pct"/>
            <w:vAlign w:val="center"/>
          </w:tcPr>
          <w:p w:rsidR="003205CF" w:rsidRPr="00F97DFF" w:rsidRDefault="003205CF" w:rsidP="005B11F6">
            <w:pPr>
              <w:pStyle w:val="TableTextCentred"/>
              <w:keepNext/>
              <w:keepLines/>
              <w:jc w:val="right"/>
              <w:rPr>
                <w:b/>
                <w:szCs w:val="20"/>
              </w:rPr>
            </w:pPr>
            <w:r>
              <w:rPr>
                <w:b/>
                <w:szCs w:val="20"/>
              </w:rPr>
              <w:t>1,929.0</w:t>
            </w:r>
          </w:p>
        </w:tc>
      </w:tr>
    </w:tbl>
    <w:p w:rsidR="003205CF" w:rsidRPr="003205CF" w:rsidRDefault="003205CF" w:rsidP="003768DC">
      <w:pPr>
        <w:pStyle w:val="Footnotes"/>
        <w:numPr>
          <w:ilvl w:val="0"/>
          <w:numId w:val="34"/>
        </w:numPr>
        <w:ind w:left="284" w:hanging="284"/>
      </w:pPr>
      <w:r w:rsidRPr="003205CF">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420CF4" w:rsidRDefault="00420CF4" w:rsidP="003768DC">
      <w:pPr>
        <w:pStyle w:val="Footnotes"/>
        <w:numPr>
          <w:ilvl w:val="0"/>
          <w:numId w:val="14"/>
        </w:numPr>
        <w:ind w:left="284" w:hanging="284"/>
      </w:pPr>
      <w:r w:rsidRPr="00967BCD">
        <w:t>Figures may not sum to totals due to rounding.</w:t>
      </w:r>
    </w:p>
    <w:p w:rsidR="003205CF" w:rsidRDefault="003205CF" w:rsidP="003768DC">
      <w:pPr>
        <w:pStyle w:val="Footnotes"/>
        <w:keepLines/>
        <w:numPr>
          <w:ilvl w:val="0"/>
          <w:numId w:val="33"/>
        </w:numPr>
        <w:spacing w:before="0"/>
        <w:ind w:left="284" w:hanging="284"/>
        <w:contextualSpacing w:val="0"/>
      </w:pPr>
      <w:r>
        <w:t>Indicates nil</w:t>
      </w:r>
      <w:r w:rsidR="00BD69AE">
        <w:t>.</w:t>
      </w:r>
    </w:p>
    <w:p w:rsidR="00420CF4" w:rsidRDefault="00420CF4" w:rsidP="00420CF4">
      <w:pPr>
        <w:pStyle w:val="CostingsH7"/>
      </w:pPr>
      <w:r>
        <w:t>Key assumptions</w:t>
      </w:r>
    </w:p>
    <w:p w:rsidR="00B07683" w:rsidRDefault="00111844" w:rsidP="00111844">
      <w:pPr>
        <w:pStyle w:val="ListBullet"/>
      </w:pPr>
      <w:r>
        <w:t>The Parliamentary Budget Office (PBO) has assumed that following the announcement of the proposal, some taxpayers would choose to bring forward purchases of negatively geared and CGT assets to before 1 July 2017 to take advantage of the grandfathering provisions that would apply to assets purchased before this date</w:t>
      </w:r>
      <w:r w:rsidR="00B07683">
        <w:t>.</w:t>
      </w:r>
    </w:p>
    <w:p w:rsidR="00C859C2" w:rsidRDefault="00111844" w:rsidP="00111844">
      <w:pPr>
        <w:pStyle w:val="ListBullet"/>
      </w:pPr>
      <w:r>
        <w:t>Assumptions have been made on the proportion of new investments that are negatively geared, the associated investment income and deductions, and realised capital gains for assets purchased on or after 1 July 2017 in each year, based on an examination of:</w:t>
      </w:r>
    </w:p>
    <w:p w:rsidR="00111844" w:rsidRDefault="00111844" w:rsidP="00111844">
      <w:pPr>
        <w:pStyle w:val="ListBullet2"/>
      </w:pPr>
      <w:r>
        <w:t>ATO rental income schedules</w:t>
      </w:r>
    </w:p>
    <w:p w:rsidR="00111844" w:rsidRDefault="00111844" w:rsidP="00111844">
      <w:pPr>
        <w:pStyle w:val="ListBullet2"/>
      </w:pPr>
      <w:r>
        <w:t>unit record data from the Australian Bureau of Statistics (ABS) Survey of Income and Housing</w:t>
      </w:r>
    </w:p>
    <w:p w:rsidR="00111844" w:rsidRDefault="00111844" w:rsidP="00111844">
      <w:pPr>
        <w:pStyle w:val="ListBullet2"/>
      </w:pPr>
      <w:r>
        <w:t>data relating to holding times of residential property in the United States (US) from the US Census Bureau and US Department of Housing and Urban Development’s 2007 American Housing Survey</w:t>
      </w:r>
    </w:p>
    <w:p w:rsidR="00111844" w:rsidRDefault="00111844" w:rsidP="00111844">
      <w:pPr>
        <w:pStyle w:val="ListBullet2"/>
      </w:pPr>
      <w:r>
        <w:t>data on holding times of Australian equities from the 2012 Australian Share Ownership Study.</w:t>
      </w:r>
    </w:p>
    <w:p w:rsidR="00111844" w:rsidRPr="00111844" w:rsidRDefault="00111844" w:rsidP="00111844">
      <w:pPr>
        <w:pStyle w:val="ListBullet"/>
      </w:pPr>
      <w:r w:rsidRPr="00111844">
        <w:t>The proposal would provide an incentive for individuals who would otherwise invest in existing dwellings to invest in the construction or purchase of new dwellings.  The extent to which this would occur would depend on, among other things, the number of new dwellings completed each year.  The PBO has assumed that a proportion of individuals who would negatively gear existing properties in the absence of this proposal would shift to investing in the constructio</w:t>
      </w:r>
      <w:r>
        <w:t>n or purchase of new dwellings.</w:t>
      </w:r>
      <w:r w:rsidRPr="00E53973">
        <w:rPr>
          <w:rStyle w:val="FootnoteReference"/>
        </w:rPr>
        <w:footnoteReference w:id="4"/>
      </w:r>
    </w:p>
    <w:p w:rsidR="00111844" w:rsidRPr="00111844" w:rsidRDefault="00111844" w:rsidP="00111844">
      <w:pPr>
        <w:pStyle w:val="ListBullet"/>
      </w:pPr>
      <w:r w:rsidRPr="00111844">
        <w:t>There are a number of other potential behavioural responses associated with changes to negative gearing and the CGT discount.</w:t>
      </w:r>
    </w:p>
    <w:p w:rsidR="00111844" w:rsidRDefault="00111844" w:rsidP="00111844">
      <w:pPr>
        <w:pStyle w:val="ListBullet2"/>
      </w:pPr>
      <w:r w:rsidRPr="00D46183">
        <w:t>This costing includes an assumed behavioural response to account for the increased use of alternative mechanisms to reduce tax liability.</w:t>
      </w:r>
    </w:p>
    <w:p w:rsidR="00111844" w:rsidRDefault="00111844" w:rsidP="00111844">
      <w:pPr>
        <w:pStyle w:val="ListBullet2"/>
      </w:pPr>
      <w:r w:rsidRPr="00D46183">
        <w:t>This proposal may have broader macroeconomic implications, including changes to asset prices, rents, interest rates and housing supply.  However as the size (and direction) of the broader macroeconomic implications would depend on the use to which the additional revenue was put, they have not been included in this costing.</w:t>
      </w:r>
    </w:p>
    <w:p w:rsidR="00111844" w:rsidRPr="00111844" w:rsidRDefault="00111844" w:rsidP="00111844">
      <w:pPr>
        <w:pStyle w:val="ListBullet"/>
      </w:pPr>
      <w:r w:rsidRPr="00111844">
        <w:t>The impact on payments to families and income support recipients due to changes in the incomes of such recipients undertaking negative gearing is not expected to be significant and has not been included in this costing.</w:t>
      </w:r>
    </w:p>
    <w:p w:rsidR="00420CF4" w:rsidRDefault="00420CF4" w:rsidP="00420CF4">
      <w:pPr>
        <w:pStyle w:val="CostingsH7"/>
      </w:pPr>
      <w:r>
        <w:t>Methodology</w:t>
      </w:r>
    </w:p>
    <w:p w:rsidR="00111844" w:rsidRPr="00006EF6" w:rsidRDefault="00111844" w:rsidP="007116AB">
      <w:pPr>
        <w:pStyle w:val="CostingsH8"/>
      </w:pPr>
      <w:r w:rsidRPr="00006EF6">
        <w:t>Component 1 - Remove negative gearing</w:t>
      </w:r>
    </w:p>
    <w:p w:rsidR="00111844" w:rsidRDefault="00111844" w:rsidP="00111844">
      <w:pPr>
        <w:pStyle w:val="ListBullet"/>
      </w:pPr>
      <w:r>
        <w:t>The costing of this component was based on a 16 per cent sample of de-identified personal income tax and superannuation returns for 2012</w:t>
      </w:r>
      <w:r w:rsidR="00BD69AE">
        <w:noBreakHyphen/>
      </w:r>
      <w:r>
        <w:t>13, as well as tax schedules for partnerships, trusts and superannuation funds (including self-managed superannuation funds).</w:t>
      </w:r>
    </w:p>
    <w:p w:rsidR="00111844" w:rsidRDefault="00111844" w:rsidP="00111844">
      <w:pPr>
        <w:pStyle w:val="ListBullet"/>
      </w:pPr>
      <w:r>
        <w:t>The data was used to estimate the amount by which negative gearing decreased taxable income for individuals and funds, including through distributions from partnerships and trusts.  To estimate the impact of changing negative gearing, total deductions for investments were limited to the amount of total income from investments.</w:t>
      </w:r>
    </w:p>
    <w:p w:rsidR="00111844" w:rsidRDefault="00111844" w:rsidP="00111844">
      <w:pPr>
        <w:pStyle w:val="ListBullet"/>
      </w:pPr>
      <w:r>
        <w:t>This change in taxable income was then adjusted to account for the behavioural responses identified above.  Further, the amount of additional taxable income relating to assets purchased after 1 July 2017 was estimated based on the grandfathering assumptions.</w:t>
      </w:r>
    </w:p>
    <w:p w:rsidR="00111844" w:rsidRDefault="00111844" w:rsidP="00111844">
      <w:pPr>
        <w:pStyle w:val="ListBullet"/>
      </w:pPr>
      <w:r>
        <w:t>To estimate the impact of allowing negative gearing for the construction or purchase of new dwellings only, the PBO estimated the proportion of negative gearing related to the construction and purchase of new dwellings based on housing finance data from the ABS.</w:t>
      </w:r>
      <w:r w:rsidRPr="00E53973">
        <w:rPr>
          <w:rStyle w:val="FootnoteReference"/>
        </w:rPr>
        <w:footnoteReference w:id="5"/>
      </w:r>
    </w:p>
    <w:p w:rsidR="00111844" w:rsidRDefault="00111844" w:rsidP="00111844">
      <w:pPr>
        <w:pStyle w:val="ListBullet"/>
      </w:pPr>
      <w:r>
        <w:t>Where the proposal would result in negative gearing deductions being denied, CGT estimates were adjusted to take account of the carry forward of negative gearing losses offsetting capital gains.</w:t>
      </w:r>
    </w:p>
    <w:p w:rsidR="00111844" w:rsidRPr="00006EF6" w:rsidRDefault="00111844" w:rsidP="007116AB">
      <w:pPr>
        <w:pStyle w:val="CostingsH8"/>
      </w:pPr>
      <w:r w:rsidRPr="00006EF6">
        <w:t>Component 2 - Halve the CGT discount</w:t>
      </w:r>
    </w:p>
    <w:p w:rsidR="00111844" w:rsidRPr="00111844" w:rsidRDefault="00111844" w:rsidP="00111844">
      <w:pPr>
        <w:pStyle w:val="ListBullet"/>
      </w:pPr>
      <w:r w:rsidRPr="00111844">
        <w:t xml:space="preserve">The expected revenue collections were calculated with the current discount (the base scenario) and with the proposed discount.  </w:t>
      </w:r>
    </w:p>
    <w:p w:rsidR="00111844" w:rsidRDefault="00111844" w:rsidP="00111844">
      <w:pPr>
        <w:pStyle w:val="ListBullet2"/>
      </w:pPr>
      <w:r>
        <w:t>The amount of assessable income from capital gains was estimated for each year from 2017</w:t>
      </w:r>
      <w:r w:rsidR="00BD69AE">
        <w:noBreakHyphen/>
        <w:t>18 to 2026</w:t>
      </w:r>
      <w:r w:rsidR="00BD69AE">
        <w:noBreakHyphen/>
      </w:r>
      <w:r>
        <w:t>27, based on current revenue estimates and projections of CGT.</w:t>
      </w:r>
    </w:p>
    <w:p w:rsidR="00111844" w:rsidRDefault="00111844" w:rsidP="00111844">
      <w:pPr>
        <w:pStyle w:val="ListBullet2"/>
      </w:pPr>
      <w:r>
        <w:t>This amount was reduced to reflect the proportion of capital gains subject to both the CGT discount and the 50 per cent active asset reduction in the 2012-13 CGT schedule.</w:t>
      </w:r>
    </w:p>
    <w:p w:rsidR="00111844" w:rsidRDefault="00111844" w:rsidP="00111844">
      <w:pPr>
        <w:pStyle w:val="ListBullet2"/>
      </w:pPr>
      <w:r>
        <w:t>In each year, the amount of CGT activity relating to assets purchased on or after 1</w:t>
      </w:r>
      <w:r w:rsidR="00BD69AE">
        <w:t> </w:t>
      </w:r>
      <w:r>
        <w:t>July 2017 was estimated based on the grandfathering assumptions.</w:t>
      </w:r>
    </w:p>
    <w:p w:rsidR="00111844" w:rsidRDefault="00111844" w:rsidP="00111844">
      <w:pPr>
        <w:pStyle w:val="ListBullet2"/>
      </w:pPr>
      <w:r>
        <w:t>An average marginal tax rate for individuals claiming net capital gains was estimated based on historic tax data, expected future income growth and announced future changes to tax rates.</w:t>
      </w:r>
    </w:p>
    <w:p w:rsidR="00111844" w:rsidRDefault="00111844" w:rsidP="00111844">
      <w:pPr>
        <w:pStyle w:val="ListBullet2"/>
      </w:pPr>
      <w:r>
        <w:t xml:space="preserve">The behavioural responses identified above were applied to investment in CGT assets under the proposal.  </w:t>
      </w:r>
    </w:p>
    <w:p w:rsidR="00111844" w:rsidRPr="00006EF6" w:rsidRDefault="00111844" w:rsidP="007116AB">
      <w:pPr>
        <w:pStyle w:val="CostingsH8"/>
      </w:pPr>
      <w:r w:rsidRPr="00006EF6">
        <w:t>Interactions</w:t>
      </w:r>
    </w:p>
    <w:p w:rsidR="00BD69AE" w:rsidRDefault="00111844" w:rsidP="00111844">
      <w:pPr>
        <w:pStyle w:val="ListBullet"/>
      </w:pPr>
      <w:r w:rsidRPr="00111844">
        <w:t xml:space="preserve">The halving of the CGT discount would interact with the change in CGT revenue in the negative gearing component.  This impact is included in the estimates of the negative gearing component in </w:t>
      </w:r>
      <w:r w:rsidRPr="00BD69AE">
        <w:rPr>
          <w:u w:val="single"/>
        </w:rPr>
        <w:t>Attachment A</w:t>
      </w:r>
      <w:r w:rsidRPr="00111844">
        <w:t>.</w:t>
      </w:r>
    </w:p>
    <w:p w:rsidR="00111844" w:rsidRPr="00006EF6" w:rsidRDefault="00111844" w:rsidP="005B11F6">
      <w:pPr>
        <w:pStyle w:val="CostingsH8"/>
      </w:pPr>
      <w:r w:rsidRPr="00006EF6">
        <w:t>General methodology</w:t>
      </w:r>
    </w:p>
    <w:p w:rsidR="00111844" w:rsidRDefault="00111844" w:rsidP="005B11F6">
      <w:pPr>
        <w:pStyle w:val="ListBullet"/>
        <w:keepNext/>
      </w:pPr>
      <w:r w:rsidRPr="00D46183">
        <w:t>This costing takes account of the timing of tax collections.</w:t>
      </w:r>
    </w:p>
    <w:p w:rsidR="00111844" w:rsidRDefault="00111844" w:rsidP="005B11F6">
      <w:pPr>
        <w:pStyle w:val="ListBullet"/>
        <w:keepNext/>
      </w:pPr>
      <w:r w:rsidRPr="00D46183">
        <w:t>Departmental expenses were estimated based on an analysis of previous policies with similar administrative complexity.</w:t>
      </w:r>
    </w:p>
    <w:p w:rsidR="00111844" w:rsidRDefault="00111844" w:rsidP="00111844">
      <w:pPr>
        <w:pStyle w:val="ListBullet"/>
      </w:pPr>
      <w:r w:rsidRPr="00D46183">
        <w:t>Estimates of revenue have been rounded to the nearest $50 million</w:t>
      </w:r>
      <w:r>
        <w:t>.</w:t>
      </w:r>
      <w:r w:rsidRPr="00D46183">
        <w:t xml:space="preserve"> </w:t>
      </w:r>
    </w:p>
    <w:p w:rsidR="00111844" w:rsidRPr="00D46183" w:rsidRDefault="00111844" w:rsidP="00111844">
      <w:pPr>
        <w:pStyle w:val="ListBullet"/>
      </w:pPr>
      <w:r w:rsidRPr="00D46183">
        <w:t>Departmental expense estimates have been rounded to the nearest $1 million.</w:t>
      </w:r>
    </w:p>
    <w:p w:rsidR="00111844" w:rsidRPr="00BF1EE6" w:rsidRDefault="00111844" w:rsidP="00111844">
      <w:pPr>
        <w:pStyle w:val="CostingsH7"/>
        <w:rPr>
          <w:rStyle w:val="Bold"/>
        </w:rPr>
      </w:pPr>
      <w:r>
        <w:t>Data sources</w:t>
      </w:r>
    </w:p>
    <w:p w:rsidR="00923993" w:rsidRPr="00923993" w:rsidRDefault="00923993" w:rsidP="00923993">
      <w:pPr>
        <w:pStyle w:val="BodyText"/>
      </w:pPr>
      <w:r w:rsidRPr="00923993">
        <w:t xml:space="preserve">Commonwealth Treasury 2015, </w:t>
      </w:r>
      <w:r w:rsidRPr="0073534F">
        <w:rPr>
          <w:i/>
        </w:rPr>
        <w:t>2015 Tax Expenditure Statement</w:t>
      </w:r>
      <w:r w:rsidRPr="00923993">
        <w:t>, The Treasury, Canberra.</w:t>
      </w:r>
    </w:p>
    <w:p w:rsidR="00923993" w:rsidRDefault="00100ACF" w:rsidP="00923993">
      <w:pPr>
        <w:pStyle w:val="BodyText"/>
      </w:pPr>
      <w:r w:rsidRPr="00100ACF">
        <w:t xml:space="preserve">Emrath, P 2009, </w:t>
      </w:r>
      <w:r w:rsidRPr="0073534F">
        <w:rPr>
          <w:i/>
        </w:rPr>
        <w:t>How Long Buyers Remain in their Homes</w:t>
      </w:r>
      <w:r w:rsidRPr="00100ACF">
        <w:t>,  National Association of Home Builders, available at: http://www.nahb.org/en/research/housing-economics/special-studies/archives/how-long-buyers-remain-in-their-homes-2009.aspx.</w:t>
      </w:r>
      <w:r w:rsidR="00923993" w:rsidRPr="00923993">
        <w:t xml:space="preserve">National Housing Supply Council 2011, </w:t>
      </w:r>
      <w:r w:rsidR="00923993" w:rsidRPr="0073534F">
        <w:rPr>
          <w:i/>
        </w:rPr>
        <w:t>State of Supply Report 2011</w:t>
      </w:r>
      <w:r w:rsidR="00923993" w:rsidRPr="00923993">
        <w:t xml:space="preserve">, available at: </w:t>
      </w:r>
      <w:hyperlink r:id="rId37" w:history="1">
        <w:r w:rsidR="001929FB" w:rsidRPr="00D74B48">
          <w:rPr>
            <w:rStyle w:val="Hyperlink"/>
          </w:rPr>
          <w:t>http://www.treasury.gov.au/PublicationsAndMedia/Publications/2011/NHSC</w:t>
        </w:r>
      </w:hyperlink>
      <w:r w:rsidR="00923993" w:rsidRPr="00923993">
        <w:t>.</w:t>
      </w:r>
    </w:p>
    <w:p w:rsidR="001929FB" w:rsidRPr="001929FB" w:rsidRDefault="001929FB" w:rsidP="00923993">
      <w:pPr>
        <w:pStyle w:val="BodyText"/>
      </w:pPr>
      <w:r w:rsidRPr="001929FB">
        <w:t>The Australian Taxation Office provided:</w:t>
      </w:r>
    </w:p>
    <w:p w:rsidR="00111844" w:rsidRPr="001929FB" w:rsidRDefault="00111844" w:rsidP="00111844">
      <w:pPr>
        <w:pStyle w:val="ListBullet"/>
      </w:pPr>
      <w:r w:rsidRPr="001929FB">
        <w:t>2012</w:t>
      </w:r>
      <w:r w:rsidRPr="001929FB">
        <w:noBreakHyphen/>
        <w:t>13 personal income tax and superannuation return data</w:t>
      </w:r>
    </w:p>
    <w:p w:rsidR="00111844" w:rsidRPr="001929FB" w:rsidRDefault="00111844" w:rsidP="00111844">
      <w:pPr>
        <w:pStyle w:val="ListBullet"/>
      </w:pPr>
      <w:r w:rsidRPr="001929FB">
        <w:t>2012</w:t>
      </w:r>
      <w:r w:rsidRPr="001929FB">
        <w:noBreakHyphen/>
        <w:t>13 de-identified ATO partnership, trust, fund and self-managed supera</w:t>
      </w:r>
      <w:r w:rsidR="001929FB" w:rsidRPr="001929FB">
        <w:t>nnuation fund unit record files</w:t>
      </w:r>
    </w:p>
    <w:p w:rsidR="00111844" w:rsidRPr="001929FB" w:rsidRDefault="00111844" w:rsidP="00111844">
      <w:pPr>
        <w:pStyle w:val="ListBullet"/>
      </w:pPr>
      <w:r w:rsidRPr="001929FB">
        <w:t>2012</w:t>
      </w:r>
      <w:r w:rsidRPr="001929FB">
        <w:noBreakHyphen/>
        <w:t xml:space="preserve">13 CGT schedule data </w:t>
      </w:r>
    </w:p>
    <w:p w:rsidR="001929FB" w:rsidRPr="001929FB" w:rsidRDefault="00111844" w:rsidP="001929FB">
      <w:pPr>
        <w:pStyle w:val="ListBullet"/>
      </w:pPr>
      <w:r w:rsidRPr="001929FB">
        <w:t>rental income sc</w:t>
      </w:r>
      <w:r w:rsidR="001929FB" w:rsidRPr="001929FB">
        <w:t>hedules (1999</w:t>
      </w:r>
      <w:r w:rsidR="001929FB" w:rsidRPr="001929FB">
        <w:noBreakHyphen/>
        <w:t>2000 to 2010</w:t>
      </w:r>
      <w:r w:rsidR="001929FB" w:rsidRPr="001929FB">
        <w:noBreakHyphen/>
        <w:t>11).</w:t>
      </w:r>
    </w:p>
    <w:p w:rsidR="001929FB" w:rsidRPr="001929FB" w:rsidRDefault="001929FB" w:rsidP="001929FB">
      <w:pPr>
        <w:pStyle w:val="ListBullet"/>
        <w:numPr>
          <w:ilvl w:val="0"/>
          <w:numId w:val="0"/>
        </w:numPr>
      </w:pPr>
      <w:r w:rsidRPr="001929FB">
        <w:t>Taxation Statistics – 2012</w:t>
      </w:r>
      <w:r w:rsidRPr="001929FB">
        <w:noBreakHyphen/>
        <w:t>13.</w:t>
      </w:r>
    </w:p>
    <w:p w:rsidR="001929FB" w:rsidRPr="001929FB" w:rsidRDefault="00111844" w:rsidP="001929FB">
      <w:pPr>
        <w:pStyle w:val="ListBullet"/>
        <w:numPr>
          <w:ilvl w:val="0"/>
          <w:numId w:val="0"/>
        </w:numPr>
      </w:pPr>
      <w:r w:rsidRPr="001929FB">
        <w:t>CGT and net rental income forecasts con</w:t>
      </w:r>
      <w:r w:rsidR="001929FB" w:rsidRPr="001929FB">
        <w:t>sistent with the 2016</w:t>
      </w:r>
      <w:r w:rsidR="001929FB" w:rsidRPr="001929FB">
        <w:noBreakHyphen/>
        <w:t>17 Budget</w:t>
      </w:r>
    </w:p>
    <w:p w:rsidR="00111844" w:rsidRPr="001929FB" w:rsidRDefault="00111844" w:rsidP="001929FB">
      <w:pPr>
        <w:pStyle w:val="ListBullet"/>
        <w:numPr>
          <w:ilvl w:val="0"/>
          <w:numId w:val="0"/>
        </w:numPr>
      </w:pPr>
      <w:r w:rsidRPr="001929FB">
        <w:t>ABS, 5609.0 – Housing Finance, Australia.</w:t>
      </w:r>
    </w:p>
    <w:p w:rsidR="00111844" w:rsidRPr="001929FB" w:rsidRDefault="00111844" w:rsidP="001929FB">
      <w:pPr>
        <w:pStyle w:val="ListBullet"/>
        <w:numPr>
          <w:ilvl w:val="0"/>
          <w:numId w:val="0"/>
        </w:numPr>
      </w:pPr>
      <w:r w:rsidRPr="001929FB">
        <w:t>ABS, Survey of Income and Housing 2009</w:t>
      </w:r>
      <w:r w:rsidRPr="001929FB">
        <w:noBreakHyphen/>
        <w:t>10 confidentialised unit record files.</w:t>
      </w:r>
    </w:p>
    <w:p w:rsidR="00111844" w:rsidRPr="001929FB" w:rsidRDefault="00111844" w:rsidP="001929FB">
      <w:pPr>
        <w:pStyle w:val="ListBullet"/>
        <w:numPr>
          <w:ilvl w:val="0"/>
          <w:numId w:val="0"/>
        </w:numPr>
      </w:pPr>
      <w:r w:rsidRPr="001929FB">
        <w:t>Australian Securities Exchange, Australian Share Ownership Study, 2012.</w:t>
      </w:r>
    </w:p>
    <w:p w:rsidR="005B11F6" w:rsidRDefault="005B11F6" w:rsidP="005B11F6">
      <w:pPr>
        <w:pStyle w:val="BodyText"/>
      </w:pPr>
    </w:p>
    <w:p w:rsidR="005B11F6" w:rsidRPr="009C6058" w:rsidRDefault="005B11F6" w:rsidP="005B11F6">
      <w:pPr>
        <w:pStyle w:val="BodyText"/>
        <w:sectPr w:rsidR="005B11F6" w:rsidRPr="009C6058" w:rsidSect="00745988">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6" w:h="16838"/>
          <w:pgMar w:top="1361" w:right="1797" w:bottom="1474" w:left="1797" w:header="283" w:footer="454" w:gutter="0"/>
          <w:cols w:space="708"/>
          <w:docGrid w:linePitch="360"/>
        </w:sectPr>
      </w:pPr>
    </w:p>
    <w:p w:rsidR="00420CF4" w:rsidRDefault="00EB27FE" w:rsidP="00371DC0">
      <w:pPr>
        <w:pStyle w:val="Heading6"/>
        <w:numPr>
          <w:ilvl w:val="0"/>
          <w:numId w:val="10"/>
        </w:numPr>
        <w:tabs>
          <w:tab w:val="right" w:pos="1418"/>
          <w:tab w:val="right" w:pos="1701"/>
          <w:tab w:val="right" w:pos="1985"/>
        </w:tabs>
      </w:pPr>
      <w:r>
        <w:t xml:space="preserve">Attachment </w:t>
      </w:r>
      <w:r w:rsidRPr="00FC6579">
        <w:t>A:</w:t>
      </w:r>
      <w:r>
        <w:t xml:space="preserve"> Negative Gearing and CGT reform—financial implications</w:t>
      </w:r>
    </w:p>
    <w:p w:rsidR="00420CF4" w:rsidRDefault="00420CF4" w:rsidP="00420CF4">
      <w:pPr>
        <w:pStyle w:val="Caption"/>
        <w:rPr>
          <w:vertAlign w:val="superscript"/>
        </w:rPr>
      </w:pPr>
      <w:r w:rsidRPr="002B36F1">
        <w:t xml:space="preserve">Table </w:t>
      </w:r>
      <w:r>
        <w:t>A1</w:t>
      </w:r>
      <w:r w:rsidRPr="002B36F1">
        <w:t>:</w:t>
      </w:r>
      <w:r w:rsidR="00EB27FE" w:rsidRPr="00EB27FE">
        <w:t xml:space="preserve"> </w:t>
      </w:r>
      <w:r w:rsidR="00EB27FE">
        <w:t>Combined impact of all components—</w:t>
      </w:r>
      <w:r w:rsidR="00EB27FE" w:rsidRPr="006335A1">
        <w:t>Financial implications (outturn prices)</w:t>
      </w:r>
      <w:r w:rsidR="00EB27FE">
        <w:rPr>
          <w:vertAlign w:val="superscript"/>
        </w:rPr>
        <w:t>(a)(b)</w:t>
      </w:r>
    </w:p>
    <w:tbl>
      <w:tblPr>
        <w:tblStyle w:val="TableGrid34"/>
        <w:tblW w:w="5058" w:type="pct"/>
        <w:tblInd w:w="-137" w:type="dxa"/>
        <w:tblLook w:val="0680" w:firstRow="0" w:lastRow="0" w:firstColumn="1" w:lastColumn="0" w:noHBand="1" w:noVBand="1"/>
      </w:tblPr>
      <w:tblGrid>
        <w:gridCol w:w="2101"/>
        <w:gridCol w:w="868"/>
        <w:gridCol w:w="869"/>
        <w:gridCol w:w="869"/>
        <w:gridCol w:w="869"/>
        <w:gridCol w:w="869"/>
        <w:gridCol w:w="869"/>
        <w:gridCol w:w="869"/>
        <w:gridCol w:w="869"/>
        <w:gridCol w:w="869"/>
        <w:gridCol w:w="869"/>
        <w:gridCol w:w="869"/>
        <w:gridCol w:w="869"/>
        <w:gridCol w:w="880"/>
      </w:tblGrid>
      <w:tr w:rsidR="0073534F" w:rsidRPr="00EB27FE" w:rsidTr="005B11F6">
        <w:trPr>
          <w:cantSplit/>
          <w:tblHeader/>
        </w:trPr>
        <w:tc>
          <w:tcPr>
            <w:cnfStyle w:val="001000000000" w:firstRow="0" w:lastRow="0" w:firstColumn="1" w:lastColumn="0" w:oddVBand="0" w:evenVBand="0" w:oddHBand="0" w:evenHBand="0" w:firstRowFirstColumn="0" w:firstRowLastColumn="0" w:lastRowFirstColumn="0" w:lastRowLastColumn="0"/>
            <w:tcW w:w="784" w:type="pct"/>
            <w:shd w:val="clear" w:color="auto" w:fill="D7DDE9" w:themeFill="accent3"/>
          </w:tcPr>
          <w:p w:rsidR="00EB27FE" w:rsidRPr="005B11F6" w:rsidRDefault="00EB27FE" w:rsidP="005B11F6">
            <w:pPr>
              <w:keepNext/>
              <w:keepLines/>
              <w:spacing w:line="240" w:lineRule="auto"/>
              <w:ind w:left="57" w:right="57"/>
              <w:rPr>
                <w:szCs w:val="20"/>
              </w:rPr>
            </w:pPr>
            <w:r w:rsidRPr="005B11F6">
              <w:rPr>
                <w:szCs w:val="20"/>
              </w:rPr>
              <w:t>($m)</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2016–17</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2017–18</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2018–19</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2019–20</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Total to 2019–20</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2020–21</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2021–22</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2022–23</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2023–24</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2024–25</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2025–26</w:t>
            </w:r>
          </w:p>
        </w:tc>
        <w:tc>
          <w:tcPr>
            <w:tcW w:w="324"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2026–27</w:t>
            </w:r>
          </w:p>
        </w:tc>
        <w:tc>
          <w:tcPr>
            <w:tcW w:w="328" w:type="pct"/>
            <w:shd w:val="clear" w:color="auto" w:fill="D7DDE9" w:themeFill="accent3"/>
          </w:tcPr>
          <w:p w:rsidR="00EB27FE" w:rsidRPr="00EB27FE" w:rsidRDefault="00EB27FE" w:rsidP="005B11F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Total to 2026–27</w:t>
            </w:r>
          </w:p>
        </w:tc>
      </w:tr>
      <w:tr w:rsidR="00EB27FE" w:rsidRPr="00EB27FE" w:rsidTr="005B11F6">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hemeFill="accent2" w:themeFillTint="33"/>
          </w:tcPr>
          <w:p w:rsidR="00EB27FE" w:rsidRPr="00EB27FE" w:rsidRDefault="00EB27FE" w:rsidP="005B11F6">
            <w:pPr>
              <w:keepNext/>
              <w:keepLines/>
              <w:spacing w:line="240" w:lineRule="auto"/>
              <w:ind w:left="57" w:right="57"/>
              <w:rPr>
                <w:b/>
                <w:szCs w:val="20"/>
              </w:rPr>
            </w:pPr>
            <w:r w:rsidRPr="00EB27FE">
              <w:rPr>
                <w:b/>
                <w:szCs w:val="20"/>
              </w:rPr>
              <w:t>Impact on fiscal and underlying cash balances</w:t>
            </w:r>
          </w:p>
        </w:tc>
      </w:tr>
      <w:tr w:rsidR="00EB27FE" w:rsidRPr="00EB27FE" w:rsidTr="005B11F6">
        <w:trPr>
          <w:cantSplit/>
        </w:trPr>
        <w:tc>
          <w:tcPr>
            <w:cnfStyle w:val="001000000000" w:firstRow="0" w:lastRow="0" w:firstColumn="1" w:lastColumn="0" w:oddVBand="0" w:evenVBand="0" w:oddHBand="0" w:evenHBand="0" w:firstRowFirstColumn="0" w:firstRowLastColumn="0" w:lastRowFirstColumn="0" w:lastRowLastColumn="0"/>
            <w:tcW w:w="784" w:type="pct"/>
          </w:tcPr>
          <w:p w:rsidR="00EB27FE" w:rsidRPr="00EB27FE" w:rsidRDefault="00EB27FE" w:rsidP="005B11F6">
            <w:pPr>
              <w:keepNext/>
              <w:keepLines/>
              <w:spacing w:line="240" w:lineRule="auto"/>
              <w:ind w:left="57" w:right="57"/>
              <w:rPr>
                <w:i/>
                <w:szCs w:val="20"/>
              </w:rPr>
            </w:pPr>
            <w:r w:rsidRPr="00EB27FE">
              <w:rPr>
                <w:i/>
                <w:szCs w:val="20"/>
              </w:rPr>
              <w:t>Revenue</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550.0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1,400.0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1,950.0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2,300.0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3,250.0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4,150.0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5,100.0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6,00.0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6,850.0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7,750.0</w:t>
            </w:r>
          </w:p>
        </w:tc>
        <w:tc>
          <w:tcPr>
            <w:tcW w:w="328"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37,350.0</w:t>
            </w:r>
          </w:p>
        </w:tc>
      </w:tr>
      <w:tr w:rsidR="00EB27FE" w:rsidRPr="00EB27FE" w:rsidTr="005B11F6">
        <w:trPr>
          <w:cantSplit/>
        </w:trPr>
        <w:tc>
          <w:tcPr>
            <w:cnfStyle w:val="001000000000" w:firstRow="0" w:lastRow="0" w:firstColumn="1" w:lastColumn="0" w:oddVBand="0" w:evenVBand="0" w:oddHBand="0" w:evenHBand="0" w:firstRowFirstColumn="0" w:firstRowLastColumn="0" w:lastRowFirstColumn="0" w:lastRowLastColumn="0"/>
            <w:tcW w:w="784" w:type="pct"/>
          </w:tcPr>
          <w:p w:rsidR="00EB27FE" w:rsidRPr="00EB27FE" w:rsidRDefault="00EB27FE" w:rsidP="005B11F6">
            <w:pPr>
              <w:keepNext/>
              <w:keepLines/>
              <w:spacing w:line="240" w:lineRule="auto"/>
              <w:ind w:left="57" w:right="57"/>
              <w:rPr>
                <w:i/>
                <w:szCs w:val="20"/>
              </w:rPr>
            </w:pPr>
            <w:r w:rsidRPr="00EB27FE">
              <w:rPr>
                <w:i/>
                <w:szCs w:val="20"/>
              </w:rPr>
              <w:t>Departmental - ATO</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-12.0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-8.0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-21.0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4"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8" w:type="pct"/>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-28.0</w:t>
            </w:r>
          </w:p>
        </w:tc>
      </w:tr>
      <w:tr w:rsidR="0073534F" w:rsidRPr="00EB27FE" w:rsidTr="005B11F6">
        <w:trPr>
          <w:cantSplit/>
        </w:trPr>
        <w:tc>
          <w:tcPr>
            <w:cnfStyle w:val="001000000000" w:firstRow="0" w:lastRow="0" w:firstColumn="1" w:lastColumn="0" w:oddVBand="0" w:evenVBand="0" w:oddHBand="0" w:evenHBand="0" w:firstRowFirstColumn="0" w:firstRowLastColumn="0" w:lastRowFirstColumn="0" w:lastRowLastColumn="0"/>
            <w:tcW w:w="784" w:type="pct"/>
            <w:shd w:val="clear" w:color="auto" w:fill="D7DDE9" w:themeFill="accent3"/>
          </w:tcPr>
          <w:p w:rsidR="00EB27FE" w:rsidRPr="00EB27FE" w:rsidRDefault="00EB27FE" w:rsidP="005B11F6">
            <w:pPr>
              <w:keepNext/>
              <w:keepLines/>
              <w:spacing w:line="240" w:lineRule="auto"/>
              <w:ind w:left="57" w:right="57"/>
              <w:rPr>
                <w:b/>
                <w:szCs w:val="20"/>
              </w:rPr>
            </w:pPr>
            <w:r w:rsidRPr="00EB27FE">
              <w:rPr>
                <w:b/>
                <w:szCs w:val="20"/>
              </w:rPr>
              <w:t>Total</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-12.0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542.0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1,399.0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1,929.0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2,299.0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3,249.0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4,149.0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5,099.0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5,999.0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6,849.0</w:t>
            </w:r>
          </w:p>
        </w:tc>
        <w:tc>
          <w:tcPr>
            <w:tcW w:w="324"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7,749.0</w:t>
            </w:r>
          </w:p>
        </w:tc>
        <w:tc>
          <w:tcPr>
            <w:tcW w:w="328" w:type="pct"/>
            <w:shd w:val="clear" w:color="auto" w:fill="D7DDE9" w:themeFill="accent3"/>
          </w:tcPr>
          <w:p w:rsidR="00EB27FE" w:rsidRPr="00EB27FE" w:rsidRDefault="00EB27FE" w:rsidP="005B11F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37,322.0</w:t>
            </w:r>
          </w:p>
        </w:tc>
      </w:tr>
    </w:tbl>
    <w:p w:rsidR="00EB27FE" w:rsidRDefault="00EB27FE" w:rsidP="001F2692">
      <w:pPr>
        <w:pStyle w:val="Footnotes"/>
        <w:numPr>
          <w:ilvl w:val="0"/>
          <w:numId w:val="35"/>
        </w:numPr>
        <w:ind w:left="284" w:hanging="284"/>
      </w:pPr>
      <w:r>
        <w:t>A positive number indicates an increase in revenue or decrease in expenses or net capital investment in accrual and cash terms.  A negative number indicates a decrease in revenue or an increase in expenses or net capital investm</w:t>
      </w:r>
      <w:r w:rsidR="00DF35C1">
        <w:t>ent in accrual and cash terms.</w:t>
      </w:r>
    </w:p>
    <w:p w:rsidR="00EB27FE" w:rsidRDefault="00EB27FE" w:rsidP="001F2692">
      <w:pPr>
        <w:pStyle w:val="Footnotes"/>
        <w:ind w:left="284" w:hanging="284"/>
      </w:pPr>
      <w:r>
        <w:t>Figures may not sum to totals due to rounding.</w:t>
      </w:r>
    </w:p>
    <w:p w:rsidR="00EB27FE" w:rsidRDefault="00EB27FE" w:rsidP="001F2692">
      <w:pPr>
        <w:pStyle w:val="Footnotes"/>
        <w:numPr>
          <w:ilvl w:val="0"/>
          <w:numId w:val="0"/>
        </w:numPr>
        <w:ind w:left="284" w:hanging="284"/>
      </w:pPr>
      <w:r>
        <w:t>..</w:t>
      </w:r>
      <w:r>
        <w:tab/>
        <w:t>Not zero, but rounded to zero.</w:t>
      </w:r>
    </w:p>
    <w:p w:rsidR="00EB27FE" w:rsidRDefault="00EB27FE" w:rsidP="001F2692">
      <w:pPr>
        <w:pStyle w:val="Footnotes"/>
        <w:numPr>
          <w:ilvl w:val="0"/>
          <w:numId w:val="0"/>
        </w:numPr>
        <w:ind w:left="284" w:hanging="284"/>
      </w:pPr>
      <w:r>
        <w:t>-</w:t>
      </w:r>
      <w:r>
        <w:tab/>
        <w:t>Indicates nil.</w:t>
      </w:r>
    </w:p>
    <w:p w:rsidR="00EB27FE" w:rsidRDefault="00EB27FE" w:rsidP="001F2692">
      <w:pPr>
        <w:pStyle w:val="Caption"/>
        <w:keepLines/>
        <w:rPr>
          <w:vertAlign w:val="superscript"/>
        </w:rPr>
      </w:pPr>
      <w:r w:rsidRPr="002B36F1">
        <w:t xml:space="preserve">Table </w:t>
      </w:r>
      <w:r>
        <w:t>A2</w:t>
      </w:r>
      <w:r w:rsidRPr="002B36F1">
        <w:t>:</w:t>
      </w:r>
      <w:r w:rsidRPr="00EB27FE">
        <w:t xml:space="preserve"> Component 1 </w:t>
      </w:r>
      <w:r w:rsidR="00DF35C1">
        <w:t>–</w:t>
      </w:r>
      <w:r w:rsidRPr="00EB27FE">
        <w:t xml:space="preserve"> Remove negative gearing—Financial implications (outturn prices)(a)(b)</w:t>
      </w:r>
    </w:p>
    <w:tbl>
      <w:tblPr>
        <w:tblStyle w:val="TableGrid35"/>
        <w:tblW w:w="5058" w:type="pct"/>
        <w:tblInd w:w="-166" w:type="dxa"/>
        <w:tblLook w:val="0680" w:firstRow="0" w:lastRow="0" w:firstColumn="1" w:lastColumn="0" w:noHBand="1" w:noVBand="1"/>
      </w:tblPr>
      <w:tblGrid>
        <w:gridCol w:w="2170"/>
        <w:gridCol w:w="864"/>
        <w:gridCol w:w="864"/>
        <w:gridCol w:w="864"/>
        <w:gridCol w:w="864"/>
        <w:gridCol w:w="864"/>
        <w:gridCol w:w="863"/>
        <w:gridCol w:w="863"/>
        <w:gridCol w:w="863"/>
        <w:gridCol w:w="863"/>
        <w:gridCol w:w="863"/>
        <w:gridCol w:w="863"/>
        <w:gridCol w:w="863"/>
        <w:gridCol w:w="877"/>
      </w:tblGrid>
      <w:tr w:rsidR="0073534F" w:rsidRPr="00EB27FE" w:rsidTr="00DF35C1">
        <w:trPr>
          <w:cantSplit/>
          <w:tblHeader/>
        </w:trPr>
        <w:tc>
          <w:tcPr>
            <w:cnfStyle w:val="001000000000" w:firstRow="0" w:lastRow="0" w:firstColumn="1" w:lastColumn="0" w:oddVBand="0" w:evenVBand="0" w:oddHBand="0" w:evenHBand="0" w:firstRowFirstColumn="0" w:firstRowLastColumn="0" w:lastRowFirstColumn="0" w:lastRowLastColumn="0"/>
            <w:tcW w:w="809" w:type="pct"/>
            <w:shd w:val="clear" w:color="auto" w:fill="D7DDE9"/>
          </w:tcPr>
          <w:p w:rsidR="00EB27FE" w:rsidRPr="00DF35C1" w:rsidRDefault="00EB27FE" w:rsidP="001F2692">
            <w:pPr>
              <w:keepNext/>
              <w:keepLines/>
              <w:spacing w:line="240" w:lineRule="auto"/>
              <w:ind w:left="57" w:right="57"/>
              <w:rPr>
                <w:szCs w:val="20"/>
              </w:rPr>
            </w:pPr>
            <w:r w:rsidRPr="00DF35C1">
              <w:rPr>
                <w:szCs w:val="20"/>
              </w:rPr>
              <w:t>($m)</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2016–17</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2017–18</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2018–19</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2019–20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Total to 2019–20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2020–21</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2021–22</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2022–23</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2023–24</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2024–25</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2025–26</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B27FE">
              <w:rPr>
                <w:rFonts w:ascii="Calibri" w:hAnsi="Calibri"/>
                <w:sz w:val="20"/>
                <w:szCs w:val="20"/>
              </w:rPr>
              <w:t>2026–27</w:t>
            </w:r>
          </w:p>
        </w:tc>
        <w:tc>
          <w:tcPr>
            <w:tcW w:w="327"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B27FE">
              <w:rPr>
                <w:rFonts w:ascii="Calibri" w:hAnsi="Calibri"/>
                <w:b/>
                <w:sz w:val="20"/>
                <w:szCs w:val="20"/>
              </w:rPr>
              <w:t>Total to 2026–27</w:t>
            </w:r>
          </w:p>
        </w:tc>
      </w:tr>
      <w:tr w:rsidR="00EB27FE" w:rsidRPr="00EB27FE" w:rsidTr="00DF35C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B27FE" w:rsidRPr="00EB27FE" w:rsidRDefault="00EB27FE" w:rsidP="001F2692">
            <w:pPr>
              <w:keepNext/>
              <w:keepLines/>
              <w:spacing w:line="240" w:lineRule="auto"/>
              <w:ind w:left="57" w:right="57"/>
              <w:rPr>
                <w:b/>
                <w:szCs w:val="20"/>
              </w:rPr>
            </w:pPr>
            <w:r w:rsidRPr="00EB27FE">
              <w:rPr>
                <w:b/>
                <w:szCs w:val="20"/>
              </w:rPr>
              <w:t>Impact on fiscal and underlying cash balances</w:t>
            </w:r>
          </w:p>
        </w:tc>
      </w:tr>
      <w:tr w:rsidR="00EB27FE" w:rsidRPr="00EB27FE" w:rsidTr="00DF35C1">
        <w:trPr>
          <w:cantSplit/>
        </w:trPr>
        <w:tc>
          <w:tcPr>
            <w:cnfStyle w:val="001000000000" w:firstRow="0" w:lastRow="0" w:firstColumn="1" w:lastColumn="0" w:oddVBand="0" w:evenVBand="0" w:oddHBand="0" w:evenHBand="0" w:firstRowFirstColumn="0" w:firstRowLastColumn="0" w:lastRowFirstColumn="0" w:lastRowLastColumn="0"/>
            <w:tcW w:w="809" w:type="pct"/>
          </w:tcPr>
          <w:p w:rsidR="00EB27FE" w:rsidRPr="00EB27FE" w:rsidRDefault="00EB27FE" w:rsidP="001F2692">
            <w:pPr>
              <w:keepNext/>
              <w:keepLines/>
              <w:spacing w:line="240" w:lineRule="auto"/>
              <w:ind w:left="57" w:right="57"/>
              <w:rPr>
                <w:i/>
                <w:szCs w:val="20"/>
              </w:rPr>
            </w:pPr>
            <w:r w:rsidRPr="00EB27FE">
              <w:rPr>
                <w:i/>
                <w:szCs w:val="20"/>
              </w:rPr>
              <w:t>Revenue</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550.0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1,250.0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1,800.0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2,000.0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2,650.0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3,250.0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3,800.0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4,250.0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4,650.0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5,050.0</w:t>
            </w:r>
          </w:p>
        </w:tc>
        <w:tc>
          <w:tcPr>
            <w:tcW w:w="327"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27,450.0</w:t>
            </w:r>
          </w:p>
        </w:tc>
      </w:tr>
      <w:tr w:rsidR="00EB27FE" w:rsidRPr="00EB27FE" w:rsidTr="00DF35C1">
        <w:trPr>
          <w:cantSplit/>
        </w:trPr>
        <w:tc>
          <w:tcPr>
            <w:cnfStyle w:val="001000000000" w:firstRow="0" w:lastRow="0" w:firstColumn="1" w:lastColumn="0" w:oddVBand="0" w:evenVBand="0" w:oddHBand="0" w:evenHBand="0" w:firstRowFirstColumn="0" w:firstRowLastColumn="0" w:lastRowFirstColumn="0" w:lastRowLastColumn="0"/>
            <w:tcW w:w="809" w:type="pct"/>
          </w:tcPr>
          <w:p w:rsidR="00EB27FE" w:rsidRPr="00EB27FE" w:rsidRDefault="00EB27FE" w:rsidP="001F2692">
            <w:pPr>
              <w:keepNext/>
              <w:keepLines/>
              <w:spacing w:line="240" w:lineRule="auto"/>
              <w:ind w:left="57" w:right="57"/>
              <w:rPr>
                <w:i/>
                <w:szCs w:val="20"/>
              </w:rPr>
            </w:pPr>
            <w:r w:rsidRPr="00EB27FE">
              <w:rPr>
                <w:i/>
                <w:szCs w:val="20"/>
              </w:rPr>
              <w:t>Departmental -</w:t>
            </w:r>
            <w:r w:rsidRPr="00EB27FE" w:rsidDel="007F2AC5">
              <w:rPr>
                <w:i/>
                <w:szCs w:val="20"/>
              </w:rPr>
              <w:t xml:space="preserve"> </w:t>
            </w:r>
            <w:r w:rsidRPr="00EB27FE">
              <w:rPr>
                <w:i/>
                <w:szCs w:val="20"/>
              </w:rPr>
              <w:t>ATO</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-6.0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-4.0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-11.0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2"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EB27FE">
              <w:rPr>
                <w:rFonts w:ascii="Calibri" w:hAnsi="Calibri"/>
                <w:i/>
                <w:sz w:val="20"/>
                <w:szCs w:val="20"/>
              </w:rPr>
              <w:t>-1.0</w:t>
            </w:r>
          </w:p>
        </w:tc>
        <w:tc>
          <w:tcPr>
            <w:tcW w:w="327" w:type="pct"/>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EB27FE">
              <w:rPr>
                <w:rFonts w:ascii="Calibri" w:hAnsi="Calibri"/>
                <w:b/>
                <w:i/>
                <w:sz w:val="20"/>
                <w:szCs w:val="20"/>
              </w:rPr>
              <w:t>-18.0</w:t>
            </w:r>
          </w:p>
        </w:tc>
      </w:tr>
      <w:tr w:rsidR="0073534F" w:rsidRPr="00EB27FE" w:rsidTr="00DF35C1">
        <w:trPr>
          <w:cantSplit/>
        </w:trPr>
        <w:tc>
          <w:tcPr>
            <w:cnfStyle w:val="001000000000" w:firstRow="0" w:lastRow="0" w:firstColumn="1" w:lastColumn="0" w:oddVBand="0" w:evenVBand="0" w:oddHBand="0" w:evenHBand="0" w:firstRowFirstColumn="0" w:firstRowLastColumn="0" w:lastRowFirstColumn="0" w:lastRowLastColumn="0"/>
            <w:tcW w:w="809" w:type="pct"/>
            <w:shd w:val="clear" w:color="auto" w:fill="D7DDE9"/>
          </w:tcPr>
          <w:p w:rsidR="00EB27FE" w:rsidRPr="00EB27FE" w:rsidRDefault="00EB27FE" w:rsidP="001F2692">
            <w:pPr>
              <w:keepNext/>
              <w:keepLines/>
              <w:spacing w:line="240" w:lineRule="auto"/>
              <w:ind w:left="57" w:right="57"/>
              <w:rPr>
                <w:b/>
                <w:i/>
                <w:szCs w:val="20"/>
              </w:rPr>
            </w:pPr>
            <w:r w:rsidRPr="00EB27FE">
              <w:rPr>
                <w:b/>
                <w:szCs w:val="20"/>
              </w:rPr>
              <w:t>Total</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-6.0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546.0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1,249.0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1,789.0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1,999.0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2,649.0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3,249.0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3,799.0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4,249.0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4,649.0</w:t>
            </w:r>
          </w:p>
        </w:tc>
        <w:tc>
          <w:tcPr>
            <w:tcW w:w="322"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5,049.0</w:t>
            </w:r>
          </w:p>
        </w:tc>
        <w:tc>
          <w:tcPr>
            <w:tcW w:w="327" w:type="pct"/>
            <w:shd w:val="clear" w:color="auto" w:fill="D7DDE9"/>
          </w:tcPr>
          <w:p w:rsidR="00EB27FE" w:rsidRPr="00EB27FE" w:rsidRDefault="00EB27FE" w:rsidP="001F2692">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B27FE">
              <w:rPr>
                <w:rFonts w:ascii="Calibri" w:hAnsi="Calibri"/>
                <w:b/>
                <w:bCs/>
                <w:color w:val="000000"/>
                <w:sz w:val="20"/>
                <w:szCs w:val="20"/>
              </w:rPr>
              <w:t>27,432.0</w:t>
            </w:r>
          </w:p>
        </w:tc>
      </w:tr>
    </w:tbl>
    <w:p w:rsidR="00EB27FE" w:rsidRPr="00EB27FE" w:rsidRDefault="00EB27FE" w:rsidP="001F2692">
      <w:pPr>
        <w:pStyle w:val="Footnotes"/>
        <w:keepNext/>
        <w:keepLines/>
        <w:numPr>
          <w:ilvl w:val="0"/>
          <w:numId w:val="36"/>
        </w:numPr>
        <w:ind w:left="284" w:hanging="284"/>
      </w:pPr>
      <w:r w:rsidRPr="00EB27FE">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EB27FE" w:rsidRPr="00EB27FE" w:rsidRDefault="00EB27FE" w:rsidP="001F2692">
      <w:pPr>
        <w:pStyle w:val="Footnotes"/>
        <w:keepNext/>
        <w:keepLines/>
        <w:ind w:left="284" w:hanging="284"/>
      </w:pPr>
      <w:r w:rsidRPr="00EB27FE">
        <w:t>Figures may not sum to totals due to rounding.</w:t>
      </w:r>
    </w:p>
    <w:p w:rsidR="00EB27FE" w:rsidRPr="00EB27FE" w:rsidRDefault="00EB27FE" w:rsidP="001F2692">
      <w:pPr>
        <w:pStyle w:val="Footnotes"/>
        <w:keepNext/>
        <w:keepLines/>
        <w:numPr>
          <w:ilvl w:val="0"/>
          <w:numId w:val="0"/>
        </w:numPr>
        <w:ind w:left="284" w:hanging="284"/>
      </w:pPr>
      <w:r w:rsidRPr="00EB27FE">
        <w:t>..</w:t>
      </w:r>
      <w:r w:rsidRPr="00EB27FE">
        <w:tab/>
        <w:t>Not zero, but rounded to zero.</w:t>
      </w:r>
    </w:p>
    <w:p w:rsidR="00EB27FE" w:rsidRDefault="00EB27FE" w:rsidP="001F2692">
      <w:pPr>
        <w:pStyle w:val="Footnotes"/>
        <w:numPr>
          <w:ilvl w:val="0"/>
          <w:numId w:val="0"/>
        </w:numPr>
        <w:ind w:left="284" w:hanging="284"/>
      </w:pPr>
      <w:r w:rsidRPr="00EB27FE">
        <w:t>-</w:t>
      </w:r>
      <w:r w:rsidRPr="00EB27FE">
        <w:tab/>
        <w:t>Indicates nil.</w:t>
      </w:r>
    </w:p>
    <w:p w:rsidR="00EB27FE" w:rsidRDefault="00EB27FE" w:rsidP="00DF35C1">
      <w:pPr>
        <w:pStyle w:val="Caption"/>
        <w:keepLines/>
        <w:rPr>
          <w:vertAlign w:val="superscript"/>
        </w:rPr>
      </w:pPr>
      <w:r w:rsidRPr="002B36F1">
        <w:t xml:space="preserve">Table </w:t>
      </w:r>
      <w:r>
        <w:t>A3</w:t>
      </w:r>
      <w:r w:rsidRPr="002B36F1">
        <w:t>:</w:t>
      </w:r>
      <w:r w:rsidRPr="00EB27FE">
        <w:t xml:space="preserve"> Component 2 - Halve the CGT discount—Financial implications (outturn prices)(a)(b)</w:t>
      </w:r>
    </w:p>
    <w:tbl>
      <w:tblPr>
        <w:tblStyle w:val="TableGrid36"/>
        <w:tblW w:w="5000" w:type="pct"/>
        <w:tblInd w:w="-137" w:type="dxa"/>
        <w:tblLook w:val="0680" w:firstRow="0" w:lastRow="0" w:firstColumn="1" w:lastColumn="0" w:noHBand="1" w:noVBand="1"/>
      </w:tblPr>
      <w:tblGrid>
        <w:gridCol w:w="2130"/>
        <w:gridCol w:w="857"/>
        <w:gridCol w:w="856"/>
        <w:gridCol w:w="856"/>
        <w:gridCol w:w="856"/>
        <w:gridCol w:w="856"/>
        <w:gridCol w:w="856"/>
        <w:gridCol w:w="856"/>
        <w:gridCol w:w="856"/>
        <w:gridCol w:w="856"/>
        <w:gridCol w:w="856"/>
        <w:gridCol w:w="856"/>
        <w:gridCol w:w="856"/>
        <w:gridCol w:w="851"/>
      </w:tblGrid>
      <w:tr w:rsidR="0073534F" w:rsidRPr="00EB27FE" w:rsidTr="00EB27FE">
        <w:trPr>
          <w:cantSplit/>
          <w:tblHeader/>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B27FE" w:rsidRPr="00EB27FE" w:rsidRDefault="00EB27FE" w:rsidP="00DF35C1">
            <w:pPr>
              <w:keepNext/>
              <w:keepLines/>
              <w:spacing w:line="240" w:lineRule="auto"/>
              <w:ind w:left="57" w:right="57"/>
              <w:rPr>
                <w:i/>
              </w:rPr>
            </w:pPr>
            <w:r w:rsidRPr="00EB27FE">
              <w:rPr>
                <w:i/>
              </w:rPr>
              <w:t>($m)</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2016–17</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2017–18</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2018–19</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2019–20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Total to 2019–20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2020–21</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2021–22</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2022–23</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2023–24</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2024–25</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2025–26</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B27FE">
              <w:rPr>
                <w:rFonts w:ascii="Calibri" w:hAnsi="Calibri"/>
                <w:sz w:val="20"/>
              </w:rPr>
              <w:t>2026–27</w:t>
            </w:r>
          </w:p>
        </w:tc>
        <w:tc>
          <w:tcPr>
            <w:tcW w:w="321"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Total to 2026–27</w:t>
            </w:r>
          </w:p>
        </w:tc>
      </w:tr>
      <w:tr w:rsidR="00EB27FE" w:rsidRPr="00EB27FE" w:rsidTr="00EB27FE">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B27FE" w:rsidRPr="00EB27FE" w:rsidRDefault="00EB27FE" w:rsidP="00DF35C1">
            <w:pPr>
              <w:keepNext/>
              <w:keepLines/>
              <w:spacing w:line="240" w:lineRule="auto"/>
              <w:ind w:left="57" w:right="57"/>
              <w:rPr>
                <w:b/>
              </w:rPr>
            </w:pPr>
            <w:r w:rsidRPr="00EB27FE">
              <w:rPr>
                <w:b/>
              </w:rPr>
              <w:t>Impact on fiscal and underlying cash balances</w:t>
            </w:r>
          </w:p>
        </w:tc>
      </w:tr>
      <w:tr w:rsidR="00EB27FE" w:rsidRPr="00EB27FE" w:rsidTr="00EB27FE">
        <w:trPr>
          <w:cantSplit/>
        </w:trPr>
        <w:tc>
          <w:tcPr>
            <w:cnfStyle w:val="001000000000" w:firstRow="0" w:lastRow="0" w:firstColumn="1" w:lastColumn="0" w:oddVBand="0" w:evenVBand="0" w:oddHBand="0" w:evenHBand="0" w:firstRowFirstColumn="0" w:firstRowLastColumn="0" w:lastRowFirstColumn="0" w:lastRowLastColumn="0"/>
            <w:tcW w:w="803" w:type="pct"/>
          </w:tcPr>
          <w:p w:rsidR="00EB27FE" w:rsidRPr="00EB27FE" w:rsidRDefault="00EB27FE" w:rsidP="00DF35C1">
            <w:pPr>
              <w:keepNext/>
              <w:keepLines/>
              <w:spacing w:line="240" w:lineRule="auto"/>
              <w:ind w:left="57" w:right="57"/>
              <w:rPr>
                <w:i/>
              </w:rPr>
            </w:pPr>
            <w:r w:rsidRPr="00EB27FE">
              <w:rPr>
                <w:i/>
              </w:rPr>
              <w:t>Revenue</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150.0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B27FE">
              <w:rPr>
                <w:rFonts w:ascii="Calibri" w:hAnsi="Calibri"/>
                <w:b/>
                <w:i/>
                <w:sz w:val="20"/>
              </w:rPr>
              <w:t>150.0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300.0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600.0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900.0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1,300.0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1,750.0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2,200.0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2,700.0</w:t>
            </w:r>
          </w:p>
        </w:tc>
        <w:tc>
          <w:tcPr>
            <w:tcW w:w="321"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B27FE">
              <w:rPr>
                <w:rFonts w:ascii="Calibri" w:hAnsi="Calibri"/>
                <w:b/>
                <w:i/>
                <w:sz w:val="20"/>
              </w:rPr>
              <w:t>9,900.0</w:t>
            </w:r>
          </w:p>
        </w:tc>
      </w:tr>
      <w:tr w:rsidR="00EB27FE" w:rsidRPr="00EB27FE" w:rsidTr="00EB27FE">
        <w:trPr>
          <w:cantSplit/>
        </w:trPr>
        <w:tc>
          <w:tcPr>
            <w:cnfStyle w:val="001000000000" w:firstRow="0" w:lastRow="0" w:firstColumn="1" w:lastColumn="0" w:oddVBand="0" w:evenVBand="0" w:oddHBand="0" w:evenHBand="0" w:firstRowFirstColumn="0" w:firstRowLastColumn="0" w:lastRowFirstColumn="0" w:lastRowLastColumn="0"/>
            <w:tcW w:w="803" w:type="pct"/>
          </w:tcPr>
          <w:p w:rsidR="00EB27FE" w:rsidRPr="00EB27FE" w:rsidRDefault="00EB27FE" w:rsidP="00DF35C1">
            <w:pPr>
              <w:keepNext/>
              <w:keepLines/>
              <w:spacing w:line="240" w:lineRule="auto"/>
              <w:ind w:left="57" w:right="57"/>
              <w:rPr>
                <w:i/>
              </w:rPr>
            </w:pPr>
            <w:r w:rsidRPr="00EB27FE">
              <w:rPr>
                <w:i/>
              </w:rPr>
              <w:t>Departmental - ATO</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-6.0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-4.0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B27FE">
              <w:rPr>
                <w:rFonts w:ascii="Calibri" w:hAnsi="Calibri"/>
                <w:b/>
                <w:i/>
                <w:sz w:val="20"/>
              </w:rPr>
              <w:t>-10.0</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3"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EB27FE">
              <w:rPr>
                <w:rFonts w:ascii="Calibri" w:hAnsi="Calibri"/>
                <w:i/>
                <w:sz w:val="20"/>
              </w:rPr>
              <w:t>-</w:t>
            </w:r>
          </w:p>
        </w:tc>
        <w:tc>
          <w:tcPr>
            <w:tcW w:w="321" w:type="pct"/>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EB27FE">
              <w:rPr>
                <w:rFonts w:ascii="Calibri" w:hAnsi="Calibri"/>
                <w:b/>
                <w:i/>
                <w:sz w:val="20"/>
              </w:rPr>
              <w:t>-10.0</w:t>
            </w:r>
          </w:p>
        </w:tc>
      </w:tr>
      <w:tr w:rsidR="0073534F" w:rsidRPr="00EB27FE" w:rsidTr="00EB27FE">
        <w:trPr>
          <w:cantSplit/>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B27FE" w:rsidRPr="00EB27FE" w:rsidRDefault="00EB27FE" w:rsidP="00DF35C1">
            <w:pPr>
              <w:keepNext/>
              <w:keepLines/>
              <w:spacing w:line="240" w:lineRule="auto"/>
              <w:ind w:left="57" w:right="57"/>
              <w:rPr>
                <w:b/>
                <w:i/>
              </w:rPr>
            </w:pPr>
            <w:r w:rsidRPr="00EB27FE">
              <w:rPr>
                <w:b/>
              </w:rPr>
              <w:t>Total</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-6.0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-4.0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150.0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140.0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300.0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600.0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900.0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1,300.0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1,750.0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2,200.0</w:t>
            </w:r>
          </w:p>
        </w:tc>
        <w:tc>
          <w:tcPr>
            <w:tcW w:w="323"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2,700.0</w:t>
            </w:r>
          </w:p>
        </w:tc>
        <w:tc>
          <w:tcPr>
            <w:tcW w:w="321" w:type="pct"/>
            <w:shd w:val="clear" w:color="auto" w:fill="D7DDE9"/>
          </w:tcPr>
          <w:p w:rsidR="00EB27FE" w:rsidRPr="00EB27FE" w:rsidRDefault="00EB27FE" w:rsidP="00DF35C1">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EB27FE">
              <w:rPr>
                <w:rFonts w:ascii="Calibri" w:hAnsi="Calibri"/>
                <w:b/>
                <w:sz w:val="20"/>
              </w:rPr>
              <w:t>9,890.0</w:t>
            </w:r>
          </w:p>
        </w:tc>
      </w:tr>
    </w:tbl>
    <w:p w:rsidR="00EB27FE" w:rsidRPr="00EB27FE" w:rsidRDefault="00EB27FE" w:rsidP="001F2692">
      <w:pPr>
        <w:pStyle w:val="Footnotes"/>
        <w:numPr>
          <w:ilvl w:val="0"/>
          <w:numId w:val="37"/>
        </w:numPr>
        <w:ind w:left="284" w:hanging="284"/>
      </w:pPr>
      <w:r w:rsidRPr="00EB27FE">
        <w:t xml:space="preserve">A positive number indicates an increase in revenue or decrease in expenses or net capital investment in accrual and cash terms.  A negative number indicates a decrease in revenue or an increase in expenses or net capital investment in accrual and cash terms.  </w:t>
      </w:r>
    </w:p>
    <w:p w:rsidR="00EB27FE" w:rsidRPr="00EB27FE" w:rsidRDefault="00EB27FE" w:rsidP="001F2692">
      <w:pPr>
        <w:pStyle w:val="Footnotes"/>
        <w:ind w:left="284" w:hanging="284"/>
      </w:pPr>
      <w:r w:rsidRPr="00EB27FE">
        <w:t>Figures may not sum to totals due to rounding.</w:t>
      </w:r>
    </w:p>
    <w:p w:rsidR="00EB27FE" w:rsidRPr="00EB27FE" w:rsidRDefault="00EB27FE" w:rsidP="001F2692">
      <w:pPr>
        <w:pStyle w:val="Footnotes"/>
        <w:numPr>
          <w:ilvl w:val="0"/>
          <w:numId w:val="0"/>
        </w:numPr>
        <w:ind w:left="284" w:hanging="284"/>
      </w:pPr>
      <w:r w:rsidRPr="00EB27FE">
        <w:t>..</w:t>
      </w:r>
      <w:r w:rsidRPr="00EB27FE">
        <w:tab/>
        <w:t>Not zero, but rounded to zero.</w:t>
      </w:r>
    </w:p>
    <w:p w:rsidR="00EB27FE" w:rsidRDefault="00EB27FE" w:rsidP="001F2692">
      <w:pPr>
        <w:pStyle w:val="Footnotes"/>
        <w:numPr>
          <w:ilvl w:val="0"/>
          <w:numId w:val="0"/>
        </w:numPr>
        <w:ind w:left="284" w:hanging="284"/>
      </w:pPr>
      <w:r w:rsidRPr="00EB27FE">
        <w:t>-</w:t>
      </w:r>
      <w:r w:rsidRPr="00EB27FE">
        <w:tab/>
        <w:t>Indicates nil.</w:t>
      </w:r>
    </w:p>
    <w:p w:rsidR="00DF35C1" w:rsidRPr="00951305" w:rsidRDefault="00DF35C1" w:rsidP="00EB27FE">
      <w:pPr>
        <w:pStyle w:val="Footnotes"/>
        <w:numPr>
          <w:ilvl w:val="0"/>
          <w:numId w:val="0"/>
        </w:numPr>
        <w:ind w:left="284" w:hanging="284"/>
      </w:pPr>
    </w:p>
    <w:p w:rsidR="00420CF4" w:rsidRDefault="00420CF4" w:rsidP="00420CF4">
      <w:pPr>
        <w:pStyle w:val="BodyText"/>
        <w:sectPr w:rsidR="00420CF4" w:rsidSect="0004375F">
          <w:headerReference w:type="even" r:id="rId44"/>
          <w:headerReference w:type="default" r:id="rId45"/>
          <w:footerReference w:type="even" r:id="rId46"/>
          <w:footerReference w:type="default" r:id="rId47"/>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20" w:name="_Toc458081640"/>
      <w:r>
        <w:t>ALP016: Not proceeding with the marriage equality plebiscite</w:t>
      </w:r>
      <w:bookmarkEnd w:id="20"/>
    </w:p>
    <w:p w:rsidR="00745988" w:rsidRDefault="00745988" w:rsidP="00745988">
      <w:pPr>
        <w:pStyle w:val="BodyText"/>
      </w:pPr>
      <w:r>
        <w:rPr>
          <w:noProof/>
          <w:lang w:eastAsia="en-AU"/>
        </w:rPr>
        <w:drawing>
          <wp:inline distT="0" distB="0" distL="0" distR="0" wp14:anchorId="4E4055F1" wp14:editId="152DCBBB">
            <wp:extent cx="2696845" cy="572135"/>
            <wp:effectExtent l="0" t="0" r="8255" b="0"/>
            <wp:docPr id="377" name="Picture 37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AE5E69">
            <w:pPr>
              <w:pStyle w:val="PullOutBoxHeading"/>
              <w:rPr>
                <w:b/>
              </w:rPr>
            </w:pPr>
            <w:r w:rsidRPr="00E758BA">
              <w:rPr>
                <w:b/>
              </w:rPr>
              <w:t>Name of proposal:</w:t>
            </w:r>
          </w:p>
        </w:tc>
        <w:tc>
          <w:tcPr>
            <w:tcW w:w="3191" w:type="pct"/>
          </w:tcPr>
          <w:p w:rsidR="00420CF4" w:rsidRPr="00E758BA" w:rsidRDefault="00B37BCB" w:rsidP="00AE5E69">
            <w:pPr>
              <w:pStyle w:val="PullOutBoxHeading"/>
              <w:rPr>
                <w:b/>
              </w:rPr>
            </w:pPr>
            <w:r w:rsidRPr="00E758BA">
              <w:rPr>
                <w:b/>
              </w:rPr>
              <w:t>Not proceeding with the marriage equality plebiscite</w:t>
            </w:r>
          </w:p>
        </w:tc>
      </w:tr>
      <w:tr w:rsidR="00420CF4" w:rsidRPr="00B45F94" w:rsidTr="00967BCD">
        <w:tc>
          <w:tcPr>
            <w:tcW w:w="1809" w:type="pct"/>
          </w:tcPr>
          <w:p w:rsidR="00420CF4" w:rsidRPr="00B45F94" w:rsidRDefault="00420CF4" w:rsidP="00AE5E69">
            <w:pPr>
              <w:pStyle w:val="PullOutBoxBodyText"/>
            </w:pPr>
            <w:r w:rsidRPr="00B45F94">
              <w:t>Summary of proposal:</w:t>
            </w:r>
          </w:p>
        </w:tc>
        <w:tc>
          <w:tcPr>
            <w:tcW w:w="3191" w:type="pct"/>
          </w:tcPr>
          <w:p w:rsidR="00B37BCB" w:rsidRPr="00B37BCB" w:rsidRDefault="00B37BCB" w:rsidP="00AE5E69">
            <w:pPr>
              <w:pStyle w:val="PullOutBoxBodyText"/>
            </w:pPr>
            <w:r w:rsidRPr="00B37BCB">
              <w:t>The proposal would not proceed with the plebiscite on same-sex marriage (the plebiscite).</w:t>
            </w:r>
          </w:p>
          <w:p w:rsidR="00420CF4" w:rsidRPr="00B45F94" w:rsidRDefault="00B37BCB" w:rsidP="00AE5E69">
            <w:pPr>
              <w:pStyle w:val="PullOutBoxBodyText"/>
            </w:pPr>
            <w:r w:rsidRPr="00B37BCB">
              <w:t>The proposal would have effect from 1 July 2016.</w:t>
            </w:r>
          </w:p>
        </w:tc>
      </w:tr>
      <w:tr w:rsidR="00420CF4" w:rsidRPr="00B45F94" w:rsidTr="00967BCD">
        <w:tc>
          <w:tcPr>
            <w:tcW w:w="1809" w:type="pct"/>
          </w:tcPr>
          <w:p w:rsidR="00420CF4" w:rsidRPr="00B45F94" w:rsidRDefault="00420CF4" w:rsidP="00AE5E69">
            <w:pPr>
              <w:pStyle w:val="PullOutBoxBodyText"/>
            </w:pPr>
            <w:r>
              <w:t>Party:</w:t>
            </w:r>
          </w:p>
        </w:tc>
        <w:tc>
          <w:tcPr>
            <w:tcW w:w="3191" w:type="pct"/>
          </w:tcPr>
          <w:p w:rsidR="00420CF4" w:rsidRPr="00B45F94" w:rsidRDefault="00420CF4" w:rsidP="00AE5E69">
            <w:pPr>
              <w:pStyle w:val="PullOutBoxBodyText"/>
            </w:pPr>
            <w:r>
              <w:t>Australian Labor Party</w:t>
            </w:r>
          </w:p>
        </w:tc>
      </w:tr>
      <w:tr w:rsidR="00420CF4" w:rsidRPr="00B45F94" w:rsidTr="00967BCD">
        <w:tc>
          <w:tcPr>
            <w:tcW w:w="1809" w:type="pct"/>
          </w:tcPr>
          <w:p w:rsidR="00420CF4" w:rsidRPr="00B45F94" w:rsidRDefault="00420CF4" w:rsidP="00AE5E69">
            <w:pPr>
              <w:pStyle w:val="PullOutBoxBodyText"/>
            </w:pPr>
            <w:r w:rsidRPr="00B45F94">
              <w:t>Expiry date for the costing:</w:t>
            </w:r>
          </w:p>
        </w:tc>
        <w:tc>
          <w:tcPr>
            <w:tcW w:w="3191" w:type="pct"/>
          </w:tcPr>
          <w:p w:rsidR="00420CF4" w:rsidRPr="00B45F94" w:rsidRDefault="00EC102A" w:rsidP="00AE5E6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B37BCB" w:rsidRPr="00B37BCB" w:rsidRDefault="00B37BCB" w:rsidP="00B37BCB">
      <w:pPr>
        <w:pStyle w:val="BodyText"/>
      </w:pPr>
      <w:r w:rsidRPr="00B37BCB">
        <w:t xml:space="preserve">This proposal would be expected to increase the fiscal and underlying cash balances by $160.0 million over the 2016-17 Budget forward estimates period.  The impact is entirely due to a decrease in departmental expenses.  </w:t>
      </w:r>
    </w:p>
    <w:p w:rsidR="00B37BCB" w:rsidRPr="00B37BCB" w:rsidRDefault="00B37BCB" w:rsidP="00B37BCB">
      <w:pPr>
        <w:pStyle w:val="BodyText"/>
      </w:pPr>
      <w:r w:rsidRPr="00B37BCB">
        <w:t>As funding for the plebiscite is provided in 2016-17 only, this proposal would not be expected to have a financial impact beyond the forward estimates.</w:t>
      </w:r>
    </w:p>
    <w:p w:rsidR="00B37BCB" w:rsidRPr="00B37BCB" w:rsidRDefault="00B37BCB" w:rsidP="00B37BCB">
      <w:pPr>
        <w:pStyle w:val="BodyText"/>
      </w:pPr>
      <w:r w:rsidRPr="00B37BCB">
        <w:t>This costing is considered to be of high reliability as the estimates reflect the reversal of a measure from the 2016-17 Budget, noting that it was reported as a Decision Taken But Not Yet Announced in the 2016 Pre-Election Economic and Fiscal Outlook report.</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AE5E69">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AE5E69">
            <w:pPr>
              <w:pStyle w:val="TableHeading"/>
            </w:pPr>
            <w:r>
              <w:t>Impact on</w:t>
            </w:r>
            <w:r w:rsidR="00B37BCB">
              <w:t xml:space="preserve"> ($m)</w:t>
            </w:r>
          </w:p>
        </w:tc>
        <w:tc>
          <w:tcPr>
            <w:tcW w:w="721" w:type="pct"/>
            <w:vAlign w:val="center"/>
          </w:tcPr>
          <w:p w:rsidR="00420CF4" w:rsidRPr="00FC1F1C" w:rsidRDefault="00420CF4" w:rsidP="00AE5E69">
            <w:pPr>
              <w:pStyle w:val="TableHeadingRight"/>
            </w:pPr>
            <w:r>
              <w:t>2016–17</w:t>
            </w:r>
          </w:p>
        </w:tc>
        <w:tc>
          <w:tcPr>
            <w:tcW w:w="721" w:type="pct"/>
            <w:vAlign w:val="center"/>
          </w:tcPr>
          <w:p w:rsidR="00420CF4" w:rsidRPr="00FC1F1C" w:rsidRDefault="00420CF4" w:rsidP="00AE5E69">
            <w:pPr>
              <w:pStyle w:val="TableHeadingRight"/>
            </w:pPr>
            <w:r>
              <w:t>2017–18</w:t>
            </w:r>
          </w:p>
        </w:tc>
        <w:tc>
          <w:tcPr>
            <w:tcW w:w="722" w:type="pct"/>
            <w:vAlign w:val="center"/>
          </w:tcPr>
          <w:p w:rsidR="00420CF4" w:rsidRPr="00FC1F1C" w:rsidRDefault="00420CF4" w:rsidP="00AE5E69">
            <w:pPr>
              <w:pStyle w:val="TableHeadingRight"/>
            </w:pPr>
            <w:r>
              <w:t>2018–19</w:t>
            </w:r>
          </w:p>
        </w:tc>
        <w:tc>
          <w:tcPr>
            <w:tcW w:w="721" w:type="pct"/>
            <w:vAlign w:val="center"/>
          </w:tcPr>
          <w:p w:rsidR="00420CF4" w:rsidRPr="00FC1F1C" w:rsidRDefault="00420CF4" w:rsidP="00AE5E69">
            <w:pPr>
              <w:pStyle w:val="TableHeadingRight"/>
            </w:pPr>
            <w:r>
              <w:t>2019–20</w:t>
            </w:r>
          </w:p>
        </w:tc>
        <w:tc>
          <w:tcPr>
            <w:tcW w:w="722" w:type="pct"/>
            <w:vAlign w:val="center"/>
          </w:tcPr>
          <w:p w:rsidR="00420CF4" w:rsidRDefault="00420CF4" w:rsidP="00AE5E69">
            <w:pPr>
              <w:pStyle w:val="TableTextRight"/>
            </w:pPr>
            <w:r>
              <w:t>Total</w:t>
            </w:r>
          </w:p>
        </w:tc>
      </w:tr>
      <w:tr w:rsidR="00B37BCB" w:rsidTr="00AE5E69">
        <w:tc>
          <w:tcPr>
            <w:tcW w:w="1393" w:type="pct"/>
            <w:vAlign w:val="center"/>
          </w:tcPr>
          <w:p w:rsidR="00B37BCB" w:rsidRDefault="00B37BCB" w:rsidP="00AE5E69">
            <w:pPr>
              <w:pStyle w:val="TableText"/>
            </w:pPr>
            <w:r>
              <w:t>Fiscal balance</w:t>
            </w:r>
          </w:p>
        </w:tc>
        <w:tc>
          <w:tcPr>
            <w:tcW w:w="721" w:type="pct"/>
            <w:vAlign w:val="center"/>
          </w:tcPr>
          <w:p w:rsidR="00B37BCB" w:rsidRPr="003A3459" w:rsidRDefault="00B37BCB" w:rsidP="00AE5E69">
            <w:pPr>
              <w:pStyle w:val="TableTextCentred"/>
              <w:keepNext/>
              <w:keepLines/>
              <w:jc w:val="right"/>
              <w:rPr>
                <w:szCs w:val="20"/>
              </w:rPr>
            </w:pPr>
            <w:r>
              <w:rPr>
                <w:szCs w:val="20"/>
              </w:rPr>
              <w:t>160.0</w:t>
            </w:r>
          </w:p>
        </w:tc>
        <w:tc>
          <w:tcPr>
            <w:tcW w:w="721" w:type="pct"/>
            <w:vAlign w:val="center"/>
          </w:tcPr>
          <w:p w:rsidR="00B37BCB" w:rsidRPr="003A3459" w:rsidRDefault="00B37BCB" w:rsidP="00AE5E69">
            <w:pPr>
              <w:pStyle w:val="TableTextCentred"/>
              <w:keepNext/>
              <w:keepLines/>
              <w:jc w:val="right"/>
              <w:rPr>
                <w:szCs w:val="20"/>
              </w:rPr>
            </w:pPr>
            <w:r>
              <w:rPr>
                <w:szCs w:val="20"/>
              </w:rPr>
              <w:t>-</w:t>
            </w:r>
          </w:p>
        </w:tc>
        <w:tc>
          <w:tcPr>
            <w:tcW w:w="722" w:type="pct"/>
            <w:vAlign w:val="center"/>
          </w:tcPr>
          <w:p w:rsidR="00B37BCB" w:rsidRPr="003A3459" w:rsidRDefault="00B37BCB" w:rsidP="00AE5E69">
            <w:pPr>
              <w:pStyle w:val="TableTextCentred"/>
              <w:keepNext/>
              <w:keepLines/>
              <w:jc w:val="right"/>
              <w:rPr>
                <w:szCs w:val="20"/>
              </w:rPr>
            </w:pPr>
            <w:r>
              <w:rPr>
                <w:szCs w:val="20"/>
              </w:rPr>
              <w:t>-</w:t>
            </w:r>
          </w:p>
        </w:tc>
        <w:tc>
          <w:tcPr>
            <w:tcW w:w="721" w:type="pct"/>
            <w:vAlign w:val="center"/>
          </w:tcPr>
          <w:p w:rsidR="00B37BCB" w:rsidRPr="003A3459" w:rsidRDefault="00B37BCB" w:rsidP="00AE5E69">
            <w:pPr>
              <w:pStyle w:val="TableTextCentred"/>
              <w:keepNext/>
              <w:keepLines/>
              <w:jc w:val="right"/>
              <w:rPr>
                <w:szCs w:val="20"/>
              </w:rPr>
            </w:pPr>
            <w:r>
              <w:rPr>
                <w:szCs w:val="20"/>
              </w:rPr>
              <w:t>-</w:t>
            </w:r>
          </w:p>
        </w:tc>
        <w:tc>
          <w:tcPr>
            <w:tcW w:w="722" w:type="pct"/>
            <w:vAlign w:val="center"/>
          </w:tcPr>
          <w:p w:rsidR="00B37BCB" w:rsidRPr="00C363AE" w:rsidRDefault="00B37BCB" w:rsidP="00AE5E69">
            <w:pPr>
              <w:pStyle w:val="TableTextCentred"/>
              <w:keepNext/>
              <w:keepLines/>
              <w:jc w:val="right"/>
              <w:rPr>
                <w:b/>
                <w:szCs w:val="20"/>
              </w:rPr>
            </w:pPr>
            <w:r>
              <w:rPr>
                <w:b/>
                <w:szCs w:val="20"/>
              </w:rPr>
              <w:t>160.0</w:t>
            </w:r>
          </w:p>
        </w:tc>
      </w:tr>
      <w:tr w:rsidR="00B37BCB" w:rsidTr="00AE5E69">
        <w:tc>
          <w:tcPr>
            <w:tcW w:w="1393" w:type="pct"/>
            <w:vAlign w:val="center"/>
          </w:tcPr>
          <w:p w:rsidR="00B37BCB" w:rsidRDefault="00B37BCB" w:rsidP="00AE5E69">
            <w:pPr>
              <w:pStyle w:val="TableText"/>
            </w:pPr>
            <w:r>
              <w:t>Underlying cash balance</w:t>
            </w:r>
          </w:p>
        </w:tc>
        <w:tc>
          <w:tcPr>
            <w:tcW w:w="721" w:type="pct"/>
            <w:vAlign w:val="center"/>
          </w:tcPr>
          <w:p w:rsidR="00B37BCB" w:rsidRPr="003A3459" w:rsidRDefault="00B37BCB" w:rsidP="00AE5E69">
            <w:pPr>
              <w:pStyle w:val="TableTextCentred"/>
              <w:keepNext/>
              <w:keepLines/>
              <w:jc w:val="right"/>
              <w:rPr>
                <w:szCs w:val="20"/>
              </w:rPr>
            </w:pPr>
            <w:r>
              <w:rPr>
                <w:szCs w:val="20"/>
              </w:rPr>
              <w:t>160.0</w:t>
            </w:r>
          </w:p>
        </w:tc>
        <w:tc>
          <w:tcPr>
            <w:tcW w:w="721" w:type="pct"/>
            <w:vAlign w:val="center"/>
          </w:tcPr>
          <w:p w:rsidR="00B37BCB" w:rsidRPr="003A3459" w:rsidRDefault="00B37BCB" w:rsidP="00AE5E69">
            <w:pPr>
              <w:pStyle w:val="TableTextCentred"/>
              <w:keepNext/>
              <w:keepLines/>
              <w:jc w:val="right"/>
              <w:rPr>
                <w:szCs w:val="20"/>
              </w:rPr>
            </w:pPr>
            <w:r>
              <w:rPr>
                <w:szCs w:val="20"/>
              </w:rPr>
              <w:t>-</w:t>
            </w:r>
          </w:p>
        </w:tc>
        <w:tc>
          <w:tcPr>
            <w:tcW w:w="722" w:type="pct"/>
            <w:vAlign w:val="center"/>
          </w:tcPr>
          <w:p w:rsidR="00B37BCB" w:rsidRPr="003A3459" w:rsidRDefault="00B37BCB" w:rsidP="00AE5E69">
            <w:pPr>
              <w:pStyle w:val="TableTextCentred"/>
              <w:keepNext/>
              <w:keepLines/>
              <w:jc w:val="right"/>
              <w:rPr>
                <w:szCs w:val="20"/>
              </w:rPr>
            </w:pPr>
            <w:r>
              <w:rPr>
                <w:szCs w:val="20"/>
              </w:rPr>
              <w:t>-</w:t>
            </w:r>
          </w:p>
        </w:tc>
        <w:tc>
          <w:tcPr>
            <w:tcW w:w="721" w:type="pct"/>
            <w:vAlign w:val="center"/>
          </w:tcPr>
          <w:p w:rsidR="00B37BCB" w:rsidRPr="003A3459" w:rsidRDefault="00B37BCB" w:rsidP="00AE5E69">
            <w:pPr>
              <w:pStyle w:val="TableTextCentred"/>
              <w:keepNext/>
              <w:keepLines/>
              <w:jc w:val="right"/>
              <w:rPr>
                <w:szCs w:val="20"/>
              </w:rPr>
            </w:pPr>
            <w:r>
              <w:rPr>
                <w:szCs w:val="20"/>
              </w:rPr>
              <w:t>-</w:t>
            </w:r>
          </w:p>
        </w:tc>
        <w:tc>
          <w:tcPr>
            <w:tcW w:w="722" w:type="pct"/>
            <w:vAlign w:val="center"/>
          </w:tcPr>
          <w:p w:rsidR="00B37BCB" w:rsidRPr="00C363AE" w:rsidRDefault="00B37BCB" w:rsidP="00AE5E69">
            <w:pPr>
              <w:pStyle w:val="TableTextCentred"/>
              <w:keepNext/>
              <w:keepLines/>
              <w:jc w:val="right"/>
              <w:rPr>
                <w:b/>
                <w:szCs w:val="20"/>
              </w:rPr>
            </w:pPr>
            <w:r>
              <w:rPr>
                <w:b/>
                <w:szCs w:val="20"/>
              </w:rPr>
              <w:t>160.0</w:t>
            </w:r>
          </w:p>
        </w:tc>
      </w:tr>
    </w:tbl>
    <w:p w:rsidR="00420CF4" w:rsidRPr="00B37BCB" w:rsidRDefault="00420CF4" w:rsidP="003768DC">
      <w:pPr>
        <w:pStyle w:val="Footnotes"/>
        <w:numPr>
          <w:ilvl w:val="0"/>
          <w:numId w:val="38"/>
        </w:numPr>
        <w:ind w:left="284" w:hanging="284"/>
      </w:pPr>
      <w:r w:rsidRPr="00B37BCB">
        <w:t>A positive number indicates an increase in the relevant budget balance, a negative number a decrease.</w:t>
      </w:r>
    </w:p>
    <w:p w:rsidR="00B37BCB" w:rsidRDefault="00B37BCB" w:rsidP="00B37BCB">
      <w:pPr>
        <w:pStyle w:val="Footnotes"/>
        <w:numPr>
          <w:ilvl w:val="0"/>
          <w:numId w:val="0"/>
        </w:numPr>
        <w:ind w:left="284" w:hanging="284"/>
      </w:pPr>
      <w:r w:rsidRPr="00B37BCB">
        <w:t>-</w:t>
      </w:r>
      <w:r w:rsidRPr="00B37BCB">
        <w:tab/>
        <w:t>Indicates nil.</w:t>
      </w:r>
    </w:p>
    <w:p w:rsidR="00420CF4" w:rsidRDefault="00420CF4" w:rsidP="00420CF4">
      <w:pPr>
        <w:pStyle w:val="CostingsH7"/>
      </w:pPr>
      <w:r>
        <w:t>Data sources</w:t>
      </w:r>
    </w:p>
    <w:p w:rsidR="00420CF4" w:rsidRDefault="00B37BCB" w:rsidP="00420CF4">
      <w:pPr>
        <w:pStyle w:val="BodyText"/>
      </w:pPr>
      <w:r w:rsidRPr="00B37BCB">
        <w:t>The Department of Finance provided expenditure estimates for the plebiscite on same-sex marriage as shown in the 2016 Pre-Election Economic and Fiscal Outlook report.</w:t>
      </w:r>
    </w:p>
    <w:p w:rsidR="00AE5E69" w:rsidRPr="00951305" w:rsidRDefault="00AE5E69" w:rsidP="00420CF4">
      <w:pPr>
        <w:pStyle w:val="BodyText"/>
      </w:pPr>
    </w:p>
    <w:p w:rsidR="00420CF4" w:rsidRDefault="00420CF4" w:rsidP="00420CF4">
      <w:pPr>
        <w:pStyle w:val="BodyText"/>
        <w:sectPr w:rsidR="00420CF4" w:rsidSect="0004375F">
          <w:headerReference w:type="even" r:id="rId48"/>
          <w:headerReference w:type="default" r:id="rId49"/>
          <w:footerReference w:type="even" r:id="rId50"/>
          <w:footerReference w:type="default" r:id="rId51"/>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1" w:name="_Toc458081641"/>
      <w:r>
        <w:t>ALP017: Not proceeding with the return of the baby bonus</w:t>
      </w:r>
      <w:bookmarkEnd w:id="21"/>
    </w:p>
    <w:p w:rsidR="00745988" w:rsidRDefault="00745988" w:rsidP="00745988">
      <w:pPr>
        <w:pStyle w:val="BodyText"/>
      </w:pPr>
      <w:r>
        <w:rPr>
          <w:noProof/>
          <w:lang w:eastAsia="en-AU"/>
        </w:rPr>
        <w:drawing>
          <wp:inline distT="0" distB="0" distL="0" distR="0" wp14:anchorId="18ED7BDC" wp14:editId="69B55FDD">
            <wp:extent cx="2696845" cy="572135"/>
            <wp:effectExtent l="0" t="0" r="8255" b="0"/>
            <wp:docPr id="376" name="Picture 37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AE5E69">
            <w:pPr>
              <w:pStyle w:val="PullOutBoxHeading"/>
              <w:rPr>
                <w:b/>
              </w:rPr>
            </w:pPr>
            <w:r w:rsidRPr="00E758BA">
              <w:rPr>
                <w:b/>
              </w:rPr>
              <w:t>Name of proposal:</w:t>
            </w:r>
          </w:p>
        </w:tc>
        <w:tc>
          <w:tcPr>
            <w:tcW w:w="3191" w:type="pct"/>
          </w:tcPr>
          <w:p w:rsidR="00420CF4" w:rsidRPr="00E758BA" w:rsidRDefault="00DC57F9" w:rsidP="00AE5E69">
            <w:pPr>
              <w:pStyle w:val="PullOutBoxHeading"/>
              <w:rPr>
                <w:b/>
              </w:rPr>
            </w:pPr>
            <w:r w:rsidRPr="00E758BA">
              <w:rPr>
                <w:b/>
              </w:rPr>
              <w:t>Not proceeding with the return of the baby bonus</w:t>
            </w:r>
          </w:p>
        </w:tc>
      </w:tr>
      <w:tr w:rsidR="00420CF4" w:rsidRPr="00B45F94" w:rsidTr="00967BCD">
        <w:tc>
          <w:tcPr>
            <w:tcW w:w="1809" w:type="pct"/>
          </w:tcPr>
          <w:p w:rsidR="00420CF4" w:rsidRPr="00B45F94" w:rsidRDefault="00420CF4" w:rsidP="00AE5E69">
            <w:pPr>
              <w:pStyle w:val="PullOutBoxBodyText"/>
            </w:pPr>
            <w:r w:rsidRPr="00B45F94">
              <w:t>Summary of proposal:</w:t>
            </w:r>
          </w:p>
        </w:tc>
        <w:tc>
          <w:tcPr>
            <w:tcW w:w="3191" w:type="pct"/>
          </w:tcPr>
          <w:p w:rsidR="00DC57F9" w:rsidRPr="00DC57F9" w:rsidRDefault="00DC57F9" w:rsidP="00AE5E69">
            <w:pPr>
              <w:pStyle w:val="PullOutBoxBodyText"/>
            </w:pPr>
            <w:r w:rsidRPr="00DC57F9">
              <w:t>The proposal would reverse the increase in payments of Family Tax Benefit Part B (FTB</w:t>
            </w:r>
            <w:r>
              <w:noBreakHyphen/>
            </w:r>
            <w:r w:rsidRPr="00DC57F9">
              <w:t>B) for families with children aged under one year announced in the 2015</w:t>
            </w:r>
            <w:r>
              <w:noBreakHyphen/>
              <w:t>16 Mid</w:t>
            </w:r>
            <w:r>
              <w:noBreakHyphen/>
            </w:r>
            <w:r w:rsidRPr="00DC57F9">
              <w:t xml:space="preserve">Year Economic and Fiscal Outlook (MYEFO) measure, </w:t>
            </w:r>
            <w:r w:rsidRPr="00DC57F9">
              <w:rPr>
                <w:i/>
              </w:rPr>
              <w:t>Family Payment Reform - a new families package</w:t>
            </w:r>
            <w:r w:rsidRPr="00DC57F9">
              <w:t xml:space="preserve">.  </w:t>
            </w:r>
          </w:p>
          <w:p w:rsidR="00420CF4" w:rsidRPr="00B45F94" w:rsidRDefault="00DC57F9" w:rsidP="00AE5E69">
            <w:pPr>
              <w:pStyle w:val="PullOutBoxBodyText"/>
            </w:pPr>
            <w:r w:rsidRPr="00DC57F9">
              <w:t>The proposal would have effect from 1 July 2016.</w:t>
            </w:r>
          </w:p>
        </w:tc>
      </w:tr>
      <w:tr w:rsidR="00420CF4" w:rsidRPr="00B45F94" w:rsidTr="00967BCD">
        <w:tc>
          <w:tcPr>
            <w:tcW w:w="1809" w:type="pct"/>
          </w:tcPr>
          <w:p w:rsidR="00420CF4" w:rsidRPr="00B45F94" w:rsidRDefault="00420CF4" w:rsidP="00AE5E69">
            <w:pPr>
              <w:pStyle w:val="PullOutBoxBodyText"/>
            </w:pPr>
            <w:r>
              <w:t>Party:</w:t>
            </w:r>
          </w:p>
        </w:tc>
        <w:tc>
          <w:tcPr>
            <w:tcW w:w="3191" w:type="pct"/>
          </w:tcPr>
          <w:p w:rsidR="00420CF4" w:rsidRPr="00B45F94" w:rsidRDefault="00420CF4" w:rsidP="00AE5E69">
            <w:pPr>
              <w:pStyle w:val="PullOutBoxBodyText"/>
            </w:pPr>
            <w:r>
              <w:t>Australian Labor Party</w:t>
            </w:r>
          </w:p>
        </w:tc>
      </w:tr>
      <w:tr w:rsidR="00420CF4" w:rsidRPr="00B45F94" w:rsidTr="00967BCD">
        <w:tc>
          <w:tcPr>
            <w:tcW w:w="1809" w:type="pct"/>
          </w:tcPr>
          <w:p w:rsidR="00420CF4" w:rsidRPr="00B45F94" w:rsidRDefault="00420CF4" w:rsidP="00AE5E69">
            <w:pPr>
              <w:pStyle w:val="PullOutBoxBodyText"/>
            </w:pPr>
            <w:r w:rsidRPr="00B45F94">
              <w:t>Expiry date for the costing:</w:t>
            </w:r>
          </w:p>
        </w:tc>
        <w:tc>
          <w:tcPr>
            <w:tcW w:w="3191" w:type="pct"/>
          </w:tcPr>
          <w:p w:rsidR="00420CF4" w:rsidRPr="00B45F94" w:rsidRDefault="00EC102A" w:rsidP="00AE5E6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DC57F9" w:rsidRDefault="00DC57F9" w:rsidP="00DC57F9">
      <w:pPr>
        <w:pStyle w:val="BodyText"/>
      </w:pPr>
      <w:r w:rsidRPr="00452C26">
        <w:t>This proposal would be expected to increase the fiscal balance by $37</w:t>
      </w:r>
      <w:r>
        <w:t>2</w:t>
      </w:r>
      <w:r w:rsidRPr="00452C26">
        <w:t> million and the underlying cash balance by $3</w:t>
      </w:r>
      <w:r>
        <w:t>62</w:t>
      </w:r>
      <w:r w:rsidRPr="00452C26">
        <w:t> million over the 2016</w:t>
      </w:r>
      <w:r w:rsidRPr="00452C26">
        <w:noBreakHyphen/>
        <w:t xml:space="preserve">17 Budget forward estimates period.  </w:t>
      </w:r>
      <w:r>
        <w:t>In fiscal balance terms t</w:t>
      </w:r>
      <w:r w:rsidRPr="00452C26">
        <w:t>his reflects</w:t>
      </w:r>
      <w:r w:rsidRPr="00FA213B">
        <w:t xml:space="preserve"> </w:t>
      </w:r>
      <w:r>
        <w:t>a decrease in administered expenses of $355 m</w:t>
      </w:r>
      <w:r w:rsidRPr="00FA213B">
        <w:t xml:space="preserve">illion </w:t>
      </w:r>
      <w:r>
        <w:t xml:space="preserve">and a decrease in departmental expenses </w:t>
      </w:r>
      <w:r w:rsidRPr="00130C14">
        <w:t>of $17</w:t>
      </w:r>
      <w:r>
        <w:t> m</w:t>
      </w:r>
      <w:r w:rsidRPr="00FA213B">
        <w:t>illion</w:t>
      </w:r>
      <w:r>
        <w:t xml:space="preserve"> over this period.  A detailed breakdown of the financial implications over the 2016</w:t>
      </w:r>
      <w:r>
        <w:noBreakHyphen/>
        <w:t xml:space="preserve">17 Budget forward estimates period is at </w:t>
      </w:r>
      <w:r w:rsidRPr="00AD166C">
        <w:rPr>
          <w:u w:val="single"/>
        </w:rPr>
        <w:t>Attachment</w:t>
      </w:r>
      <w:r>
        <w:rPr>
          <w:u w:val="single"/>
        </w:rPr>
        <w:t> </w:t>
      </w:r>
      <w:r w:rsidRPr="00AD166C">
        <w:rPr>
          <w:u w:val="single"/>
        </w:rPr>
        <w:t>A</w:t>
      </w:r>
      <w:r>
        <w:t>.</w:t>
      </w:r>
    </w:p>
    <w:p w:rsidR="00DC57F9" w:rsidRDefault="00DC57F9" w:rsidP="00DC57F9">
      <w:pPr>
        <w:pStyle w:val="BodyText"/>
      </w:pPr>
      <w:r w:rsidRPr="00AD166C">
        <w:t xml:space="preserve">This proposal </w:t>
      </w:r>
      <w:r>
        <w:t>would</w:t>
      </w:r>
      <w:r w:rsidRPr="00AD166C">
        <w:t xml:space="preserve"> have ongoing </w:t>
      </w:r>
      <w:r>
        <w:t>financial implications that extend</w:t>
      </w:r>
      <w:r w:rsidRPr="00AD166C">
        <w:t xml:space="preserve"> beyond the </w:t>
      </w:r>
      <w:r>
        <w:t xml:space="preserve">2016-17 Budget </w:t>
      </w:r>
      <w:r w:rsidRPr="00AD166C">
        <w:t>forward estimates period</w:t>
      </w:r>
      <w:r>
        <w:t>.  The total financial implications are estimated to increase steadily from $122 million in 2020</w:t>
      </w:r>
      <w:r>
        <w:noBreakHyphen/>
        <w:t>21 to $131 million in 2026</w:t>
      </w:r>
      <w:r>
        <w:noBreakHyphen/>
        <w:t xml:space="preserve">27.  </w:t>
      </w:r>
    </w:p>
    <w:p w:rsidR="00DC57F9" w:rsidRDefault="00DC57F9" w:rsidP="00DC57F9">
      <w:pPr>
        <w:pStyle w:val="BodyText"/>
        <w:rPr>
          <w:highlight w:val="cyan"/>
        </w:rPr>
      </w:pPr>
      <w:r w:rsidRPr="00AD166C">
        <w:t xml:space="preserve">The underlying cash </w:t>
      </w:r>
      <w:r>
        <w:t xml:space="preserve">and  </w:t>
      </w:r>
      <w:r w:rsidRPr="00AD166C">
        <w:t xml:space="preserve">fiscal balance </w:t>
      </w:r>
      <w:r>
        <w:t>financial implications</w:t>
      </w:r>
      <w:r w:rsidRPr="00AD166C">
        <w:t xml:space="preserve"> </w:t>
      </w:r>
      <w:r>
        <w:t xml:space="preserve">differ </w:t>
      </w:r>
      <w:r w:rsidRPr="00AD166C">
        <w:t xml:space="preserve">because </w:t>
      </w:r>
      <w:r>
        <w:t>a</w:t>
      </w:r>
      <w:r w:rsidRPr="00AD166C">
        <w:t xml:space="preserve"> </w:t>
      </w:r>
      <w:r>
        <w:t xml:space="preserve">small </w:t>
      </w:r>
      <w:r w:rsidRPr="00AD166C">
        <w:t>proportion of FTB-</w:t>
      </w:r>
      <w:r>
        <w:t>B</w:t>
      </w:r>
      <w:r w:rsidRPr="00AD166C">
        <w:t xml:space="preserve"> recipients </w:t>
      </w:r>
      <w:r>
        <w:t xml:space="preserve">would receive their payment as a lump sum after the end of the financial year in which the payments are recognised. </w:t>
      </w:r>
    </w:p>
    <w:p w:rsidR="00DC57F9" w:rsidRPr="00DC57F9" w:rsidRDefault="00DC57F9" w:rsidP="00DC57F9">
      <w:pPr>
        <w:pStyle w:val="BodyText"/>
      </w:pPr>
      <w:r w:rsidRPr="00AD166C">
        <w:rPr>
          <w:lang w:eastAsia="en-AU"/>
        </w:rPr>
        <w:t>This costing is considered to be of low reliability</w:t>
      </w:r>
      <w:r>
        <w:rPr>
          <w:lang w:eastAsia="en-AU"/>
        </w:rPr>
        <w:t>.</w:t>
      </w:r>
      <w:r w:rsidRPr="00A65D2F">
        <w:t xml:space="preserve"> </w:t>
      </w:r>
      <w:r>
        <w:t xml:space="preserve"> </w:t>
      </w:r>
      <w:r w:rsidRPr="004726C6">
        <w:t xml:space="preserve">Estimates </w:t>
      </w:r>
      <w:r>
        <w:t>are</w:t>
      </w:r>
      <w:r w:rsidRPr="004726C6">
        <w:t xml:space="preserve"> sensitive to changes in eco</w:t>
      </w:r>
      <w:r>
        <w:t>nomic and demographic factors.</w:t>
      </w:r>
    </w:p>
    <w:p w:rsidR="00420CF4" w:rsidRDefault="00420CF4" w:rsidP="00745988">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AE5E69">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745988">
            <w:pPr>
              <w:pStyle w:val="TableHeading"/>
            </w:pPr>
            <w:r>
              <w:t>Impact on</w:t>
            </w:r>
            <w:r w:rsidR="00DC57F9">
              <w:t xml:space="preserve"> ($m)</w:t>
            </w:r>
          </w:p>
        </w:tc>
        <w:tc>
          <w:tcPr>
            <w:tcW w:w="721" w:type="pct"/>
            <w:vAlign w:val="center"/>
          </w:tcPr>
          <w:p w:rsidR="00420CF4" w:rsidRPr="00FC1F1C" w:rsidRDefault="00420CF4" w:rsidP="00745988">
            <w:pPr>
              <w:pStyle w:val="TableHeadingRight"/>
            </w:pPr>
            <w:r>
              <w:t>2016–17</w:t>
            </w:r>
          </w:p>
        </w:tc>
        <w:tc>
          <w:tcPr>
            <w:tcW w:w="721" w:type="pct"/>
            <w:vAlign w:val="center"/>
          </w:tcPr>
          <w:p w:rsidR="00420CF4" w:rsidRPr="00FC1F1C" w:rsidRDefault="00420CF4" w:rsidP="00745988">
            <w:pPr>
              <w:pStyle w:val="TableHeadingRight"/>
            </w:pPr>
            <w:r>
              <w:t>2017–18</w:t>
            </w:r>
          </w:p>
        </w:tc>
        <w:tc>
          <w:tcPr>
            <w:tcW w:w="722" w:type="pct"/>
            <w:vAlign w:val="center"/>
          </w:tcPr>
          <w:p w:rsidR="00420CF4" w:rsidRPr="00FC1F1C" w:rsidRDefault="00420CF4" w:rsidP="00745988">
            <w:pPr>
              <w:pStyle w:val="TableHeadingRight"/>
            </w:pPr>
            <w:r>
              <w:t>2018–19</w:t>
            </w:r>
          </w:p>
        </w:tc>
        <w:tc>
          <w:tcPr>
            <w:tcW w:w="721" w:type="pct"/>
            <w:vAlign w:val="center"/>
          </w:tcPr>
          <w:p w:rsidR="00420CF4" w:rsidRPr="00FC1F1C" w:rsidRDefault="00420CF4" w:rsidP="00745988">
            <w:pPr>
              <w:pStyle w:val="TableHeadingRight"/>
            </w:pPr>
            <w:r>
              <w:t>2019–20</w:t>
            </w:r>
          </w:p>
        </w:tc>
        <w:tc>
          <w:tcPr>
            <w:tcW w:w="722" w:type="pct"/>
            <w:vAlign w:val="center"/>
          </w:tcPr>
          <w:p w:rsidR="00420CF4" w:rsidRDefault="00DC57F9" w:rsidP="00745988">
            <w:pPr>
              <w:pStyle w:val="TableTextRight"/>
              <w:keepNext/>
              <w:keepLines/>
            </w:pPr>
            <w:r>
              <w:t>Total</w:t>
            </w:r>
          </w:p>
        </w:tc>
      </w:tr>
      <w:tr w:rsidR="00DC57F9" w:rsidTr="00AE5E69">
        <w:tc>
          <w:tcPr>
            <w:tcW w:w="1393" w:type="pct"/>
            <w:vAlign w:val="center"/>
          </w:tcPr>
          <w:p w:rsidR="00DC57F9" w:rsidRDefault="00DC57F9" w:rsidP="00745988">
            <w:pPr>
              <w:pStyle w:val="TableText"/>
              <w:keepNext/>
              <w:keepLines/>
            </w:pPr>
            <w:r>
              <w:t>Fiscal balance</w:t>
            </w:r>
          </w:p>
        </w:tc>
        <w:tc>
          <w:tcPr>
            <w:tcW w:w="721"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6.0 </w:t>
            </w:r>
          </w:p>
        </w:tc>
        <w:tc>
          <w:tcPr>
            <w:tcW w:w="721"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121.0 </w:t>
            </w:r>
          </w:p>
        </w:tc>
        <w:tc>
          <w:tcPr>
            <w:tcW w:w="722"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123.0 </w:t>
            </w:r>
          </w:p>
        </w:tc>
        <w:tc>
          <w:tcPr>
            <w:tcW w:w="721"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122.0 </w:t>
            </w:r>
          </w:p>
        </w:tc>
        <w:tc>
          <w:tcPr>
            <w:tcW w:w="722"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372.0 </w:t>
            </w:r>
          </w:p>
        </w:tc>
      </w:tr>
      <w:tr w:rsidR="00DC57F9" w:rsidTr="00AE5E69">
        <w:tc>
          <w:tcPr>
            <w:tcW w:w="1393" w:type="pct"/>
            <w:vAlign w:val="center"/>
          </w:tcPr>
          <w:p w:rsidR="00DC57F9" w:rsidRDefault="00DC57F9" w:rsidP="00745988">
            <w:pPr>
              <w:pStyle w:val="TableText"/>
              <w:keepNext/>
              <w:keepLines/>
            </w:pPr>
            <w:r>
              <w:t>Underlying cash balance</w:t>
            </w:r>
          </w:p>
        </w:tc>
        <w:tc>
          <w:tcPr>
            <w:tcW w:w="721"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6.0 </w:t>
            </w:r>
          </w:p>
        </w:tc>
        <w:tc>
          <w:tcPr>
            <w:tcW w:w="721" w:type="pct"/>
            <w:vAlign w:val="center"/>
          </w:tcPr>
          <w:p w:rsidR="00DC57F9" w:rsidRPr="00A15D69" w:rsidRDefault="00DC57F9" w:rsidP="00745988">
            <w:pPr>
              <w:pStyle w:val="TableTextCentred"/>
              <w:keepNext/>
              <w:keepLines/>
              <w:jc w:val="right"/>
              <w:rPr>
                <w:noProof/>
                <w:szCs w:val="20"/>
              </w:rPr>
            </w:pPr>
            <w:r>
              <w:rPr>
                <w:noProof/>
                <w:szCs w:val="20"/>
              </w:rPr>
              <w:t xml:space="preserve"> 116</w:t>
            </w:r>
            <w:r w:rsidRPr="00A15D69">
              <w:rPr>
                <w:noProof/>
                <w:szCs w:val="20"/>
              </w:rPr>
              <w:t xml:space="preserve">.0 </w:t>
            </w:r>
          </w:p>
        </w:tc>
        <w:tc>
          <w:tcPr>
            <w:tcW w:w="722"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123.0 </w:t>
            </w:r>
          </w:p>
        </w:tc>
        <w:tc>
          <w:tcPr>
            <w:tcW w:w="721" w:type="pct"/>
            <w:vAlign w:val="center"/>
          </w:tcPr>
          <w:p w:rsidR="00DC57F9" w:rsidRPr="00A15D69" w:rsidRDefault="00DC57F9" w:rsidP="00745988">
            <w:pPr>
              <w:pStyle w:val="TableTextCentred"/>
              <w:keepNext/>
              <w:keepLines/>
              <w:jc w:val="right"/>
              <w:rPr>
                <w:noProof/>
                <w:szCs w:val="20"/>
              </w:rPr>
            </w:pPr>
            <w:r w:rsidRPr="00A15D69">
              <w:rPr>
                <w:noProof/>
                <w:szCs w:val="20"/>
              </w:rPr>
              <w:t xml:space="preserve"> 122.0 </w:t>
            </w:r>
          </w:p>
        </w:tc>
        <w:tc>
          <w:tcPr>
            <w:tcW w:w="722" w:type="pct"/>
            <w:vAlign w:val="center"/>
          </w:tcPr>
          <w:p w:rsidR="00DC57F9" w:rsidRPr="00A15D69" w:rsidRDefault="00DC57F9" w:rsidP="00745988">
            <w:pPr>
              <w:pStyle w:val="TableTextCentred"/>
              <w:keepNext/>
              <w:keepLines/>
              <w:jc w:val="right"/>
              <w:rPr>
                <w:noProof/>
                <w:szCs w:val="20"/>
              </w:rPr>
            </w:pPr>
            <w:r>
              <w:rPr>
                <w:noProof/>
                <w:szCs w:val="20"/>
              </w:rPr>
              <w:t xml:space="preserve"> 36</w:t>
            </w:r>
            <w:r w:rsidRPr="00A15D69">
              <w:rPr>
                <w:noProof/>
                <w:szCs w:val="20"/>
              </w:rPr>
              <w:t xml:space="preserve">2.0 </w:t>
            </w:r>
          </w:p>
        </w:tc>
      </w:tr>
    </w:tbl>
    <w:p w:rsidR="00420CF4" w:rsidRDefault="00420CF4" w:rsidP="00745988">
      <w:pPr>
        <w:pStyle w:val="Footnotes"/>
        <w:keepNext/>
        <w:keepLines/>
        <w:numPr>
          <w:ilvl w:val="0"/>
          <w:numId w:val="39"/>
        </w:numPr>
        <w:ind w:left="284" w:hanging="284"/>
      </w:pPr>
      <w:r>
        <w:t xml:space="preserve">A positive </w:t>
      </w:r>
      <w:r w:rsidRPr="00FC1F1C">
        <w:t>number indicates an increase in the relevant budget balance, a negative number a decrease.</w:t>
      </w:r>
    </w:p>
    <w:p w:rsidR="00420CF4" w:rsidRPr="00967BCD" w:rsidRDefault="00420CF4" w:rsidP="003768DC">
      <w:pPr>
        <w:pStyle w:val="Footnotes"/>
        <w:numPr>
          <w:ilvl w:val="0"/>
          <w:numId w:val="14"/>
        </w:numPr>
        <w:ind w:left="284" w:hanging="284"/>
        <w:rPr>
          <w:rStyle w:val="FootnoteReference"/>
          <w:vertAlign w:val="baseline"/>
        </w:rPr>
      </w:pPr>
      <w:r w:rsidRPr="00967BCD">
        <w:t>Figures may not sum to totals due to rounding.</w:t>
      </w:r>
    </w:p>
    <w:p w:rsidR="00420CF4" w:rsidRDefault="00420CF4" w:rsidP="00420CF4">
      <w:pPr>
        <w:pStyle w:val="CostingsH7"/>
      </w:pPr>
      <w:r>
        <w:t>Key assumptions</w:t>
      </w:r>
    </w:p>
    <w:p w:rsidR="007116AB" w:rsidRPr="004754A9" w:rsidRDefault="007116AB" w:rsidP="007116AB">
      <w:pPr>
        <w:pStyle w:val="BodyText"/>
      </w:pPr>
      <w:r>
        <w:t>It has been assumed that the FTB-B population would decline at a constant rate over the medium term.</w:t>
      </w:r>
    </w:p>
    <w:p w:rsidR="00420CF4" w:rsidRDefault="00420CF4" w:rsidP="00420CF4">
      <w:pPr>
        <w:pStyle w:val="CostingsH7"/>
      </w:pPr>
      <w:r>
        <w:t>Methodology</w:t>
      </w:r>
    </w:p>
    <w:p w:rsidR="007116AB" w:rsidRPr="007116AB" w:rsidRDefault="007116AB" w:rsidP="007116AB">
      <w:pPr>
        <w:pStyle w:val="BodyText"/>
      </w:pPr>
      <w:r w:rsidRPr="007116AB">
        <w:t>Administered expenses were calculated by multiplying the reduction in payments by the number of recipients affected by the proposal.  Estimates were uprated using the 2016</w:t>
      </w:r>
      <w:r w:rsidRPr="007116AB">
        <w:noBreakHyphen/>
        <w:t>17 Budget parameters provided by the Department of Finance and recipient population projections provided by the Department of Social Services .  Administered expenses commence on 1 July 2017, due to a 2016-17 Budget variation that delayed the increases announced in the 2015-16 Mid-Year Economic and Fiscal Outlook measure by one year.</w:t>
      </w:r>
    </w:p>
    <w:p w:rsidR="007116AB" w:rsidRPr="007116AB" w:rsidRDefault="007116AB" w:rsidP="007116AB">
      <w:pPr>
        <w:pStyle w:val="BodyText"/>
      </w:pPr>
      <w:r w:rsidRPr="007116AB">
        <w:t>Departmental expenses are based on Department of Human Services estimates models, updated for 2016</w:t>
      </w:r>
      <w:r w:rsidRPr="007116AB">
        <w:noBreakHyphen/>
        <w:t>17 Budget parameters provided by the Department of Finance.</w:t>
      </w:r>
    </w:p>
    <w:p w:rsidR="007116AB" w:rsidRPr="007116AB" w:rsidRDefault="007116AB" w:rsidP="007116AB">
      <w:pPr>
        <w:pStyle w:val="BodyText"/>
      </w:pPr>
      <w:r w:rsidRPr="007116AB">
        <w:t>Administered estimates have been rounded to the nearest $10 million.  Departmental estimates have been rounded to the nearest $1 million.</w:t>
      </w:r>
    </w:p>
    <w:p w:rsidR="00420CF4" w:rsidRDefault="00420CF4" w:rsidP="00420CF4">
      <w:pPr>
        <w:pStyle w:val="CostingsH7"/>
      </w:pPr>
      <w:r>
        <w:t>Data sources</w:t>
      </w:r>
    </w:p>
    <w:p w:rsidR="007116AB" w:rsidRPr="00917E0D" w:rsidRDefault="00100ACF" w:rsidP="007116AB">
      <w:pPr>
        <w:pStyle w:val="ListBullet"/>
      </w:pPr>
      <w:r w:rsidRPr="00917E0D">
        <w:t>The Department of Social Services</w:t>
      </w:r>
      <w:r w:rsidR="007116AB" w:rsidRPr="00917E0D">
        <w:t xml:space="preserve"> provided expenditure estimates and models for the administered expenditure for the </w:t>
      </w:r>
      <w:r w:rsidR="007116AB" w:rsidRPr="00917E0D">
        <w:rPr>
          <w:i/>
        </w:rPr>
        <w:t>Family Payment Reform - a new families package</w:t>
      </w:r>
      <w:r w:rsidR="007116AB" w:rsidRPr="00917E0D">
        <w:t xml:space="preserve"> measure over the period 2015</w:t>
      </w:r>
      <w:r w:rsidR="007116AB" w:rsidRPr="00917E0D">
        <w:noBreakHyphen/>
        <w:t>16 to 2018</w:t>
      </w:r>
      <w:r w:rsidR="007116AB" w:rsidRPr="00917E0D">
        <w:noBreakHyphen/>
        <w:t>19.</w:t>
      </w:r>
    </w:p>
    <w:p w:rsidR="007116AB" w:rsidRPr="00917E0D" w:rsidRDefault="00100ACF" w:rsidP="007116AB">
      <w:pPr>
        <w:pStyle w:val="ListBullet"/>
      </w:pPr>
      <w:r w:rsidRPr="00917E0D">
        <w:t>The Department of Human Services</w:t>
      </w:r>
      <w:r w:rsidR="007116AB" w:rsidRPr="00917E0D">
        <w:t xml:space="preserve"> provided expenditure estimates and models for departmental expenditure for the </w:t>
      </w:r>
      <w:r w:rsidR="007116AB" w:rsidRPr="00917E0D">
        <w:rPr>
          <w:i/>
        </w:rPr>
        <w:t>Family Payment Reform - a new families package</w:t>
      </w:r>
      <w:r w:rsidR="007116AB" w:rsidRPr="00917E0D">
        <w:t xml:space="preserve"> measure over the period 2015</w:t>
      </w:r>
      <w:r w:rsidR="007116AB" w:rsidRPr="00917E0D">
        <w:noBreakHyphen/>
        <w:t>16 to 2018</w:t>
      </w:r>
      <w:r w:rsidR="007116AB" w:rsidRPr="00917E0D">
        <w:noBreakHyphen/>
        <w:t>19.</w:t>
      </w:r>
    </w:p>
    <w:p w:rsidR="007116AB" w:rsidRDefault="007116AB" w:rsidP="007116AB">
      <w:pPr>
        <w:pStyle w:val="ListBullet"/>
      </w:pPr>
      <w:r w:rsidRPr="00917E0D">
        <w:t>The Department of Finance provided indexation parameters.</w:t>
      </w:r>
    </w:p>
    <w:p w:rsidR="008A35EA" w:rsidRDefault="008A35EA" w:rsidP="008A35EA">
      <w:pPr>
        <w:pStyle w:val="BodyText"/>
      </w:pPr>
    </w:p>
    <w:p w:rsidR="008A35EA" w:rsidRDefault="008A35EA" w:rsidP="008A35EA">
      <w:pPr>
        <w:pStyle w:val="BodyText"/>
        <w:sectPr w:rsidR="008A35EA" w:rsidSect="008A35EA">
          <w:headerReference w:type="even" r:id="rId52"/>
          <w:headerReference w:type="default" r:id="rId53"/>
          <w:footerReference w:type="even" r:id="rId54"/>
          <w:footerReference w:type="default" r:id="rId55"/>
          <w:headerReference w:type="first" r:id="rId56"/>
          <w:footerReference w:type="first" r:id="rId57"/>
          <w:footnotePr>
            <w:numRestart w:val="eachSect"/>
          </w:footnotePr>
          <w:pgSz w:w="11906" w:h="16838" w:code="9"/>
          <w:pgMar w:top="1361" w:right="1797" w:bottom="1474" w:left="1797" w:header="283" w:footer="454" w:gutter="0"/>
          <w:cols w:space="708"/>
          <w:docGrid w:linePitch="360"/>
        </w:sectPr>
      </w:pPr>
    </w:p>
    <w:p w:rsidR="00420CF4" w:rsidRDefault="007116AB" w:rsidP="008A35EA">
      <w:pPr>
        <w:pStyle w:val="Heading6"/>
        <w:numPr>
          <w:ilvl w:val="0"/>
          <w:numId w:val="10"/>
        </w:numPr>
        <w:tabs>
          <w:tab w:val="right" w:pos="1418"/>
          <w:tab w:val="right" w:pos="1701"/>
          <w:tab w:val="right" w:pos="1985"/>
        </w:tabs>
      </w:pPr>
      <w:r>
        <w:t xml:space="preserve">Attachment </w:t>
      </w:r>
      <w:r w:rsidRPr="00FC6579">
        <w:t>A:</w:t>
      </w:r>
      <w:r>
        <w:t xml:space="preserve"> Not proceeding with the return of the baby bonus—financial implications</w:t>
      </w:r>
    </w:p>
    <w:p w:rsidR="00420CF4" w:rsidRDefault="00420CF4" w:rsidP="008A35EA">
      <w:pPr>
        <w:pStyle w:val="Caption"/>
        <w:keepLines/>
      </w:pPr>
      <w:r w:rsidRPr="002B36F1">
        <w:t xml:space="preserve">Table </w:t>
      </w:r>
      <w:r>
        <w:t>A1</w:t>
      </w:r>
      <w:r w:rsidRPr="002B36F1">
        <w:t xml:space="preserve">: </w:t>
      </w:r>
      <w:r w:rsidR="00B45D93" w:rsidRPr="00B45D93">
        <w:t>Not proceeding with the return of the baby bonus—Fiscal balance</w:t>
      </w:r>
      <w:r w:rsidR="00B45D93" w:rsidRPr="00B45D93">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AE5E6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8A35EA">
            <w:pPr>
              <w:pStyle w:val="TableText"/>
              <w:keepNext/>
              <w:keepLines/>
            </w:pPr>
            <w:r>
              <w:t>($</w:t>
            </w:r>
            <w:r w:rsidR="00B45D93">
              <w:t>m</w:t>
            </w:r>
            <w:r>
              <w:t>)</w:t>
            </w:r>
          </w:p>
        </w:tc>
        <w:tc>
          <w:tcPr>
            <w:tcW w:w="689" w:type="pct"/>
            <w:vAlign w:val="center"/>
          </w:tcPr>
          <w:p w:rsidR="00420CF4" w:rsidRPr="00AE5E69" w:rsidRDefault="00420CF4" w:rsidP="008A35EA">
            <w:pPr>
              <w:pStyle w:val="TableTextRight"/>
              <w:keepNext/>
              <w:keepLines/>
            </w:pPr>
            <w:r w:rsidRPr="00AE5E69">
              <w:t>2016–17</w:t>
            </w:r>
          </w:p>
        </w:tc>
        <w:tc>
          <w:tcPr>
            <w:tcW w:w="689" w:type="pct"/>
            <w:vAlign w:val="center"/>
          </w:tcPr>
          <w:p w:rsidR="00420CF4" w:rsidRPr="00AE5E69" w:rsidRDefault="00420CF4" w:rsidP="008A35EA">
            <w:pPr>
              <w:pStyle w:val="TableTextRight"/>
              <w:keepNext/>
              <w:keepLines/>
            </w:pPr>
            <w:r w:rsidRPr="00AE5E69">
              <w:t>2017–18</w:t>
            </w:r>
          </w:p>
        </w:tc>
        <w:tc>
          <w:tcPr>
            <w:tcW w:w="689" w:type="pct"/>
            <w:vAlign w:val="center"/>
          </w:tcPr>
          <w:p w:rsidR="00420CF4" w:rsidRPr="00AE5E69" w:rsidRDefault="00420CF4" w:rsidP="008A35EA">
            <w:pPr>
              <w:pStyle w:val="TableTextRight"/>
              <w:keepNext/>
              <w:keepLines/>
            </w:pPr>
            <w:r w:rsidRPr="00AE5E69">
              <w:t>2018–19</w:t>
            </w:r>
          </w:p>
        </w:tc>
        <w:tc>
          <w:tcPr>
            <w:tcW w:w="689" w:type="pct"/>
            <w:vAlign w:val="center"/>
          </w:tcPr>
          <w:p w:rsidR="00420CF4" w:rsidRPr="00AE5E69" w:rsidRDefault="00420CF4" w:rsidP="008A35EA">
            <w:pPr>
              <w:pStyle w:val="TableTextRight"/>
              <w:keepNext/>
              <w:keepLines/>
            </w:pPr>
            <w:r w:rsidRPr="00AE5E69">
              <w:t>2019–20</w:t>
            </w:r>
          </w:p>
        </w:tc>
        <w:tc>
          <w:tcPr>
            <w:tcW w:w="690" w:type="pct"/>
            <w:vAlign w:val="center"/>
          </w:tcPr>
          <w:p w:rsidR="00420CF4" w:rsidRPr="00AE5E69" w:rsidRDefault="00420CF4" w:rsidP="008A35EA">
            <w:pPr>
              <w:pStyle w:val="TableTextRight"/>
              <w:keepNext/>
              <w:keepLines/>
            </w:pPr>
            <w:r w:rsidRPr="00AE5E69">
              <w:t>Total</w:t>
            </w:r>
            <w:r w:rsidR="00B45D93" w:rsidRPr="00AE5E69">
              <w:t xml:space="preserve"> to 2019–20</w:t>
            </w:r>
          </w:p>
        </w:tc>
      </w:tr>
      <w:tr w:rsidR="00B45D93" w:rsidTr="00AE5E69">
        <w:tc>
          <w:tcPr>
            <w:tcW w:w="1554" w:type="pct"/>
            <w:vAlign w:val="center"/>
          </w:tcPr>
          <w:p w:rsidR="00B45D93" w:rsidRPr="0007264D" w:rsidRDefault="00B45D93" w:rsidP="008A35EA">
            <w:pPr>
              <w:pStyle w:val="TableText"/>
              <w:keepNext/>
              <w:keepLines/>
            </w:pPr>
            <w:r>
              <w:t>Administered</w:t>
            </w:r>
          </w:p>
        </w:tc>
        <w:tc>
          <w:tcPr>
            <w:tcW w:w="689" w:type="pct"/>
            <w:vAlign w:val="center"/>
          </w:tcPr>
          <w:p w:rsidR="00B45D93" w:rsidRPr="00AE5E69" w:rsidRDefault="00B45D93" w:rsidP="008A35EA">
            <w:pPr>
              <w:pStyle w:val="TableTextRight"/>
              <w:keepNext/>
              <w:keepLines/>
              <w:rPr>
                <w:i/>
              </w:rPr>
            </w:pPr>
            <w:r w:rsidRPr="00AE5E69">
              <w:rPr>
                <w:i/>
              </w:rPr>
              <w:t>-</w:t>
            </w:r>
          </w:p>
        </w:tc>
        <w:tc>
          <w:tcPr>
            <w:tcW w:w="689" w:type="pct"/>
            <w:vAlign w:val="center"/>
          </w:tcPr>
          <w:p w:rsidR="00B45D93" w:rsidRPr="00AE5E69" w:rsidRDefault="00B45D93" w:rsidP="008A35EA">
            <w:pPr>
              <w:pStyle w:val="TableTextRight"/>
              <w:keepNext/>
              <w:keepLines/>
              <w:rPr>
                <w:i/>
              </w:rPr>
            </w:pPr>
            <w:r w:rsidRPr="00AE5E69">
              <w:rPr>
                <w:i/>
              </w:rPr>
              <w:t>115.0</w:t>
            </w:r>
          </w:p>
        </w:tc>
        <w:tc>
          <w:tcPr>
            <w:tcW w:w="689" w:type="pct"/>
            <w:vAlign w:val="center"/>
          </w:tcPr>
          <w:p w:rsidR="00B45D93" w:rsidRPr="00AE5E69" w:rsidRDefault="00B45D93" w:rsidP="008A35EA">
            <w:pPr>
              <w:pStyle w:val="TableTextRight"/>
              <w:keepNext/>
              <w:keepLines/>
              <w:rPr>
                <w:i/>
              </w:rPr>
            </w:pPr>
            <w:r w:rsidRPr="00AE5E69">
              <w:rPr>
                <w:i/>
              </w:rPr>
              <w:t>120.0</w:t>
            </w:r>
          </w:p>
        </w:tc>
        <w:tc>
          <w:tcPr>
            <w:tcW w:w="689" w:type="pct"/>
            <w:vAlign w:val="center"/>
          </w:tcPr>
          <w:p w:rsidR="00B45D93" w:rsidRPr="00AE5E69" w:rsidRDefault="00B45D93" w:rsidP="008A35EA">
            <w:pPr>
              <w:pStyle w:val="TableTextRight"/>
              <w:keepNext/>
              <w:keepLines/>
              <w:rPr>
                <w:i/>
              </w:rPr>
            </w:pPr>
            <w:r w:rsidRPr="00AE5E69">
              <w:rPr>
                <w:i/>
              </w:rPr>
              <w:t>120.0</w:t>
            </w:r>
          </w:p>
        </w:tc>
        <w:tc>
          <w:tcPr>
            <w:tcW w:w="690" w:type="pct"/>
            <w:vAlign w:val="center"/>
          </w:tcPr>
          <w:p w:rsidR="00B45D93" w:rsidRPr="00AE5E69" w:rsidRDefault="00B45D93" w:rsidP="008A35EA">
            <w:pPr>
              <w:pStyle w:val="TableTextRight"/>
              <w:keepNext/>
              <w:keepLines/>
              <w:rPr>
                <w:i/>
              </w:rPr>
            </w:pPr>
            <w:r w:rsidRPr="00AE5E69">
              <w:rPr>
                <w:i/>
              </w:rPr>
              <w:t>355.0</w:t>
            </w:r>
          </w:p>
        </w:tc>
      </w:tr>
      <w:tr w:rsidR="00B45D93" w:rsidTr="00AE5E69">
        <w:tc>
          <w:tcPr>
            <w:tcW w:w="1554" w:type="pct"/>
            <w:vAlign w:val="center"/>
          </w:tcPr>
          <w:p w:rsidR="00B45D93" w:rsidRPr="0007264D" w:rsidRDefault="00B45D93" w:rsidP="008A35EA">
            <w:pPr>
              <w:pStyle w:val="TableText"/>
              <w:keepNext/>
              <w:keepLines/>
            </w:pPr>
            <w:r>
              <w:t>Departmental</w:t>
            </w:r>
          </w:p>
        </w:tc>
        <w:tc>
          <w:tcPr>
            <w:tcW w:w="689" w:type="pct"/>
            <w:vAlign w:val="center"/>
          </w:tcPr>
          <w:p w:rsidR="00B45D93" w:rsidRPr="00AE5E69" w:rsidRDefault="00B45D93" w:rsidP="008A35EA">
            <w:pPr>
              <w:pStyle w:val="TableTextRight"/>
              <w:keepNext/>
              <w:keepLines/>
              <w:rPr>
                <w:i/>
              </w:rPr>
            </w:pPr>
            <w:r w:rsidRPr="00AE5E69">
              <w:rPr>
                <w:i/>
              </w:rPr>
              <w:t>6.0</w:t>
            </w:r>
          </w:p>
        </w:tc>
        <w:tc>
          <w:tcPr>
            <w:tcW w:w="689" w:type="pct"/>
            <w:vAlign w:val="center"/>
          </w:tcPr>
          <w:p w:rsidR="00B45D93" w:rsidRPr="00AE5E69" w:rsidRDefault="00B45D93" w:rsidP="008A35EA">
            <w:pPr>
              <w:pStyle w:val="TableTextRight"/>
              <w:keepNext/>
              <w:keepLines/>
              <w:rPr>
                <w:i/>
              </w:rPr>
            </w:pPr>
            <w:r w:rsidRPr="00AE5E69">
              <w:rPr>
                <w:i/>
              </w:rPr>
              <w:t>6.0</w:t>
            </w:r>
          </w:p>
        </w:tc>
        <w:tc>
          <w:tcPr>
            <w:tcW w:w="689" w:type="pct"/>
            <w:vAlign w:val="center"/>
          </w:tcPr>
          <w:p w:rsidR="00B45D93" w:rsidRPr="00AE5E69" w:rsidRDefault="00B45D93" w:rsidP="008A35EA">
            <w:pPr>
              <w:pStyle w:val="TableTextRight"/>
              <w:keepNext/>
              <w:keepLines/>
              <w:rPr>
                <w:i/>
              </w:rPr>
            </w:pPr>
            <w:r w:rsidRPr="00AE5E69">
              <w:rPr>
                <w:i/>
              </w:rPr>
              <w:t>3.0</w:t>
            </w:r>
          </w:p>
        </w:tc>
        <w:tc>
          <w:tcPr>
            <w:tcW w:w="689" w:type="pct"/>
            <w:vAlign w:val="center"/>
          </w:tcPr>
          <w:p w:rsidR="00B45D93" w:rsidRPr="00AE5E69" w:rsidRDefault="00B45D93" w:rsidP="008A35EA">
            <w:pPr>
              <w:pStyle w:val="TableTextRight"/>
              <w:keepNext/>
              <w:keepLines/>
              <w:rPr>
                <w:i/>
              </w:rPr>
            </w:pPr>
            <w:r w:rsidRPr="00AE5E69">
              <w:rPr>
                <w:i/>
              </w:rPr>
              <w:t>2.0</w:t>
            </w:r>
          </w:p>
        </w:tc>
        <w:tc>
          <w:tcPr>
            <w:tcW w:w="690" w:type="pct"/>
            <w:vAlign w:val="center"/>
          </w:tcPr>
          <w:p w:rsidR="00B45D93" w:rsidRPr="00AE5E69" w:rsidRDefault="00B45D93" w:rsidP="008A35EA">
            <w:pPr>
              <w:pStyle w:val="TableTextRight"/>
              <w:keepNext/>
              <w:keepLines/>
              <w:rPr>
                <w:i/>
              </w:rPr>
            </w:pPr>
            <w:r w:rsidRPr="00AE5E69">
              <w:rPr>
                <w:i/>
              </w:rPr>
              <w:t>17.0</w:t>
            </w:r>
          </w:p>
        </w:tc>
      </w:tr>
      <w:tr w:rsidR="00B45D93" w:rsidRPr="007C2713" w:rsidTr="00AE5E69">
        <w:tc>
          <w:tcPr>
            <w:tcW w:w="1554" w:type="pct"/>
            <w:shd w:val="clear" w:color="auto" w:fill="D7DDE9" w:themeFill="accent3"/>
            <w:vAlign w:val="center"/>
          </w:tcPr>
          <w:p w:rsidR="00B45D93" w:rsidRPr="007C2713" w:rsidRDefault="00B45D93" w:rsidP="008A35EA">
            <w:pPr>
              <w:pStyle w:val="TableText"/>
              <w:keepNext/>
              <w:keepLines/>
              <w:rPr>
                <w:b/>
              </w:rPr>
            </w:pPr>
            <w:r w:rsidRPr="007C2713">
              <w:rPr>
                <w:b/>
              </w:rPr>
              <w:t>Total</w:t>
            </w:r>
          </w:p>
        </w:tc>
        <w:tc>
          <w:tcPr>
            <w:tcW w:w="689" w:type="pct"/>
            <w:shd w:val="clear" w:color="auto" w:fill="D7DDE9" w:themeFill="accent3"/>
            <w:vAlign w:val="center"/>
          </w:tcPr>
          <w:p w:rsidR="00B45D93" w:rsidRPr="00ED1D90" w:rsidRDefault="00B45D93" w:rsidP="008A35EA">
            <w:pPr>
              <w:pStyle w:val="TableTextRight"/>
              <w:keepNext/>
              <w:keepLines/>
              <w:rPr>
                <w:b/>
              </w:rPr>
            </w:pPr>
            <w:r w:rsidRPr="00ED1D90">
              <w:rPr>
                <w:b/>
              </w:rPr>
              <w:t>6.0</w:t>
            </w:r>
          </w:p>
        </w:tc>
        <w:tc>
          <w:tcPr>
            <w:tcW w:w="689" w:type="pct"/>
            <w:shd w:val="clear" w:color="auto" w:fill="D7DDE9" w:themeFill="accent3"/>
            <w:vAlign w:val="center"/>
          </w:tcPr>
          <w:p w:rsidR="00B45D93" w:rsidRPr="00ED1D90" w:rsidRDefault="00B45D93" w:rsidP="008A35EA">
            <w:pPr>
              <w:pStyle w:val="TableTextRight"/>
              <w:keepNext/>
              <w:keepLines/>
              <w:rPr>
                <w:b/>
              </w:rPr>
            </w:pPr>
            <w:r w:rsidRPr="00ED1D90">
              <w:rPr>
                <w:b/>
              </w:rPr>
              <w:t>121.0</w:t>
            </w:r>
          </w:p>
        </w:tc>
        <w:tc>
          <w:tcPr>
            <w:tcW w:w="689" w:type="pct"/>
            <w:shd w:val="clear" w:color="auto" w:fill="D7DDE9" w:themeFill="accent3"/>
            <w:vAlign w:val="center"/>
          </w:tcPr>
          <w:p w:rsidR="00B45D93" w:rsidRPr="00ED1D90" w:rsidRDefault="00B45D93" w:rsidP="008A35EA">
            <w:pPr>
              <w:pStyle w:val="TableTextRight"/>
              <w:keepNext/>
              <w:keepLines/>
              <w:rPr>
                <w:b/>
              </w:rPr>
            </w:pPr>
            <w:r w:rsidRPr="00ED1D90">
              <w:rPr>
                <w:b/>
              </w:rPr>
              <w:t>123.0</w:t>
            </w:r>
          </w:p>
        </w:tc>
        <w:tc>
          <w:tcPr>
            <w:tcW w:w="689" w:type="pct"/>
            <w:shd w:val="clear" w:color="auto" w:fill="D7DDE9" w:themeFill="accent3"/>
            <w:vAlign w:val="center"/>
          </w:tcPr>
          <w:p w:rsidR="00B45D93" w:rsidRPr="00ED1D90" w:rsidRDefault="00B45D93" w:rsidP="008A35EA">
            <w:pPr>
              <w:pStyle w:val="TableTextRight"/>
              <w:keepNext/>
              <w:keepLines/>
              <w:rPr>
                <w:b/>
              </w:rPr>
            </w:pPr>
            <w:r w:rsidRPr="00ED1D90">
              <w:rPr>
                <w:b/>
              </w:rPr>
              <w:t>122.0</w:t>
            </w:r>
          </w:p>
        </w:tc>
        <w:tc>
          <w:tcPr>
            <w:tcW w:w="690" w:type="pct"/>
            <w:shd w:val="clear" w:color="auto" w:fill="D7DDE9" w:themeFill="accent3"/>
            <w:vAlign w:val="center"/>
          </w:tcPr>
          <w:p w:rsidR="00B45D93" w:rsidRPr="00ED1D90" w:rsidRDefault="00B45D93" w:rsidP="008A35EA">
            <w:pPr>
              <w:pStyle w:val="TableTextRight"/>
              <w:keepNext/>
              <w:keepLines/>
              <w:rPr>
                <w:b/>
              </w:rPr>
            </w:pPr>
            <w:r w:rsidRPr="00ED1D90">
              <w:rPr>
                <w:b/>
              </w:rPr>
              <w:t>372.0</w:t>
            </w:r>
          </w:p>
        </w:tc>
      </w:tr>
    </w:tbl>
    <w:p w:rsidR="00B45D93" w:rsidRDefault="00B45D93" w:rsidP="008A35EA">
      <w:pPr>
        <w:pStyle w:val="Footnotes"/>
        <w:keepNext/>
        <w:keepLines/>
        <w:numPr>
          <w:ilvl w:val="0"/>
          <w:numId w:val="40"/>
        </w:numPr>
        <w:ind w:left="284" w:hanging="284"/>
      </w:pPr>
      <w:r>
        <w:t>A positive number for the fiscal balance indicates an increase in revenue or decrease in expenses or net capital investment in accrual terms. A negative number for the fiscal balance indicates a decrease in revenue or an increase in expenses or net capital investment in accrual terms.</w:t>
      </w:r>
    </w:p>
    <w:p w:rsidR="00B45D93" w:rsidRDefault="00B45D93" w:rsidP="008A35EA">
      <w:pPr>
        <w:pStyle w:val="Footnotes"/>
        <w:keepNext/>
        <w:keepLines/>
        <w:ind w:left="284" w:hanging="284"/>
      </w:pPr>
      <w:r>
        <w:t>Figures may not sum to totals due to rounding.</w:t>
      </w:r>
    </w:p>
    <w:p w:rsidR="00420CF4" w:rsidRPr="00951305" w:rsidRDefault="00B45D93" w:rsidP="008A35EA">
      <w:pPr>
        <w:pStyle w:val="Footnotes"/>
        <w:keepNext/>
        <w:keepLines/>
        <w:numPr>
          <w:ilvl w:val="0"/>
          <w:numId w:val="0"/>
        </w:numPr>
        <w:ind w:left="284" w:hanging="284"/>
      </w:pPr>
      <w:r>
        <w:t>-</w:t>
      </w:r>
      <w:r>
        <w:tab/>
        <w:t>Indicates nil.</w:t>
      </w:r>
    </w:p>
    <w:p w:rsidR="00B45D93" w:rsidRDefault="00B45D93" w:rsidP="008A35EA">
      <w:pPr>
        <w:pStyle w:val="Caption"/>
        <w:keepLines/>
      </w:pPr>
      <w:r w:rsidRPr="002B36F1">
        <w:t xml:space="preserve">Table </w:t>
      </w:r>
      <w:r>
        <w:t>A2</w:t>
      </w:r>
      <w:r w:rsidRPr="002B36F1">
        <w:t xml:space="preserve">: </w:t>
      </w:r>
      <w:r w:rsidRPr="00B45D93">
        <w:t>Not proceeding with the return of the baby bonus—Underlying cash balance</w:t>
      </w:r>
      <w:r w:rsidRPr="00B45D93">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45D93" w:rsidTr="00AE5E6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45D93" w:rsidRPr="007C2713" w:rsidRDefault="00B45D93" w:rsidP="008A35EA">
            <w:pPr>
              <w:pStyle w:val="TableText"/>
              <w:keepNext/>
              <w:keepLines/>
            </w:pPr>
            <w:r>
              <w:t>($m)</w:t>
            </w:r>
          </w:p>
        </w:tc>
        <w:tc>
          <w:tcPr>
            <w:tcW w:w="689" w:type="pct"/>
            <w:vAlign w:val="center"/>
          </w:tcPr>
          <w:p w:rsidR="00B45D93" w:rsidRDefault="00B45D93" w:rsidP="008A35EA">
            <w:pPr>
              <w:pStyle w:val="TableTextRight"/>
              <w:keepNext/>
              <w:keepLines/>
            </w:pPr>
            <w:r>
              <w:t>2016–17</w:t>
            </w:r>
          </w:p>
        </w:tc>
        <w:tc>
          <w:tcPr>
            <w:tcW w:w="689" w:type="pct"/>
            <w:vAlign w:val="center"/>
          </w:tcPr>
          <w:p w:rsidR="00B45D93" w:rsidRDefault="00B45D93" w:rsidP="008A35EA">
            <w:pPr>
              <w:pStyle w:val="TableTextRight"/>
              <w:keepNext/>
              <w:keepLines/>
            </w:pPr>
            <w:r>
              <w:t>2017–18</w:t>
            </w:r>
          </w:p>
        </w:tc>
        <w:tc>
          <w:tcPr>
            <w:tcW w:w="689" w:type="pct"/>
            <w:vAlign w:val="center"/>
          </w:tcPr>
          <w:p w:rsidR="00B45D93" w:rsidRDefault="00B45D93" w:rsidP="008A35EA">
            <w:pPr>
              <w:pStyle w:val="TableTextRight"/>
              <w:keepNext/>
              <w:keepLines/>
            </w:pPr>
            <w:r>
              <w:t>2018–19</w:t>
            </w:r>
          </w:p>
        </w:tc>
        <w:tc>
          <w:tcPr>
            <w:tcW w:w="689" w:type="pct"/>
            <w:vAlign w:val="center"/>
          </w:tcPr>
          <w:p w:rsidR="00B45D93" w:rsidRDefault="00B45D93" w:rsidP="008A35EA">
            <w:pPr>
              <w:pStyle w:val="TableTextRight"/>
              <w:keepNext/>
              <w:keepLines/>
            </w:pPr>
            <w:r>
              <w:t>2019–20</w:t>
            </w:r>
          </w:p>
        </w:tc>
        <w:tc>
          <w:tcPr>
            <w:tcW w:w="690" w:type="pct"/>
            <w:vAlign w:val="center"/>
          </w:tcPr>
          <w:p w:rsidR="00B45D93" w:rsidRDefault="00B45D93" w:rsidP="008A35EA">
            <w:pPr>
              <w:pStyle w:val="TableTextRight"/>
              <w:keepNext/>
              <w:keepLines/>
            </w:pPr>
            <w:r>
              <w:t>Total to 2019–20</w:t>
            </w:r>
          </w:p>
        </w:tc>
      </w:tr>
      <w:tr w:rsidR="00B45D93" w:rsidTr="00AE5E69">
        <w:tc>
          <w:tcPr>
            <w:tcW w:w="1554" w:type="pct"/>
          </w:tcPr>
          <w:p w:rsidR="00B45D93" w:rsidRPr="0007264D" w:rsidRDefault="00B45D93" w:rsidP="008A35EA">
            <w:pPr>
              <w:pStyle w:val="TableText"/>
              <w:keepNext/>
              <w:keepLines/>
            </w:pPr>
            <w:r>
              <w:t>Administered</w:t>
            </w:r>
          </w:p>
        </w:tc>
        <w:tc>
          <w:tcPr>
            <w:tcW w:w="689" w:type="pct"/>
            <w:vAlign w:val="center"/>
          </w:tcPr>
          <w:p w:rsidR="00B45D93" w:rsidRPr="00AF6A15" w:rsidRDefault="00B45D93" w:rsidP="008A35EA">
            <w:pPr>
              <w:pStyle w:val="TableTextRight"/>
              <w:keepNext/>
              <w:keepLines/>
              <w:rPr>
                <w:i/>
              </w:rPr>
            </w:pPr>
            <w:r w:rsidRPr="00AF6A15">
              <w:rPr>
                <w:i/>
              </w:rPr>
              <w:t>-</w:t>
            </w:r>
          </w:p>
        </w:tc>
        <w:tc>
          <w:tcPr>
            <w:tcW w:w="689" w:type="pct"/>
            <w:vAlign w:val="center"/>
          </w:tcPr>
          <w:p w:rsidR="00B45D93" w:rsidRPr="00AF6A15" w:rsidRDefault="00B45D93" w:rsidP="008A35EA">
            <w:pPr>
              <w:pStyle w:val="TableTextRight"/>
              <w:keepNext/>
              <w:keepLines/>
              <w:rPr>
                <w:i/>
              </w:rPr>
            </w:pPr>
            <w:r w:rsidRPr="00AF6A15">
              <w:rPr>
                <w:i/>
              </w:rPr>
              <w:t>110.0</w:t>
            </w:r>
          </w:p>
        </w:tc>
        <w:tc>
          <w:tcPr>
            <w:tcW w:w="689" w:type="pct"/>
            <w:vAlign w:val="center"/>
          </w:tcPr>
          <w:p w:rsidR="00B45D93" w:rsidRPr="00AF6A15" w:rsidRDefault="00B45D93" w:rsidP="008A35EA">
            <w:pPr>
              <w:pStyle w:val="TableTextRight"/>
              <w:keepNext/>
              <w:keepLines/>
              <w:rPr>
                <w:i/>
              </w:rPr>
            </w:pPr>
            <w:r w:rsidRPr="00AF6A15">
              <w:rPr>
                <w:i/>
              </w:rPr>
              <w:t>120.0</w:t>
            </w:r>
          </w:p>
        </w:tc>
        <w:tc>
          <w:tcPr>
            <w:tcW w:w="689" w:type="pct"/>
            <w:vAlign w:val="center"/>
          </w:tcPr>
          <w:p w:rsidR="00B45D93" w:rsidRPr="00AF6A15" w:rsidRDefault="00B45D93" w:rsidP="008A35EA">
            <w:pPr>
              <w:pStyle w:val="TableTextRight"/>
              <w:keepNext/>
              <w:keepLines/>
              <w:rPr>
                <w:i/>
              </w:rPr>
            </w:pPr>
            <w:r w:rsidRPr="00AF6A15">
              <w:rPr>
                <w:i/>
              </w:rPr>
              <w:t>120.0</w:t>
            </w:r>
          </w:p>
        </w:tc>
        <w:tc>
          <w:tcPr>
            <w:tcW w:w="690" w:type="pct"/>
            <w:vAlign w:val="center"/>
          </w:tcPr>
          <w:p w:rsidR="00B45D93" w:rsidRPr="00AF6A15" w:rsidRDefault="00B45D93" w:rsidP="008A35EA">
            <w:pPr>
              <w:pStyle w:val="TableTextRight"/>
              <w:keepNext/>
              <w:keepLines/>
              <w:rPr>
                <w:i/>
              </w:rPr>
            </w:pPr>
            <w:r w:rsidRPr="00AF6A15">
              <w:rPr>
                <w:i/>
              </w:rPr>
              <w:t>345.0</w:t>
            </w:r>
          </w:p>
        </w:tc>
      </w:tr>
      <w:tr w:rsidR="00B45D93" w:rsidTr="00AE5E69">
        <w:tc>
          <w:tcPr>
            <w:tcW w:w="1554" w:type="pct"/>
          </w:tcPr>
          <w:p w:rsidR="00B45D93" w:rsidRPr="0007264D" w:rsidRDefault="00B45D93" w:rsidP="008A35EA">
            <w:pPr>
              <w:pStyle w:val="TableText"/>
              <w:keepNext/>
              <w:keepLines/>
            </w:pPr>
            <w:r>
              <w:t>Departmental</w:t>
            </w:r>
          </w:p>
        </w:tc>
        <w:tc>
          <w:tcPr>
            <w:tcW w:w="689" w:type="pct"/>
            <w:vAlign w:val="center"/>
          </w:tcPr>
          <w:p w:rsidR="00B45D93" w:rsidRPr="00AF6A15" w:rsidRDefault="00B45D93" w:rsidP="008A35EA">
            <w:pPr>
              <w:pStyle w:val="TableTextRight"/>
              <w:keepNext/>
              <w:keepLines/>
              <w:rPr>
                <w:i/>
              </w:rPr>
            </w:pPr>
            <w:r w:rsidRPr="00AF6A15">
              <w:rPr>
                <w:i/>
              </w:rPr>
              <w:t>6.0</w:t>
            </w:r>
          </w:p>
        </w:tc>
        <w:tc>
          <w:tcPr>
            <w:tcW w:w="689" w:type="pct"/>
            <w:vAlign w:val="center"/>
          </w:tcPr>
          <w:p w:rsidR="00B45D93" w:rsidRPr="00AF6A15" w:rsidRDefault="00B45D93" w:rsidP="008A35EA">
            <w:pPr>
              <w:pStyle w:val="TableTextRight"/>
              <w:keepNext/>
              <w:keepLines/>
              <w:rPr>
                <w:i/>
              </w:rPr>
            </w:pPr>
            <w:r w:rsidRPr="00AF6A15">
              <w:rPr>
                <w:i/>
              </w:rPr>
              <w:t>6.0</w:t>
            </w:r>
          </w:p>
        </w:tc>
        <w:tc>
          <w:tcPr>
            <w:tcW w:w="689" w:type="pct"/>
            <w:vAlign w:val="center"/>
          </w:tcPr>
          <w:p w:rsidR="00B45D93" w:rsidRPr="00AF6A15" w:rsidRDefault="00B45D93" w:rsidP="008A35EA">
            <w:pPr>
              <w:pStyle w:val="TableTextRight"/>
              <w:keepNext/>
              <w:keepLines/>
              <w:rPr>
                <w:i/>
              </w:rPr>
            </w:pPr>
            <w:r w:rsidRPr="00AF6A15">
              <w:rPr>
                <w:i/>
              </w:rPr>
              <w:t>3.0</w:t>
            </w:r>
          </w:p>
        </w:tc>
        <w:tc>
          <w:tcPr>
            <w:tcW w:w="689" w:type="pct"/>
            <w:vAlign w:val="center"/>
          </w:tcPr>
          <w:p w:rsidR="00B45D93" w:rsidRPr="00AF6A15" w:rsidRDefault="00B45D93" w:rsidP="008A35EA">
            <w:pPr>
              <w:pStyle w:val="TableTextRight"/>
              <w:keepNext/>
              <w:keepLines/>
              <w:rPr>
                <w:i/>
              </w:rPr>
            </w:pPr>
            <w:r w:rsidRPr="00AF6A15">
              <w:rPr>
                <w:i/>
              </w:rPr>
              <w:t>2.0</w:t>
            </w:r>
          </w:p>
        </w:tc>
        <w:tc>
          <w:tcPr>
            <w:tcW w:w="690" w:type="pct"/>
            <w:vAlign w:val="center"/>
          </w:tcPr>
          <w:p w:rsidR="00B45D93" w:rsidRPr="00AF6A15" w:rsidRDefault="00B45D93" w:rsidP="008A35EA">
            <w:pPr>
              <w:pStyle w:val="TableTextRight"/>
              <w:keepNext/>
              <w:keepLines/>
              <w:rPr>
                <w:i/>
              </w:rPr>
            </w:pPr>
            <w:r w:rsidRPr="00AF6A15">
              <w:rPr>
                <w:i/>
              </w:rPr>
              <w:t>17.0</w:t>
            </w:r>
          </w:p>
        </w:tc>
      </w:tr>
      <w:tr w:rsidR="00B45D93" w:rsidRPr="007C2713" w:rsidTr="00AE5E69">
        <w:tc>
          <w:tcPr>
            <w:tcW w:w="1554" w:type="pct"/>
            <w:shd w:val="clear" w:color="auto" w:fill="D7DDE9" w:themeFill="accent3"/>
          </w:tcPr>
          <w:p w:rsidR="00B45D93" w:rsidRPr="007C2713" w:rsidRDefault="00B45D93" w:rsidP="008A35EA">
            <w:pPr>
              <w:pStyle w:val="TableText"/>
              <w:keepNext/>
              <w:keepLines/>
              <w:rPr>
                <w:b/>
              </w:rPr>
            </w:pPr>
            <w:r w:rsidRPr="007C2713">
              <w:rPr>
                <w:b/>
              </w:rPr>
              <w:t>Total</w:t>
            </w:r>
          </w:p>
        </w:tc>
        <w:tc>
          <w:tcPr>
            <w:tcW w:w="689" w:type="pct"/>
            <w:shd w:val="clear" w:color="auto" w:fill="D7DDE9" w:themeFill="accent3"/>
            <w:vAlign w:val="center"/>
          </w:tcPr>
          <w:p w:rsidR="00B45D93" w:rsidRPr="00467B6C" w:rsidRDefault="00B45D93" w:rsidP="008A35EA">
            <w:pPr>
              <w:pStyle w:val="TableTextRight"/>
              <w:keepNext/>
              <w:keepLines/>
              <w:rPr>
                <w:b/>
              </w:rPr>
            </w:pPr>
            <w:r w:rsidRPr="00467B6C">
              <w:rPr>
                <w:b/>
              </w:rPr>
              <w:t>6</w:t>
            </w:r>
            <w:r>
              <w:rPr>
                <w:b/>
              </w:rPr>
              <w:t>.0</w:t>
            </w:r>
          </w:p>
        </w:tc>
        <w:tc>
          <w:tcPr>
            <w:tcW w:w="689" w:type="pct"/>
            <w:shd w:val="clear" w:color="auto" w:fill="D7DDE9" w:themeFill="accent3"/>
            <w:vAlign w:val="center"/>
          </w:tcPr>
          <w:p w:rsidR="00B45D93" w:rsidRPr="00467B6C" w:rsidRDefault="00B45D93" w:rsidP="008A35EA">
            <w:pPr>
              <w:pStyle w:val="TableTextRight"/>
              <w:keepNext/>
              <w:keepLines/>
              <w:rPr>
                <w:b/>
              </w:rPr>
            </w:pPr>
            <w:r>
              <w:rPr>
                <w:b/>
              </w:rPr>
              <w:t>116.0</w:t>
            </w:r>
          </w:p>
        </w:tc>
        <w:tc>
          <w:tcPr>
            <w:tcW w:w="689" w:type="pct"/>
            <w:shd w:val="clear" w:color="auto" w:fill="D7DDE9" w:themeFill="accent3"/>
            <w:vAlign w:val="center"/>
          </w:tcPr>
          <w:p w:rsidR="00B45D93" w:rsidRPr="00467B6C" w:rsidRDefault="00B45D93" w:rsidP="008A35EA">
            <w:pPr>
              <w:pStyle w:val="TableTextRight"/>
              <w:keepNext/>
              <w:keepLines/>
              <w:rPr>
                <w:b/>
              </w:rPr>
            </w:pPr>
            <w:r w:rsidRPr="00467B6C">
              <w:rPr>
                <w:b/>
              </w:rPr>
              <w:t>123</w:t>
            </w:r>
            <w:r>
              <w:rPr>
                <w:b/>
              </w:rPr>
              <w:t>.0</w:t>
            </w:r>
          </w:p>
        </w:tc>
        <w:tc>
          <w:tcPr>
            <w:tcW w:w="689" w:type="pct"/>
            <w:shd w:val="clear" w:color="auto" w:fill="D7DDE9" w:themeFill="accent3"/>
            <w:vAlign w:val="center"/>
          </w:tcPr>
          <w:p w:rsidR="00B45D93" w:rsidRPr="00467B6C" w:rsidRDefault="00B45D93" w:rsidP="008A35EA">
            <w:pPr>
              <w:pStyle w:val="TableTextRight"/>
              <w:keepNext/>
              <w:keepLines/>
              <w:rPr>
                <w:b/>
              </w:rPr>
            </w:pPr>
            <w:r w:rsidRPr="00467B6C">
              <w:rPr>
                <w:b/>
              </w:rPr>
              <w:t>122</w:t>
            </w:r>
            <w:r>
              <w:rPr>
                <w:b/>
              </w:rPr>
              <w:t>.0</w:t>
            </w:r>
          </w:p>
        </w:tc>
        <w:tc>
          <w:tcPr>
            <w:tcW w:w="690" w:type="pct"/>
            <w:shd w:val="clear" w:color="auto" w:fill="D7DDE9" w:themeFill="accent3"/>
            <w:vAlign w:val="center"/>
          </w:tcPr>
          <w:p w:rsidR="00B45D93" w:rsidRPr="00467B6C" w:rsidRDefault="00B45D93" w:rsidP="008A35EA">
            <w:pPr>
              <w:pStyle w:val="TableTextRight"/>
              <w:keepNext/>
              <w:keepLines/>
              <w:rPr>
                <w:b/>
              </w:rPr>
            </w:pPr>
            <w:r>
              <w:rPr>
                <w:b/>
              </w:rPr>
              <w:t>36</w:t>
            </w:r>
            <w:r w:rsidRPr="00467B6C">
              <w:rPr>
                <w:b/>
              </w:rPr>
              <w:t>2</w:t>
            </w:r>
            <w:r>
              <w:rPr>
                <w:b/>
              </w:rPr>
              <w:t>.0</w:t>
            </w:r>
          </w:p>
        </w:tc>
      </w:tr>
    </w:tbl>
    <w:p w:rsidR="00B45D93" w:rsidRDefault="00B45D93" w:rsidP="008A35EA">
      <w:pPr>
        <w:pStyle w:val="Footnotes"/>
        <w:keepNext/>
        <w:keepLines/>
        <w:numPr>
          <w:ilvl w:val="0"/>
          <w:numId w:val="41"/>
        </w:numPr>
        <w:ind w:left="284" w:hanging="284"/>
      </w:pPr>
      <w:r>
        <w:t xml:space="preserve">A positive number for the underlying cash balance indicates an increase in receipts or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B45D93" w:rsidRDefault="00B45D93" w:rsidP="008A35EA">
      <w:pPr>
        <w:pStyle w:val="Footnotes"/>
        <w:keepNext/>
        <w:keepLines/>
        <w:ind w:left="284" w:hanging="284"/>
      </w:pPr>
      <w:r>
        <w:t>Figures may not sum to totals due to rounding.</w:t>
      </w:r>
    </w:p>
    <w:p w:rsidR="00B45D93" w:rsidRDefault="00B45D93" w:rsidP="00B45D93">
      <w:pPr>
        <w:pStyle w:val="Footnotes"/>
        <w:numPr>
          <w:ilvl w:val="0"/>
          <w:numId w:val="0"/>
        </w:numPr>
        <w:ind w:left="284" w:hanging="284"/>
      </w:pPr>
      <w:r>
        <w:t>-</w:t>
      </w:r>
      <w:r>
        <w:tab/>
        <w:t>Indicates nil.</w:t>
      </w:r>
    </w:p>
    <w:p w:rsidR="00B45D93" w:rsidRDefault="00B45D93" w:rsidP="00420CF4">
      <w:pPr>
        <w:pStyle w:val="BodyText"/>
        <w:sectPr w:rsidR="00B45D93" w:rsidSect="008A35EA">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2" w:name="_Toc458081642"/>
      <w:r>
        <w:t>ALP018: Reduce uncommitted funding for National Water Infrastructure Development Fund by 50%</w:t>
      </w:r>
      <w:bookmarkEnd w:id="22"/>
    </w:p>
    <w:p w:rsidR="00745988" w:rsidRDefault="00745988" w:rsidP="00745988">
      <w:pPr>
        <w:pStyle w:val="BodyText"/>
      </w:pPr>
      <w:r>
        <w:rPr>
          <w:noProof/>
          <w:lang w:eastAsia="en-AU"/>
        </w:rPr>
        <w:drawing>
          <wp:inline distT="0" distB="0" distL="0" distR="0" wp14:anchorId="6E2BA349" wp14:editId="1B2406FB">
            <wp:extent cx="2696845" cy="572135"/>
            <wp:effectExtent l="0" t="0" r="8255" b="0"/>
            <wp:docPr id="375" name="Picture 37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AE5E69">
            <w:pPr>
              <w:pStyle w:val="PullOutBoxHeading"/>
              <w:rPr>
                <w:b/>
              </w:rPr>
            </w:pPr>
            <w:r w:rsidRPr="00E758BA">
              <w:rPr>
                <w:b/>
              </w:rPr>
              <w:t>Name of proposal:</w:t>
            </w:r>
          </w:p>
        </w:tc>
        <w:tc>
          <w:tcPr>
            <w:tcW w:w="3191" w:type="pct"/>
          </w:tcPr>
          <w:p w:rsidR="00420CF4" w:rsidRPr="00E758BA" w:rsidRDefault="001759D2" w:rsidP="003E0234">
            <w:pPr>
              <w:pStyle w:val="PullOutBoxHeading"/>
              <w:rPr>
                <w:b/>
              </w:rPr>
            </w:pPr>
            <w:r w:rsidRPr="00E758BA">
              <w:rPr>
                <w:b/>
              </w:rPr>
              <w:t>Reduce uncommitted funding for National Water Infrastructure Development Fund by 50 per cent</w:t>
            </w:r>
          </w:p>
        </w:tc>
      </w:tr>
      <w:tr w:rsidR="00420CF4" w:rsidRPr="00E758BA" w:rsidTr="00967BCD">
        <w:tc>
          <w:tcPr>
            <w:tcW w:w="1809" w:type="pct"/>
          </w:tcPr>
          <w:p w:rsidR="00420CF4" w:rsidRPr="00E758BA" w:rsidRDefault="00420CF4" w:rsidP="00AE5E69">
            <w:pPr>
              <w:pStyle w:val="PullOutBoxBodyText"/>
            </w:pPr>
            <w:r w:rsidRPr="00E758BA">
              <w:t>Summary of proposal:</w:t>
            </w:r>
          </w:p>
        </w:tc>
        <w:tc>
          <w:tcPr>
            <w:tcW w:w="3191" w:type="pct"/>
          </w:tcPr>
          <w:p w:rsidR="001759D2" w:rsidRPr="00E758BA" w:rsidRDefault="001759D2" w:rsidP="00AE5E69">
            <w:pPr>
              <w:pStyle w:val="PullOutBoxBodyText"/>
            </w:pPr>
            <w:r w:rsidRPr="00E758BA">
              <w:t>The proposal would reduce currently uncommitted funding for the National Water Infrastructure Development Fund (NWIDF) by 50 per cent.  The current funding plan was announced in the 2015 Agriculture Competitiveness White Paper.</w:t>
            </w:r>
          </w:p>
          <w:p w:rsidR="00420CF4" w:rsidRPr="00E758BA" w:rsidRDefault="001759D2" w:rsidP="00AE5E69">
            <w:pPr>
              <w:pStyle w:val="PullOutBoxBodyText"/>
            </w:pPr>
            <w:r w:rsidRPr="00E758BA">
              <w:t>The proposal would have effect from 1 January 2017.</w:t>
            </w:r>
          </w:p>
        </w:tc>
      </w:tr>
      <w:tr w:rsidR="00420CF4" w:rsidRPr="00B45F94" w:rsidTr="00967BCD">
        <w:tc>
          <w:tcPr>
            <w:tcW w:w="1809" w:type="pct"/>
          </w:tcPr>
          <w:p w:rsidR="00420CF4" w:rsidRPr="00B45F94" w:rsidRDefault="00420CF4" w:rsidP="00AE5E69">
            <w:pPr>
              <w:pStyle w:val="PullOutBoxBodyText"/>
            </w:pPr>
            <w:r>
              <w:t>Party:</w:t>
            </w:r>
          </w:p>
        </w:tc>
        <w:tc>
          <w:tcPr>
            <w:tcW w:w="3191" w:type="pct"/>
          </w:tcPr>
          <w:p w:rsidR="00420CF4" w:rsidRPr="00724A6D" w:rsidRDefault="00420CF4" w:rsidP="00AE5E69">
            <w:pPr>
              <w:pStyle w:val="PullOutBoxBodyText"/>
            </w:pPr>
            <w:r w:rsidRPr="00724A6D">
              <w:t>Australian Labor Party</w:t>
            </w:r>
          </w:p>
        </w:tc>
      </w:tr>
      <w:tr w:rsidR="00420CF4" w:rsidRPr="00B45F94" w:rsidTr="00967BCD">
        <w:tc>
          <w:tcPr>
            <w:tcW w:w="1809" w:type="pct"/>
          </w:tcPr>
          <w:p w:rsidR="00420CF4" w:rsidRPr="00B45F94" w:rsidRDefault="00420CF4" w:rsidP="00AE5E69">
            <w:pPr>
              <w:pStyle w:val="PullOutBoxBodyText"/>
            </w:pPr>
            <w:r w:rsidRPr="00B45F94">
              <w:t>Expiry date for the costing:</w:t>
            </w:r>
          </w:p>
        </w:tc>
        <w:tc>
          <w:tcPr>
            <w:tcW w:w="3191" w:type="pct"/>
          </w:tcPr>
          <w:p w:rsidR="00420CF4" w:rsidRPr="00B45F94" w:rsidRDefault="00EC102A" w:rsidP="00AE5E6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1759D2" w:rsidRPr="001759D2" w:rsidRDefault="001759D2" w:rsidP="001759D2">
      <w:pPr>
        <w:pStyle w:val="BodyText"/>
      </w:pPr>
      <w:r w:rsidRPr="001759D2">
        <w:t>This proposal would be expected to increase both the fiscal and underlying cash balances by $87.6 million over the 2016-17 Budget forward estimates period.  This reflects decreases in administered expenses of $85.9 million and departmental expenses of $1.8 million.</w:t>
      </w:r>
      <w:r w:rsidR="00BB6FE7" w:rsidRPr="00E53973">
        <w:rPr>
          <w:rStyle w:val="FootnoteReference"/>
        </w:rPr>
        <w:footnoteReference w:id="6"/>
      </w:r>
    </w:p>
    <w:p w:rsidR="001759D2" w:rsidRPr="001759D2" w:rsidRDefault="001759D2" w:rsidP="001759D2">
      <w:pPr>
        <w:pStyle w:val="BodyText"/>
      </w:pPr>
      <w:r w:rsidRPr="001759D2">
        <w:t xml:space="preserve">This proposal would have an impact that extends beyond the 2016-17 Budget forward estimates period until 2024-25 when the NWIDF is due to expire.  Detailed financial implications are provided at </w:t>
      </w:r>
      <w:r w:rsidRPr="001759D2">
        <w:rPr>
          <w:u w:val="single"/>
        </w:rPr>
        <w:t>Attachment A</w:t>
      </w:r>
      <w:r w:rsidRPr="001759D2">
        <w:t>.</w:t>
      </w:r>
    </w:p>
    <w:p w:rsidR="001759D2" w:rsidRPr="001759D2" w:rsidRDefault="001759D2" w:rsidP="001759D2">
      <w:pPr>
        <w:pStyle w:val="BodyText"/>
      </w:pPr>
      <w:r w:rsidRPr="001759D2">
        <w:t>This costing is considered to be of medium reliability.  While NWIDF expenditure estimates were provided by the Department of Agriculture and Water Resources (DAWR), there is uncertainty regarding the level of funding that would be uncommitted and able to be returned to the Commonwealth when</w:t>
      </w:r>
      <w:r w:rsidR="00BB6FE7">
        <w:t xml:space="preserve"> the proposal commences.</w:t>
      </w:r>
    </w:p>
    <w:p w:rsidR="00420CF4" w:rsidRDefault="00420CF4" w:rsidP="00745988">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E8071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745988">
            <w:pPr>
              <w:pStyle w:val="TableText"/>
              <w:keepNext/>
              <w:keepLines/>
            </w:pPr>
            <w:r>
              <w:t>Impact on</w:t>
            </w:r>
            <w:r w:rsidR="001759D2">
              <w:t xml:space="preserve"> ($m)</w:t>
            </w:r>
          </w:p>
        </w:tc>
        <w:tc>
          <w:tcPr>
            <w:tcW w:w="721" w:type="pct"/>
            <w:vAlign w:val="center"/>
          </w:tcPr>
          <w:p w:rsidR="00420CF4" w:rsidRPr="00FC1F1C" w:rsidRDefault="00420CF4" w:rsidP="00745988">
            <w:pPr>
              <w:pStyle w:val="TableTextRight"/>
              <w:keepNext/>
              <w:keepLines/>
            </w:pPr>
            <w:r>
              <w:t>2016–17</w:t>
            </w:r>
          </w:p>
        </w:tc>
        <w:tc>
          <w:tcPr>
            <w:tcW w:w="721" w:type="pct"/>
            <w:vAlign w:val="center"/>
          </w:tcPr>
          <w:p w:rsidR="00420CF4" w:rsidRPr="00FC1F1C" w:rsidRDefault="00420CF4" w:rsidP="00745988">
            <w:pPr>
              <w:pStyle w:val="TableTextRight"/>
              <w:keepNext/>
              <w:keepLines/>
            </w:pPr>
            <w:r>
              <w:t>2017–18</w:t>
            </w:r>
          </w:p>
        </w:tc>
        <w:tc>
          <w:tcPr>
            <w:tcW w:w="722" w:type="pct"/>
            <w:vAlign w:val="center"/>
          </w:tcPr>
          <w:p w:rsidR="00420CF4" w:rsidRPr="00FC1F1C" w:rsidRDefault="00420CF4" w:rsidP="00745988">
            <w:pPr>
              <w:pStyle w:val="TableTextRight"/>
              <w:keepNext/>
              <w:keepLines/>
            </w:pPr>
            <w:r>
              <w:t>2018–19</w:t>
            </w:r>
          </w:p>
        </w:tc>
        <w:tc>
          <w:tcPr>
            <w:tcW w:w="721" w:type="pct"/>
            <w:vAlign w:val="center"/>
          </w:tcPr>
          <w:p w:rsidR="00420CF4" w:rsidRPr="00FC1F1C" w:rsidRDefault="00420CF4" w:rsidP="00745988">
            <w:pPr>
              <w:pStyle w:val="TableTextRight"/>
              <w:keepNext/>
              <w:keepLines/>
            </w:pPr>
            <w:r>
              <w:t>2019–20</w:t>
            </w:r>
          </w:p>
        </w:tc>
        <w:tc>
          <w:tcPr>
            <w:tcW w:w="722" w:type="pct"/>
            <w:vAlign w:val="center"/>
          </w:tcPr>
          <w:p w:rsidR="00420CF4" w:rsidRDefault="00420CF4" w:rsidP="00745988">
            <w:pPr>
              <w:pStyle w:val="TableTextRight"/>
              <w:keepNext/>
              <w:keepLines/>
            </w:pPr>
            <w:r>
              <w:t>Total</w:t>
            </w:r>
          </w:p>
        </w:tc>
      </w:tr>
      <w:tr w:rsidR="001759D2" w:rsidTr="00E8071A">
        <w:tc>
          <w:tcPr>
            <w:tcW w:w="1393" w:type="pct"/>
            <w:vAlign w:val="center"/>
          </w:tcPr>
          <w:p w:rsidR="001759D2" w:rsidRDefault="001759D2" w:rsidP="00745988">
            <w:pPr>
              <w:pStyle w:val="TableText"/>
              <w:keepNext/>
              <w:keepLines/>
            </w:pPr>
            <w:r>
              <w:t>Fiscal balance</w:t>
            </w:r>
          </w:p>
        </w:tc>
        <w:tc>
          <w:tcPr>
            <w:tcW w:w="721" w:type="pct"/>
            <w:vAlign w:val="center"/>
          </w:tcPr>
          <w:p w:rsidR="001759D2" w:rsidRPr="00112210" w:rsidRDefault="001759D2" w:rsidP="00745988">
            <w:pPr>
              <w:pStyle w:val="TableTextRight"/>
              <w:keepNext/>
              <w:keepLines/>
            </w:pPr>
            <w:r w:rsidRPr="00112210">
              <w:t>5.1</w:t>
            </w:r>
          </w:p>
        </w:tc>
        <w:tc>
          <w:tcPr>
            <w:tcW w:w="721" w:type="pct"/>
            <w:vAlign w:val="center"/>
          </w:tcPr>
          <w:p w:rsidR="001759D2" w:rsidRPr="00112210" w:rsidRDefault="001759D2" w:rsidP="00745988">
            <w:pPr>
              <w:pStyle w:val="TableTextRight"/>
              <w:keepNext/>
              <w:keepLines/>
            </w:pPr>
            <w:r w:rsidRPr="00112210">
              <w:t>13.0</w:t>
            </w:r>
          </w:p>
        </w:tc>
        <w:tc>
          <w:tcPr>
            <w:tcW w:w="722" w:type="pct"/>
            <w:vAlign w:val="center"/>
          </w:tcPr>
          <w:p w:rsidR="001759D2" w:rsidRPr="00112210" w:rsidRDefault="001759D2" w:rsidP="00745988">
            <w:pPr>
              <w:pStyle w:val="TableTextRight"/>
              <w:keepNext/>
              <w:keepLines/>
            </w:pPr>
            <w:r w:rsidRPr="00112210">
              <w:t>29.0</w:t>
            </w:r>
          </w:p>
        </w:tc>
        <w:tc>
          <w:tcPr>
            <w:tcW w:w="721" w:type="pct"/>
            <w:vAlign w:val="center"/>
          </w:tcPr>
          <w:p w:rsidR="001759D2" w:rsidRPr="00112210" w:rsidRDefault="001759D2" w:rsidP="00745988">
            <w:pPr>
              <w:pStyle w:val="TableTextRight"/>
              <w:keepNext/>
              <w:keepLines/>
            </w:pPr>
            <w:r w:rsidRPr="00112210">
              <w:t>40.5</w:t>
            </w:r>
          </w:p>
        </w:tc>
        <w:tc>
          <w:tcPr>
            <w:tcW w:w="722" w:type="pct"/>
            <w:vAlign w:val="center"/>
          </w:tcPr>
          <w:p w:rsidR="001759D2" w:rsidRPr="00BF3860" w:rsidRDefault="001759D2" w:rsidP="00745988">
            <w:pPr>
              <w:pStyle w:val="TableTextRight"/>
              <w:keepNext/>
              <w:keepLines/>
            </w:pPr>
            <w:r w:rsidRPr="00BF3860">
              <w:t>87.6</w:t>
            </w:r>
          </w:p>
        </w:tc>
      </w:tr>
      <w:tr w:rsidR="001759D2" w:rsidTr="00E8071A">
        <w:tc>
          <w:tcPr>
            <w:tcW w:w="1393" w:type="pct"/>
            <w:vAlign w:val="center"/>
          </w:tcPr>
          <w:p w:rsidR="001759D2" w:rsidRDefault="001759D2" w:rsidP="00745988">
            <w:pPr>
              <w:pStyle w:val="TableText"/>
              <w:keepNext/>
              <w:keepLines/>
            </w:pPr>
            <w:r>
              <w:t>Underlying cash balance</w:t>
            </w:r>
          </w:p>
        </w:tc>
        <w:tc>
          <w:tcPr>
            <w:tcW w:w="721" w:type="pct"/>
            <w:vAlign w:val="center"/>
          </w:tcPr>
          <w:p w:rsidR="001759D2" w:rsidRPr="00112210" w:rsidRDefault="001759D2" w:rsidP="00745988">
            <w:pPr>
              <w:pStyle w:val="TableTextRight"/>
              <w:keepNext/>
              <w:keepLines/>
            </w:pPr>
            <w:r w:rsidRPr="00112210">
              <w:t>5.1</w:t>
            </w:r>
          </w:p>
        </w:tc>
        <w:tc>
          <w:tcPr>
            <w:tcW w:w="721" w:type="pct"/>
            <w:vAlign w:val="center"/>
          </w:tcPr>
          <w:p w:rsidR="001759D2" w:rsidRPr="00112210" w:rsidRDefault="001759D2" w:rsidP="00745988">
            <w:pPr>
              <w:pStyle w:val="TableTextRight"/>
              <w:keepNext/>
              <w:keepLines/>
            </w:pPr>
            <w:r w:rsidRPr="00112210">
              <w:t>13.0</w:t>
            </w:r>
          </w:p>
        </w:tc>
        <w:tc>
          <w:tcPr>
            <w:tcW w:w="722" w:type="pct"/>
            <w:vAlign w:val="center"/>
          </w:tcPr>
          <w:p w:rsidR="001759D2" w:rsidRPr="00112210" w:rsidRDefault="001759D2" w:rsidP="00745988">
            <w:pPr>
              <w:pStyle w:val="TableTextRight"/>
              <w:keepNext/>
              <w:keepLines/>
            </w:pPr>
            <w:r w:rsidRPr="00112210">
              <w:t>29.0</w:t>
            </w:r>
          </w:p>
        </w:tc>
        <w:tc>
          <w:tcPr>
            <w:tcW w:w="721" w:type="pct"/>
            <w:vAlign w:val="center"/>
          </w:tcPr>
          <w:p w:rsidR="001759D2" w:rsidRPr="00112210" w:rsidRDefault="001759D2" w:rsidP="00745988">
            <w:pPr>
              <w:pStyle w:val="TableTextRight"/>
              <w:keepNext/>
              <w:keepLines/>
            </w:pPr>
            <w:r w:rsidRPr="00112210">
              <w:t>40.5</w:t>
            </w:r>
          </w:p>
        </w:tc>
        <w:tc>
          <w:tcPr>
            <w:tcW w:w="722" w:type="pct"/>
            <w:vAlign w:val="center"/>
          </w:tcPr>
          <w:p w:rsidR="001759D2" w:rsidRPr="00BF3860" w:rsidRDefault="001759D2" w:rsidP="00745988">
            <w:pPr>
              <w:pStyle w:val="TableTextRight"/>
              <w:keepNext/>
              <w:keepLines/>
            </w:pPr>
            <w:r w:rsidRPr="00BF3860">
              <w:t>87.6</w:t>
            </w:r>
          </w:p>
        </w:tc>
      </w:tr>
    </w:tbl>
    <w:p w:rsidR="00420CF4" w:rsidRDefault="00420CF4" w:rsidP="00745988">
      <w:pPr>
        <w:pStyle w:val="Footnotes"/>
        <w:keepNext/>
        <w:keepLines/>
        <w:numPr>
          <w:ilvl w:val="0"/>
          <w:numId w:val="42"/>
        </w:numPr>
        <w:ind w:left="284" w:hanging="284"/>
      </w:pPr>
      <w:r>
        <w:t xml:space="preserve">A positive </w:t>
      </w:r>
      <w:r w:rsidRPr="00FC1F1C">
        <w:t>number indicates an increase in the relevant budget balance, a negative number a decrease.</w:t>
      </w:r>
    </w:p>
    <w:p w:rsidR="00420CF4" w:rsidRPr="009B3768" w:rsidRDefault="00420CF4" w:rsidP="003768DC">
      <w:pPr>
        <w:pStyle w:val="Footnotes"/>
        <w:numPr>
          <w:ilvl w:val="0"/>
          <w:numId w:val="14"/>
        </w:numPr>
        <w:ind w:left="284" w:hanging="284"/>
        <w:rPr>
          <w:rStyle w:val="FootnoteReference"/>
          <w:vertAlign w:val="baseline"/>
        </w:rPr>
      </w:pPr>
      <w:r w:rsidRPr="009B3768">
        <w:t>Figures may not sum to totals due to rounding.</w:t>
      </w:r>
    </w:p>
    <w:p w:rsidR="00420CF4" w:rsidRDefault="00420CF4" w:rsidP="00420CF4">
      <w:pPr>
        <w:pStyle w:val="CostingsH7"/>
      </w:pPr>
      <w:r>
        <w:t>Key assumptions</w:t>
      </w:r>
    </w:p>
    <w:p w:rsidR="00BB6FE7" w:rsidRDefault="00BB6FE7" w:rsidP="00BB6FE7">
      <w:pPr>
        <w:pStyle w:val="BodyText"/>
      </w:pPr>
      <w:r w:rsidRPr="00E639BC">
        <w:t>It has been assumed that:</w:t>
      </w:r>
    </w:p>
    <w:p w:rsidR="00BB6FE7" w:rsidRPr="00BB6FE7" w:rsidRDefault="00BB6FE7" w:rsidP="00BB6FE7">
      <w:pPr>
        <w:pStyle w:val="ListBullet"/>
      </w:pPr>
      <w:r w:rsidRPr="00E639BC">
        <w:t>departmental expenditure for DAWR would reduce in line with the reduction in uncommitted administered expenditure</w:t>
      </w:r>
    </w:p>
    <w:p w:rsidR="00BB6FE7" w:rsidRPr="00E639BC" w:rsidRDefault="00BB6FE7" w:rsidP="00BB6FE7">
      <w:pPr>
        <w:pStyle w:val="ListBullet"/>
      </w:pPr>
      <w:r w:rsidRPr="00660D4C">
        <w:t xml:space="preserve">DAWR would be instructed not to enter into new contracts </w:t>
      </w:r>
      <w:r>
        <w:t>in relation to the NWIDF</w:t>
      </w:r>
      <w:r w:rsidRPr="00660D4C">
        <w:t>.</w:t>
      </w:r>
    </w:p>
    <w:p w:rsidR="00420CF4" w:rsidRDefault="00420CF4" w:rsidP="00420CF4">
      <w:pPr>
        <w:pStyle w:val="CostingsH7"/>
      </w:pPr>
      <w:r>
        <w:t>Methodology</w:t>
      </w:r>
    </w:p>
    <w:p w:rsidR="00BB6FE7" w:rsidRPr="00E639BC" w:rsidRDefault="00BB6FE7" w:rsidP="00BB6FE7">
      <w:pPr>
        <w:pStyle w:val="BodyText"/>
      </w:pPr>
      <w:r>
        <w:t xml:space="preserve">The financial impact of the proposal was </w:t>
      </w:r>
      <w:r w:rsidRPr="00E639BC">
        <w:t xml:space="preserve">calculated by reducing </w:t>
      </w:r>
      <w:r>
        <w:t>the estimated level of uncommitted funding for the NWIDF by 50 per cent</w:t>
      </w:r>
      <w:r w:rsidRPr="00E639BC">
        <w:t>.</w:t>
      </w:r>
    </w:p>
    <w:p w:rsidR="00420CF4" w:rsidRDefault="00420CF4" w:rsidP="00420CF4">
      <w:pPr>
        <w:pStyle w:val="CostingsH7"/>
      </w:pPr>
      <w:r>
        <w:t>Data sources</w:t>
      </w:r>
    </w:p>
    <w:p w:rsidR="00BB6FE7" w:rsidRDefault="006D3B74" w:rsidP="00BB6FE7">
      <w:pPr>
        <w:pStyle w:val="BodyText"/>
      </w:pPr>
      <w:r>
        <w:t xml:space="preserve">The </w:t>
      </w:r>
      <w:r w:rsidRPr="001759D2">
        <w:t xml:space="preserve">Department of Agriculture and Water Resources </w:t>
      </w:r>
      <w:r w:rsidR="00BB6FE7" w:rsidRPr="00BB6FE7">
        <w:t xml:space="preserve"> provided NWIDF expenditure estimates and amounts of committed and uncommitted funding for the period 2015-16 to 2024-25 as at the 2016-17 Budget.</w:t>
      </w:r>
    </w:p>
    <w:p w:rsidR="008A35EA" w:rsidRPr="00BB6FE7" w:rsidRDefault="008A35EA" w:rsidP="00BB6FE7">
      <w:pPr>
        <w:pStyle w:val="BodyText"/>
      </w:pPr>
    </w:p>
    <w:p w:rsidR="008A35EA" w:rsidRDefault="008A35EA" w:rsidP="008A35EA">
      <w:pPr>
        <w:pStyle w:val="BodyText"/>
        <w:sectPr w:rsidR="008A35EA" w:rsidSect="00967BCD">
          <w:footnotePr>
            <w:numRestart w:val="eachSect"/>
          </w:footnotePr>
          <w:pgSz w:w="11906" w:h="16838" w:code="9"/>
          <w:pgMar w:top="1361" w:right="1797" w:bottom="1474" w:left="1797" w:header="283" w:footer="454" w:gutter="0"/>
          <w:cols w:space="708"/>
          <w:docGrid w:linePitch="360"/>
        </w:sectPr>
      </w:pPr>
    </w:p>
    <w:p w:rsidR="00420CF4" w:rsidRDefault="00BB6FE7" w:rsidP="00E8071A">
      <w:pPr>
        <w:pStyle w:val="Heading6"/>
        <w:numPr>
          <w:ilvl w:val="0"/>
          <w:numId w:val="10"/>
        </w:numPr>
        <w:tabs>
          <w:tab w:val="right" w:pos="1418"/>
          <w:tab w:val="right" w:pos="1701"/>
          <w:tab w:val="right" w:pos="1985"/>
        </w:tabs>
        <w:spacing w:before="480"/>
      </w:pPr>
      <w:r>
        <w:t>Attachment</w:t>
      </w:r>
      <w:r w:rsidRPr="00BB6FE7">
        <w:t xml:space="preserve"> </w:t>
      </w:r>
      <w:r w:rsidRPr="00FC6579">
        <w:t>A:</w:t>
      </w:r>
      <w:r>
        <w:t xml:space="preserve"> Reduce uncommitted funding for the National Water Infrastructure Development Fund by 50 per cent—financial implications </w:t>
      </w:r>
    </w:p>
    <w:p w:rsidR="00420CF4" w:rsidRDefault="00420CF4" w:rsidP="00420CF4">
      <w:pPr>
        <w:pStyle w:val="Caption"/>
      </w:pPr>
      <w:r w:rsidRPr="002B36F1">
        <w:t xml:space="preserve">Table </w:t>
      </w:r>
      <w:r>
        <w:t>A1</w:t>
      </w:r>
      <w:r w:rsidRPr="002B36F1">
        <w:t xml:space="preserve">: </w:t>
      </w:r>
      <w:r w:rsidR="00BB6FE7" w:rsidRPr="00BB6FE7">
        <w:t>Reduce uncommitted funding for the National Water Infrastructure Development Fund by 50 per cent—Financial implications (outturn prices)</w:t>
      </w:r>
      <w:r w:rsidR="00BB6FE7" w:rsidRPr="00BB6FE7">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CE7D3E">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CE7D3E" w:rsidRDefault="00420CF4" w:rsidP="00CE7D3E">
            <w:pPr>
              <w:pStyle w:val="TableText"/>
              <w:rPr>
                <w:b w:val="0"/>
              </w:rPr>
            </w:pPr>
            <w:r w:rsidRPr="00CE7D3E">
              <w:t>($</w:t>
            </w:r>
            <w:r w:rsidR="00BB6FE7" w:rsidRPr="00CE7D3E">
              <w:t>m</w:t>
            </w:r>
            <w:r w:rsidRPr="00CE7D3E">
              <w:t>)</w:t>
            </w:r>
          </w:p>
        </w:tc>
        <w:tc>
          <w:tcPr>
            <w:tcW w:w="689" w:type="pct"/>
            <w:vAlign w:val="center"/>
          </w:tcPr>
          <w:p w:rsidR="00420CF4" w:rsidRPr="00CE7D3E" w:rsidRDefault="00420CF4" w:rsidP="00CE7D3E">
            <w:pPr>
              <w:pStyle w:val="TableTextRight"/>
              <w:rPr>
                <w:b w:val="0"/>
              </w:rPr>
            </w:pPr>
            <w:r w:rsidRPr="00CE7D3E">
              <w:t>2016–17</w:t>
            </w:r>
          </w:p>
        </w:tc>
        <w:tc>
          <w:tcPr>
            <w:tcW w:w="689" w:type="pct"/>
            <w:vAlign w:val="center"/>
          </w:tcPr>
          <w:p w:rsidR="00420CF4" w:rsidRPr="00CE7D3E" w:rsidRDefault="00420CF4" w:rsidP="00CE7D3E">
            <w:pPr>
              <w:pStyle w:val="TableTextRight"/>
              <w:rPr>
                <w:b w:val="0"/>
              </w:rPr>
            </w:pPr>
            <w:r w:rsidRPr="00CE7D3E">
              <w:t>2017–18</w:t>
            </w:r>
          </w:p>
        </w:tc>
        <w:tc>
          <w:tcPr>
            <w:tcW w:w="689" w:type="pct"/>
            <w:vAlign w:val="center"/>
          </w:tcPr>
          <w:p w:rsidR="00420CF4" w:rsidRPr="00CE7D3E" w:rsidRDefault="00420CF4" w:rsidP="00CE7D3E">
            <w:pPr>
              <w:pStyle w:val="TableTextRight"/>
              <w:rPr>
                <w:b w:val="0"/>
              </w:rPr>
            </w:pPr>
            <w:r w:rsidRPr="00CE7D3E">
              <w:t>2018–19</w:t>
            </w:r>
          </w:p>
        </w:tc>
        <w:tc>
          <w:tcPr>
            <w:tcW w:w="689" w:type="pct"/>
            <w:vAlign w:val="center"/>
          </w:tcPr>
          <w:p w:rsidR="00420CF4" w:rsidRPr="00CE7D3E" w:rsidRDefault="00420CF4" w:rsidP="00CE7D3E">
            <w:pPr>
              <w:pStyle w:val="TableTextRight"/>
              <w:rPr>
                <w:b w:val="0"/>
              </w:rPr>
            </w:pPr>
            <w:r w:rsidRPr="00CE7D3E">
              <w:t>2019–20</w:t>
            </w:r>
          </w:p>
        </w:tc>
        <w:tc>
          <w:tcPr>
            <w:tcW w:w="690" w:type="pct"/>
            <w:vAlign w:val="center"/>
          </w:tcPr>
          <w:p w:rsidR="00420CF4" w:rsidRPr="00CE7D3E" w:rsidRDefault="00420CF4" w:rsidP="00CE7D3E">
            <w:pPr>
              <w:pStyle w:val="TableTextRight"/>
            </w:pPr>
            <w:r w:rsidRPr="00CE7D3E">
              <w:t>Total</w:t>
            </w:r>
            <w:r w:rsidR="00BB6FE7" w:rsidRPr="00CE7D3E">
              <w:t xml:space="preserve"> to 2019–20</w:t>
            </w:r>
          </w:p>
        </w:tc>
      </w:tr>
      <w:tr w:rsidR="00BB6FE7" w:rsidTr="00CE7D3E">
        <w:tc>
          <w:tcPr>
            <w:tcW w:w="1554" w:type="pct"/>
            <w:vAlign w:val="center"/>
          </w:tcPr>
          <w:p w:rsidR="00BB6FE7" w:rsidRPr="00581C77" w:rsidRDefault="00BB6FE7" w:rsidP="00CE7D3E">
            <w:pPr>
              <w:pStyle w:val="TableText"/>
              <w:rPr>
                <w:szCs w:val="20"/>
              </w:rPr>
            </w:pPr>
            <w:r>
              <w:rPr>
                <w:szCs w:val="20"/>
              </w:rPr>
              <w:t>Administered</w:t>
            </w:r>
          </w:p>
        </w:tc>
        <w:tc>
          <w:tcPr>
            <w:tcW w:w="689" w:type="pct"/>
            <w:vAlign w:val="center"/>
          </w:tcPr>
          <w:p w:rsidR="00BB6FE7" w:rsidRPr="00CE7D3E" w:rsidRDefault="00BB6FE7" w:rsidP="00CE7D3E">
            <w:pPr>
              <w:pStyle w:val="TableTextRight"/>
              <w:rPr>
                <w:i/>
              </w:rPr>
            </w:pPr>
            <w:r w:rsidRPr="00CE7D3E">
              <w:rPr>
                <w:i/>
              </w:rPr>
              <w:t>4.9</w:t>
            </w:r>
          </w:p>
        </w:tc>
        <w:tc>
          <w:tcPr>
            <w:tcW w:w="689" w:type="pct"/>
            <w:vAlign w:val="center"/>
          </w:tcPr>
          <w:p w:rsidR="00BB6FE7" w:rsidRPr="00CE7D3E" w:rsidRDefault="00BB6FE7" w:rsidP="00CE7D3E">
            <w:pPr>
              <w:pStyle w:val="TableTextRight"/>
              <w:rPr>
                <w:i/>
              </w:rPr>
            </w:pPr>
            <w:r w:rsidRPr="00CE7D3E">
              <w:rPr>
                <w:i/>
              </w:rPr>
              <w:t>12.5</w:t>
            </w:r>
          </w:p>
        </w:tc>
        <w:tc>
          <w:tcPr>
            <w:tcW w:w="689" w:type="pct"/>
            <w:vAlign w:val="center"/>
          </w:tcPr>
          <w:p w:rsidR="00BB6FE7" w:rsidRPr="00CE7D3E" w:rsidRDefault="00BB6FE7" w:rsidP="00CE7D3E">
            <w:pPr>
              <w:pStyle w:val="TableTextRight"/>
              <w:rPr>
                <w:i/>
              </w:rPr>
            </w:pPr>
            <w:r w:rsidRPr="00CE7D3E">
              <w:rPr>
                <w:i/>
              </w:rPr>
              <w:t>28.5</w:t>
            </w:r>
          </w:p>
        </w:tc>
        <w:tc>
          <w:tcPr>
            <w:tcW w:w="689" w:type="pct"/>
            <w:vAlign w:val="center"/>
          </w:tcPr>
          <w:p w:rsidR="00BB6FE7" w:rsidRPr="00CE7D3E" w:rsidRDefault="00BB6FE7" w:rsidP="00CE7D3E">
            <w:pPr>
              <w:pStyle w:val="TableTextRight"/>
              <w:rPr>
                <w:i/>
              </w:rPr>
            </w:pPr>
            <w:r w:rsidRPr="00CE7D3E">
              <w:rPr>
                <w:i/>
              </w:rPr>
              <w:t>40.0</w:t>
            </w:r>
          </w:p>
        </w:tc>
        <w:tc>
          <w:tcPr>
            <w:tcW w:w="690" w:type="pct"/>
            <w:vAlign w:val="center"/>
          </w:tcPr>
          <w:p w:rsidR="00BB6FE7" w:rsidRPr="00CE7D3E" w:rsidRDefault="00BB6FE7" w:rsidP="00CE7D3E">
            <w:pPr>
              <w:pStyle w:val="TableTextRight"/>
              <w:rPr>
                <w:b/>
                <w:i/>
              </w:rPr>
            </w:pPr>
            <w:r w:rsidRPr="00CE7D3E">
              <w:rPr>
                <w:b/>
                <w:i/>
              </w:rPr>
              <w:t>85.9</w:t>
            </w:r>
          </w:p>
        </w:tc>
      </w:tr>
      <w:tr w:rsidR="00BB6FE7" w:rsidTr="00CE7D3E">
        <w:tc>
          <w:tcPr>
            <w:tcW w:w="1554" w:type="pct"/>
            <w:vAlign w:val="center"/>
          </w:tcPr>
          <w:p w:rsidR="00BB6FE7" w:rsidRPr="00581C77" w:rsidRDefault="00BB6FE7" w:rsidP="00CE7D3E">
            <w:pPr>
              <w:pStyle w:val="TableText"/>
              <w:rPr>
                <w:szCs w:val="20"/>
              </w:rPr>
            </w:pPr>
            <w:r>
              <w:rPr>
                <w:szCs w:val="20"/>
              </w:rPr>
              <w:t>Departmental</w:t>
            </w:r>
          </w:p>
        </w:tc>
        <w:tc>
          <w:tcPr>
            <w:tcW w:w="689" w:type="pct"/>
            <w:vAlign w:val="center"/>
          </w:tcPr>
          <w:p w:rsidR="00BB6FE7" w:rsidRPr="00CE7D3E" w:rsidRDefault="00BB6FE7" w:rsidP="00CE7D3E">
            <w:pPr>
              <w:pStyle w:val="TableTextRight"/>
              <w:rPr>
                <w:i/>
              </w:rPr>
            </w:pPr>
            <w:r w:rsidRPr="00CE7D3E">
              <w:rPr>
                <w:i/>
              </w:rPr>
              <w:t>0.2</w:t>
            </w:r>
          </w:p>
        </w:tc>
        <w:tc>
          <w:tcPr>
            <w:tcW w:w="689" w:type="pct"/>
            <w:vAlign w:val="center"/>
          </w:tcPr>
          <w:p w:rsidR="00BB6FE7" w:rsidRPr="00CE7D3E" w:rsidRDefault="00BB6FE7" w:rsidP="00CE7D3E">
            <w:pPr>
              <w:pStyle w:val="TableTextRight"/>
              <w:rPr>
                <w:i/>
              </w:rPr>
            </w:pPr>
            <w:r w:rsidRPr="00CE7D3E">
              <w:rPr>
                <w:i/>
              </w:rPr>
              <w:t>0.5</w:t>
            </w:r>
          </w:p>
        </w:tc>
        <w:tc>
          <w:tcPr>
            <w:tcW w:w="689" w:type="pct"/>
            <w:vAlign w:val="center"/>
          </w:tcPr>
          <w:p w:rsidR="00BB6FE7" w:rsidRPr="00CE7D3E" w:rsidRDefault="00BB6FE7" w:rsidP="00CE7D3E">
            <w:pPr>
              <w:pStyle w:val="TableTextRight"/>
              <w:rPr>
                <w:i/>
              </w:rPr>
            </w:pPr>
            <w:r w:rsidRPr="00CE7D3E">
              <w:rPr>
                <w:i/>
              </w:rPr>
              <w:t>0.5</w:t>
            </w:r>
          </w:p>
        </w:tc>
        <w:tc>
          <w:tcPr>
            <w:tcW w:w="689" w:type="pct"/>
            <w:vAlign w:val="center"/>
          </w:tcPr>
          <w:p w:rsidR="00BB6FE7" w:rsidRPr="00CE7D3E" w:rsidRDefault="00BB6FE7" w:rsidP="00CE7D3E">
            <w:pPr>
              <w:pStyle w:val="TableTextRight"/>
              <w:rPr>
                <w:i/>
              </w:rPr>
            </w:pPr>
            <w:r w:rsidRPr="00CE7D3E">
              <w:rPr>
                <w:i/>
              </w:rPr>
              <w:t>0.5</w:t>
            </w:r>
          </w:p>
        </w:tc>
        <w:tc>
          <w:tcPr>
            <w:tcW w:w="690" w:type="pct"/>
            <w:vAlign w:val="center"/>
          </w:tcPr>
          <w:p w:rsidR="00BB6FE7" w:rsidRPr="00CE7D3E" w:rsidRDefault="00BB6FE7" w:rsidP="00CE7D3E">
            <w:pPr>
              <w:pStyle w:val="TableTextRight"/>
              <w:rPr>
                <w:b/>
                <w:i/>
              </w:rPr>
            </w:pPr>
            <w:r w:rsidRPr="00CE7D3E">
              <w:rPr>
                <w:b/>
                <w:i/>
              </w:rPr>
              <w:t>1.8</w:t>
            </w:r>
          </w:p>
        </w:tc>
      </w:tr>
      <w:tr w:rsidR="00BB6FE7" w:rsidRPr="00CE7D3E" w:rsidTr="00CE7D3E">
        <w:tc>
          <w:tcPr>
            <w:tcW w:w="1554" w:type="pct"/>
            <w:shd w:val="clear" w:color="auto" w:fill="D7DDE9" w:themeFill="accent3"/>
            <w:vAlign w:val="center"/>
          </w:tcPr>
          <w:p w:rsidR="00BB6FE7" w:rsidRPr="00CE7D3E" w:rsidRDefault="00BB6FE7" w:rsidP="00CE7D3E">
            <w:pPr>
              <w:pStyle w:val="TableText"/>
              <w:rPr>
                <w:b/>
                <w:szCs w:val="20"/>
              </w:rPr>
            </w:pPr>
            <w:r w:rsidRPr="00CE7D3E">
              <w:rPr>
                <w:b/>
                <w:szCs w:val="20"/>
              </w:rPr>
              <w:t>Total</w:t>
            </w:r>
          </w:p>
        </w:tc>
        <w:tc>
          <w:tcPr>
            <w:tcW w:w="689" w:type="pct"/>
            <w:shd w:val="clear" w:color="auto" w:fill="D7DDE9" w:themeFill="accent3"/>
            <w:vAlign w:val="center"/>
          </w:tcPr>
          <w:p w:rsidR="00BB6FE7" w:rsidRPr="00CE7D3E" w:rsidRDefault="00BB6FE7" w:rsidP="00CE7D3E">
            <w:pPr>
              <w:pStyle w:val="TableTextRight"/>
              <w:rPr>
                <w:b/>
              </w:rPr>
            </w:pPr>
            <w:r w:rsidRPr="00CE7D3E">
              <w:rPr>
                <w:b/>
              </w:rPr>
              <w:t>5.1</w:t>
            </w:r>
          </w:p>
        </w:tc>
        <w:tc>
          <w:tcPr>
            <w:tcW w:w="689" w:type="pct"/>
            <w:shd w:val="clear" w:color="auto" w:fill="D7DDE9" w:themeFill="accent3"/>
            <w:vAlign w:val="center"/>
          </w:tcPr>
          <w:p w:rsidR="00BB6FE7" w:rsidRPr="00CE7D3E" w:rsidRDefault="00BB6FE7" w:rsidP="00CE7D3E">
            <w:pPr>
              <w:pStyle w:val="TableTextRight"/>
              <w:rPr>
                <w:b/>
              </w:rPr>
            </w:pPr>
            <w:r w:rsidRPr="00CE7D3E">
              <w:rPr>
                <w:b/>
              </w:rPr>
              <w:t>13.0</w:t>
            </w:r>
          </w:p>
        </w:tc>
        <w:tc>
          <w:tcPr>
            <w:tcW w:w="689" w:type="pct"/>
            <w:shd w:val="clear" w:color="auto" w:fill="D7DDE9" w:themeFill="accent3"/>
            <w:vAlign w:val="center"/>
          </w:tcPr>
          <w:p w:rsidR="00BB6FE7" w:rsidRPr="00CE7D3E" w:rsidRDefault="00BB6FE7" w:rsidP="00CE7D3E">
            <w:pPr>
              <w:pStyle w:val="TableTextRight"/>
              <w:rPr>
                <w:b/>
              </w:rPr>
            </w:pPr>
            <w:r w:rsidRPr="00CE7D3E">
              <w:rPr>
                <w:b/>
              </w:rPr>
              <w:t>29.0</w:t>
            </w:r>
          </w:p>
        </w:tc>
        <w:tc>
          <w:tcPr>
            <w:tcW w:w="689" w:type="pct"/>
            <w:shd w:val="clear" w:color="auto" w:fill="D7DDE9" w:themeFill="accent3"/>
            <w:vAlign w:val="center"/>
          </w:tcPr>
          <w:p w:rsidR="00BB6FE7" w:rsidRPr="00CE7D3E" w:rsidRDefault="00BB6FE7" w:rsidP="00CE7D3E">
            <w:pPr>
              <w:pStyle w:val="TableTextRight"/>
              <w:rPr>
                <w:b/>
              </w:rPr>
            </w:pPr>
            <w:r w:rsidRPr="00CE7D3E">
              <w:rPr>
                <w:b/>
              </w:rPr>
              <w:t>40.5</w:t>
            </w:r>
          </w:p>
        </w:tc>
        <w:tc>
          <w:tcPr>
            <w:tcW w:w="690" w:type="pct"/>
            <w:shd w:val="clear" w:color="auto" w:fill="D7DDE9" w:themeFill="accent3"/>
            <w:vAlign w:val="center"/>
          </w:tcPr>
          <w:p w:rsidR="00BB6FE7" w:rsidRPr="00CE7D3E" w:rsidRDefault="00BB6FE7" w:rsidP="00CE7D3E">
            <w:pPr>
              <w:pStyle w:val="TableTextRight"/>
              <w:rPr>
                <w:b/>
              </w:rPr>
            </w:pPr>
            <w:r w:rsidRPr="00CE7D3E">
              <w:rPr>
                <w:b/>
              </w:rPr>
              <w:t>87.6</w:t>
            </w:r>
          </w:p>
        </w:tc>
      </w:tr>
    </w:tbl>
    <w:p w:rsidR="00BB6FE7" w:rsidRDefault="00BB6FE7" w:rsidP="003768DC">
      <w:pPr>
        <w:pStyle w:val="Footnotes"/>
        <w:numPr>
          <w:ilvl w:val="0"/>
          <w:numId w:val="43"/>
        </w:numPr>
        <w:ind w:left="284" w:hanging="284"/>
      </w:pPr>
      <w:r>
        <w:t>A positive number indicates an increase in revenue in accrual and cash terms.</w:t>
      </w:r>
    </w:p>
    <w:p w:rsidR="00420CF4" w:rsidRDefault="00BB6FE7" w:rsidP="00CE7D3E">
      <w:pPr>
        <w:pStyle w:val="Footnotes"/>
        <w:ind w:left="284" w:hanging="284"/>
      </w:pPr>
      <w:r>
        <w:t>Figures may not sum to totals due to rounding.</w:t>
      </w:r>
    </w:p>
    <w:p w:rsidR="008A35EA" w:rsidRPr="00951305" w:rsidRDefault="008A35EA" w:rsidP="008A35EA">
      <w:pPr>
        <w:pStyle w:val="BodyText"/>
      </w:pPr>
    </w:p>
    <w:p w:rsidR="00420CF4" w:rsidRDefault="00420CF4" w:rsidP="008A35EA">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3" w:name="_Toc458081643"/>
      <w:r>
        <w:t>ALP019: Reducing FTB-A supplement by 50% for families with income greater than $100,000</w:t>
      </w:r>
      <w:bookmarkEnd w:id="23"/>
    </w:p>
    <w:p w:rsidR="00745988" w:rsidRDefault="00745988" w:rsidP="00745988">
      <w:pPr>
        <w:pStyle w:val="BodyText"/>
      </w:pPr>
      <w:r>
        <w:rPr>
          <w:noProof/>
          <w:lang w:eastAsia="en-AU"/>
        </w:rPr>
        <w:drawing>
          <wp:inline distT="0" distB="0" distL="0" distR="0" wp14:anchorId="502C8E65" wp14:editId="585F8FE8">
            <wp:extent cx="2696845" cy="572135"/>
            <wp:effectExtent l="0" t="0" r="8255" b="0"/>
            <wp:docPr id="374" name="Picture 37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782E22">
            <w:pPr>
              <w:pStyle w:val="PullOutBoxHeading"/>
              <w:rPr>
                <w:b/>
              </w:rPr>
            </w:pPr>
            <w:r w:rsidRPr="00E758BA">
              <w:rPr>
                <w:b/>
              </w:rPr>
              <w:t>Name of proposal:</w:t>
            </w:r>
          </w:p>
        </w:tc>
        <w:tc>
          <w:tcPr>
            <w:tcW w:w="3191" w:type="pct"/>
          </w:tcPr>
          <w:p w:rsidR="00420CF4" w:rsidRPr="00E758BA" w:rsidRDefault="00304947" w:rsidP="00782E22">
            <w:pPr>
              <w:pStyle w:val="PullOutBoxHeading"/>
              <w:rPr>
                <w:b/>
              </w:rPr>
            </w:pPr>
            <w:r w:rsidRPr="00E758BA">
              <w:rPr>
                <w:b/>
              </w:rPr>
              <w:t>Reducing FTB-A supplement by 50% for families with income greater than $100,000</w:t>
            </w:r>
          </w:p>
        </w:tc>
      </w:tr>
      <w:tr w:rsidR="00420CF4" w:rsidRPr="00B45F94" w:rsidTr="00967BCD">
        <w:tc>
          <w:tcPr>
            <w:tcW w:w="1809" w:type="pct"/>
          </w:tcPr>
          <w:p w:rsidR="00420CF4" w:rsidRPr="00B45F94" w:rsidRDefault="00420CF4" w:rsidP="00782E22">
            <w:pPr>
              <w:pStyle w:val="PullOutBoxBodyText"/>
            </w:pPr>
            <w:r w:rsidRPr="00B45F94">
              <w:t>Summary of proposal:</w:t>
            </w:r>
          </w:p>
        </w:tc>
        <w:tc>
          <w:tcPr>
            <w:tcW w:w="3191" w:type="pct"/>
          </w:tcPr>
          <w:p w:rsidR="00304947" w:rsidRDefault="00304947" w:rsidP="00782E22">
            <w:pPr>
              <w:pStyle w:val="PullOutBoxBodyText"/>
            </w:pPr>
            <w:r>
              <w:t>The proposal would reduce the Family Tax Benefit Part A (FTB-A) supplement by 50 per cent for families with income greater than $100,000.</w:t>
            </w:r>
          </w:p>
          <w:p w:rsidR="00420CF4" w:rsidRPr="00B45F94" w:rsidRDefault="00304947" w:rsidP="00782E22">
            <w:pPr>
              <w:pStyle w:val="PullOutBoxBodyText"/>
            </w:pPr>
            <w:r>
              <w:t>The proposal would have effect from 1 July 2016.</w:t>
            </w:r>
          </w:p>
        </w:tc>
      </w:tr>
      <w:tr w:rsidR="00420CF4" w:rsidRPr="00B45F94" w:rsidTr="00967BCD">
        <w:tc>
          <w:tcPr>
            <w:tcW w:w="1809" w:type="pct"/>
          </w:tcPr>
          <w:p w:rsidR="00420CF4" w:rsidRPr="00B45F94" w:rsidRDefault="00420CF4" w:rsidP="00782E22">
            <w:pPr>
              <w:pStyle w:val="PullOutBoxBodyText"/>
            </w:pPr>
            <w:r>
              <w:t>Party:</w:t>
            </w:r>
          </w:p>
        </w:tc>
        <w:tc>
          <w:tcPr>
            <w:tcW w:w="3191" w:type="pct"/>
          </w:tcPr>
          <w:p w:rsidR="00420CF4" w:rsidRPr="00B45F94" w:rsidRDefault="00420CF4" w:rsidP="00782E22">
            <w:pPr>
              <w:pStyle w:val="PullOutBoxBodyText"/>
            </w:pPr>
            <w:r>
              <w:t>Australian Labor Party</w:t>
            </w:r>
          </w:p>
        </w:tc>
      </w:tr>
      <w:tr w:rsidR="00420CF4" w:rsidRPr="00B45F94" w:rsidTr="00967BCD">
        <w:tc>
          <w:tcPr>
            <w:tcW w:w="1809" w:type="pct"/>
          </w:tcPr>
          <w:p w:rsidR="00420CF4" w:rsidRPr="00B45F94" w:rsidRDefault="00420CF4" w:rsidP="00782E22">
            <w:pPr>
              <w:pStyle w:val="PullOutBoxBodyText"/>
            </w:pPr>
            <w:r w:rsidRPr="00B45F94">
              <w:t>Expiry date for the costing:</w:t>
            </w:r>
          </w:p>
        </w:tc>
        <w:tc>
          <w:tcPr>
            <w:tcW w:w="3191" w:type="pct"/>
          </w:tcPr>
          <w:p w:rsidR="00420CF4" w:rsidRPr="00B45F94" w:rsidRDefault="00EC102A" w:rsidP="00782E22">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304947" w:rsidRPr="00304947" w:rsidRDefault="00304947" w:rsidP="00304947">
      <w:pPr>
        <w:pStyle w:val="BodyText"/>
      </w:pPr>
      <w:r w:rsidRPr="00304947">
        <w:t>This proposal would be expected to increase the fiscal balance by $670 million and increase the underlying cash balance by $505 million over the 2016</w:t>
      </w:r>
      <w:r w:rsidR="00E61A21">
        <w:noBreakHyphen/>
      </w:r>
      <w:r w:rsidRPr="00304947">
        <w:t>17 Budget forward estimates period.  On a fiscal balance basis, this reflects a decrease in administered expenses of $665</w:t>
      </w:r>
      <w:r>
        <w:t> </w:t>
      </w:r>
      <w:r w:rsidRPr="00304947">
        <w:t>million and a decrease in departmental expenses of $5 million over this period.  A</w:t>
      </w:r>
      <w:r>
        <w:t> </w:t>
      </w:r>
      <w:r w:rsidRPr="00304947">
        <w:t xml:space="preserve">breakdown of the components of the proposal is at </w:t>
      </w:r>
      <w:r w:rsidRPr="00304947">
        <w:rPr>
          <w:u w:val="single"/>
        </w:rPr>
        <w:t>Attachment A</w:t>
      </w:r>
      <w:r w:rsidRPr="00304947">
        <w:t>.</w:t>
      </w:r>
    </w:p>
    <w:p w:rsidR="00304947" w:rsidRPr="00304947" w:rsidRDefault="00304947" w:rsidP="00304947">
      <w:pPr>
        <w:pStyle w:val="BodyText"/>
      </w:pPr>
      <w:r w:rsidRPr="00304947">
        <w:t>This proposal would have ongoing financial implications that extend beyond the forward estimates period.</w:t>
      </w:r>
    </w:p>
    <w:p w:rsidR="00304947" w:rsidRPr="00304947" w:rsidRDefault="00304947" w:rsidP="00304947">
      <w:pPr>
        <w:pStyle w:val="BodyText"/>
      </w:pPr>
      <w:r w:rsidRPr="00304947">
        <w:t>The financial implications on the fiscal and underlying cash balances differ because the FTB</w:t>
      </w:r>
      <w:r>
        <w:noBreakHyphen/>
      </w:r>
      <w:r w:rsidRPr="00304947">
        <w:t>A end of year supplement is paid after the end of the financial year.</w:t>
      </w:r>
    </w:p>
    <w:p w:rsidR="00304947" w:rsidRPr="00304947" w:rsidRDefault="00304947" w:rsidP="00304947">
      <w:pPr>
        <w:pStyle w:val="BodyText"/>
      </w:pPr>
      <w:r w:rsidRPr="00304947">
        <w:t>This costing is considered to be of medium reliability.  While the estimates are based on payment recipient unit record data, there are some data gaps regarding payment rates for parti</w:t>
      </w:r>
      <w:r>
        <w:t>cular payment recipient types.</w:t>
      </w:r>
    </w:p>
    <w:p w:rsidR="00420CF4" w:rsidRDefault="00420CF4" w:rsidP="008A35EA">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8A35EA">
            <w:pPr>
              <w:pStyle w:val="TableHeading"/>
            </w:pPr>
            <w:r>
              <w:t>Impact on</w:t>
            </w:r>
            <w:r w:rsidR="00871DEA">
              <w:t xml:space="preserve"> ($m)</w:t>
            </w:r>
          </w:p>
        </w:tc>
        <w:tc>
          <w:tcPr>
            <w:tcW w:w="721" w:type="pct"/>
          </w:tcPr>
          <w:p w:rsidR="00420CF4" w:rsidRPr="00FC1F1C" w:rsidRDefault="00420CF4" w:rsidP="008A35EA">
            <w:pPr>
              <w:pStyle w:val="TableHeadingRight"/>
            </w:pPr>
            <w:r>
              <w:t>2016–17</w:t>
            </w:r>
          </w:p>
        </w:tc>
        <w:tc>
          <w:tcPr>
            <w:tcW w:w="721" w:type="pct"/>
          </w:tcPr>
          <w:p w:rsidR="00420CF4" w:rsidRPr="00FC1F1C" w:rsidRDefault="00420CF4" w:rsidP="008A35EA">
            <w:pPr>
              <w:pStyle w:val="TableHeadingRight"/>
            </w:pPr>
            <w:r>
              <w:t>2017–18</w:t>
            </w:r>
          </w:p>
        </w:tc>
        <w:tc>
          <w:tcPr>
            <w:tcW w:w="722" w:type="pct"/>
          </w:tcPr>
          <w:p w:rsidR="00420CF4" w:rsidRPr="00FC1F1C" w:rsidRDefault="00420CF4" w:rsidP="008A35EA">
            <w:pPr>
              <w:pStyle w:val="TableHeadingRight"/>
            </w:pPr>
            <w:r>
              <w:t>2018–19</w:t>
            </w:r>
          </w:p>
        </w:tc>
        <w:tc>
          <w:tcPr>
            <w:tcW w:w="721" w:type="pct"/>
          </w:tcPr>
          <w:p w:rsidR="00420CF4" w:rsidRPr="00FC1F1C" w:rsidRDefault="00420CF4" w:rsidP="008A35EA">
            <w:pPr>
              <w:pStyle w:val="TableHeadingRight"/>
            </w:pPr>
            <w:r>
              <w:t>2019–20</w:t>
            </w:r>
          </w:p>
        </w:tc>
        <w:tc>
          <w:tcPr>
            <w:tcW w:w="722" w:type="pct"/>
          </w:tcPr>
          <w:p w:rsidR="00420CF4" w:rsidRDefault="00420CF4" w:rsidP="008A35EA">
            <w:pPr>
              <w:pStyle w:val="TableTextRight"/>
              <w:keepNext/>
              <w:keepLines/>
            </w:pPr>
            <w:r>
              <w:t>Total</w:t>
            </w:r>
          </w:p>
        </w:tc>
      </w:tr>
      <w:tr w:rsidR="00304947" w:rsidTr="00967BCD">
        <w:tc>
          <w:tcPr>
            <w:tcW w:w="1393" w:type="pct"/>
          </w:tcPr>
          <w:p w:rsidR="00304947" w:rsidRDefault="00304947" w:rsidP="008A35EA">
            <w:pPr>
              <w:pStyle w:val="TableText"/>
              <w:keepNext/>
              <w:keepLines/>
            </w:pPr>
            <w:r>
              <w:t>Fiscal balance</w:t>
            </w:r>
          </w:p>
        </w:tc>
        <w:tc>
          <w:tcPr>
            <w:tcW w:w="721" w:type="pct"/>
          </w:tcPr>
          <w:p w:rsidR="00304947" w:rsidRPr="003A3459" w:rsidRDefault="00304947" w:rsidP="008A35EA">
            <w:pPr>
              <w:pStyle w:val="TableTextCentred"/>
              <w:keepNext/>
              <w:keepLines/>
              <w:jc w:val="right"/>
              <w:rPr>
                <w:szCs w:val="20"/>
              </w:rPr>
            </w:pPr>
            <w:r>
              <w:rPr>
                <w:szCs w:val="20"/>
              </w:rPr>
              <w:t>146.0</w:t>
            </w:r>
          </w:p>
        </w:tc>
        <w:tc>
          <w:tcPr>
            <w:tcW w:w="721" w:type="pct"/>
          </w:tcPr>
          <w:p w:rsidR="00304947" w:rsidRPr="003A3459" w:rsidRDefault="00304947" w:rsidP="008A35EA">
            <w:pPr>
              <w:pStyle w:val="TableTextCentred"/>
              <w:keepNext/>
              <w:keepLines/>
              <w:jc w:val="right"/>
              <w:rPr>
                <w:szCs w:val="20"/>
              </w:rPr>
            </w:pPr>
            <w:r>
              <w:rPr>
                <w:szCs w:val="20"/>
              </w:rPr>
              <w:t>166.0</w:t>
            </w:r>
          </w:p>
        </w:tc>
        <w:tc>
          <w:tcPr>
            <w:tcW w:w="722" w:type="pct"/>
          </w:tcPr>
          <w:p w:rsidR="00304947" w:rsidRPr="003A3459" w:rsidRDefault="00304947" w:rsidP="008A35EA">
            <w:pPr>
              <w:pStyle w:val="TableTextCentred"/>
              <w:keepNext/>
              <w:keepLines/>
              <w:jc w:val="right"/>
              <w:rPr>
                <w:szCs w:val="20"/>
              </w:rPr>
            </w:pPr>
            <w:r>
              <w:rPr>
                <w:szCs w:val="20"/>
              </w:rPr>
              <w:t>166.0</w:t>
            </w:r>
          </w:p>
        </w:tc>
        <w:tc>
          <w:tcPr>
            <w:tcW w:w="721" w:type="pct"/>
          </w:tcPr>
          <w:p w:rsidR="00304947" w:rsidRPr="003A3459" w:rsidRDefault="00304947" w:rsidP="008A35EA">
            <w:pPr>
              <w:pStyle w:val="TableTextCentred"/>
              <w:keepNext/>
              <w:keepLines/>
              <w:jc w:val="right"/>
              <w:rPr>
                <w:szCs w:val="20"/>
              </w:rPr>
            </w:pPr>
            <w:r>
              <w:rPr>
                <w:szCs w:val="20"/>
              </w:rPr>
              <w:t>181.0</w:t>
            </w:r>
          </w:p>
        </w:tc>
        <w:tc>
          <w:tcPr>
            <w:tcW w:w="722" w:type="pct"/>
          </w:tcPr>
          <w:p w:rsidR="00304947" w:rsidRPr="00C363AE" w:rsidRDefault="00304947" w:rsidP="008A35EA">
            <w:pPr>
              <w:pStyle w:val="TableTextCentred"/>
              <w:keepNext/>
              <w:keepLines/>
              <w:jc w:val="right"/>
              <w:rPr>
                <w:b/>
                <w:szCs w:val="20"/>
              </w:rPr>
            </w:pPr>
            <w:r>
              <w:rPr>
                <w:b/>
                <w:szCs w:val="20"/>
              </w:rPr>
              <w:t>670.0</w:t>
            </w:r>
          </w:p>
        </w:tc>
      </w:tr>
      <w:tr w:rsidR="00304947" w:rsidTr="00967BCD">
        <w:tc>
          <w:tcPr>
            <w:tcW w:w="1393" w:type="pct"/>
          </w:tcPr>
          <w:p w:rsidR="00304947" w:rsidRDefault="00304947" w:rsidP="008A35EA">
            <w:pPr>
              <w:pStyle w:val="TableText"/>
              <w:keepNext/>
              <w:keepLines/>
            </w:pPr>
            <w:r>
              <w:t>Underlying cash balance</w:t>
            </w:r>
          </w:p>
        </w:tc>
        <w:tc>
          <w:tcPr>
            <w:tcW w:w="721" w:type="pct"/>
          </w:tcPr>
          <w:p w:rsidR="00304947" w:rsidRPr="003A3459" w:rsidRDefault="00304947" w:rsidP="008A35EA">
            <w:pPr>
              <w:pStyle w:val="TableTextCentred"/>
              <w:keepNext/>
              <w:keepLines/>
              <w:jc w:val="right"/>
              <w:rPr>
                <w:szCs w:val="20"/>
              </w:rPr>
            </w:pPr>
            <w:r>
              <w:rPr>
                <w:szCs w:val="20"/>
              </w:rPr>
              <w:t>16.0</w:t>
            </w:r>
          </w:p>
        </w:tc>
        <w:tc>
          <w:tcPr>
            <w:tcW w:w="721" w:type="pct"/>
          </w:tcPr>
          <w:p w:rsidR="00304947" w:rsidRPr="003A3459" w:rsidRDefault="00304947" w:rsidP="008A35EA">
            <w:pPr>
              <w:pStyle w:val="TableTextCentred"/>
              <w:keepNext/>
              <w:keepLines/>
              <w:jc w:val="right"/>
              <w:rPr>
                <w:szCs w:val="20"/>
              </w:rPr>
            </w:pPr>
            <w:r>
              <w:rPr>
                <w:szCs w:val="20"/>
              </w:rPr>
              <w:t>156.0</w:t>
            </w:r>
          </w:p>
        </w:tc>
        <w:tc>
          <w:tcPr>
            <w:tcW w:w="722" w:type="pct"/>
          </w:tcPr>
          <w:p w:rsidR="00304947" w:rsidRPr="003A3459" w:rsidRDefault="00304947" w:rsidP="008A35EA">
            <w:pPr>
              <w:pStyle w:val="TableTextCentred"/>
              <w:keepNext/>
              <w:keepLines/>
              <w:jc w:val="right"/>
              <w:rPr>
                <w:szCs w:val="20"/>
              </w:rPr>
            </w:pPr>
            <w:r>
              <w:rPr>
                <w:szCs w:val="20"/>
              </w:rPr>
              <w:t>161.0</w:t>
            </w:r>
          </w:p>
        </w:tc>
        <w:tc>
          <w:tcPr>
            <w:tcW w:w="721" w:type="pct"/>
          </w:tcPr>
          <w:p w:rsidR="00304947" w:rsidRPr="003A3459" w:rsidRDefault="00304947" w:rsidP="008A35EA">
            <w:pPr>
              <w:pStyle w:val="TableTextCentred"/>
              <w:keepNext/>
              <w:keepLines/>
              <w:jc w:val="right"/>
              <w:rPr>
                <w:szCs w:val="20"/>
              </w:rPr>
            </w:pPr>
            <w:r>
              <w:rPr>
                <w:szCs w:val="20"/>
              </w:rPr>
              <w:t>166.0</w:t>
            </w:r>
          </w:p>
        </w:tc>
        <w:tc>
          <w:tcPr>
            <w:tcW w:w="722" w:type="pct"/>
          </w:tcPr>
          <w:p w:rsidR="00304947" w:rsidRPr="00C363AE" w:rsidRDefault="00304947" w:rsidP="008A35EA">
            <w:pPr>
              <w:pStyle w:val="TableTextCentred"/>
              <w:keepNext/>
              <w:keepLines/>
              <w:jc w:val="right"/>
              <w:rPr>
                <w:b/>
                <w:szCs w:val="20"/>
              </w:rPr>
            </w:pPr>
            <w:r>
              <w:rPr>
                <w:b/>
                <w:szCs w:val="20"/>
              </w:rPr>
              <w:t>505.0</w:t>
            </w:r>
          </w:p>
        </w:tc>
      </w:tr>
    </w:tbl>
    <w:p w:rsidR="00420CF4" w:rsidRPr="00304947" w:rsidRDefault="00420CF4" w:rsidP="008A35EA">
      <w:pPr>
        <w:pStyle w:val="Footnotes"/>
        <w:keepNext/>
        <w:keepLines/>
        <w:numPr>
          <w:ilvl w:val="0"/>
          <w:numId w:val="45"/>
        </w:numPr>
        <w:ind w:left="284" w:hanging="284"/>
      </w:pPr>
      <w:r w:rsidRPr="00304947">
        <w:t>A positive number indicates an increase in the relevant budget balance, a negative number a decrease.</w:t>
      </w:r>
    </w:p>
    <w:p w:rsidR="00420CF4" w:rsidRPr="00304947" w:rsidRDefault="00420CF4" w:rsidP="00782E22">
      <w:pPr>
        <w:pStyle w:val="Footnotes"/>
        <w:ind w:left="284" w:hanging="284"/>
        <w:rPr>
          <w:rStyle w:val="FootnoteReference"/>
          <w:vertAlign w:val="baseline"/>
        </w:rPr>
      </w:pPr>
      <w:r w:rsidRPr="00304947">
        <w:t>Figures may not sum to totals due to rounding.</w:t>
      </w:r>
    </w:p>
    <w:p w:rsidR="00420CF4" w:rsidRDefault="00420CF4" w:rsidP="00420CF4">
      <w:pPr>
        <w:pStyle w:val="CostingsH7"/>
      </w:pPr>
      <w:r>
        <w:t>Key assumptions</w:t>
      </w:r>
    </w:p>
    <w:p w:rsidR="00871DEA" w:rsidRPr="00871DEA" w:rsidRDefault="00871DEA" w:rsidP="00871DEA">
      <w:pPr>
        <w:pStyle w:val="BodyText"/>
      </w:pPr>
      <w:r w:rsidRPr="00871DEA">
        <w:t xml:space="preserve">Financial implications have been estimated based on the assumption that the FTB-A supplement has been reinstated as a result of the related proposal, </w:t>
      </w:r>
      <w:r w:rsidRPr="00871DEA">
        <w:rPr>
          <w:i/>
        </w:rPr>
        <w:t>Reversing cuts to Family Payments</w:t>
      </w:r>
      <w:r w:rsidRPr="00871DEA">
        <w:t>.</w:t>
      </w:r>
    </w:p>
    <w:p w:rsidR="00420CF4" w:rsidRDefault="00420CF4" w:rsidP="00420CF4">
      <w:pPr>
        <w:pStyle w:val="CostingsH7"/>
      </w:pPr>
      <w:r>
        <w:t>Methodology</w:t>
      </w:r>
    </w:p>
    <w:p w:rsidR="00871DEA" w:rsidRPr="00871DEA" w:rsidRDefault="00871DEA" w:rsidP="00871DEA">
      <w:pPr>
        <w:pStyle w:val="BodyText"/>
      </w:pPr>
      <w:r w:rsidRPr="00871DEA">
        <w:t>Financial implications over the period 2016-17 to 2019-20 were estimated using the Policy Evaluation Model (PoEM) of the Australian personal income tax and transfer system, a micro</w:t>
      </w:r>
      <w:r>
        <w:noBreakHyphen/>
      </w:r>
      <w:r w:rsidRPr="00871DEA">
        <w:t>simulation model that is based on Australian Government administrative data.  Departmental savings were calculated by applying a Department of Human Services (DHS) per unit processing cost to the number of families affected by the proposals.</w:t>
      </w:r>
    </w:p>
    <w:p w:rsidR="00871DEA" w:rsidRPr="00871DEA" w:rsidRDefault="00871DEA" w:rsidP="00871DEA">
      <w:pPr>
        <w:pStyle w:val="BodyText"/>
      </w:pPr>
      <w:r w:rsidRPr="00871DEA">
        <w:t>These estimates account for health related expenses and updated population projections and parameters as at the 2016</w:t>
      </w:r>
      <w:r>
        <w:noBreakHyphen/>
      </w:r>
      <w:r w:rsidRPr="00871DEA">
        <w:t>17 Budget.</w:t>
      </w:r>
    </w:p>
    <w:p w:rsidR="00871DEA" w:rsidRPr="00871DEA" w:rsidRDefault="00871DEA" w:rsidP="00871DEA">
      <w:pPr>
        <w:pStyle w:val="BodyText"/>
      </w:pPr>
      <w:r w:rsidRPr="00871DEA">
        <w:t>Administered expenses have been rounded to the nearest $5 million.  Departmental expenses have been rounded to the nearest $1 million.</w:t>
      </w:r>
    </w:p>
    <w:p w:rsidR="00420CF4" w:rsidRDefault="00420CF4" w:rsidP="00420CF4">
      <w:pPr>
        <w:pStyle w:val="CostingsH7"/>
      </w:pPr>
      <w:r>
        <w:t>Data sources</w:t>
      </w:r>
    </w:p>
    <w:p w:rsidR="00871DEA" w:rsidRDefault="00871DEA" w:rsidP="00E61A21">
      <w:pPr>
        <w:pStyle w:val="ListBullet"/>
      </w:pPr>
      <w:r>
        <w:t>The Department of Social Services provided PoEM, administrative data of income support recipients and payment population projections.</w:t>
      </w:r>
    </w:p>
    <w:p w:rsidR="00871DEA" w:rsidRDefault="006D3B74" w:rsidP="00E61A21">
      <w:pPr>
        <w:pStyle w:val="ListBullet"/>
      </w:pPr>
      <w:r>
        <w:t xml:space="preserve">The </w:t>
      </w:r>
      <w:r w:rsidR="00871DEA">
        <w:t>D</w:t>
      </w:r>
      <w:r>
        <w:t xml:space="preserve">epartment of </w:t>
      </w:r>
      <w:r w:rsidR="00871DEA">
        <w:t>H</w:t>
      </w:r>
      <w:r>
        <w:t xml:space="preserve">uman </w:t>
      </w:r>
      <w:r w:rsidR="00871DEA">
        <w:t>S</w:t>
      </w:r>
      <w:r>
        <w:t>ervices</w:t>
      </w:r>
      <w:r w:rsidR="00871DEA">
        <w:t xml:space="preserve"> provided a funding model of unit prices as at the 2016-17 Budget.</w:t>
      </w:r>
    </w:p>
    <w:p w:rsidR="00371DC0" w:rsidRDefault="00871DEA" w:rsidP="00E61A21">
      <w:pPr>
        <w:pStyle w:val="ListBullet"/>
      </w:pPr>
      <w:r>
        <w:t>The Department of Finance provided indexation and efficiency dividend parameters.</w:t>
      </w:r>
    </w:p>
    <w:p w:rsidR="00420CF4" w:rsidRDefault="00871DEA" w:rsidP="00186799">
      <w:pPr>
        <w:pStyle w:val="Heading6"/>
      </w:pPr>
      <w:r>
        <w:t xml:space="preserve">Attachment </w:t>
      </w:r>
      <w:r w:rsidRPr="00871DEA">
        <w:t xml:space="preserve">A: Reducing FTB-A supplement by 50 per cent for families with income </w:t>
      </w:r>
      <w:r w:rsidR="00782E22">
        <w:t>greater than $100,000—financial </w:t>
      </w:r>
      <w:r w:rsidRPr="00871DEA">
        <w:t>implications</w:t>
      </w:r>
    </w:p>
    <w:p w:rsidR="00420CF4" w:rsidRDefault="00420CF4" w:rsidP="00186799">
      <w:pPr>
        <w:pStyle w:val="Caption"/>
        <w:keepLines/>
      </w:pPr>
      <w:r w:rsidRPr="002B36F1">
        <w:t xml:space="preserve">Table </w:t>
      </w:r>
      <w:r>
        <w:t>A1</w:t>
      </w:r>
      <w:r w:rsidRPr="002B36F1">
        <w:t>:</w:t>
      </w:r>
      <w:r w:rsidR="00371DC0" w:rsidRPr="00371DC0">
        <w:t xml:space="preserve"> Reducing FTB-A supplement by 50 per cent for families with income greater than $100,000—Fiscal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967BCD">
        <w:trPr>
          <w:cnfStyle w:val="100000000000" w:firstRow="1" w:lastRow="0" w:firstColumn="0" w:lastColumn="0" w:oddVBand="0" w:evenVBand="0" w:oddHBand="0" w:evenHBand="0" w:firstRowFirstColumn="0" w:firstRowLastColumn="0" w:lastRowFirstColumn="0" w:lastRowLastColumn="0"/>
        </w:trPr>
        <w:tc>
          <w:tcPr>
            <w:tcW w:w="1554" w:type="pct"/>
          </w:tcPr>
          <w:p w:rsidR="00420CF4" w:rsidRPr="007C2713" w:rsidRDefault="00420CF4" w:rsidP="00186799">
            <w:pPr>
              <w:pStyle w:val="TableText"/>
              <w:keepNext/>
              <w:keepLines/>
              <w:rPr>
                <w:b w:val="0"/>
              </w:rPr>
            </w:pPr>
            <w:r>
              <w:t>($</w:t>
            </w:r>
            <w:r w:rsidR="00371DC0">
              <w:t>m</w:t>
            </w:r>
            <w:r>
              <w:t>)</w:t>
            </w:r>
          </w:p>
        </w:tc>
        <w:tc>
          <w:tcPr>
            <w:tcW w:w="689" w:type="pct"/>
          </w:tcPr>
          <w:p w:rsidR="00420CF4" w:rsidRDefault="00420CF4" w:rsidP="00186799">
            <w:pPr>
              <w:pStyle w:val="TableTextRight"/>
              <w:keepNext/>
              <w:keepLines/>
              <w:rPr>
                <w:b w:val="0"/>
              </w:rPr>
            </w:pPr>
            <w:r>
              <w:t>2016–17</w:t>
            </w:r>
          </w:p>
        </w:tc>
        <w:tc>
          <w:tcPr>
            <w:tcW w:w="689" w:type="pct"/>
          </w:tcPr>
          <w:p w:rsidR="00420CF4" w:rsidRDefault="00420CF4" w:rsidP="00186799">
            <w:pPr>
              <w:pStyle w:val="TableTextRight"/>
              <w:keepNext/>
              <w:keepLines/>
              <w:rPr>
                <w:b w:val="0"/>
              </w:rPr>
            </w:pPr>
            <w:r>
              <w:t>2017–18</w:t>
            </w:r>
          </w:p>
        </w:tc>
        <w:tc>
          <w:tcPr>
            <w:tcW w:w="689" w:type="pct"/>
          </w:tcPr>
          <w:p w:rsidR="00420CF4" w:rsidRDefault="00420CF4" w:rsidP="00186799">
            <w:pPr>
              <w:pStyle w:val="TableTextRight"/>
              <w:keepNext/>
              <w:keepLines/>
              <w:rPr>
                <w:b w:val="0"/>
              </w:rPr>
            </w:pPr>
            <w:r>
              <w:t>2018–19</w:t>
            </w:r>
          </w:p>
        </w:tc>
        <w:tc>
          <w:tcPr>
            <w:tcW w:w="689" w:type="pct"/>
          </w:tcPr>
          <w:p w:rsidR="00420CF4" w:rsidRDefault="00420CF4" w:rsidP="00186799">
            <w:pPr>
              <w:pStyle w:val="TableTextRight"/>
              <w:keepNext/>
              <w:keepLines/>
              <w:rPr>
                <w:b w:val="0"/>
              </w:rPr>
            </w:pPr>
            <w:r>
              <w:t>2019–20</w:t>
            </w:r>
          </w:p>
        </w:tc>
        <w:tc>
          <w:tcPr>
            <w:tcW w:w="690" w:type="pct"/>
          </w:tcPr>
          <w:p w:rsidR="00420CF4" w:rsidRDefault="00420CF4" w:rsidP="00186799">
            <w:pPr>
              <w:pStyle w:val="TableTextRight"/>
              <w:keepNext/>
              <w:keepLines/>
            </w:pPr>
            <w:r>
              <w:t>Total</w:t>
            </w:r>
            <w:r w:rsidR="00371DC0">
              <w:t xml:space="preserve"> to 2019–20</w:t>
            </w:r>
          </w:p>
        </w:tc>
      </w:tr>
      <w:tr w:rsidR="00371DC0" w:rsidTr="00967BCD">
        <w:tc>
          <w:tcPr>
            <w:tcW w:w="1554" w:type="pct"/>
          </w:tcPr>
          <w:p w:rsidR="00371DC0" w:rsidRPr="003A3459" w:rsidRDefault="00371DC0" w:rsidP="00186799">
            <w:pPr>
              <w:pStyle w:val="TableTextCentred"/>
              <w:keepNext/>
              <w:keepLines/>
              <w:spacing w:line="240" w:lineRule="auto"/>
              <w:jc w:val="left"/>
              <w:rPr>
                <w:szCs w:val="20"/>
              </w:rPr>
            </w:pPr>
            <w:r>
              <w:rPr>
                <w:szCs w:val="20"/>
              </w:rPr>
              <w:t>Family Tax Benefit Part A</w:t>
            </w:r>
          </w:p>
        </w:tc>
        <w:tc>
          <w:tcPr>
            <w:tcW w:w="689" w:type="pct"/>
          </w:tcPr>
          <w:p w:rsidR="00371DC0" w:rsidRPr="00A939EE" w:rsidRDefault="00371DC0" w:rsidP="00186799">
            <w:pPr>
              <w:pStyle w:val="TableTextRight"/>
              <w:keepNext/>
              <w:keepLines/>
              <w:spacing w:line="240" w:lineRule="auto"/>
              <w:rPr>
                <w:i/>
              </w:rPr>
            </w:pPr>
            <w:r>
              <w:rPr>
                <w:i/>
              </w:rPr>
              <w:t>130.0</w:t>
            </w:r>
          </w:p>
        </w:tc>
        <w:tc>
          <w:tcPr>
            <w:tcW w:w="689" w:type="pct"/>
          </w:tcPr>
          <w:p w:rsidR="00371DC0" w:rsidRPr="00A939EE" w:rsidRDefault="00371DC0" w:rsidP="00186799">
            <w:pPr>
              <w:pStyle w:val="TableTextRight"/>
              <w:keepNext/>
              <w:keepLines/>
              <w:spacing w:line="240" w:lineRule="auto"/>
              <w:rPr>
                <w:i/>
              </w:rPr>
            </w:pPr>
            <w:r>
              <w:rPr>
                <w:i/>
              </w:rPr>
              <w:t>145.0</w:t>
            </w:r>
          </w:p>
        </w:tc>
        <w:tc>
          <w:tcPr>
            <w:tcW w:w="689" w:type="pct"/>
          </w:tcPr>
          <w:p w:rsidR="00371DC0" w:rsidRPr="00A939EE" w:rsidRDefault="00371DC0" w:rsidP="00186799">
            <w:pPr>
              <w:pStyle w:val="TableTextRight"/>
              <w:keepNext/>
              <w:keepLines/>
              <w:spacing w:line="240" w:lineRule="auto"/>
              <w:rPr>
                <w:i/>
              </w:rPr>
            </w:pPr>
            <w:r>
              <w:rPr>
                <w:i/>
              </w:rPr>
              <w:t>150.0</w:t>
            </w:r>
          </w:p>
        </w:tc>
        <w:tc>
          <w:tcPr>
            <w:tcW w:w="689" w:type="pct"/>
          </w:tcPr>
          <w:p w:rsidR="00371DC0" w:rsidRPr="00A939EE" w:rsidRDefault="00371DC0" w:rsidP="00186799">
            <w:pPr>
              <w:pStyle w:val="TableTextRight"/>
              <w:keepNext/>
              <w:keepLines/>
              <w:spacing w:line="240" w:lineRule="auto"/>
              <w:rPr>
                <w:i/>
              </w:rPr>
            </w:pPr>
            <w:r>
              <w:rPr>
                <w:i/>
              </w:rPr>
              <w:t>165.0</w:t>
            </w:r>
          </w:p>
        </w:tc>
        <w:tc>
          <w:tcPr>
            <w:tcW w:w="690" w:type="pct"/>
          </w:tcPr>
          <w:p w:rsidR="00371DC0" w:rsidRPr="00A939EE" w:rsidRDefault="00371DC0" w:rsidP="00186799">
            <w:pPr>
              <w:pStyle w:val="TableTextRight"/>
              <w:keepNext/>
              <w:keepLines/>
              <w:spacing w:line="240" w:lineRule="auto"/>
              <w:rPr>
                <w:b/>
                <w:i/>
              </w:rPr>
            </w:pPr>
            <w:r>
              <w:rPr>
                <w:b/>
                <w:i/>
              </w:rPr>
              <w:t>595.0</w:t>
            </w:r>
          </w:p>
        </w:tc>
      </w:tr>
      <w:tr w:rsidR="00371DC0" w:rsidTr="00967BCD">
        <w:tc>
          <w:tcPr>
            <w:tcW w:w="1554" w:type="pct"/>
          </w:tcPr>
          <w:p w:rsidR="00371DC0" w:rsidRPr="003A3459" w:rsidRDefault="00371DC0" w:rsidP="00186799">
            <w:pPr>
              <w:pStyle w:val="TableTextCentred"/>
              <w:keepNext/>
              <w:keepLines/>
              <w:spacing w:line="240" w:lineRule="auto"/>
              <w:jc w:val="left"/>
              <w:rPr>
                <w:szCs w:val="20"/>
              </w:rPr>
            </w:pPr>
            <w:r>
              <w:rPr>
                <w:szCs w:val="20"/>
              </w:rPr>
              <w:t>Health related expenses</w:t>
            </w:r>
          </w:p>
        </w:tc>
        <w:tc>
          <w:tcPr>
            <w:tcW w:w="689" w:type="pct"/>
          </w:tcPr>
          <w:p w:rsidR="00371DC0" w:rsidRPr="00A939EE" w:rsidRDefault="00371DC0" w:rsidP="00186799">
            <w:pPr>
              <w:pStyle w:val="TableTextRight"/>
              <w:keepNext/>
              <w:keepLines/>
              <w:spacing w:line="240" w:lineRule="auto"/>
              <w:rPr>
                <w:i/>
              </w:rPr>
            </w:pPr>
            <w:r>
              <w:rPr>
                <w:i/>
              </w:rPr>
              <w:t>15.0</w:t>
            </w:r>
          </w:p>
        </w:tc>
        <w:tc>
          <w:tcPr>
            <w:tcW w:w="689" w:type="pct"/>
          </w:tcPr>
          <w:p w:rsidR="00371DC0" w:rsidRPr="00A939EE" w:rsidRDefault="00371DC0" w:rsidP="00186799">
            <w:pPr>
              <w:pStyle w:val="TableTextRight"/>
              <w:keepNext/>
              <w:keepLines/>
              <w:spacing w:line="240" w:lineRule="auto"/>
              <w:rPr>
                <w:i/>
              </w:rPr>
            </w:pPr>
            <w:r>
              <w:rPr>
                <w:i/>
              </w:rPr>
              <w:t>20.0</w:t>
            </w:r>
          </w:p>
        </w:tc>
        <w:tc>
          <w:tcPr>
            <w:tcW w:w="689" w:type="pct"/>
          </w:tcPr>
          <w:p w:rsidR="00371DC0" w:rsidRPr="00A939EE" w:rsidRDefault="00371DC0" w:rsidP="00186799">
            <w:pPr>
              <w:pStyle w:val="TableTextRight"/>
              <w:keepNext/>
              <w:keepLines/>
              <w:spacing w:line="240" w:lineRule="auto"/>
              <w:rPr>
                <w:i/>
              </w:rPr>
            </w:pPr>
            <w:r>
              <w:rPr>
                <w:i/>
              </w:rPr>
              <w:t>15.0</w:t>
            </w:r>
          </w:p>
        </w:tc>
        <w:tc>
          <w:tcPr>
            <w:tcW w:w="689" w:type="pct"/>
          </w:tcPr>
          <w:p w:rsidR="00371DC0" w:rsidRPr="00A939EE" w:rsidRDefault="00371DC0" w:rsidP="00186799">
            <w:pPr>
              <w:pStyle w:val="TableTextRight"/>
              <w:keepNext/>
              <w:keepLines/>
              <w:spacing w:line="240" w:lineRule="auto"/>
              <w:rPr>
                <w:i/>
              </w:rPr>
            </w:pPr>
            <w:r>
              <w:rPr>
                <w:i/>
              </w:rPr>
              <w:t>15.0</w:t>
            </w:r>
          </w:p>
        </w:tc>
        <w:tc>
          <w:tcPr>
            <w:tcW w:w="690" w:type="pct"/>
          </w:tcPr>
          <w:p w:rsidR="00371DC0" w:rsidRPr="00A939EE" w:rsidRDefault="00371DC0" w:rsidP="00186799">
            <w:pPr>
              <w:pStyle w:val="TableTextRight"/>
              <w:keepNext/>
              <w:keepLines/>
              <w:spacing w:line="240" w:lineRule="auto"/>
              <w:rPr>
                <w:b/>
                <w:i/>
              </w:rPr>
            </w:pPr>
            <w:r>
              <w:rPr>
                <w:b/>
                <w:i/>
              </w:rPr>
              <w:t>70.0</w:t>
            </w:r>
          </w:p>
        </w:tc>
      </w:tr>
      <w:tr w:rsidR="00371DC0" w:rsidTr="00967BCD">
        <w:tc>
          <w:tcPr>
            <w:tcW w:w="1554" w:type="pct"/>
          </w:tcPr>
          <w:p w:rsidR="00371DC0" w:rsidRPr="003A3459" w:rsidRDefault="00371DC0" w:rsidP="00186799">
            <w:pPr>
              <w:pStyle w:val="TableTextCentred"/>
              <w:keepNext/>
              <w:keepLines/>
              <w:spacing w:line="240" w:lineRule="auto"/>
              <w:jc w:val="left"/>
              <w:rPr>
                <w:szCs w:val="20"/>
              </w:rPr>
            </w:pPr>
            <w:r>
              <w:rPr>
                <w:szCs w:val="20"/>
              </w:rPr>
              <w:t>Departmental</w:t>
            </w:r>
          </w:p>
        </w:tc>
        <w:tc>
          <w:tcPr>
            <w:tcW w:w="689" w:type="pct"/>
          </w:tcPr>
          <w:p w:rsidR="00371DC0" w:rsidRPr="00A939EE" w:rsidRDefault="00371DC0" w:rsidP="00186799">
            <w:pPr>
              <w:pStyle w:val="TableTextRight"/>
              <w:keepNext/>
              <w:keepLines/>
              <w:spacing w:line="240" w:lineRule="auto"/>
              <w:rPr>
                <w:i/>
              </w:rPr>
            </w:pPr>
            <w:r>
              <w:rPr>
                <w:i/>
              </w:rPr>
              <w:t>1.0</w:t>
            </w:r>
          </w:p>
        </w:tc>
        <w:tc>
          <w:tcPr>
            <w:tcW w:w="689" w:type="pct"/>
          </w:tcPr>
          <w:p w:rsidR="00371DC0" w:rsidRPr="00A939EE" w:rsidRDefault="00371DC0" w:rsidP="00186799">
            <w:pPr>
              <w:pStyle w:val="TableTextRight"/>
              <w:keepNext/>
              <w:keepLines/>
              <w:spacing w:line="240" w:lineRule="auto"/>
              <w:rPr>
                <w:i/>
              </w:rPr>
            </w:pPr>
            <w:r>
              <w:rPr>
                <w:i/>
              </w:rPr>
              <w:t>1.0</w:t>
            </w:r>
          </w:p>
        </w:tc>
        <w:tc>
          <w:tcPr>
            <w:tcW w:w="689" w:type="pct"/>
          </w:tcPr>
          <w:p w:rsidR="00371DC0" w:rsidRPr="00A939EE" w:rsidRDefault="00371DC0" w:rsidP="00186799">
            <w:pPr>
              <w:pStyle w:val="TableTextRight"/>
              <w:keepNext/>
              <w:keepLines/>
              <w:spacing w:line="240" w:lineRule="auto"/>
              <w:rPr>
                <w:i/>
              </w:rPr>
            </w:pPr>
            <w:r>
              <w:rPr>
                <w:i/>
              </w:rPr>
              <w:t>1.0</w:t>
            </w:r>
          </w:p>
        </w:tc>
        <w:tc>
          <w:tcPr>
            <w:tcW w:w="689" w:type="pct"/>
          </w:tcPr>
          <w:p w:rsidR="00371DC0" w:rsidRPr="00A939EE" w:rsidRDefault="00371DC0" w:rsidP="00186799">
            <w:pPr>
              <w:pStyle w:val="TableTextRight"/>
              <w:keepNext/>
              <w:keepLines/>
              <w:spacing w:line="240" w:lineRule="auto"/>
              <w:rPr>
                <w:i/>
              </w:rPr>
            </w:pPr>
            <w:r>
              <w:rPr>
                <w:i/>
              </w:rPr>
              <w:t>1.0</w:t>
            </w:r>
          </w:p>
        </w:tc>
        <w:tc>
          <w:tcPr>
            <w:tcW w:w="690" w:type="pct"/>
          </w:tcPr>
          <w:p w:rsidR="00371DC0" w:rsidRPr="00A939EE" w:rsidRDefault="00371DC0" w:rsidP="00186799">
            <w:pPr>
              <w:pStyle w:val="TableTextRight"/>
              <w:keepNext/>
              <w:keepLines/>
              <w:spacing w:line="240" w:lineRule="auto"/>
              <w:rPr>
                <w:b/>
                <w:i/>
              </w:rPr>
            </w:pPr>
            <w:r>
              <w:rPr>
                <w:b/>
                <w:i/>
              </w:rPr>
              <w:t>5.0</w:t>
            </w:r>
          </w:p>
        </w:tc>
      </w:tr>
      <w:tr w:rsidR="00371DC0" w:rsidRPr="007C2713" w:rsidTr="00967BCD">
        <w:tc>
          <w:tcPr>
            <w:tcW w:w="1554" w:type="pct"/>
            <w:shd w:val="clear" w:color="auto" w:fill="D7DDE9" w:themeFill="accent3"/>
          </w:tcPr>
          <w:p w:rsidR="00371DC0" w:rsidRPr="007C2713" w:rsidRDefault="00371DC0" w:rsidP="00186799">
            <w:pPr>
              <w:pStyle w:val="TableText"/>
              <w:keepNext/>
              <w:keepLines/>
              <w:rPr>
                <w:b/>
              </w:rPr>
            </w:pPr>
            <w:r w:rsidRPr="007C2713">
              <w:rPr>
                <w:b/>
              </w:rPr>
              <w:t>Total</w:t>
            </w:r>
          </w:p>
        </w:tc>
        <w:tc>
          <w:tcPr>
            <w:tcW w:w="689" w:type="pct"/>
            <w:shd w:val="clear" w:color="auto" w:fill="D7DDE9" w:themeFill="accent3"/>
          </w:tcPr>
          <w:p w:rsidR="00371DC0" w:rsidRPr="00AF6A15" w:rsidRDefault="00371DC0" w:rsidP="00186799">
            <w:pPr>
              <w:pStyle w:val="TableTextRight"/>
              <w:keepNext/>
              <w:keepLines/>
              <w:spacing w:line="240" w:lineRule="auto"/>
              <w:rPr>
                <w:b/>
              </w:rPr>
            </w:pPr>
            <w:r w:rsidRPr="00AF6A15">
              <w:rPr>
                <w:b/>
              </w:rPr>
              <w:t>146.0</w:t>
            </w:r>
          </w:p>
        </w:tc>
        <w:tc>
          <w:tcPr>
            <w:tcW w:w="689" w:type="pct"/>
            <w:shd w:val="clear" w:color="auto" w:fill="D7DDE9" w:themeFill="accent3"/>
          </w:tcPr>
          <w:p w:rsidR="00371DC0" w:rsidRPr="00AF6A15" w:rsidRDefault="00371DC0" w:rsidP="00186799">
            <w:pPr>
              <w:pStyle w:val="TableTextRight"/>
              <w:keepNext/>
              <w:keepLines/>
              <w:spacing w:line="240" w:lineRule="auto"/>
              <w:rPr>
                <w:b/>
              </w:rPr>
            </w:pPr>
            <w:r w:rsidRPr="00AF6A15">
              <w:rPr>
                <w:b/>
              </w:rPr>
              <w:t>166.0</w:t>
            </w:r>
          </w:p>
        </w:tc>
        <w:tc>
          <w:tcPr>
            <w:tcW w:w="689" w:type="pct"/>
            <w:shd w:val="clear" w:color="auto" w:fill="D7DDE9" w:themeFill="accent3"/>
          </w:tcPr>
          <w:p w:rsidR="00371DC0" w:rsidRPr="00AF6A15" w:rsidRDefault="00371DC0" w:rsidP="00186799">
            <w:pPr>
              <w:pStyle w:val="TableTextRight"/>
              <w:keepNext/>
              <w:keepLines/>
              <w:spacing w:line="240" w:lineRule="auto"/>
              <w:rPr>
                <w:b/>
              </w:rPr>
            </w:pPr>
            <w:r w:rsidRPr="00AF6A15">
              <w:rPr>
                <w:b/>
              </w:rPr>
              <w:t>166.0</w:t>
            </w:r>
          </w:p>
        </w:tc>
        <w:tc>
          <w:tcPr>
            <w:tcW w:w="689" w:type="pct"/>
            <w:shd w:val="clear" w:color="auto" w:fill="D7DDE9" w:themeFill="accent3"/>
          </w:tcPr>
          <w:p w:rsidR="00371DC0" w:rsidRPr="00AF6A15" w:rsidRDefault="00371DC0" w:rsidP="00186799">
            <w:pPr>
              <w:pStyle w:val="TableTextRight"/>
              <w:keepNext/>
              <w:keepLines/>
              <w:spacing w:line="240" w:lineRule="auto"/>
              <w:rPr>
                <w:b/>
              </w:rPr>
            </w:pPr>
            <w:r w:rsidRPr="00AF6A15">
              <w:rPr>
                <w:b/>
              </w:rPr>
              <w:t>181.0</w:t>
            </w:r>
          </w:p>
        </w:tc>
        <w:tc>
          <w:tcPr>
            <w:tcW w:w="690" w:type="pct"/>
            <w:shd w:val="clear" w:color="auto" w:fill="D7DDE9" w:themeFill="accent3"/>
          </w:tcPr>
          <w:p w:rsidR="00371DC0" w:rsidRPr="00AF6A15" w:rsidRDefault="00371DC0" w:rsidP="00186799">
            <w:pPr>
              <w:pStyle w:val="TableTextRight"/>
              <w:keepNext/>
              <w:keepLines/>
              <w:spacing w:line="240" w:lineRule="auto"/>
              <w:rPr>
                <w:b/>
              </w:rPr>
            </w:pPr>
            <w:r w:rsidRPr="00AF6A15">
              <w:rPr>
                <w:b/>
              </w:rPr>
              <w:t>670.0</w:t>
            </w:r>
          </w:p>
        </w:tc>
      </w:tr>
    </w:tbl>
    <w:p w:rsidR="00371DC0" w:rsidRDefault="00371DC0" w:rsidP="00186799">
      <w:pPr>
        <w:pStyle w:val="Footnotes"/>
        <w:keepNext/>
        <w:keepLines/>
        <w:numPr>
          <w:ilvl w:val="0"/>
          <w:numId w:val="46"/>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420CF4" w:rsidRDefault="00371DC0" w:rsidP="00186799">
      <w:pPr>
        <w:pStyle w:val="Footnotes"/>
        <w:keepNext/>
        <w:keepLines/>
        <w:ind w:left="284" w:hanging="284"/>
      </w:pPr>
      <w:r>
        <w:t>Figures may not sum to totals due to rounding.</w:t>
      </w:r>
    </w:p>
    <w:p w:rsidR="00371DC0" w:rsidRDefault="00371DC0" w:rsidP="00371DC0">
      <w:pPr>
        <w:pStyle w:val="Captionheading"/>
      </w:pPr>
      <w:r w:rsidRPr="00371DC0">
        <w:t>Table A</w:t>
      </w:r>
      <w:r>
        <w:t>2</w:t>
      </w:r>
      <w:r w:rsidRPr="00371DC0">
        <w:t xml:space="preserve">: </w:t>
      </w:r>
      <w:r>
        <w:t>Reducing FTB-A supplement by 50 per cent for families with income greater than $100,000—Underlying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371DC0" w:rsidTr="00E15FC9">
        <w:trPr>
          <w:cnfStyle w:val="100000000000" w:firstRow="1" w:lastRow="0" w:firstColumn="0" w:lastColumn="0" w:oddVBand="0" w:evenVBand="0" w:oddHBand="0" w:evenHBand="0" w:firstRowFirstColumn="0" w:firstRowLastColumn="0" w:lastRowFirstColumn="0" w:lastRowLastColumn="0"/>
        </w:trPr>
        <w:tc>
          <w:tcPr>
            <w:tcW w:w="1554" w:type="pct"/>
          </w:tcPr>
          <w:p w:rsidR="00371DC0" w:rsidRPr="007C2713" w:rsidRDefault="00371DC0" w:rsidP="00E15FC9">
            <w:pPr>
              <w:pStyle w:val="TableText"/>
              <w:rPr>
                <w:b w:val="0"/>
              </w:rPr>
            </w:pPr>
            <w:r>
              <w:t>($m)</w:t>
            </w:r>
          </w:p>
        </w:tc>
        <w:tc>
          <w:tcPr>
            <w:tcW w:w="689" w:type="pct"/>
          </w:tcPr>
          <w:p w:rsidR="00371DC0" w:rsidRDefault="00371DC0" w:rsidP="00E15FC9">
            <w:pPr>
              <w:pStyle w:val="TableTextRight"/>
              <w:rPr>
                <w:b w:val="0"/>
              </w:rPr>
            </w:pPr>
            <w:r>
              <w:t>2016–17</w:t>
            </w:r>
          </w:p>
        </w:tc>
        <w:tc>
          <w:tcPr>
            <w:tcW w:w="689" w:type="pct"/>
          </w:tcPr>
          <w:p w:rsidR="00371DC0" w:rsidRDefault="00371DC0" w:rsidP="00E15FC9">
            <w:pPr>
              <w:pStyle w:val="TableTextRight"/>
              <w:rPr>
                <w:b w:val="0"/>
              </w:rPr>
            </w:pPr>
            <w:r>
              <w:t>2017–18</w:t>
            </w:r>
          </w:p>
        </w:tc>
        <w:tc>
          <w:tcPr>
            <w:tcW w:w="689" w:type="pct"/>
          </w:tcPr>
          <w:p w:rsidR="00371DC0" w:rsidRDefault="00371DC0" w:rsidP="00E15FC9">
            <w:pPr>
              <w:pStyle w:val="TableTextRight"/>
              <w:rPr>
                <w:b w:val="0"/>
              </w:rPr>
            </w:pPr>
            <w:r>
              <w:t>2018–19</w:t>
            </w:r>
          </w:p>
        </w:tc>
        <w:tc>
          <w:tcPr>
            <w:tcW w:w="689" w:type="pct"/>
          </w:tcPr>
          <w:p w:rsidR="00371DC0" w:rsidRDefault="00371DC0" w:rsidP="00E15FC9">
            <w:pPr>
              <w:pStyle w:val="TableTextRight"/>
              <w:rPr>
                <w:b w:val="0"/>
              </w:rPr>
            </w:pPr>
            <w:r>
              <w:t>2019–20</w:t>
            </w:r>
          </w:p>
        </w:tc>
        <w:tc>
          <w:tcPr>
            <w:tcW w:w="690" w:type="pct"/>
          </w:tcPr>
          <w:p w:rsidR="00371DC0" w:rsidRDefault="00371DC0" w:rsidP="00E15FC9">
            <w:pPr>
              <w:pStyle w:val="TableTextRight"/>
            </w:pPr>
            <w:r>
              <w:t>Total to 2019–20</w:t>
            </w:r>
          </w:p>
        </w:tc>
      </w:tr>
      <w:tr w:rsidR="00371DC0" w:rsidTr="00E15FC9">
        <w:tc>
          <w:tcPr>
            <w:tcW w:w="1554" w:type="pct"/>
          </w:tcPr>
          <w:p w:rsidR="00371DC0" w:rsidRPr="003A3459" w:rsidRDefault="00371DC0" w:rsidP="00E15FC9">
            <w:pPr>
              <w:pStyle w:val="TableTextCentred"/>
              <w:keepNext/>
              <w:keepLines/>
              <w:spacing w:line="240" w:lineRule="auto"/>
              <w:jc w:val="left"/>
              <w:rPr>
                <w:szCs w:val="20"/>
              </w:rPr>
            </w:pPr>
            <w:r>
              <w:rPr>
                <w:szCs w:val="20"/>
              </w:rPr>
              <w:t>Family Tax Benefit Part A</w:t>
            </w:r>
          </w:p>
        </w:tc>
        <w:tc>
          <w:tcPr>
            <w:tcW w:w="689" w:type="pct"/>
          </w:tcPr>
          <w:p w:rsidR="00371DC0" w:rsidRPr="00A939EE" w:rsidRDefault="00371DC0" w:rsidP="00E15FC9">
            <w:pPr>
              <w:pStyle w:val="TableTextRight"/>
              <w:spacing w:line="240" w:lineRule="auto"/>
              <w:rPr>
                <w:i/>
              </w:rPr>
            </w:pPr>
            <w:r>
              <w:rPr>
                <w:i/>
              </w:rPr>
              <w:t>-</w:t>
            </w:r>
          </w:p>
        </w:tc>
        <w:tc>
          <w:tcPr>
            <w:tcW w:w="689" w:type="pct"/>
          </w:tcPr>
          <w:p w:rsidR="00371DC0" w:rsidRPr="00A939EE" w:rsidRDefault="00371DC0" w:rsidP="00E15FC9">
            <w:pPr>
              <w:pStyle w:val="TableTextRight"/>
              <w:spacing w:line="240" w:lineRule="auto"/>
              <w:rPr>
                <w:i/>
              </w:rPr>
            </w:pPr>
            <w:r>
              <w:rPr>
                <w:i/>
              </w:rPr>
              <w:t>135.0</w:t>
            </w:r>
          </w:p>
        </w:tc>
        <w:tc>
          <w:tcPr>
            <w:tcW w:w="689" w:type="pct"/>
          </w:tcPr>
          <w:p w:rsidR="00371DC0" w:rsidRPr="00A939EE" w:rsidRDefault="00371DC0" w:rsidP="00E15FC9">
            <w:pPr>
              <w:pStyle w:val="TableTextRight"/>
              <w:spacing w:line="240" w:lineRule="auto"/>
              <w:rPr>
                <w:i/>
              </w:rPr>
            </w:pPr>
            <w:r>
              <w:rPr>
                <w:i/>
              </w:rPr>
              <w:t>145.0</w:t>
            </w:r>
          </w:p>
        </w:tc>
        <w:tc>
          <w:tcPr>
            <w:tcW w:w="689" w:type="pct"/>
          </w:tcPr>
          <w:p w:rsidR="00371DC0" w:rsidRPr="00A939EE" w:rsidRDefault="00371DC0" w:rsidP="00E15FC9">
            <w:pPr>
              <w:pStyle w:val="TableTextRight"/>
              <w:spacing w:line="240" w:lineRule="auto"/>
              <w:rPr>
                <w:i/>
              </w:rPr>
            </w:pPr>
            <w:r>
              <w:rPr>
                <w:i/>
              </w:rPr>
              <w:t>150.0</w:t>
            </w:r>
          </w:p>
        </w:tc>
        <w:tc>
          <w:tcPr>
            <w:tcW w:w="690" w:type="pct"/>
          </w:tcPr>
          <w:p w:rsidR="00371DC0" w:rsidRPr="00A939EE" w:rsidRDefault="00371DC0" w:rsidP="00E15FC9">
            <w:pPr>
              <w:pStyle w:val="TableTextRight"/>
              <w:spacing w:line="240" w:lineRule="auto"/>
              <w:rPr>
                <w:b/>
                <w:i/>
              </w:rPr>
            </w:pPr>
            <w:r>
              <w:rPr>
                <w:b/>
                <w:i/>
              </w:rPr>
              <w:t>430.0</w:t>
            </w:r>
          </w:p>
        </w:tc>
      </w:tr>
      <w:tr w:rsidR="00371DC0" w:rsidTr="00E15FC9">
        <w:tc>
          <w:tcPr>
            <w:tcW w:w="1554" w:type="pct"/>
          </w:tcPr>
          <w:p w:rsidR="00371DC0" w:rsidRPr="003A3459" w:rsidRDefault="00371DC0" w:rsidP="00E15FC9">
            <w:pPr>
              <w:pStyle w:val="TableTextCentred"/>
              <w:keepNext/>
              <w:keepLines/>
              <w:spacing w:line="240" w:lineRule="auto"/>
              <w:jc w:val="left"/>
              <w:rPr>
                <w:szCs w:val="20"/>
              </w:rPr>
            </w:pPr>
            <w:r>
              <w:rPr>
                <w:szCs w:val="20"/>
              </w:rPr>
              <w:t>Health related expenses</w:t>
            </w:r>
          </w:p>
        </w:tc>
        <w:tc>
          <w:tcPr>
            <w:tcW w:w="689" w:type="pct"/>
          </w:tcPr>
          <w:p w:rsidR="00371DC0" w:rsidRPr="00A939EE" w:rsidRDefault="00371DC0" w:rsidP="00E15FC9">
            <w:pPr>
              <w:pStyle w:val="TableTextRight"/>
              <w:spacing w:line="240" w:lineRule="auto"/>
              <w:rPr>
                <w:i/>
              </w:rPr>
            </w:pPr>
            <w:r>
              <w:rPr>
                <w:i/>
              </w:rPr>
              <w:t>15.0</w:t>
            </w:r>
          </w:p>
        </w:tc>
        <w:tc>
          <w:tcPr>
            <w:tcW w:w="689" w:type="pct"/>
          </w:tcPr>
          <w:p w:rsidR="00371DC0" w:rsidRPr="00A939EE" w:rsidRDefault="00371DC0" w:rsidP="00E15FC9">
            <w:pPr>
              <w:pStyle w:val="TableTextRight"/>
              <w:spacing w:line="240" w:lineRule="auto"/>
              <w:rPr>
                <w:i/>
              </w:rPr>
            </w:pPr>
            <w:r>
              <w:rPr>
                <w:i/>
              </w:rPr>
              <w:t>20.0</w:t>
            </w:r>
          </w:p>
        </w:tc>
        <w:tc>
          <w:tcPr>
            <w:tcW w:w="689" w:type="pct"/>
          </w:tcPr>
          <w:p w:rsidR="00371DC0" w:rsidRPr="00A939EE" w:rsidRDefault="00371DC0" w:rsidP="00E15FC9">
            <w:pPr>
              <w:pStyle w:val="TableTextRight"/>
              <w:spacing w:line="240" w:lineRule="auto"/>
              <w:rPr>
                <w:i/>
              </w:rPr>
            </w:pPr>
            <w:r>
              <w:rPr>
                <w:i/>
              </w:rPr>
              <w:t>15.0</w:t>
            </w:r>
          </w:p>
        </w:tc>
        <w:tc>
          <w:tcPr>
            <w:tcW w:w="689" w:type="pct"/>
          </w:tcPr>
          <w:p w:rsidR="00371DC0" w:rsidRPr="00A939EE" w:rsidRDefault="00371DC0" w:rsidP="00E15FC9">
            <w:pPr>
              <w:pStyle w:val="TableTextRight"/>
              <w:spacing w:line="240" w:lineRule="auto"/>
              <w:rPr>
                <w:i/>
              </w:rPr>
            </w:pPr>
            <w:r>
              <w:rPr>
                <w:i/>
              </w:rPr>
              <w:t>15.0</w:t>
            </w:r>
          </w:p>
        </w:tc>
        <w:tc>
          <w:tcPr>
            <w:tcW w:w="690" w:type="pct"/>
          </w:tcPr>
          <w:p w:rsidR="00371DC0" w:rsidRPr="00A939EE" w:rsidRDefault="00371DC0" w:rsidP="00E15FC9">
            <w:pPr>
              <w:pStyle w:val="TableTextRight"/>
              <w:spacing w:line="240" w:lineRule="auto"/>
              <w:rPr>
                <w:b/>
                <w:i/>
              </w:rPr>
            </w:pPr>
            <w:r>
              <w:rPr>
                <w:b/>
                <w:i/>
              </w:rPr>
              <w:t>70.0</w:t>
            </w:r>
          </w:p>
        </w:tc>
      </w:tr>
      <w:tr w:rsidR="00371DC0" w:rsidTr="00E15FC9">
        <w:tc>
          <w:tcPr>
            <w:tcW w:w="1554" w:type="pct"/>
          </w:tcPr>
          <w:p w:rsidR="00371DC0" w:rsidRPr="003A3459" w:rsidRDefault="00371DC0" w:rsidP="00E15FC9">
            <w:pPr>
              <w:pStyle w:val="TableTextCentred"/>
              <w:keepNext/>
              <w:keepLines/>
              <w:spacing w:line="240" w:lineRule="auto"/>
              <w:jc w:val="left"/>
              <w:rPr>
                <w:szCs w:val="20"/>
              </w:rPr>
            </w:pPr>
            <w:r>
              <w:rPr>
                <w:szCs w:val="20"/>
              </w:rPr>
              <w:t>Departmental</w:t>
            </w:r>
          </w:p>
        </w:tc>
        <w:tc>
          <w:tcPr>
            <w:tcW w:w="689" w:type="pct"/>
          </w:tcPr>
          <w:p w:rsidR="00371DC0" w:rsidRPr="00A939EE" w:rsidRDefault="00371DC0" w:rsidP="00E15FC9">
            <w:pPr>
              <w:pStyle w:val="TableTextRight"/>
              <w:spacing w:line="240" w:lineRule="auto"/>
              <w:rPr>
                <w:i/>
              </w:rPr>
            </w:pPr>
            <w:r>
              <w:rPr>
                <w:i/>
              </w:rPr>
              <w:t>1.0</w:t>
            </w:r>
          </w:p>
        </w:tc>
        <w:tc>
          <w:tcPr>
            <w:tcW w:w="689" w:type="pct"/>
          </w:tcPr>
          <w:p w:rsidR="00371DC0" w:rsidRPr="00A939EE" w:rsidRDefault="00371DC0" w:rsidP="00E15FC9">
            <w:pPr>
              <w:pStyle w:val="TableTextRight"/>
              <w:spacing w:line="240" w:lineRule="auto"/>
              <w:rPr>
                <w:i/>
              </w:rPr>
            </w:pPr>
            <w:r>
              <w:rPr>
                <w:i/>
              </w:rPr>
              <w:t>1.0</w:t>
            </w:r>
          </w:p>
        </w:tc>
        <w:tc>
          <w:tcPr>
            <w:tcW w:w="689" w:type="pct"/>
          </w:tcPr>
          <w:p w:rsidR="00371DC0" w:rsidRPr="00A939EE" w:rsidRDefault="00371DC0" w:rsidP="00E15FC9">
            <w:pPr>
              <w:pStyle w:val="TableTextRight"/>
              <w:spacing w:line="240" w:lineRule="auto"/>
              <w:rPr>
                <w:i/>
              </w:rPr>
            </w:pPr>
            <w:r>
              <w:rPr>
                <w:i/>
              </w:rPr>
              <w:t>1.0</w:t>
            </w:r>
          </w:p>
        </w:tc>
        <w:tc>
          <w:tcPr>
            <w:tcW w:w="689" w:type="pct"/>
          </w:tcPr>
          <w:p w:rsidR="00371DC0" w:rsidRPr="00A939EE" w:rsidRDefault="00371DC0" w:rsidP="00E15FC9">
            <w:pPr>
              <w:pStyle w:val="TableTextRight"/>
              <w:spacing w:line="240" w:lineRule="auto"/>
              <w:rPr>
                <w:i/>
              </w:rPr>
            </w:pPr>
            <w:r>
              <w:rPr>
                <w:i/>
              </w:rPr>
              <w:t>1.0</w:t>
            </w:r>
          </w:p>
        </w:tc>
        <w:tc>
          <w:tcPr>
            <w:tcW w:w="690" w:type="pct"/>
          </w:tcPr>
          <w:p w:rsidR="00371DC0" w:rsidRPr="00A939EE" w:rsidRDefault="00371DC0" w:rsidP="00E15FC9">
            <w:pPr>
              <w:pStyle w:val="TableTextRight"/>
              <w:spacing w:line="240" w:lineRule="auto"/>
              <w:rPr>
                <w:b/>
                <w:i/>
              </w:rPr>
            </w:pPr>
            <w:r>
              <w:rPr>
                <w:b/>
                <w:i/>
              </w:rPr>
              <w:t>5.0</w:t>
            </w:r>
          </w:p>
        </w:tc>
      </w:tr>
      <w:tr w:rsidR="00371DC0" w:rsidRPr="007C2713" w:rsidTr="00E15FC9">
        <w:tc>
          <w:tcPr>
            <w:tcW w:w="1554" w:type="pct"/>
            <w:shd w:val="clear" w:color="auto" w:fill="D7DDE9" w:themeFill="accent3"/>
          </w:tcPr>
          <w:p w:rsidR="00371DC0" w:rsidRPr="0055406D" w:rsidRDefault="00371DC0" w:rsidP="00E15FC9">
            <w:pPr>
              <w:pStyle w:val="TableTextCentred"/>
              <w:keepNext/>
              <w:keepLines/>
              <w:spacing w:line="240" w:lineRule="auto"/>
              <w:jc w:val="left"/>
              <w:rPr>
                <w:b/>
                <w:szCs w:val="20"/>
              </w:rPr>
            </w:pPr>
            <w:r w:rsidRPr="0055406D">
              <w:rPr>
                <w:b/>
                <w:szCs w:val="20"/>
              </w:rPr>
              <w:t>Total</w:t>
            </w:r>
          </w:p>
        </w:tc>
        <w:tc>
          <w:tcPr>
            <w:tcW w:w="689" w:type="pct"/>
            <w:shd w:val="clear" w:color="auto" w:fill="D7DDE9" w:themeFill="accent3"/>
          </w:tcPr>
          <w:p w:rsidR="00371DC0" w:rsidRPr="00AF6A15" w:rsidRDefault="00371DC0" w:rsidP="00E15FC9">
            <w:pPr>
              <w:pStyle w:val="TableTextRight"/>
              <w:spacing w:line="240" w:lineRule="auto"/>
              <w:rPr>
                <w:b/>
              </w:rPr>
            </w:pPr>
            <w:r w:rsidRPr="00AF6A15">
              <w:rPr>
                <w:b/>
              </w:rPr>
              <w:t>16.0</w:t>
            </w:r>
          </w:p>
        </w:tc>
        <w:tc>
          <w:tcPr>
            <w:tcW w:w="689" w:type="pct"/>
            <w:shd w:val="clear" w:color="auto" w:fill="D7DDE9" w:themeFill="accent3"/>
          </w:tcPr>
          <w:p w:rsidR="00371DC0" w:rsidRPr="00AF6A15" w:rsidRDefault="00371DC0" w:rsidP="00E15FC9">
            <w:pPr>
              <w:pStyle w:val="TableTextRight"/>
              <w:spacing w:line="240" w:lineRule="auto"/>
              <w:rPr>
                <w:b/>
              </w:rPr>
            </w:pPr>
            <w:r w:rsidRPr="00AF6A15">
              <w:rPr>
                <w:b/>
              </w:rPr>
              <w:t>156.0</w:t>
            </w:r>
          </w:p>
        </w:tc>
        <w:tc>
          <w:tcPr>
            <w:tcW w:w="689" w:type="pct"/>
            <w:shd w:val="clear" w:color="auto" w:fill="D7DDE9" w:themeFill="accent3"/>
          </w:tcPr>
          <w:p w:rsidR="00371DC0" w:rsidRPr="00AF6A15" w:rsidRDefault="00371DC0" w:rsidP="00E15FC9">
            <w:pPr>
              <w:pStyle w:val="TableTextRight"/>
              <w:spacing w:line="240" w:lineRule="auto"/>
              <w:rPr>
                <w:b/>
              </w:rPr>
            </w:pPr>
            <w:r w:rsidRPr="00AF6A15">
              <w:rPr>
                <w:b/>
              </w:rPr>
              <w:t>161.0</w:t>
            </w:r>
          </w:p>
        </w:tc>
        <w:tc>
          <w:tcPr>
            <w:tcW w:w="689" w:type="pct"/>
            <w:shd w:val="clear" w:color="auto" w:fill="D7DDE9" w:themeFill="accent3"/>
          </w:tcPr>
          <w:p w:rsidR="00371DC0" w:rsidRPr="00AF6A15" w:rsidRDefault="00371DC0" w:rsidP="00E15FC9">
            <w:pPr>
              <w:pStyle w:val="TableTextRight"/>
              <w:spacing w:line="240" w:lineRule="auto"/>
              <w:rPr>
                <w:b/>
              </w:rPr>
            </w:pPr>
            <w:r w:rsidRPr="00AF6A15">
              <w:rPr>
                <w:b/>
              </w:rPr>
              <w:t>166.0</w:t>
            </w:r>
          </w:p>
        </w:tc>
        <w:tc>
          <w:tcPr>
            <w:tcW w:w="690" w:type="pct"/>
            <w:shd w:val="clear" w:color="auto" w:fill="D7DDE9" w:themeFill="accent3"/>
          </w:tcPr>
          <w:p w:rsidR="00371DC0" w:rsidRPr="00AF6A15" w:rsidRDefault="00371DC0" w:rsidP="00E15FC9">
            <w:pPr>
              <w:pStyle w:val="TableTextRight"/>
              <w:spacing w:line="240" w:lineRule="auto"/>
              <w:rPr>
                <w:b/>
              </w:rPr>
            </w:pPr>
            <w:r w:rsidRPr="00AF6A15">
              <w:rPr>
                <w:b/>
              </w:rPr>
              <w:t>505.0</w:t>
            </w:r>
          </w:p>
        </w:tc>
      </w:tr>
    </w:tbl>
    <w:p w:rsidR="00371DC0" w:rsidRDefault="00371DC0" w:rsidP="003768DC">
      <w:pPr>
        <w:pStyle w:val="Footnotes"/>
        <w:numPr>
          <w:ilvl w:val="0"/>
          <w:numId w:val="47"/>
        </w:numPr>
        <w:ind w:left="284" w:hanging="284"/>
      </w:pPr>
      <w:r>
        <w:t xml:space="preserve">A positive number for the underlying cash balance indicates an increase in receipts or decrease in </w:t>
      </w:r>
      <w:r w:rsidR="0080154C">
        <w:t>payments</w:t>
      </w:r>
      <w:r>
        <w:t xml:space="preserve"> or net capital investment in cash terms.  A negative number indicates a decrease in receipts or an increase in </w:t>
      </w:r>
      <w:r w:rsidR="0080154C">
        <w:t>payments</w:t>
      </w:r>
      <w:r>
        <w:t xml:space="preserve"> or net capital investment in cash terms.</w:t>
      </w:r>
    </w:p>
    <w:p w:rsidR="00371DC0" w:rsidRDefault="00371DC0" w:rsidP="00782E22">
      <w:pPr>
        <w:pStyle w:val="Footnotes"/>
        <w:ind w:left="284" w:hanging="284"/>
      </w:pPr>
      <w:r>
        <w:t>Figures may not sum to totals due to rounding.</w:t>
      </w:r>
    </w:p>
    <w:p w:rsidR="00371DC0" w:rsidRDefault="00371DC0" w:rsidP="00371DC0">
      <w:pPr>
        <w:pStyle w:val="Footnotes"/>
        <w:numPr>
          <w:ilvl w:val="0"/>
          <w:numId w:val="0"/>
        </w:numPr>
        <w:ind w:left="284" w:hanging="284"/>
      </w:pPr>
      <w:r>
        <w:t>-</w:t>
      </w:r>
      <w:r>
        <w:tab/>
        <w:t>Indicates nil.</w:t>
      </w:r>
    </w:p>
    <w:p w:rsidR="00186799" w:rsidRDefault="00186799" w:rsidP="00186799">
      <w:pPr>
        <w:pStyle w:val="BodyText"/>
      </w:pPr>
    </w:p>
    <w:p w:rsidR="00371DC0" w:rsidRDefault="00371DC0" w:rsidP="00186799">
      <w:pPr>
        <w:pStyle w:val="BodyText"/>
        <w:sectPr w:rsidR="00371DC0"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4" w:name="_Toc458081644"/>
      <w:r>
        <w:t>ALP020: Reforming the Industry Growth Centres</w:t>
      </w:r>
      <w:bookmarkEnd w:id="24"/>
    </w:p>
    <w:p w:rsidR="00745988" w:rsidRDefault="00745988" w:rsidP="00745988">
      <w:pPr>
        <w:pStyle w:val="BodyText"/>
      </w:pPr>
      <w:r>
        <w:rPr>
          <w:noProof/>
          <w:lang w:eastAsia="en-AU"/>
        </w:rPr>
        <w:drawing>
          <wp:inline distT="0" distB="0" distL="0" distR="0" wp14:anchorId="6520A19A" wp14:editId="2FE4877C">
            <wp:extent cx="2696845" cy="572135"/>
            <wp:effectExtent l="0" t="0" r="8255" b="0"/>
            <wp:docPr id="373" name="Picture 37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782E22">
            <w:pPr>
              <w:pStyle w:val="PullOutBoxHeading"/>
              <w:rPr>
                <w:b/>
              </w:rPr>
            </w:pPr>
            <w:r w:rsidRPr="00E758BA">
              <w:rPr>
                <w:b/>
              </w:rPr>
              <w:t>Name of proposal:</w:t>
            </w:r>
          </w:p>
        </w:tc>
        <w:tc>
          <w:tcPr>
            <w:tcW w:w="3191" w:type="pct"/>
          </w:tcPr>
          <w:p w:rsidR="00420CF4" w:rsidRPr="00E758BA" w:rsidRDefault="00E15047" w:rsidP="00782E22">
            <w:pPr>
              <w:pStyle w:val="PullOutBoxHeading"/>
              <w:rPr>
                <w:b/>
              </w:rPr>
            </w:pPr>
            <w:r w:rsidRPr="00E758BA">
              <w:rPr>
                <w:b/>
              </w:rPr>
              <w:t>Reforming the Industry Growth Centres</w:t>
            </w:r>
          </w:p>
        </w:tc>
      </w:tr>
      <w:tr w:rsidR="00420CF4" w:rsidRPr="00B45F94" w:rsidTr="00967BCD">
        <w:tc>
          <w:tcPr>
            <w:tcW w:w="1809" w:type="pct"/>
          </w:tcPr>
          <w:p w:rsidR="00420CF4" w:rsidRPr="00B45F94" w:rsidRDefault="00420CF4" w:rsidP="00782E22">
            <w:pPr>
              <w:pStyle w:val="PullOutBoxBodyText"/>
            </w:pPr>
            <w:r w:rsidRPr="00B45F94">
              <w:t>Summary of proposal:</w:t>
            </w:r>
          </w:p>
        </w:tc>
        <w:tc>
          <w:tcPr>
            <w:tcW w:w="3191" w:type="pct"/>
          </w:tcPr>
          <w:p w:rsidR="00E15047" w:rsidRDefault="00E15047" w:rsidP="00782E22">
            <w:pPr>
              <w:pStyle w:val="PullOutBoxBodyText"/>
            </w:pPr>
            <w:r>
              <w:t xml:space="preserve">The proposal would abolish the Industry Growth Centres (IGCs) program. </w:t>
            </w:r>
          </w:p>
          <w:p w:rsidR="00E15047" w:rsidRDefault="00E15047" w:rsidP="00782E22">
            <w:pPr>
              <w:pStyle w:val="PullOutBoxBodyText"/>
            </w:pPr>
            <w:r>
              <w:t xml:space="preserve">The proposal would honour existing contractual commitments. </w:t>
            </w:r>
          </w:p>
          <w:p w:rsidR="00420CF4" w:rsidRPr="00B45F94" w:rsidRDefault="00E15047" w:rsidP="00782E22">
            <w:pPr>
              <w:pStyle w:val="PullOutBoxBodyText"/>
            </w:pPr>
            <w:r>
              <w:t>The proposal would have effect from 1 July 2017.</w:t>
            </w:r>
          </w:p>
        </w:tc>
      </w:tr>
      <w:tr w:rsidR="00420CF4" w:rsidRPr="00B45F94" w:rsidTr="00967BCD">
        <w:tc>
          <w:tcPr>
            <w:tcW w:w="1809" w:type="pct"/>
          </w:tcPr>
          <w:p w:rsidR="00420CF4" w:rsidRPr="00B45F94" w:rsidRDefault="00420CF4" w:rsidP="00782E22">
            <w:pPr>
              <w:pStyle w:val="PullOutBoxBodyText"/>
            </w:pPr>
            <w:r>
              <w:t>Party:</w:t>
            </w:r>
          </w:p>
        </w:tc>
        <w:tc>
          <w:tcPr>
            <w:tcW w:w="3191" w:type="pct"/>
          </w:tcPr>
          <w:p w:rsidR="00420CF4" w:rsidRPr="00B45F94" w:rsidRDefault="00420CF4" w:rsidP="00782E22">
            <w:pPr>
              <w:pStyle w:val="PullOutBoxBodyText"/>
            </w:pPr>
            <w:r>
              <w:t>Australian Labor Party</w:t>
            </w:r>
          </w:p>
        </w:tc>
      </w:tr>
      <w:tr w:rsidR="00420CF4" w:rsidRPr="00B45F94" w:rsidTr="00967BCD">
        <w:tc>
          <w:tcPr>
            <w:tcW w:w="1809" w:type="pct"/>
          </w:tcPr>
          <w:p w:rsidR="00420CF4" w:rsidRPr="00B45F94" w:rsidRDefault="00420CF4" w:rsidP="00782E22">
            <w:pPr>
              <w:pStyle w:val="PullOutBoxBodyText"/>
            </w:pPr>
            <w:r w:rsidRPr="00B45F94">
              <w:t>Expiry date for the costing:</w:t>
            </w:r>
          </w:p>
        </w:tc>
        <w:tc>
          <w:tcPr>
            <w:tcW w:w="3191" w:type="pct"/>
          </w:tcPr>
          <w:p w:rsidR="00420CF4" w:rsidRPr="00B45F94" w:rsidRDefault="00EC102A" w:rsidP="00782E22">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E15047" w:rsidRDefault="00E15047" w:rsidP="00E15047">
      <w:pPr>
        <w:pStyle w:val="BodyText"/>
      </w:pPr>
      <w:r>
        <w:t>This proposal would be expected to increase the fiscal and underlying cash balances by $37.7 million over the 2016-17 Budget forward estimates period.  This reflects a decrease in administered expenses of $37.5 million and departmental expenses of $0.2 million.</w:t>
      </w:r>
    </w:p>
    <w:p w:rsidR="00E15047" w:rsidRDefault="00E15047" w:rsidP="00E15047">
      <w:pPr>
        <w:pStyle w:val="BodyText"/>
      </w:pPr>
      <w:r>
        <w:t>This proposal would be expected to have an ongoing impact beyond the 2016-17 Budget forward estimates period.  A breakdown of the financial implications over the period 2016</w:t>
      </w:r>
      <w:r>
        <w:noBreakHyphen/>
        <w:t>17 to 2026</w:t>
      </w:r>
      <w:r>
        <w:noBreakHyphen/>
        <w:t xml:space="preserve">27 is at </w:t>
      </w:r>
      <w:r w:rsidRPr="00E15047">
        <w:rPr>
          <w:u w:val="single"/>
        </w:rPr>
        <w:t>Attachment A</w:t>
      </w:r>
      <w:r>
        <w:t>.</w:t>
      </w:r>
    </w:p>
    <w:p w:rsidR="00E15047" w:rsidRPr="00E15047" w:rsidRDefault="00E15047" w:rsidP="00E15047">
      <w:pPr>
        <w:pStyle w:val="BodyText"/>
      </w:pPr>
      <w:r>
        <w:t>The financial implications for the proposal are considered to be of high reliability as program estimates and contractual commitments expected to be made by 1 July 2017 provided by the Department of Industry, Innovation and Science are reasonably well known.</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D71D9C">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D71D9C">
            <w:pPr>
              <w:pStyle w:val="TableTextRight"/>
            </w:pPr>
            <w:r>
              <w:t>Total</w:t>
            </w:r>
          </w:p>
        </w:tc>
      </w:tr>
      <w:tr w:rsidR="00D71D9C" w:rsidTr="00967BCD">
        <w:tc>
          <w:tcPr>
            <w:tcW w:w="1393" w:type="pct"/>
          </w:tcPr>
          <w:p w:rsidR="00D71D9C" w:rsidRDefault="00D71D9C" w:rsidP="00967BCD">
            <w:pPr>
              <w:pStyle w:val="TableText"/>
            </w:pPr>
            <w:r>
              <w:t>Fiscal balance</w:t>
            </w:r>
          </w:p>
        </w:tc>
        <w:tc>
          <w:tcPr>
            <w:tcW w:w="721" w:type="pct"/>
          </w:tcPr>
          <w:p w:rsidR="00D71D9C" w:rsidRPr="003A3459" w:rsidRDefault="00D71D9C" w:rsidP="00E15FC9">
            <w:pPr>
              <w:pStyle w:val="TableTextCentred"/>
              <w:keepNext/>
              <w:keepLines/>
              <w:spacing w:line="240" w:lineRule="auto"/>
              <w:jc w:val="right"/>
              <w:rPr>
                <w:szCs w:val="20"/>
              </w:rPr>
            </w:pPr>
            <w:r>
              <w:rPr>
                <w:szCs w:val="20"/>
              </w:rPr>
              <w:t>-</w:t>
            </w:r>
          </w:p>
        </w:tc>
        <w:tc>
          <w:tcPr>
            <w:tcW w:w="721" w:type="pct"/>
          </w:tcPr>
          <w:p w:rsidR="00D71D9C" w:rsidRPr="003A3459" w:rsidRDefault="00D71D9C" w:rsidP="00E15FC9">
            <w:pPr>
              <w:pStyle w:val="TableTextCentred"/>
              <w:keepNext/>
              <w:keepLines/>
              <w:spacing w:line="240" w:lineRule="auto"/>
              <w:jc w:val="right"/>
              <w:rPr>
                <w:szCs w:val="20"/>
              </w:rPr>
            </w:pPr>
            <w:r>
              <w:rPr>
                <w:szCs w:val="20"/>
              </w:rPr>
              <w:t>2.8</w:t>
            </w:r>
          </w:p>
        </w:tc>
        <w:tc>
          <w:tcPr>
            <w:tcW w:w="722" w:type="pct"/>
          </w:tcPr>
          <w:p w:rsidR="00D71D9C" w:rsidRPr="003A3459" w:rsidRDefault="00D71D9C" w:rsidP="00E15FC9">
            <w:pPr>
              <w:pStyle w:val="TableTextCentred"/>
              <w:keepNext/>
              <w:keepLines/>
              <w:spacing w:line="240" w:lineRule="auto"/>
              <w:jc w:val="right"/>
              <w:rPr>
                <w:szCs w:val="20"/>
              </w:rPr>
            </w:pPr>
            <w:r>
              <w:rPr>
                <w:szCs w:val="20"/>
              </w:rPr>
              <w:t>7.1</w:t>
            </w:r>
          </w:p>
        </w:tc>
        <w:tc>
          <w:tcPr>
            <w:tcW w:w="721" w:type="pct"/>
          </w:tcPr>
          <w:p w:rsidR="00D71D9C" w:rsidRPr="003A3459" w:rsidRDefault="00D71D9C" w:rsidP="00E15FC9">
            <w:pPr>
              <w:pStyle w:val="TableTextCentred"/>
              <w:keepNext/>
              <w:keepLines/>
              <w:spacing w:line="240" w:lineRule="auto"/>
              <w:jc w:val="right"/>
              <w:rPr>
                <w:szCs w:val="20"/>
              </w:rPr>
            </w:pPr>
            <w:r>
              <w:rPr>
                <w:szCs w:val="20"/>
              </w:rPr>
              <w:t>27.7</w:t>
            </w:r>
          </w:p>
        </w:tc>
        <w:tc>
          <w:tcPr>
            <w:tcW w:w="722" w:type="pct"/>
          </w:tcPr>
          <w:p w:rsidR="00D71D9C" w:rsidRPr="00C363AE" w:rsidRDefault="00D71D9C" w:rsidP="00E15FC9">
            <w:pPr>
              <w:pStyle w:val="TableTextCentred"/>
              <w:keepNext/>
              <w:keepLines/>
              <w:spacing w:line="240" w:lineRule="auto"/>
              <w:jc w:val="right"/>
              <w:rPr>
                <w:b/>
                <w:szCs w:val="20"/>
              </w:rPr>
            </w:pPr>
            <w:r>
              <w:rPr>
                <w:b/>
                <w:szCs w:val="20"/>
              </w:rPr>
              <w:t>37.7</w:t>
            </w:r>
          </w:p>
        </w:tc>
      </w:tr>
      <w:tr w:rsidR="00D71D9C" w:rsidTr="00967BCD">
        <w:tc>
          <w:tcPr>
            <w:tcW w:w="1393" w:type="pct"/>
          </w:tcPr>
          <w:p w:rsidR="00D71D9C" w:rsidRDefault="00D71D9C" w:rsidP="00967BCD">
            <w:pPr>
              <w:pStyle w:val="TableText"/>
            </w:pPr>
            <w:r>
              <w:t>Underlying cash balance</w:t>
            </w:r>
          </w:p>
        </w:tc>
        <w:tc>
          <w:tcPr>
            <w:tcW w:w="721" w:type="pct"/>
          </w:tcPr>
          <w:p w:rsidR="00D71D9C" w:rsidRPr="003A3459" w:rsidRDefault="00D71D9C" w:rsidP="00E15FC9">
            <w:pPr>
              <w:pStyle w:val="TableTextCentred"/>
              <w:keepNext/>
              <w:keepLines/>
              <w:spacing w:line="240" w:lineRule="auto"/>
              <w:jc w:val="right"/>
              <w:rPr>
                <w:szCs w:val="20"/>
              </w:rPr>
            </w:pPr>
            <w:r>
              <w:rPr>
                <w:szCs w:val="20"/>
              </w:rPr>
              <w:t>-</w:t>
            </w:r>
          </w:p>
        </w:tc>
        <w:tc>
          <w:tcPr>
            <w:tcW w:w="721" w:type="pct"/>
          </w:tcPr>
          <w:p w:rsidR="00D71D9C" w:rsidRPr="003A3459" w:rsidRDefault="00D71D9C" w:rsidP="00E15FC9">
            <w:pPr>
              <w:pStyle w:val="TableTextCentred"/>
              <w:keepNext/>
              <w:keepLines/>
              <w:spacing w:line="240" w:lineRule="auto"/>
              <w:jc w:val="right"/>
              <w:rPr>
                <w:szCs w:val="20"/>
              </w:rPr>
            </w:pPr>
            <w:r>
              <w:rPr>
                <w:szCs w:val="20"/>
              </w:rPr>
              <w:t>2.8</w:t>
            </w:r>
          </w:p>
        </w:tc>
        <w:tc>
          <w:tcPr>
            <w:tcW w:w="722" w:type="pct"/>
          </w:tcPr>
          <w:p w:rsidR="00D71D9C" w:rsidRPr="003A3459" w:rsidRDefault="00D71D9C" w:rsidP="00E15FC9">
            <w:pPr>
              <w:pStyle w:val="TableTextCentred"/>
              <w:keepNext/>
              <w:keepLines/>
              <w:spacing w:line="240" w:lineRule="auto"/>
              <w:jc w:val="right"/>
              <w:rPr>
                <w:szCs w:val="20"/>
              </w:rPr>
            </w:pPr>
            <w:r>
              <w:rPr>
                <w:szCs w:val="20"/>
              </w:rPr>
              <w:t>7.1</w:t>
            </w:r>
          </w:p>
        </w:tc>
        <w:tc>
          <w:tcPr>
            <w:tcW w:w="721" w:type="pct"/>
          </w:tcPr>
          <w:p w:rsidR="00D71D9C" w:rsidRPr="003A3459" w:rsidRDefault="00D71D9C" w:rsidP="00E15FC9">
            <w:pPr>
              <w:pStyle w:val="TableTextCentred"/>
              <w:keepNext/>
              <w:keepLines/>
              <w:spacing w:line="240" w:lineRule="auto"/>
              <w:jc w:val="right"/>
              <w:rPr>
                <w:szCs w:val="20"/>
              </w:rPr>
            </w:pPr>
            <w:r>
              <w:rPr>
                <w:szCs w:val="20"/>
              </w:rPr>
              <w:t>27.7</w:t>
            </w:r>
          </w:p>
        </w:tc>
        <w:tc>
          <w:tcPr>
            <w:tcW w:w="722" w:type="pct"/>
          </w:tcPr>
          <w:p w:rsidR="00D71D9C" w:rsidRPr="00C363AE" w:rsidRDefault="00D71D9C" w:rsidP="00E15FC9">
            <w:pPr>
              <w:pStyle w:val="TableTextCentred"/>
              <w:keepNext/>
              <w:keepLines/>
              <w:spacing w:line="240" w:lineRule="auto"/>
              <w:jc w:val="right"/>
              <w:rPr>
                <w:b/>
                <w:szCs w:val="20"/>
              </w:rPr>
            </w:pPr>
            <w:r>
              <w:rPr>
                <w:b/>
                <w:szCs w:val="20"/>
              </w:rPr>
              <w:t>37.7</w:t>
            </w:r>
          </w:p>
        </w:tc>
      </w:tr>
    </w:tbl>
    <w:p w:rsidR="00420CF4" w:rsidRDefault="00420CF4" w:rsidP="003768DC">
      <w:pPr>
        <w:pStyle w:val="Footnotes"/>
        <w:numPr>
          <w:ilvl w:val="0"/>
          <w:numId w:val="48"/>
        </w:numPr>
        <w:ind w:left="284" w:hanging="284"/>
      </w:pPr>
      <w:r>
        <w:t xml:space="preserve">A positive </w:t>
      </w:r>
      <w:r w:rsidRPr="00FC1F1C">
        <w:t>number indicates an increase in the relevant budget balance, a negative number a decrease.</w:t>
      </w:r>
    </w:p>
    <w:p w:rsidR="00420CF4" w:rsidRDefault="00420CF4" w:rsidP="003768DC">
      <w:pPr>
        <w:pStyle w:val="Footnotes"/>
        <w:numPr>
          <w:ilvl w:val="0"/>
          <w:numId w:val="14"/>
        </w:numPr>
        <w:ind w:left="284" w:hanging="284"/>
      </w:pPr>
      <w:r w:rsidRPr="009B3768">
        <w:t>Figures may not sum to totals due to rounding.</w:t>
      </w:r>
    </w:p>
    <w:p w:rsidR="00D14973" w:rsidRPr="009B3768" w:rsidRDefault="00D14973" w:rsidP="00ED1D90">
      <w:pPr>
        <w:pStyle w:val="Footnotes"/>
        <w:numPr>
          <w:ilvl w:val="0"/>
          <w:numId w:val="33"/>
        </w:numPr>
        <w:rPr>
          <w:rStyle w:val="FootnoteReference"/>
          <w:rFonts w:cs="Times New Roman"/>
          <w:szCs w:val="22"/>
          <w:vertAlign w:val="baseline"/>
          <w:lang w:eastAsia="en-AU"/>
        </w:rPr>
      </w:pPr>
      <w:r>
        <w:rPr>
          <w:rStyle w:val="FootnoteReference"/>
          <w:vertAlign w:val="baseline"/>
        </w:rPr>
        <w:t>Indicates nil.</w:t>
      </w:r>
    </w:p>
    <w:p w:rsidR="00420CF4" w:rsidRDefault="00420CF4" w:rsidP="00420CF4">
      <w:pPr>
        <w:pStyle w:val="CostingsH7"/>
      </w:pPr>
      <w:r>
        <w:t>Methodology</w:t>
      </w:r>
    </w:p>
    <w:p w:rsidR="00D71D9C" w:rsidRPr="00D71D9C" w:rsidRDefault="00D71D9C" w:rsidP="00D71D9C">
      <w:pPr>
        <w:pStyle w:val="BodyText"/>
      </w:pPr>
      <w:r w:rsidRPr="00D71D9C">
        <w:t>The financial implications of this proposal were derived by reducing program estimates after accounting for the expected contractual commitments as at 1 July 2017.</w:t>
      </w:r>
    </w:p>
    <w:p w:rsidR="00420CF4" w:rsidRDefault="00420CF4" w:rsidP="00420CF4">
      <w:pPr>
        <w:pStyle w:val="CostingsH7"/>
      </w:pPr>
      <w:r>
        <w:t>Data sources</w:t>
      </w:r>
    </w:p>
    <w:p w:rsidR="00D71D9C" w:rsidRPr="00D71D9C" w:rsidRDefault="00D71D9C" w:rsidP="00D71D9C">
      <w:pPr>
        <w:pStyle w:val="BodyText"/>
      </w:pPr>
      <w:r w:rsidRPr="00D71D9C">
        <w:t>The Department of Industry, Innovation and Science provided:</w:t>
      </w:r>
    </w:p>
    <w:p w:rsidR="00D71D9C" w:rsidRDefault="00D71D9C" w:rsidP="00D71D9C">
      <w:pPr>
        <w:pStyle w:val="ListBullet"/>
      </w:pPr>
      <w:r>
        <w:t>program funding estimates over 2016-17 to 2026-27, on an aggregate and component</w:t>
      </w:r>
      <w:r>
        <w:noBreakHyphen/>
        <w:t>basis</w:t>
      </w:r>
    </w:p>
    <w:p w:rsidR="00D71D9C" w:rsidRDefault="00D71D9C" w:rsidP="00D71D9C">
      <w:pPr>
        <w:pStyle w:val="ListBullet"/>
      </w:pPr>
      <w:r>
        <w:t>program contractual commitments to date</w:t>
      </w:r>
    </w:p>
    <w:p w:rsidR="00060644" w:rsidRDefault="00D71D9C" w:rsidP="00D71D9C">
      <w:pPr>
        <w:pStyle w:val="ListBullet"/>
      </w:pPr>
      <w:r>
        <w:t>program estimates of contractually committed funds prior to 1 July 2017.</w:t>
      </w:r>
    </w:p>
    <w:p w:rsidR="008A35EA" w:rsidRDefault="008A35EA" w:rsidP="008A35EA">
      <w:pPr>
        <w:pStyle w:val="BodyText"/>
      </w:pPr>
    </w:p>
    <w:p w:rsidR="008A35EA" w:rsidRDefault="008A35EA" w:rsidP="008A35EA">
      <w:pPr>
        <w:pStyle w:val="BodyText"/>
        <w:sectPr w:rsidR="008A35EA"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060644">
      <w:pPr>
        <w:pStyle w:val="Heading6"/>
      </w:pPr>
      <w:r>
        <w:t xml:space="preserve">Attachment </w:t>
      </w:r>
      <w:r w:rsidR="00060644" w:rsidRPr="00060644">
        <w:t>A: Reforming the Industry Growth Centres—financial implications</w:t>
      </w:r>
    </w:p>
    <w:p w:rsidR="00420CF4" w:rsidRDefault="00420CF4" w:rsidP="00420CF4">
      <w:pPr>
        <w:pStyle w:val="Caption"/>
        <w:rPr>
          <w:vertAlign w:val="superscript"/>
        </w:rPr>
      </w:pPr>
      <w:r w:rsidRPr="002B36F1">
        <w:t xml:space="preserve">Table </w:t>
      </w:r>
      <w:r>
        <w:t>A1</w:t>
      </w:r>
      <w:r w:rsidRPr="002B36F1">
        <w:t xml:space="preserve">: </w:t>
      </w:r>
      <w:r w:rsidR="00060644" w:rsidRPr="00060644">
        <w:t>Reforming the Industry Growth Centres—Financial implications</w:t>
      </w:r>
      <w:r w:rsidRPr="002B36F1">
        <w:rPr>
          <w:vertAlign w:val="superscript"/>
        </w:rPr>
        <w:t>(a)(b)</w:t>
      </w:r>
    </w:p>
    <w:tbl>
      <w:tblPr>
        <w:tblStyle w:val="TableGrid37"/>
        <w:tblW w:w="14318" w:type="dxa"/>
        <w:tblInd w:w="-16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98"/>
        <w:gridCol w:w="905"/>
        <w:gridCol w:w="905"/>
        <w:gridCol w:w="905"/>
        <w:gridCol w:w="905"/>
        <w:gridCol w:w="905"/>
        <w:gridCol w:w="905"/>
        <w:gridCol w:w="905"/>
        <w:gridCol w:w="905"/>
        <w:gridCol w:w="905"/>
        <w:gridCol w:w="905"/>
        <w:gridCol w:w="905"/>
        <w:gridCol w:w="905"/>
        <w:gridCol w:w="1160"/>
      </w:tblGrid>
      <w:tr w:rsidR="00060644" w:rsidRPr="00060644" w:rsidTr="0006064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298" w:type="dxa"/>
            <w:tcBorders>
              <w:bottom w:val="single" w:sz="4" w:space="0" w:color="A6A6A6" w:themeColor="background1" w:themeShade="A6"/>
            </w:tcBorders>
          </w:tcPr>
          <w:p w:rsidR="00060644" w:rsidRPr="00060644" w:rsidRDefault="00060644" w:rsidP="00060644">
            <w:pPr>
              <w:spacing w:line="240" w:lineRule="auto"/>
              <w:ind w:left="57" w:right="57"/>
              <w:rPr>
                <w:szCs w:val="20"/>
              </w:rPr>
            </w:pPr>
            <w:r w:rsidRPr="00060644">
              <w:rPr>
                <w:szCs w:val="20"/>
              </w:rPr>
              <w:t>($m)</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2016-17</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2017-18</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2018-19</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2019-20</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b/>
                <w:szCs w:val="20"/>
              </w:rPr>
            </w:pPr>
            <w:r w:rsidRPr="00060644">
              <w:rPr>
                <w:b/>
                <w:szCs w:val="20"/>
              </w:rPr>
              <w:t>Total to 2019-20</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2020-21</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2021-22</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2022-23</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2023-24</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2024-25</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2025-26</w:t>
            </w:r>
          </w:p>
        </w:tc>
        <w:tc>
          <w:tcPr>
            <w:tcW w:w="905"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szCs w:val="20"/>
              </w:rPr>
            </w:pPr>
            <w:r w:rsidRPr="00060644">
              <w:rPr>
                <w:szCs w:val="20"/>
              </w:rPr>
              <w:t>2026-27</w:t>
            </w:r>
          </w:p>
        </w:tc>
        <w:tc>
          <w:tcPr>
            <w:tcW w:w="1160" w:type="dxa"/>
            <w:tcBorders>
              <w:bottom w:val="single" w:sz="4" w:space="0" w:color="A6A6A6" w:themeColor="background1" w:themeShade="A6"/>
            </w:tcBorders>
          </w:tcPr>
          <w:p w:rsidR="00060644" w:rsidRPr="00060644" w:rsidRDefault="00060644" w:rsidP="00060644">
            <w:pPr>
              <w:spacing w:line="240" w:lineRule="auto"/>
              <w:ind w:left="57" w:right="57"/>
              <w:jc w:val="center"/>
              <w:cnfStyle w:val="100000000000" w:firstRow="1" w:lastRow="0" w:firstColumn="0" w:lastColumn="0" w:oddVBand="0" w:evenVBand="0" w:oddHBand="0" w:evenHBand="0" w:firstRowFirstColumn="0" w:firstRowLastColumn="0" w:lastRowFirstColumn="0" w:lastRowLastColumn="0"/>
              <w:rPr>
                <w:b/>
                <w:szCs w:val="20"/>
              </w:rPr>
            </w:pPr>
            <w:r w:rsidRPr="00060644">
              <w:rPr>
                <w:b/>
                <w:szCs w:val="20"/>
              </w:rPr>
              <w:t>Total to 2026-27</w:t>
            </w:r>
          </w:p>
        </w:tc>
      </w:tr>
      <w:tr w:rsidR="00060644" w:rsidRPr="00060644" w:rsidTr="000606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318" w:type="dxa"/>
            <w:gridSpan w:val="14"/>
            <w:shd w:val="clear" w:color="auto" w:fill="E9ECF3"/>
          </w:tcPr>
          <w:p w:rsidR="00060644" w:rsidRPr="00060644" w:rsidRDefault="00060644" w:rsidP="00060644">
            <w:pPr>
              <w:spacing w:line="240" w:lineRule="auto"/>
              <w:ind w:left="57" w:right="57"/>
              <w:rPr>
                <w:b/>
                <w:bCs/>
                <w:color w:val="000000"/>
                <w:szCs w:val="20"/>
              </w:rPr>
            </w:pPr>
            <w:r w:rsidRPr="00060644">
              <w:rPr>
                <w:b/>
                <w:bCs/>
                <w:color w:val="000000"/>
                <w:szCs w:val="20"/>
              </w:rPr>
              <w:t>Impact of fiscal and underlying cash balances</w:t>
            </w:r>
          </w:p>
        </w:tc>
      </w:tr>
      <w:tr w:rsidR="00060644" w:rsidRPr="00060644" w:rsidTr="000606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98" w:type="dxa"/>
          </w:tcPr>
          <w:p w:rsidR="00060644" w:rsidRPr="00060644" w:rsidRDefault="00060644" w:rsidP="00060644">
            <w:pPr>
              <w:spacing w:line="240" w:lineRule="auto"/>
              <w:ind w:left="57" w:right="57"/>
              <w:rPr>
                <w:color w:val="000000"/>
                <w:szCs w:val="20"/>
              </w:rPr>
            </w:pPr>
            <w:r w:rsidRPr="00060644">
              <w:rPr>
                <w:color w:val="000000"/>
                <w:szCs w:val="20"/>
              </w:rPr>
              <w:t>Administered</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060644">
              <w:rPr>
                <w:szCs w:val="20"/>
              </w:rPr>
              <w:t>-</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2.8</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7.1</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27.6</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i/>
                <w:szCs w:val="20"/>
              </w:rPr>
            </w:pPr>
            <w:r w:rsidRPr="00060644">
              <w:rPr>
                <w:b/>
                <w:i/>
                <w:szCs w:val="20"/>
              </w:rPr>
              <w:t>37.5</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48.3</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65.2</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56.4</w:t>
            </w:r>
          </w:p>
        </w:tc>
        <w:tc>
          <w:tcPr>
            <w:tcW w:w="905" w:type="dxa"/>
          </w:tcPr>
          <w:p w:rsidR="00060644" w:rsidRPr="00060644" w:rsidRDefault="0090797A" w:rsidP="00060644">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Pr>
                <w:i/>
                <w:szCs w:val="20"/>
              </w:rPr>
              <w:t>39.4</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48.3</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65.2</w:t>
            </w:r>
          </w:p>
        </w:tc>
        <w:tc>
          <w:tcPr>
            <w:tcW w:w="905"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i/>
                <w:szCs w:val="20"/>
              </w:rPr>
            </w:pPr>
            <w:r w:rsidRPr="00060644">
              <w:rPr>
                <w:i/>
                <w:szCs w:val="20"/>
              </w:rPr>
              <w:t>56.4</w:t>
            </w:r>
          </w:p>
        </w:tc>
        <w:tc>
          <w:tcPr>
            <w:tcW w:w="1160" w:type="dxa"/>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i/>
                <w:szCs w:val="20"/>
              </w:rPr>
            </w:pPr>
            <w:r w:rsidRPr="00060644">
              <w:rPr>
                <w:b/>
                <w:i/>
                <w:szCs w:val="20"/>
              </w:rPr>
              <w:t>416.6</w:t>
            </w:r>
          </w:p>
        </w:tc>
      </w:tr>
      <w:tr w:rsidR="00060644" w:rsidRPr="00060644" w:rsidTr="000606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98" w:type="dxa"/>
            <w:tcBorders>
              <w:bottom w:val="single" w:sz="4" w:space="0" w:color="A6A6A6" w:themeColor="background1" w:themeShade="A6"/>
            </w:tcBorders>
          </w:tcPr>
          <w:p w:rsidR="00060644" w:rsidRPr="00060644" w:rsidRDefault="00060644" w:rsidP="00060644">
            <w:pPr>
              <w:spacing w:line="240" w:lineRule="auto"/>
              <w:ind w:left="57" w:right="57"/>
              <w:rPr>
                <w:color w:val="000000"/>
                <w:szCs w:val="20"/>
              </w:rPr>
            </w:pPr>
            <w:r w:rsidRPr="00060644">
              <w:rPr>
                <w:color w:val="000000"/>
                <w:szCs w:val="20"/>
              </w:rPr>
              <w:t>Departmental</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60644">
              <w:rPr>
                <w:rFonts w:ascii="Calibri" w:hAnsi="Calibr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0.1</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szCs w:val="20"/>
              </w:rPr>
            </w:pPr>
            <w:r w:rsidRPr="00060644">
              <w:rPr>
                <w:rFonts w:ascii="Calibri" w:hAnsi="Calibri"/>
                <w:b/>
                <w:i/>
                <w:sz w:val="20"/>
                <w:szCs w:val="20"/>
              </w:rPr>
              <w:t>0.2</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905"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i/>
                <w:sz w:val="20"/>
                <w:szCs w:val="20"/>
              </w:rPr>
            </w:pPr>
            <w:r w:rsidRPr="00060644">
              <w:rPr>
                <w:rFonts w:ascii="Calibri" w:hAnsi="Calibri"/>
                <w:i/>
                <w:sz w:val="20"/>
                <w:szCs w:val="20"/>
              </w:rPr>
              <w:t>-</w:t>
            </w:r>
          </w:p>
        </w:tc>
        <w:tc>
          <w:tcPr>
            <w:tcW w:w="1160" w:type="dxa"/>
            <w:tcBorders>
              <w:bottom w:val="single" w:sz="4" w:space="0" w:color="A6A6A6" w:themeColor="background1" w:themeShade="A6"/>
            </w:tcBorders>
          </w:tcPr>
          <w:p w:rsidR="00060644" w:rsidRPr="00060644" w:rsidRDefault="00060644" w:rsidP="0090797A">
            <w:pPr>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i/>
                <w:sz w:val="20"/>
                <w:szCs w:val="20"/>
              </w:rPr>
            </w:pPr>
            <w:r w:rsidRPr="00060644">
              <w:rPr>
                <w:rFonts w:ascii="Calibri" w:hAnsi="Calibri"/>
                <w:b/>
                <w:i/>
                <w:sz w:val="20"/>
                <w:szCs w:val="20"/>
              </w:rPr>
              <w:t>0.2</w:t>
            </w:r>
          </w:p>
        </w:tc>
      </w:tr>
      <w:tr w:rsidR="0073534F" w:rsidRPr="00060644" w:rsidTr="000606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98" w:type="dxa"/>
            <w:tcBorders>
              <w:bottom w:val="single" w:sz="4" w:space="0" w:color="A6A6A6" w:themeColor="background1" w:themeShade="A6"/>
            </w:tcBorders>
            <w:shd w:val="clear" w:color="auto" w:fill="D7DDE9"/>
          </w:tcPr>
          <w:p w:rsidR="00060644" w:rsidRPr="00060644" w:rsidRDefault="00060644" w:rsidP="00060644">
            <w:pPr>
              <w:spacing w:line="240" w:lineRule="auto"/>
              <w:ind w:left="57" w:right="57"/>
              <w:rPr>
                <w:color w:val="000000"/>
                <w:szCs w:val="20"/>
              </w:rPr>
            </w:pPr>
            <w:r w:rsidRPr="00060644">
              <w:rPr>
                <w:b/>
                <w:bCs/>
                <w:color w:val="000000"/>
                <w:szCs w:val="20"/>
              </w:rPr>
              <w:t>Total</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2.8</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7.1</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27.7</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37.7</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48.3</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65.2</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56.4</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39.4</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48.3</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65.2</w:t>
            </w:r>
          </w:p>
        </w:tc>
        <w:tc>
          <w:tcPr>
            <w:tcW w:w="905"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56.4</w:t>
            </w:r>
          </w:p>
        </w:tc>
        <w:tc>
          <w:tcPr>
            <w:tcW w:w="1160" w:type="dxa"/>
            <w:tcBorders>
              <w:bottom w:val="single" w:sz="4" w:space="0" w:color="A6A6A6" w:themeColor="background1" w:themeShade="A6"/>
            </w:tcBorders>
            <w:shd w:val="clear" w:color="auto" w:fill="D7DDE9"/>
          </w:tcPr>
          <w:p w:rsidR="00060644" w:rsidRPr="00060644" w:rsidRDefault="00060644" w:rsidP="0090797A">
            <w:pPr>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060644">
              <w:rPr>
                <w:b/>
                <w:szCs w:val="20"/>
              </w:rPr>
              <w:t>416.8</w:t>
            </w:r>
          </w:p>
        </w:tc>
      </w:tr>
    </w:tbl>
    <w:p w:rsidR="00060644" w:rsidRDefault="00060644" w:rsidP="00782E22">
      <w:pPr>
        <w:pStyle w:val="Footnotes"/>
        <w:numPr>
          <w:ilvl w:val="0"/>
          <w:numId w:val="49"/>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060644" w:rsidRDefault="00060644" w:rsidP="00782E22">
      <w:pPr>
        <w:pStyle w:val="Footnotes"/>
        <w:ind w:left="284" w:hanging="284"/>
      </w:pPr>
      <w:r>
        <w:t>Figures may not sum to totals due to rounding.</w:t>
      </w:r>
    </w:p>
    <w:p w:rsidR="00060644" w:rsidRDefault="00060644" w:rsidP="00782E22">
      <w:pPr>
        <w:pStyle w:val="Footnotes"/>
        <w:numPr>
          <w:ilvl w:val="0"/>
          <w:numId w:val="0"/>
        </w:numPr>
        <w:ind w:left="284" w:hanging="284"/>
      </w:pPr>
      <w:r>
        <w:t>..</w:t>
      </w:r>
      <w:r>
        <w:tab/>
        <w:t>Not zero but rounded to zero.</w:t>
      </w:r>
    </w:p>
    <w:p w:rsidR="00420CF4" w:rsidRDefault="00060644" w:rsidP="00782E22">
      <w:pPr>
        <w:pStyle w:val="Footnotes"/>
        <w:numPr>
          <w:ilvl w:val="0"/>
          <w:numId w:val="33"/>
        </w:numPr>
        <w:ind w:left="284" w:hanging="284"/>
      </w:pPr>
      <w:r>
        <w:t>Indicates nil.</w:t>
      </w:r>
    </w:p>
    <w:p w:rsidR="008A35EA" w:rsidRPr="00951305" w:rsidRDefault="008A35EA" w:rsidP="008A35EA">
      <w:pPr>
        <w:pStyle w:val="BodyText"/>
      </w:pPr>
    </w:p>
    <w:p w:rsidR="00420CF4" w:rsidRDefault="00420CF4" w:rsidP="00420CF4">
      <w:pPr>
        <w:pStyle w:val="BodyText"/>
        <w:sectPr w:rsidR="00420CF4" w:rsidSect="008A35EA">
          <w:headerReference w:type="even" r:id="rId58"/>
          <w:headerReference w:type="default" r:id="rId59"/>
          <w:footerReference w:type="even" r:id="rId60"/>
          <w:footerReference w:type="default" r:id="rId61"/>
          <w:footnotePr>
            <w:numRestart w:val="eachSect"/>
          </w:footnotePr>
          <w:pgSz w:w="16838" w:h="11906" w:orient="landscape" w:code="9"/>
          <w:pgMar w:top="1361" w:right="1797" w:bottom="1474" w:left="1797" w:header="283" w:footer="454" w:gutter="0"/>
          <w:cols w:space="708"/>
          <w:docGrid w:linePitch="360"/>
        </w:sectPr>
      </w:pPr>
    </w:p>
    <w:p w:rsidR="00420CF4" w:rsidRDefault="00420CF4" w:rsidP="00186799">
      <w:pPr>
        <w:pStyle w:val="Heading5"/>
      </w:pPr>
      <w:bookmarkStart w:id="25" w:name="_Toc458081645"/>
      <w:r>
        <w:t>ALP021: Removing the Private Heal</w:t>
      </w:r>
      <w:r w:rsidR="00186799">
        <w:t>th Insurance Rebate for Natural </w:t>
      </w:r>
      <w:r>
        <w:t>Therapies</w:t>
      </w:r>
      <w:bookmarkEnd w:id="25"/>
    </w:p>
    <w:p w:rsidR="00745988" w:rsidRDefault="00745988" w:rsidP="00745988">
      <w:pPr>
        <w:pStyle w:val="BodyText"/>
      </w:pPr>
      <w:r>
        <w:rPr>
          <w:noProof/>
          <w:lang w:eastAsia="en-AU"/>
        </w:rPr>
        <w:drawing>
          <wp:inline distT="0" distB="0" distL="0" distR="0" wp14:anchorId="6D2E6128" wp14:editId="275235D1">
            <wp:extent cx="2696845" cy="572135"/>
            <wp:effectExtent l="0" t="0" r="8255" b="0"/>
            <wp:docPr id="372" name="Picture 37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90797A">
            <w:pPr>
              <w:pStyle w:val="PullOutBoxHeading"/>
              <w:rPr>
                <w:b/>
              </w:rPr>
            </w:pPr>
            <w:r w:rsidRPr="00E758BA">
              <w:rPr>
                <w:b/>
              </w:rPr>
              <w:t>Name of proposal:</w:t>
            </w:r>
          </w:p>
        </w:tc>
        <w:tc>
          <w:tcPr>
            <w:tcW w:w="3191" w:type="pct"/>
          </w:tcPr>
          <w:p w:rsidR="00420CF4" w:rsidRPr="00E758BA" w:rsidRDefault="00465E8D" w:rsidP="0090797A">
            <w:pPr>
              <w:pStyle w:val="PullOutBoxHeading"/>
              <w:rPr>
                <w:b/>
              </w:rPr>
            </w:pPr>
            <w:r w:rsidRPr="00E758BA">
              <w:rPr>
                <w:b/>
              </w:rPr>
              <w:t>Removing the Private Health Insurance Rebate for Natural Therapies</w:t>
            </w:r>
          </w:p>
        </w:tc>
      </w:tr>
      <w:tr w:rsidR="00420CF4" w:rsidRPr="00B45F94" w:rsidTr="00967BCD">
        <w:tc>
          <w:tcPr>
            <w:tcW w:w="1809" w:type="pct"/>
          </w:tcPr>
          <w:p w:rsidR="00420CF4" w:rsidRPr="00B45F94" w:rsidRDefault="00420CF4" w:rsidP="0090797A">
            <w:pPr>
              <w:pStyle w:val="PullOutBoxBodyText"/>
            </w:pPr>
            <w:r w:rsidRPr="00B45F94">
              <w:t>Summary of proposal:</w:t>
            </w:r>
          </w:p>
        </w:tc>
        <w:tc>
          <w:tcPr>
            <w:tcW w:w="3191" w:type="pct"/>
          </w:tcPr>
          <w:p w:rsidR="00465E8D" w:rsidRDefault="00465E8D" w:rsidP="0090797A">
            <w:pPr>
              <w:pStyle w:val="PullOutBoxBodyText"/>
            </w:pPr>
            <w:r>
              <w:t>This proposal would remove the Private Health Insurance (PHI) rebate for natural therapies.</w:t>
            </w:r>
          </w:p>
          <w:p w:rsidR="00420CF4" w:rsidRPr="00B45F94" w:rsidRDefault="00465E8D" w:rsidP="0090797A">
            <w:pPr>
              <w:pStyle w:val="PullOutBoxBodyText"/>
            </w:pPr>
            <w:r>
              <w:t>This proposal would have effect from 1 July 2017.</w:t>
            </w:r>
          </w:p>
        </w:tc>
      </w:tr>
      <w:tr w:rsidR="00420CF4" w:rsidRPr="00B45F94" w:rsidTr="00967BCD">
        <w:tc>
          <w:tcPr>
            <w:tcW w:w="1809" w:type="pct"/>
          </w:tcPr>
          <w:p w:rsidR="00420CF4" w:rsidRPr="00B45F94" w:rsidRDefault="00420CF4" w:rsidP="0090797A">
            <w:pPr>
              <w:pStyle w:val="PullOutBoxBodyText"/>
            </w:pPr>
            <w:r>
              <w:t>Party:</w:t>
            </w:r>
          </w:p>
        </w:tc>
        <w:tc>
          <w:tcPr>
            <w:tcW w:w="3191" w:type="pct"/>
          </w:tcPr>
          <w:p w:rsidR="00420CF4" w:rsidRPr="00B45F94" w:rsidRDefault="00420CF4" w:rsidP="0090797A">
            <w:pPr>
              <w:pStyle w:val="PullOutBoxBodyText"/>
            </w:pPr>
            <w:r>
              <w:t>Australian Labor Party</w:t>
            </w:r>
          </w:p>
        </w:tc>
      </w:tr>
      <w:tr w:rsidR="00420CF4" w:rsidRPr="00B45F94" w:rsidTr="00967BCD">
        <w:tc>
          <w:tcPr>
            <w:tcW w:w="1809" w:type="pct"/>
          </w:tcPr>
          <w:p w:rsidR="00420CF4" w:rsidRPr="00B45F94" w:rsidRDefault="00420CF4" w:rsidP="0090797A">
            <w:pPr>
              <w:pStyle w:val="PullOutBoxBodyText"/>
            </w:pPr>
            <w:r w:rsidRPr="00B45F94">
              <w:t>Expiry date for the costing:</w:t>
            </w:r>
          </w:p>
        </w:tc>
        <w:tc>
          <w:tcPr>
            <w:tcW w:w="3191" w:type="pct"/>
          </w:tcPr>
          <w:p w:rsidR="00420CF4" w:rsidRPr="00B45F94" w:rsidRDefault="00EC102A" w:rsidP="0090797A">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65E8D" w:rsidRPr="00465E8D" w:rsidRDefault="00465E8D" w:rsidP="00465E8D">
      <w:pPr>
        <w:pStyle w:val="BodyText"/>
      </w:pPr>
      <w:r w:rsidRPr="00465E8D">
        <w:t>This proposal would be expected to increase the fiscal balance by $180.8 million and the underlying cash balance by $174.7 million over the 2016</w:t>
      </w:r>
      <w:r>
        <w:noBreakHyphen/>
      </w:r>
      <w:r w:rsidRPr="00465E8D">
        <w:t>17 Budget forward estimates period.  This impact is entirely due to a decrease in PHI rebate</w:t>
      </w:r>
      <w:r>
        <w:t xml:space="preserve"> expenditure.</w:t>
      </w:r>
    </w:p>
    <w:p w:rsidR="00465E8D" w:rsidRPr="00465E8D" w:rsidRDefault="00465E8D" w:rsidP="00465E8D">
      <w:pPr>
        <w:pStyle w:val="BodyText"/>
      </w:pPr>
      <w:r w:rsidRPr="00465E8D">
        <w:t>The difference between the fiscal and underlying cash balances is due to the timing of the component of the PHI rebate paid after indiv</w:t>
      </w:r>
      <w:r>
        <w:t>iduals file their tax returns.</w:t>
      </w:r>
    </w:p>
    <w:p w:rsidR="00465E8D" w:rsidRPr="00465E8D" w:rsidRDefault="00465E8D" w:rsidP="00465E8D">
      <w:pPr>
        <w:pStyle w:val="BodyText"/>
      </w:pPr>
      <w:r w:rsidRPr="00465E8D">
        <w:t>It is not anticipated that the proposal would have a material impact on departmental expenses based on other changes with a similar level of administrative complexity.</w:t>
      </w:r>
    </w:p>
    <w:p w:rsidR="00465E8D" w:rsidRPr="00465E8D" w:rsidRDefault="00465E8D" w:rsidP="00465E8D">
      <w:pPr>
        <w:pStyle w:val="BodyText"/>
      </w:pPr>
      <w:r w:rsidRPr="00465E8D">
        <w:t>The proposal would have an ongoing impact beyond the 2016</w:t>
      </w:r>
      <w:r>
        <w:noBreakHyphen/>
      </w:r>
      <w:r w:rsidRPr="00465E8D">
        <w:t>17 Bu</w:t>
      </w:r>
      <w:r>
        <w:t>dget forward estimates period.</w:t>
      </w:r>
    </w:p>
    <w:p w:rsidR="00465E8D" w:rsidRPr="00465E8D" w:rsidRDefault="00465E8D" w:rsidP="00465E8D">
      <w:pPr>
        <w:pStyle w:val="BodyText"/>
      </w:pPr>
      <w:r w:rsidRPr="00465E8D">
        <w:t>This costing is considered to be of low reliability as the estimates would be sensitive to the behavioural responses by individuals and private health insur</w:t>
      </w:r>
      <w:r>
        <w:t>ers affected by this proposal.</w:t>
      </w:r>
    </w:p>
    <w:p w:rsidR="00420CF4" w:rsidRDefault="00420CF4" w:rsidP="008A35EA">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8A35EA">
            <w:pPr>
              <w:pStyle w:val="TableHeading"/>
            </w:pPr>
            <w:r>
              <w:t>Impact on</w:t>
            </w:r>
            <w:r w:rsidR="00465E8D">
              <w:t xml:space="preserve"> ($m)</w:t>
            </w:r>
          </w:p>
        </w:tc>
        <w:tc>
          <w:tcPr>
            <w:tcW w:w="721" w:type="pct"/>
          </w:tcPr>
          <w:p w:rsidR="00420CF4" w:rsidRPr="00FC1F1C" w:rsidRDefault="00420CF4" w:rsidP="008A35EA">
            <w:pPr>
              <w:pStyle w:val="TableHeadingRight"/>
            </w:pPr>
            <w:r>
              <w:t>2016–17</w:t>
            </w:r>
          </w:p>
        </w:tc>
        <w:tc>
          <w:tcPr>
            <w:tcW w:w="721" w:type="pct"/>
          </w:tcPr>
          <w:p w:rsidR="00420CF4" w:rsidRPr="00FC1F1C" w:rsidRDefault="00420CF4" w:rsidP="008A35EA">
            <w:pPr>
              <w:pStyle w:val="TableHeadingRight"/>
            </w:pPr>
            <w:r>
              <w:t>2017–18</w:t>
            </w:r>
          </w:p>
        </w:tc>
        <w:tc>
          <w:tcPr>
            <w:tcW w:w="722" w:type="pct"/>
          </w:tcPr>
          <w:p w:rsidR="00420CF4" w:rsidRPr="00FC1F1C" w:rsidRDefault="00420CF4" w:rsidP="008A35EA">
            <w:pPr>
              <w:pStyle w:val="TableHeadingRight"/>
            </w:pPr>
            <w:r>
              <w:t>2018–19</w:t>
            </w:r>
          </w:p>
        </w:tc>
        <w:tc>
          <w:tcPr>
            <w:tcW w:w="721" w:type="pct"/>
          </w:tcPr>
          <w:p w:rsidR="00420CF4" w:rsidRPr="00FC1F1C" w:rsidRDefault="00420CF4" w:rsidP="008A35EA">
            <w:pPr>
              <w:pStyle w:val="TableHeadingRight"/>
            </w:pPr>
            <w:r>
              <w:t>2019–20</w:t>
            </w:r>
          </w:p>
        </w:tc>
        <w:tc>
          <w:tcPr>
            <w:tcW w:w="722" w:type="pct"/>
          </w:tcPr>
          <w:p w:rsidR="00420CF4" w:rsidRDefault="00420CF4" w:rsidP="008A35EA">
            <w:pPr>
              <w:pStyle w:val="TableTextRight"/>
              <w:keepNext/>
              <w:keepLines/>
            </w:pPr>
            <w:r>
              <w:t>Total</w:t>
            </w:r>
          </w:p>
        </w:tc>
      </w:tr>
      <w:tr w:rsidR="00465E8D" w:rsidTr="00967BCD">
        <w:tc>
          <w:tcPr>
            <w:tcW w:w="1393" w:type="pct"/>
          </w:tcPr>
          <w:p w:rsidR="00465E8D" w:rsidRDefault="00465E8D" w:rsidP="008A35EA">
            <w:pPr>
              <w:pStyle w:val="TableText"/>
              <w:keepNext/>
              <w:keepLines/>
            </w:pPr>
            <w:r>
              <w:t>Fiscal balance</w:t>
            </w:r>
          </w:p>
        </w:tc>
        <w:tc>
          <w:tcPr>
            <w:tcW w:w="721" w:type="pct"/>
          </w:tcPr>
          <w:p w:rsidR="00465E8D" w:rsidRPr="00B735EC" w:rsidRDefault="00465E8D" w:rsidP="008A35EA">
            <w:pPr>
              <w:pStyle w:val="TableTextRight"/>
              <w:keepNext/>
              <w:keepLines/>
            </w:pPr>
            <w:r>
              <w:t>-</w:t>
            </w:r>
          </w:p>
        </w:tc>
        <w:tc>
          <w:tcPr>
            <w:tcW w:w="721" w:type="pct"/>
          </w:tcPr>
          <w:p w:rsidR="00465E8D" w:rsidRPr="00B735EC" w:rsidRDefault="00465E8D" w:rsidP="008A35EA">
            <w:pPr>
              <w:pStyle w:val="TableTextRight"/>
              <w:keepNext/>
              <w:keepLines/>
            </w:pPr>
            <w:r w:rsidRPr="00B735EC">
              <w:t>58.4</w:t>
            </w:r>
          </w:p>
        </w:tc>
        <w:tc>
          <w:tcPr>
            <w:tcW w:w="722" w:type="pct"/>
          </w:tcPr>
          <w:p w:rsidR="00465E8D" w:rsidRPr="00B735EC" w:rsidRDefault="00465E8D" w:rsidP="008A35EA">
            <w:pPr>
              <w:pStyle w:val="TableTextRight"/>
              <w:keepNext/>
              <w:keepLines/>
            </w:pPr>
            <w:r w:rsidRPr="00B735EC">
              <w:t>61.2</w:t>
            </w:r>
          </w:p>
        </w:tc>
        <w:tc>
          <w:tcPr>
            <w:tcW w:w="721" w:type="pct"/>
          </w:tcPr>
          <w:p w:rsidR="00465E8D" w:rsidRPr="00B735EC" w:rsidRDefault="00465E8D" w:rsidP="008A35EA">
            <w:pPr>
              <w:pStyle w:val="TableTextRight"/>
              <w:keepNext/>
              <w:keepLines/>
            </w:pPr>
            <w:r w:rsidRPr="00B735EC">
              <w:t>61.1</w:t>
            </w:r>
          </w:p>
        </w:tc>
        <w:tc>
          <w:tcPr>
            <w:tcW w:w="722" w:type="pct"/>
          </w:tcPr>
          <w:p w:rsidR="00465E8D" w:rsidRPr="007C3C15" w:rsidRDefault="00465E8D" w:rsidP="008A35EA">
            <w:pPr>
              <w:pStyle w:val="TableTextRight"/>
              <w:keepNext/>
              <w:keepLines/>
              <w:rPr>
                <w:b/>
              </w:rPr>
            </w:pPr>
            <w:r w:rsidRPr="007C3C15">
              <w:rPr>
                <w:b/>
              </w:rPr>
              <w:t>180.8</w:t>
            </w:r>
          </w:p>
        </w:tc>
      </w:tr>
      <w:tr w:rsidR="00465E8D" w:rsidTr="00967BCD">
        <w:tc>
          <w:tcPr>
            <w:tcW w:w="1393" w:type="pct"/>
          </w:tcPr>
          <w:p w:rsidR="00465E8D" w:rsidRDefault="00465E8D" w:rsidP="008A35EA">
            <w:pPr>
              <w:pStyle w:val="TableText"/>
              <w:keepNext/>
              <w:keepLines/>
            </w:pPr>
            <w:r>
              <w:t>Underlying cash balance</w:t>
            </w:r>
          </w:p>
        </w:tc>
        <w:tc>
          <w:tcPr>
            <w:tcW w:w="721" w:type="pct"/>
          </w:tcPr>
          <w:p w:rsidR="00465E8D" w:rsidRPr="00B735EC" w:rsidRDefault="00465E8D" w:rsidP="008A35EA">
            <w:pPr>
              <w:pStyle w:val="TableTextRight"/>
              <w:keepNext/>
              <w:keepLines/>
            </w:pPr>
            <w:r>
              <w:t>-</w:t>
            </w:r>
          </w:p>
        </w:tc>
        <w:tc>
          <w:tcPr>
            <w:tcW w:w="721" w:type="pct"/>
          </w:tcPr>
          <w:p w:rsidR="00465E8D" w:rsidRPr="00B735EC" w:rsidRDefault="00465E8D" w:rsidP="008A35EA">
            <w:pPr>
              <w:pStyle w:val="TableTextRight"/>
              <w:keepNext/>
              <w:keepLines/>
            </w:pPr>
            <w:r w:rsidRPr="00B735EC">
              <w:t>52.6</w:t>
            </w:r>
          </w:p>
        </w:tc>
        <w:tc>
          <w:tcPr>
            <w:tcW w:w="722" w:type="pct"/>
          </w:tcPr>
          <w:p w:rsidR="00465E8D" w:rsidRPr="00B735EC" w:rsidRDefault="00465E8D" w:rsidP="008A35EA">
            <w:pPr>
              <w:pStyle w:val="TableTextRight"/>
              <w:keepNext/>
              <w:keepLines/>
            </w:pPr>
            <w:r w:rsidRPr="00B735EC">
              <w:t>60.9</w:t>
            </w:r>
          </w:p>
        </w:tc>
        <w:tc>
          <w:tcPr>
            <w:tcW w:w="721" w:type="pct"/>
          </w:tcPr>
          <w:p w:rsidR="00465E8D" w:rsidRPr="00B735EC" w:rsidRDefault="00465E8D" w:rsidP="008A35EA">
            <w:pPr>
              <w:pStyle w:val="TableTextRight"/>
              <w:keepNext/>
              <w:keepLines/>
            </w:pPr>
            <w:r w:rsidRPr="00B735EC">
              <w:t>61.1</w:t>
            </w:r>
          </w:p>
        </w:tc>
        <w:tc>
          <w:tcPr>
            <w:tcW w:w="722" w:type="pct"/>
          </w:tcPr>
          <w:p w:rsidR="00465E8D" w:rsidRPr="007C3C15" w:rsidRDefault="00465E8D" w:rsidP="008A35EA">
            <w:pPr>
              <w:pStyle w:val="TableTextRight"/>
              <w:keepNext/>
              <w:keepLines/>
              <w:rPr>
                <w:b/>
              </w:rPr>
            </w:pPr>
            <w:r w:rsidRPr="007C3C15">
              <w:rPr>
                <w:b/>
              </w:rPr>
              <w:t>174.7</w:t>
            </w:r>
          </w:p>
        </w:tc>
      </w:tr>
    </w:tbl>
    <w:p w:rsidR="00420CF4" w:rsidRDefault="00420CF4" w:rsidP="008A35EA">
      <w:pPr>
        <w:pStyle w:val="Footnotes"/>
        <w:keepNext/>
        <w:keepLines/>
        <w:numPr>
          <w:ilvl w:val="0"/>
          <w:numId w:val="50"/>
        </w:numPr>
        <w:ind w:left="284" w:hanging="284"/>
      </w:pPr>
      <w:r>
        <w:t xml:space="preserve">A positive </w:t>
      </w:r>
      <w:r w:rsidRPr="00FC1F1C">
        <w:t>number indicates an increase in the relevant budget balance, a negative number a decrease.</w:t>
      </w:r>
    </w:p>
    <w:p w:rsidR="00420CF4" w:rsidRDefault="00420CF4" w:rsidP="003768DC">
      <w:pPr>
        <w:pStyle w:val="Footnotes"/>
        <w:numPr>
          <w:ilvl w:val="0"/>
          <w:numId w:val="14"/>
        </w:numPr>
        <w:ind w:left="284" w:hanging="284"/>
      </w:pPr>
      <w:r w:rsidRPr="000E063A">
        <w:t>Figures may not sum to totals due to rounding.</w:t>
      </w:r>
    </w:p>
    <w:p w:rsidR="00D14973" w:rsidRPr="000E063A" w:rsidRDefault="00D14973" w:rsidP="00ED1D90">
      <w:pPr>
        <w:pStyle w:val="Footnotes"/>
        <w:numPr>
          <w:ilvl w:val="0"/>
          <w:numId w:val="0"/>
        </w:numPr>
        <w:rPr>
          <w:rStyle w:val="FootnoteReference"/>
          <w:rFonts w:cs="Times New Roman"/>
          <w:szCs w:val="22"/>
          <w:vertAlign w:val="baseline"/>
        </w:rPr>
      </w:pPr>
      <w:r>
        <w:t xml:space="preserve">- Indicates nil. </w:t>
      </w:r>
    </w:p>
    <w:p w:rsidR="00420CF4" w:rsidRDefault="00420CF4" w:rsidP="00420CF4">
      <w:pPr>
        <w:pStyle w:val="CostingsH7"/>
      </w:pPr>
      <w:r>
        <w:t>Key assumptions</w:t>
      </w:r>
    </w:p>
    <w:p w:rsidR="00465E8D" w:rsidRPr="00465E8D" w:rsidRDefault="00465E8D" w:rsidP="00465E8D">
      <w:pPr>
        <w:pStyle w:val="BodyText"/>
      </w:pPr>
      <w:r w:rsidRPr="00465E8D">
        <w:t>It is assumed that the proposal would result in minimal substitution from natural therapies to other services that remain eligible for the PHI rebate.</w:t>
      </w:r>
    </w:p>
    <w:p w:rsidR="00420CF4" w:rsidRDefault="00420CF4" w:rsidP="00420CF4">
      <w:pPr>
        <w:pStyle w:val="CostingsH7"/>
      </w:pPr>
      <w:r>
        <w:t>Methodology</w:t>
      </w:r>
    </w:p>
    <w:p w:rsidR="00465E8D" w:rsidRPr="00465E8D" w:rsidRDefault="00465E8D" w:rsidP="00465E8D">
      <w:pPr>
        <w:pStyle w:val="BodyText"/>
      </w:pPr>
      <w:r w:rsidRPr="00465E8D">
        <w:t>The natural therapies component of PHI premiums was estimated using PHI statistics published by the Australian Prudential Regulation Authority (APRA).  The financial implications over the forward estimates period were derived by applying the estimated percentage of PHI premiums attributable to natural therapies to PHI rebate expense estim</w:t>
      </w:r>
      <w:r>
        <w:t>ates as at the 2016-17 Budget.</w:t>
      </w:r>
    </w:p>
    <w:p w:rsidR="00420CF4" w:rsidRDefault="00420CF4" w:rsidP="00420CF4">
      <w:pPr>
        <w:pStyle w:val="CostingsH7"/>
      </w:pPr>
      <w:r>
        <w:t>Data sources</w:t>
      </w:r>
    </w:p>
    <w:p w:rsidR="00465E8D" w:rsidRPr="00097567" w:rsidRDefault="00465E8D" w:rsidP="00465E8D">
      <w:pPr>
        <w:pStyle w:val="ListBullet"/>
      </w:pPr>
      <w:r w:rsidRPr="00097567">
        <w:t>A</w:t>
      </w:r>
      <w:r w:rsidR="006D3B74" w:rsidRPr="00097567">
        <w:t xml:space="preserve">ustralian </w:t>
      </w:r>
      <w:r w:rsidRPr="00097567">
        <w:t>P</w:t>
      </w:r>
      <w:r w:rsidR="006D3B74" w:rsidRPr="00097567">
        <w:t xml:space="preserve">rudential </w:t>
      </w:r>
      <w:r w:rsidRPr="00097567">
        <w:t>R</w:t>
      </w:r>
      <w:r w:rsidR="006D3B74" w:rsidRPr="00097567">
        <w:t xml:space="preserve">egulation </w:t>
      </w:r>
      <w:r w:rsidRPr="00097567">
        <w:t>A</w:t>
      </w:r>
      <w:r w:rsidR="006D3B74" w:rsidRPr="00097567">
        <w:t xml:space="preserve">uthority, </w:t>
      </w:r>
      <w:r w:rsidRPr="00097567">
        <w:t xml:space="preserve"> </w:t>
      </w:r>
      <w:r w:rsidRPr="00097567">
        <w:rPr>
          <w:i/>
        </w:rPr>
        <w:t>Private Health Insurance Quarterly Statistics</w:t>
      </w:r>
      <w:r w:rsidR="006D3B74" w:rsidRPr="00097567">
        <w:t>, APRA</w:t>
      </w:r>
      <w:r w:rsidRPr="00097567">
        <w:t>.</w:t>
      </w:r>
    </w:p>
    <w:p w:rsidR="00420CF4" w:rsidRDefault="006D3B74" w:rsidP="00420CF4">
      <w:pPr>
        <w:pStyle w:val="ListBullet"/>
      </w:pPr>
      <w:r>
        <w:t xml:space="preserve">The </w:t>
      </w:r>
      <w:r w:rsidR="00465E8D" w:rsidRPr="001E185D">
        <w:t xml:space="preserve">Department of Health </w:t>
      </w:r>
      <w:r>
        <w:t>provided e</w:t>
      </w:r>
      <w:r w:rsidR="00465E8D" w:rsidRPr="001E185D">
        <w:t>stimates of PHI rebate expenditure at the 2016</w:t>
      </w:r>
      <w:r w:rsidR="00465E8D" w:rsidRPr="001E185D">
        <w:noBreakHyphen/>
        <w:t>17 Budget</w:t>
      </w:r>
      <w:r w:rsidR="00465E8D">
        <w:t>.</w:t>
      </w:r>
    </w:p>
    <w:p w:rsidR="008A35EA" w:rsidRPr="00951305" w:rsidRDefault="008A35EA" w:rsidP="008A35EA">
      <w:pPr>
        <w:pStyle w:val="BodyText"/>
      </w:pPr>
    </w:p>
    <w:p w:rsidR="00420CF4" w:rsidRDefault="00420CF4" w:rsidP="008A35EA">
      <w:pPr>
        <w:pStyle w:val="BodyText"/>
        <w:sectPr w:rsidR="00420CF4" w:rsidSect="008A35EA">
          <w:headerReference w:type="even" r:id="rId62"/>
          <w:headerReference w:type="default" r:id="rId63"/>
          <w:footerReference w:type="even" r:id="rId64"/>
          <w:footerReference w:type="default" r:id="rId65"/>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6" w:name="_Toc458081646"/>
      <w:r>
        <w:t>ALP022: Return uncommitted funding in the Confiscated Assets Account to the Budget</w:t>
      </w:r>
      <w:bookmarkEnd w:id="26"/>
    </w:p>
    <w:p w:rsidR="00745988" w:rsidRDefault="00745988" w:rsidP="00745988">
      <w:pPr>
        <w:pStyle w:val="BodyText"/>
      </w:pPr>
      <w:r>
        <w:rPr>
          <w:noProof/>
          <w:lang w:eastAsia="en-AU"/>
        </w:rPr>
        <w:drawing>
          <wp:inline distT="0" distB="0" distL="0" distR="0" wp14:anchorId="17E75730" wp14:editId="2108921F">
            <wp:extent cx="2696845" cy="572135"/>
            <wp:effectExtent l="0" t="0" r="8255" b="0"/>
            <wp:docPr id="371" name="Picture 37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CE2C1D" w:rsidP="004F4C2E">
            <w:pPr>
              <w:pStyle w:val="PullOutBoxHeading"/>
              <w:rPr>
                <w:b/>
              </w:rPr>
            </w:pPr>
            <w:r w:rsidRPr="00E758BA">
              <w:rPr>
                <w:b/>
              </w:rPr>
              <w:t>Return uncommitted funding in the Confiscated Assets Account to the Budget</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CE2C1D" w:rsidRDefault="00CE2C1D" w:rsidP="004F4C2E">
            <w:pPr>
              <w:pStyle w:val="PullOutBoxBodyText"/>
            </w:pPr>
            <w:r>
              <w:t>The proposal would return to the Budget all funding in the Confiscated Assets Account (CAA) other than contractually committed amounts and those used to fund ongoing activities of the Australian Crime Commission and the Australian Federal Police.</w:t>
            </w:r>
          </w:p>
          <w:p w:rsidR="00420CF4" w:rsidRPr="00B45F94" w:rsidRDefault="00CE2C1D" w:rsidP="004F4C2E">
            <w:pPr>
              <w:pStyle w:val="PullOutBoxBodyText"/>
            </w:pPr>
            <w:r>
              <w:t>The proposal would commence on 1 January 2017.</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420CF4" w:rsidRPr="00B45F94" w:rsidTr="00967BCD">
        <w:tc>
          <w:tcPr>
            <w:tcW w:w="1809" w:type="pct"/>
          </w:tcPr>
          <w:p w:rsidR="00420CF4" w:rsidRPr="00B45F94" w:rsidRDefault="00420CF4" w:rsidP="004F4C2E">
            <w:pPr>
              <w:pStyle w:val="PullOutBoxBodyText"/>
            </w:pPr>
            <w:r w:rsidRPr="00B45F94">
              <w:t>Expiry date for the costing:</w:t>
            </w:r>
          </w:p>
        </w:tc>
        <w:tc>
          <w:tcPr>
            <w:tcW w:w="3191" w:type="pct"/>
          </w:tcPr>
          <w:p w:rsidR="00420CF4"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CE2C1D" w:rsidRPr="00CE2C1D" w:rsidRDefault="00CE2C1D" w:rsidP="00CE2C1D">
      <w:pPr>
        <w:pStyle w:val="BodyText"/>
      </w:pPr>
      <w:r w:rsidRPr="00CE2C1D">
        <w:t xml:space="preserve">The CAA was established on 1 January 2003 and is funded through the proceeds from property confiscated under the </w:t>
      </w:r>
      <w:r w:rsidRPr="00CE2C1D">
        <w:rPr>
          <w:i/>
        </w:rPr>
        <w:t>Customs Act 1901</w:t>
      </w:r>
      <w:r w:rsidRPr="00CE2C1D">
        <w:t xml:space="preserve"> and the </w:t>
      </w:r>
      <w:r w:rsidRPr="00CE2C1D">
        <w:rPr>
          <w:i/>
        </w:rPr>
        <w:t>Proceeds of Crime Act 2002</w:t>
      </w:r>
      <w:r w:rsidRPr="00CE2C1D">
        <w:t>, including any interest earned.  Funds held in the CAA are available for programs, subject to ministerial approval, for crime prevention, law enforcement and treatment for drug addiction.</w:t>
      </w:r>
    </w:p>
    <w:p w:rsidR="00CE2C1D" w:rsidRPr="00CE2C1D" w:rsidRDefault="00CE2C1D" w:rsidP="00CE2C1D">
      <w:pPr>
        <w:pStyle w:val="BodyText"/>
      </w:pPr>
      <w:r w:rsidRPr="00CE2C1D">
        <w:t>This proposal would be expected to increase the fiscal and underlying cash balances by $14</w:t>
      </w:r>
      <w:r>
        <w:t> </w:t>
      </w:r>
      <w:r w:rsidRPr="00CE2C1D">
        <w:t xml:space="preserve">million over the 2016-17 Budget forward estimates period.  This is entirely due to a reduction in administered expenditure.  The proposal would not be expected to impact departmental costs as ongoing functions and programs would continue to </w:t>
      </w:r>
      <w:r>
        <w:t>be funded from the CAA.</w:t>
      </w:r>
    </w:p>
    <w:p w:rsidR="00CE2C1D" w:rsidRPr="00CE2C1D" w:rsidRDefault="00CE2C1D" w:rsidP="00CE2C1D">
      <w:pPr>
        <w:pStyle w:val="BodyText"/>
      </w:pPr>
      <w:r w:rsidRPr="00CE2C1D">
        <w:t>This proposal would have an ongoing i</w:t>
      </w:r>
      <w:r>
        <w:t>mpact extending beyond the 2016</w:t>
      </w:r>
      <w:r>
        <w:noBreakHyphen/>
      </w:r>
      <w:r w:rsidRPr="00CE2C1D">
        <w:t>17 Budget forward estimates period.</w:t>
      </w:r>
    </w:p>
    <w:p w:rsidR="005924FA" w:rsidRDefault="00CE2C1D" w:rsidP="00CE2C1D">
      <w:pPr>
        <w:pStyle w:val="BodyText"/>
      </w:pPr>
      <w:r w:rsidRPr="00CE2C1D">
        <w:t>This costing is considered to be of medium reliability as it is based on an assumption of a fixed share of receipts into the CAA being uncommitted.</w:t>
      </w:r>
    </w:p>
    <w:p w:rsidR="00420CF4" w:rsidRDefault="00420CF4" w:rsidP="0077181D">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77181D">
            <w:pPr>
              <w:pStyle w:val="TableHeading"/>
            </w:pPr>
            <w:r>
              <w:t>Impact on</w:t>
            </w:r>
            <w:r w:rsidR="00FC72D4">
              <w:t xml:space="preserve"> ($m)</w:t>
            </w:r>
          </w:p>
        </w:tc>
        <w:tc>
          <w:tcPr>
            <w:tcW w:w="721" w:type="pct"/>
          </w:tcPr>
          <w:p w:rsidR="00420CF4" w:rsidRPr="00FC1F1C" w:rsidRDefault="00420CF4" w:rsidP="0077181D">
            <w:pPr>
              <w:pStyle w:val="TableHeadingRight"/>
            </w:pPr>
            <w:r>
              <w:t>2016–17</w:t>
            </w:r>
          </w:p>
        </w:tc>
        <w:tc>
          <w:tcPr>
            <w:tcW w:w="721" w:type="pct"/>
          </w:tcPr>
          <w:p w:rsidR="00420CF4" w:rsidRPr="00FC1F1C" w:rsidRDefault="00420CF4" w:rsidP="0077181D">
            <w:pPr>
              <w:pStyle w:val="TableHeadingRight"/>
            </w:pPr>
            <w:r>
              <w:t>2017–18</w:t>
            </w:r>
          </w:p>
        </w:tc>
        <w:tc>
          <w:tcPr>
            <w:tcW w:w="722" w:type="pct"/>
          </w:tcPr>
          <w:p w:rsidR="00420CF4" w:rsidRPr="00FC1F1C" w:rsidRDefault="00420CF4" w:rsidP="0077181D">
            <w:pPr>
              <w:pStyle w:val="TableHeadingRight"/>
            </w:pPr>
            <w:r>
              <w:t>2018–19</w:t>
            </w:r>
          </w:p>
        </w:tc>
        <w:tc>
          <w:tcPr>
            <w:tcW w:w="721" w:type="pct"/>
          </w:tcPr>
          <w:p w:rsidR="00420CF4" w:rsidRPr="00FC1F1C" w:rsidRDefault="00420CF4" w:rsidP="0077181D">
            <w:pPr>
              <w:pStyle w:val="TableHeadingRight"/>
            </w:pPr>
            <w:r>
              <w:t>2019–20</w:t>
            </w:r>
          </w:p>
        </w:tc>
        <w:tc>
          <w:tcPr>
            <w:tcW w:w="722" w:type="pct"/>
          </w:tcPr>
          <w:p w:rsidR="00420CF4" w:rsidRDefault="00420CF4" w:rsidP="0077181D">
            <w:pPr>
              <w:pStyle w:val="TableTextRight"/>
              <w:keepNext/>
              <w:keepLines/>
            </w:pPr>
            <w:r>
              <w:t>Total</w:t>
            </w:r>
          </w:p>
        </w:tc>
      </w:tr>
      <w:tr w:rsidR="00E7625F" w:rsidTr="00967BCD">
        <w:tc>
          <w:tcPr>
            <w:tcW w:w="1393" w:type="pct"/>
          </w:tcPr>
          <w:p w:rsidR="00E7625F" w:rsidRDefault="00E7625F" w:rsidP="0077181D">
            <w:pPr>
              <w:pStyle w:val="TableText"/>
              <w:keepNext/>
              <w:keepLines/>
            </w:pPr>
            <w:r>
              <w:t>Fiscal balance</w:t>
            </w:r>
          </w:p>
        </w:tc>
        <w:tc>
          <w:tcPr>
            <w:tcW w:w="721" w:type="pct"/>
          </w:tcPr>
          <w:p w:rsidR="00E7625F" w:rsidRPr="00E7625F" w:rsidRDefault="00E7625F" w:rsidP="0077181D">
            <w:pPr>
              <w:pStyle w:val="TableTextRight"/>
              <w:keepNext/>
              <w:keepLines/>
            </w:pPr>
            <w:r w:rsidRPr="00E7625F">
              <w:t>-</w:t>
            </w:r>
          </w:p>
        </w:tc>
        <w:tc>
          <w:tcPr>
            <w:tcW w:w="721" w:type="pct"/>
          </w:tcPr>
          <w:p w:rsidR="00E7625F" w:rsidRPr="00E7625F" w:rsidRDefault="00E7625F" w:rsidP="0077181D">
            <w:pPr>
              <w:pStyle w:val="TableTextRight"/>
              <w:keepNext/>
              <w:keepLines/>
            </w:pPr>
            <w:r>
              <w:t>4.5</w:t>
            </w:r>
          </w:p>
        </w:tc>
        <w:tc>
          <w:tcPr>
            <w:tcW w:w="722" w:type="pct"/>
          </w:tcPr>
          <w:p w:rsidR="00E7625F" w:rsidRPr="00E7625F" w:rsidRDefault="00E7625F" w:rsidP="0077181D">
            <w:pPr>
              <w:pStyle w:val="TableTextRight"/>
              <w:keepNext/>
              <w:keepLines/>
            </w:pPr>
            <w:r>
              <w:t>4.7</w:t>
            </w:r>
          </w:p>
        </w:tc>
        <w:tc>
          <w:tcPr>
            <w:tcW w:w="721" w:type="pct"/>
          </w:tcPr>
          <w:p w:rsidR="00E7625F" w:rsidRPr="00E7625F" w:rsidRDefault="00E7625F" w:rsidP="0077181D">
            <w:pPr>
              <w:pStyle w:val="TableTextRight"/>
              <w:keepNext/>
              <w:keepLines/>
            </w:pPr>
            <w:r>
              <w:t>4.9</w:t>
            </w:r>
          </w:p>
        </w:tc>
        <w:tc>
          <w:tcPr>
            <w:tcW w:w="722" w:type="pct"/>
          </w:tcPr>
          <w:p w:rsidR="00E7625F" w:rsidRPr="00ED1D90" w:rsidRDefault="00E7625F" w:rsidP="0077181D">
            <w:pPr>
              <w:pStyle w:val="TableTextRight"/>
              <w:keepNext/>
              <w:keepLines/>
              <w:rPr>
                <w:b/>
              </w:rPr>
            </w:pPr>
            <w:r w:rsidRPr="00ED1D90">
              <w:rPr>
                <w:b/>
              </w:rPr>
              <w:t>14.0</w:t>
            </w:r>
          </w:p>
        </w:tc>
      </w:tr>
      <w:tr w:rsidR="00E7625F" w:rsidTr="00967BCD">
        <w:tc>
          <w:tcPr>
            <w:tcW w:w="1393" w:type="pct"/>
          </w:tcPr>
          <w:p w:rsidR="00E7625F" w:rsidRDefault="00E7625F" w:rsidP="0077181D">
            <w:pPr>
              <w:pStyle w:val="TableText"/>
              <w:keepNext/>
              <w:keepLines/>
            </w:pPr>
            <w:r>
              <w:t>Underlying cash balance</w:t>
            </w:r>
          </w:p>
        </w:tc>
        <w:tc>
          <w:tcPr>
            <w:tcW w:w="721" w:type="pct"/>
          </w:tcPr>
          <w:p w:rsidR="00E7625F" w:rsidRPr="00E7625F" w:rsidRDefault="00E7625F" w:rsidP="0077181D">
            <w:pPr>
              <w:pStyle w:val="TableTextRight"/>
              <w:keepNext/>
              <w:keepLines/>
            </w:pPr>
            <w:r w:rsidRPr="00E7625F">
              <w:t>-</w:t>
            </w:r>
          </w:p>
        </w:tc>
        <w:tc>
          <w:tcPr>
            <w:tcW w:w="721" w:type="pct"/>
          </w:tcPr>
          <w:p w:rsidR="00E7625F" w:rsidRPr="00E7625F" w:rsidRDefault="00E7625F" w:rsidP="0077181D">
            <w:pPr>
              <w:pStyle w:val="TableTextRight"/>
              <w:keepNext/>
              <w:keepLines/>
            </w:pPr>
            <w:r w:rsidRPr="00E7625F">
              <w:t>4.5</w:t>
            </w:r>
          </w:p>
        </w:tc>
        <w:tc>
          <w:tcPr>
            <w:tcW w:w="722" w:type="pct"/>
          </w:tcPr>
          <w:p w:rsidR="00E7625F" w:rsidRPr="00E7625F" w:rsidRDefault="00E7625F" w:rsidP="0077181D">
            <w:pPr>
              <w:pStyle w:val="TableTextRight"/>
              <w:keepNext/>
              <w:keepLines/>
            </w:pPr>
            <w:r w:rsidRPr="00E7625F">
              <w:t>4.7</w:t>
            </w:r>
          </w:p>
        </w:tc>
        <w:tc>
          <w:tcPr>
            <w:tcW w:w="721" w:type="pct"/>
          </w:tcPr>
          <w:p w:rsidR="00E7625F" w:rsidRPr="00E7625F" w:rsidRDefault="00E7625F" w:rsidP="0077181D">
            <w:pPr>
              <w:pStyle w:val="TableTextRight"/>
              <w:keepNext/>
              <w:keepLines/>
            </w:pPr>
            <w:r w:rsidRPr="00E7625F">
              <w:t>4.9</w:t>
            </w:r>
          </w:p>
        </w:tc>
        <w:tc>
          <w:tcPr>
            <w:tcW w:w="722" w:type="pct"/>
          </w:tcPr>
          <w:p w:rsidR="00E7625F" w:rsidRPr="00ED1D90" w:rsidRDefault="00E7625F" w:rsidP="0077181D">
            <w:pPr>
              <w:pStyle w:val="TableTextRight"/>
              <w:keepNext/>
              <w:keepLines/>
              <w:rPr>
                <w:b/>
              </w:rPr>
            </w:pPr>
            <w:r w:rsidRPr="00ED1D90">
              <w:rPr>
                <w:b/>
              </w:rPr>
              <w:t>14.0</w:t>
            </w:r>
          </w:p>
        </w:tc>
      </w:tr>
    </w:tbl>
    <w:p w:rsidR="00A924B8" w:rsidRPr="00A924B8" w:rsidRDefault="00A924B8" w:rsidP="0077181D">
      <w:pPr>
        <w:pStyle w:val="Footnotes"/>
        <w:keepNext/>
        <w:keepLines/>
        <w:numPr>
          <w:ilvl w:val="0"/>
          <w:numId w:val="91"/>
        </w:numPr>
        <w:ind w:left="284" w:hanging="284"/>
      </w:pPr>
      <w:r w:rsidRPr="00A924B8">
        <w:t xml:space="preserve">A positive number for the fiscal balance indicates a decrease in expenses in accrual terms. </w:t>
      </w:r>
      <w:r w:rsidRPr="00A924B8" w:rsidDel="0066665A">
        <w:t>A positive number for the underlying cash balance indicates a decrease in expenses in cash terms</w:t>
      </w:r>
    </w:p>
    <w:p w:rsidR="00A924B8" w:rsidRPr="00A924B8" w:rsidRDefault="00A924B8" w:rsidP="0077181D">
      <w:pPr>
        <w:pStyle w:val="Footnotes"/>
        <w:keepNext/>
        <w:keepLines/>
        <w:ind w:left="284" w:hanging="284"/>
      </w:pPr>
      <w:r w:rsidRPr="00A924B8">
        <w:t xml:space="preserve">Figures may not sum to totals due to rounding. </w:t>
      </w:r>
    </w:p>
    <w:p w:rsidR="00A924B8" w:rsidRPr="00B22049" w:rsidRDefault="00A924B8" w:rsidP="0077181D">
      <w:pPr>
        <w:pStyle w:val="Footnotes"/>
        <w:numPr>
          <w:ilvl w:val="0"/>
          <w:numId w:val="33"/>
        </w:numPr>
        <w:spacing w:before="0"/>
        <w:ind w:left="284" w:hanging="284"/>
        <w:contextualSpacing w:val="0"/>
      </w:pPr>
      <w:r>
        <w:t>Indicates nil.</w:t>
      </w:r>
    </w:p>
    <w:p w:rsidR="00420CF4" w:rsidRDefault="00420CF4" w:rsidP="00420CF4">
      <w:pPr>
        <w:pStyle w:val="CostingsH7"/>
      </w:pPr>
      <w:r>
        <w:t>Key assumptions</w:t>
      </w:r>
    </w:p>
    <w:p w:rsidR="005924FA" w:rsidRPr="005924FA" w:rsidRDefault="005924FA" w:rsidP="005924FA">
      <w:pPr>
        <w:pStyle w:val="BodyText"/>
      </w:pPr>
      <w:r w:rsidRPr="005924FA">
        <w:t>It has been assumed that beyond the 2016</w:t>
      </w:r>
      <w:r>
        <w:noBreakHyphen/>
      </w:r>
      <w:r w:rsidRPr="005924FA">
        <w:t>17 Budget forward estimates period aggregate funds flowing into the CAA grow in line with projected growth in nominal gross domestic product (GDP).  The Parliamentary Budget Office further assumes that committed funds associated with ongoing functions or programs remain a fixed share of total funds flowing into the CAA on an annual basis.</w:t>
      </w:r>
    </w:p>
    <w:p w:rsidR="00420CF4" w:rsidRDefault="00420CF4" w:rsidP="00420CF4">
      <w:pPr>
        <w:pStyle w:val="CostingsH7"/>
      </w:pPr>
      <w:r>
        <w:t>Methodology</w:t>
      </w:r>
    </w:p>
    <w:p w:rsidR="005924FA" w:rsidRPr="005924FA" w:rsidRDefault="005924FA" w:rsidP="005924FA">
      <w:pPr>
        <w:pStyle w:val="BodyText"/>
      </w:pPr>
      <w:r w:rsidRPr="005924FA">
        <w:t>In costing this proposal:</w:t>
      </w:r>
    </w:p>
    <w:p w:rsidR="005924FA" w:rsidRDefault="005924FA" w:rsidP="005924FA">
      <w:pPr>
        <w:pStyle w:val="ListBullet"/>
      </w:pPr>
      <w:r>
        <w:t>savings were estimated as the net of expected receipts into the CAA and committed expenses</w:t>
      </w:r>
    </w:p>
    <w:p w:rsidR="005924FA" w:rsidRPr="005924FA" w:rsidRDefault="005924FA" w:rsidP="005924FA">
      <w:pPr>
        <w:pStyle w:val="ListBullet"/>
      </w:pPr>
      <w:r>
        <w:t>costs associated with funding ongoing programs and functions were estimated as a fixed share of projected total funds flowing into the CAA.</w:t>
      </w:r>
    </w:p>
    <w:p w:rsidR="00420CF4" w:rsidRDefault="00420CF4" w:rsidP="00420CF4">
      <w:pPr>
        <w:pStyle w:val="CostingsH7"/>
      </w:pPr>
      <w:r>
        <w:t>Data sources</w:t>
      </w:r>
    </w:p>
    <w:p w:rsidR="00420CF4" w:rsidRDefault="005924FA" w:rsidP="00420CF4">
      <w:pPr>
        <w:pStyle w:val="BodyText"/>
      </w:pPr>
      <w:r w:rsidRPr="005924FA">
        <w:t>The Attorney-General’s Department provided committed and uncommitted funding estimates over the 2016-17 Budget forward estimates period.</w:t>
      </w:r>
    </w:p>
    <w:p w:rsidR="004F4C2E" w:rsidRPr="00951305" w:rsidRDefault="004F4C2E" w:rsidP="00420CF4">
      <w:pPr>
        <w:pStyle w:val="BodyText"/>
      </w:pPr>
    </w:p>
    <w:p w:rsidR="00420CF4" w:rsidRDefault="00420CF4" w:rsidP="00420CF4">
      <w:pPr>
        <w:pStyle w:val="BodyText"/>
        <w:sectPr w:rsidR="00420CF4" w:rsidSect="008A35EA">
          <w:headerReference w:type="even" r:id="rId66"/>
          <w:headerReference w:type="default" r:id="rId67"/>
          <w:footerReference w:type="even" r:id="rId68"/>
          <w:footerReference w:type="default" r:id="rId69"/>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7" w:name="_Toc458081647"/>
      <w:r>
        <w:t>ALP023: Royal Commission into the Financial Services Industry</w:t>
      </w:r>
      <w:bookmarkEnd w:id="27"/>
    </w:p>
    <w:p w:rsidR="00745988" w:rsidRDefault="00745988" w:rsidP="00745988">
      <w:pPr>
        <w:pStyle w:val="BodyText"/>
      </w:pPr>
      <w:r>
        <w:rPr>
          <w:noProof/>
          <w:lang w:eastAsia="en-AU"/>
        </w:rPr>
        <w:drawing>
          <wp:inline distT="0" distB="0" distL="0" distR="0" wp14:anchorId="60DA8640" wp14:editId="3A5D4108">
            <wp:extent cx="2696845" cy="572135"/>
            <wp:effectExtent l="0" t="0" r="8255" b="0"/>
            <wp:docPr id="370" name="Picture 37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6"/>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9852B5" w:rsidP="004F4C2E">
            <w:pPr>
              <w:pStyle w:val="PullOutBoxHeading"/>
              <w:rPr>
                <w:b/>
              </w:rPr>
            </w:pPr>
            <w:r w:rsidRPr="00E758BA">
              <w:rPr>
                <w:b/>
              </w:rPr>
              <w:t>Royal Commission into the Financial Services Industry</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9852B5" w:rsidRDefault="009852B5" w:rsidP="004F4C2E">
            <w:pPr>
              <w:pStyle w:val="PullOutBoxBodyText"/>
            </w:pPr>
            <w:r>
              <w:t>The proposal would establish a Royal Commission into financial services and corporate governance in Australia (the Royal Commission).</w:t>
            </w:r>
          </w:p>
          <w:p w:rsidR="00420CF4" w:rsidRPr="00B45F94" w:rsidRDefault="009852B5" w:rsidP="004F4C2E">
            <w:pPr>
              <w:pStyle w:val="PullOutBoxBodyText"/>
            </w:pPr>
            <w:r>
              <w:t>The Royal Commission would commence on 1 July 2017 and run for two years.</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420CF4" w:rsidRPr="00B45F94" w:rsidTr="00967BCD">
        <w:tc>
          <w:tcPr>
            <w:tcW w:w="1809" w:type="pct"/>
          </w:tcPr>
          <w:p w:rsidR="00420CF4" w:rsidRPr="00B45F94" w:rsidRDefault="00420CF4" w:rsidP="004F4C2E">
            <w:pPr>
              <w:pStyle w:val="PullOutBoxBodyText"/>
            </w:pPr>
            <w:r w:rsidRPr="00B45F94">
              <w:t>Expiry date for the costing:</w:t>
            </w:r>
          </w:p>
        </w:tc>
        <w:tc>
          <w:tcPr>
            <w:tcW w:w="3191" w:type="pct"/>
          </w:tcPr>
          <w:p w:rsidR="00420CF4"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9852B5" w:rsidRDefault="009852B5" w:rsidP="009852B5">
      <w:pPr>
        <w:pStyle w:val="BodyText"/>
      </w:pPr>
      <w:r>
        <w:t>This proposal would be expected to decrease both the fiscal and underlying cash balanc</w:t>
      </w:r>
      <w:r w:rsidR="00DE075A">
        <w:t>es by $53 million over the 2016</w:t>
      </w:r>
      <w:r w:rsidR="00DE075A">
        <w:noBreakHyphen/>
      </w:r>
      <w:r>
        <w:t>17 Budget forward estimates period.  The impact is due to an increase in administered expenses of $51 million and an increase in departmental expenses of $2 million.</w:t>
      </w:r>
    </w:p>
    <w:p w:rsidR="009852B5" w:rsidRDefault="009852B5" w:rsidP="009852B5">
      <w:pPr>
        <w:pStyle w:val="BodyText"/>
      </w:pPr>
      <w:r>
        <w:t>As the proposed Royal Commission i</w:t>
      </w:r>
      <w:r w:rsidR="00DE075A">
        <w:t>s scheduled to conclude in 2018</w:t>
      </w:r>
      <w:r w:rsidR="00DE075A">
        <w:noBreakHyphen/>
      </w:r>
      <w:r>
        <w:t>19, this proposal would not be expected to have a f</w:t>
      </w:r>
      <w:r w:rsidR="00DE075A">
        <w:t>inancial impact beyond the 2016</w:t>
      </w:r>
      <w:r w:rsidR="00DE075A">
        <w:noBreakHyphen/>
      </w:r>
      <w:r>
        <w:t>17 B</w:t>
      </w:r>
      <w:r w:rsidR="004F4C2E">
        <w:t>udget forward estimates period.</w:t>
      </w:r>
    </w:p>
    <w:p w:rsidR="009852B5" w:rsidRDefault="009852B5" w:rsidP="009852B5">
      <w:pPr>
        <w:pStyle w:val="BodyText"/>
      </w:pPr>
      <w:r>
        <w:t>Departm</w:t>
      </w:r>
      <w:r w:rsidR="00DE075A">
        <w:t>ental expenses for the Attorney</w:t>
      </w:r>
      <w:r w:rsidR="00DE075A">
        <w:noBreakHyphen/>
      </w:r>
      <w:r>
        <w:t xml:space="preserve">General’s Department of $1 million in </w:t>
      </w:r>
      <w:r w:rsidR="00DE075A">
        <w:t>2017</w:t>
      </w:r>
      <w:r w:rsidR="00DE075A">
        <w:noBreakHyphen/>
        <w:t>18 and $1 million in 2018</w:t>
      </w:r>
      <w:r w:rsidR="00DE075A">
        <w:noBreakHyphen/>
      </w:r>
      <w:r>
        <w:t>19 reflect the estimated cost of implementation and administration of the proposal.</w:t>
      </w:r>
    </w:p>
    <w:p w:rsidR="009852B5" w:rsidRPr="009852B5" w:rsidRDefault="009852B5" w:rsidP="009852B5">
      <w:pPr>
        <w:pStyle w:val="BodyText"/>
      </w:pPr>
      <w:r>
        <w:t>This costing is considered to be of low reliability.  Given that the terms of reference for the proposed Royal Commission are yet to be determined, its size and scope relative to that used to inform the costing is uncertain.</w:t>
      </w:r>
    </w:p>
    <w:p w:rsidR="00420CF4" w:rsidRDefault="00420CF4" w:rsidP="00754E5E">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5"/>
        <w:gridCol w:w="1230"/>
        <w:gridCol w:w="1230"/>
        <w:gridCol w:w="1232"/>
        <w:gridCol w:w="1230"/>
        <w:gridCol w:w="1232"/>
      </w:tblGrid>
      <w:tr w:rsidR="00420CF4" w:rsidRPr="00D264E1" w:rsidTr="00E45EEF">
        <w:trPr>
          <w:cnfStyle w:val="100000000000" w:firstRow="1" w:lastRow="0" w:firstColumn="0" w:lastColumn="0" w:oddVBand="0" w:evenVBand="0" w:oddHBand="0" w:evenHBand="0" w:firstRowFirstColumn="0" w:firstRowLastColumn="0" w:lastRowFirstColumn="0" w:lastRowLastColumn="0"/>
        </w:trPr>
        <w:tc>
          <w:tcPr>
            <w:tcW w:w="1392" w:type="pct"/>
          </w:tcPr>
          <w:p w:rsidR="00420CF4" w:rsidRPr="00D264E1" w:rsidRDefault="00420CF4" w:rsidP="00754E5E">
            <w:pPr>
              <w:pStyle w:val="TableHeading"/>
            </w:pPr>
            <w:r>
              <w:t>Impact on</w:t>
            </w:r>
            <w:r w:rsidR="00E45EEF">
              <w:t xml:space="preserve"> ($m)</w:t>
            </w:r>
          </w:p>
        </w:tc>
        <w:tc>
          <w:tcPr>
            <w:tcW w:w="721" w:type="pct"/>
          </w:tcPr>
          <w:p w:rsidR="00420CF4" w:rsidRPr="00FC1F1C" w:rsidRDefault="00420CF4" w:rsidP="00754E5E">
            <w:pPr>
              <w:pStyle w:val="TableHeadingRight"/>
            </w:pPr>
            <w:r>
              <w:t>2016–17</w:t>
            </w:r>
          </w:p>
        </w:tc>
        <w:tc>
          <w:tcPr>
            <w:tcW w:w="721" w:type="pct"/>
          </w:tcPr>
          <w:p w:rsidR="00420CF4" w:rsidRPr="00FC1F1C" w:rsidRDefault="00420CF4" w:rsidP="00754E5E">
            <w:pPr>
              <w:pStyle w:val="TableHeadingRight"/>
            </w:pPr>
            <w:r>
              <w:t>2017–18</w:t>
            </w:r>
          </w:p>
        </w:tc>
        <w:tc>
          <w:tcPr>
            <w:tcW w:w="722" w:type="pct"/>
          </w:tcPr>
          <w:p w:rsidR="00420CF4" w:rsidRPr="00FC1F1C" w:rsidRDefault="00420CF4" w:rsidP="00754E5E">
            <w:pPr>
              <w:pStyle w:val="TableHeadingRight"/>
            </w:pPr>
            <w:r>
              <w:t>2018–19</w:t>
            </w:r>
          </w:p>
        </w:tc>
        <w:tc>
          <w:tcPr>
            <w:tcW w:w="721" w:type="pct"/>
          </w:tcPr>
          <w:p w:rsidR="00420CF4" w:rsidRPr="00FC1F1C" w:rsidRDefault="00420CF4" w:rsidP="00754E5E">
            <w:pPr>
              <w:pStyle w:val="TableHeadingRight"/>
            </w:pPr>
            <w:r>
              <w:t>2019–20</w:t>
            </w:r>
          </w:p>
        </w:tc>
        <w:tc>
          <w:tcPr>
            <w:tcW w:w="722" w:type="pct"/>
          </w:tcPr>
          <w:p w:rsidR="00420CF4" w:rsidRDefault="00420CF4" w:rsidP="00754E5E">
            <w:pPr>
              <w:pStyle w:val="TableTextRight"/>
              <w:keepNext/>
              <w:keepLines/>
            </w:pPr>
            <w:r>
              <w:t>Total</w:t>
            </w:r>
          </w:p>
        </w:tc>
      </w:tr>
      <w:tr w:rsidR="00E45EEF" w:rsidTr="00E45EEF">
        <w:tc>
          <w:tcPr>
            <w:tcW w:w="1392" w:type="pct"/>
          </w:tcPr>
          <w:p w:rsidR="00E45EEF" w:rsidRDefault="00E45EEF" w:rsidP="00754E5E">
            <w:pPr>
              <w:pStyle w:val="TableText"/>
              <w:keepNext/>
              <w:keepLines/>
            </w:pPr>
            <w:r>
              <w:t>Fiscal balance</w:t>
            </w:r>
          </w:p>
        </w:tc>
        <w:tc>
          <w:tcPr>
            <w:tcW w:w="721" w:type="pct"/>
          </w:tcPr>
          <w:p w:rsidR="00E45EEF" w:rsidRPr="003A3459" w:rsidRDefault="00E45EEF" w:rsidP="00754E5E">
            <w:pPr>
              <w:pStyle w:val="TableTextCentred"/>
              <w:keepNext/>
              <w:keepLines/>
              <w:spacing w:line="240" w:lineRule="auto"/>
              <w:jc w:val="right"/>
              <w:rPr>
                <w:szCs w:val="20"/>
              </w:rPr>
            </w:pPr>
            <w:r>
              <w:rPr>
                <w:szCs w:val="20"/>
              </w:rPr>
              <w:t>-</w:t>
            </w:r>
          </w:p>
        </w:tc>
        <w:tc>
          <w:tcPr>
            <w:tcW w:w="721" w:type="pct"/>
          </w:tcPr>
          <w:p w:rsidR="00E45EEF" w:rsidRPr="003A3459" w:rsidRDefault="00E45EEF" w:rsidP="00754E5E">
            <w:pPr>
              <w:pStyle w:val="TableTextCentred"/>
              <w:keepNext/>
              <w:keepLines/>
              <w:spacing w:line="240" w:lineRule="auto"/>
              <w:jc w:val="right"/>
              <w:rPr>
                <w:szCs w:val="20"/>
              </w:rPr>
            </w:pPr>
            <w:r>
              <w:rPr>
                <w:szCs w:val="20"/>
              </w:rPr>
              <w:t>-26.0</w:t>
            </w:r>
          </w:p>
        </w:tc>
        <w:tc>
          <w:tcPr>
            <w:tcW w:w="722" w:type="pct"/>
          </w:tcPr>
          <w:p w:rsidR="00E45EEF" w:rsidRPr="003A3459" w:rsidRDefault="00E45EEF" w:rsidP="00754E5E">
            <w:pPr>
              <w:pStyle w:val="TableTextCentred"/>
              <w:keepNext/>
              <w:keepLines/>
              <w:spacing w:line="240" w:lineRule="auto"/>
              <w:jc w:val="right"/>
              <w:rPr>
                <w:szCs w:val="20"/>
              </w:rPr>
            </w:pPr>
            <w:r>
              <w:rPr>
                <w:szCs w:val="20"/>
              </w:rPr>
              <w:t>-27.0</w:t>
            </w:r>
          </w:p>
        </w:tc>
        <w:tc>
          <w:tcPr>
            <w:tcW w:w="721" w:type="pct"/>
          </w:tcPr>
          <w:p w:rsidR="00E45EEF" w:rsidRPr="003A3459" w:rsidRDefault="00E45EEF" w:rsidP="00754E5E">
            <w:pPr>
              <w:pStyle w:val="TableTextCentred"/>
              <w:keepNext/>
              <w:keepLines/>
              <w:spacing w:line="240" w:lineRule="auto"/>
              <w:jc w:val="right"/>
              <w:rPr>
                <w:szCs w:val="20"/>
              </w:rPr>
            </w:pPr>
            <w:r>
              <w:rPr>
                <w:szCs w:val="20"/>
              </w:rPr>
              <w:t>-</w:t>
            </w:r>
          </w:p>
        </w:tc>
        <w:tc>
          <w:tcPr>
            <w:tcW w:w="722" w:type="pct"/>
          </w:tcPr>
          <w:p w:rsidR="00E45EEF" w:rsidRPr="00C363AE" w:rsidRDefault="00E45EEF" w:rsidP="00754E5E">
            <w:pPr>
              <w:pStyle w:val="TableTextCentred"/>
              <w:keepNext/>
              <w:keepLines/>
              <w:spacing w:line="240" w:lineRule="auto"/>
              <w:jc w:val="right"/>
              <w:rPr>
                <w:b/>
                <w:szCs w:val="20"/>
              </w:rPr>
            </w:pPr>
            <w:r>
              <w:rPr>
                <w:b/>
                <w:szCs w:val="20"/>
              </w:rPr>
              <w:t>-53.0</w:t>
            </w:r>
          </w:p>
        </w:tc>
      </w:tr>
      <w:tr w:rsidR="00E45EEF" w:rsidTr="00E45EEF">
        <w:tc>
          <w:tcPr>
            <w:tcW w:w="1392" w:type="pct"/>
          </w:tcPr>
          <w:p w:rsidR="00E45EEF" w:rsidRDefault="00E45EEF" w:rsidP="00754E5E">
            <w:pPr>
              <w:pStyle w:val="TableText"/>
              <w:keepNext/>
              <w:keepLines/>
            </w:pPr>
            <w:r>
              <w:t>Underlying cash balance</w:t>
            </w:r>
          </w:p>
        </w:tc>
        <w:tc>
          <w:tcPr>
            <w:tcW w:w="721" w:type="pct"/>
          </w:tcPr>
          <w:p w:rsidR="00E45EEF" w:rsidRPr="003A3459" w:rsidRDefault="00E45EEF" w:rsidP="00754E5E">
            <w:pPr>
              <w:pStyle w:val="TableTextCentred"/>
              <w:keepNext/>
              <w:keepLines/>
              <w:spacing w:line="240" w:lineRule="auto"/>
              <w:jc w:val="right"/>
              <w:rPr>
                <w:szCs w:val="20"/>
              </w:rPr>
            </w:pPr>
            <w:r>
              <w:rPr>
                <w:szCs w:val="20"/>
              </w:rPr>
              <w:t>-</w:t>
            </w:r>
          </w:p>
        </w:tc>
        <w:tc>
          <w:tcPr>
            <w:tcW w:w="721" w:type="pct"/>
          </w:tcPr>
          <w:p w:rsidR="00E45EEF" w:rsidRPr="003A3459" w:rsidRDefault="00E45EEF" w:rsidP="00754E5E">
            <w:pPr>
              <w:pStyle w:val="TableTextCentred"/>
              <w:keepNext/>
              <w:keepLines/>
              <w:spacing w:line="240" w:lineRule="auto"/>
              <w:jc w:val="right"/>
              <w:rPr>
                <w:szCs w:val="20"/>
              </w:rPr>
            </w:pPr>
            <w:r>
              <w:rPr>
                <w:szCs w:val="20"/>
              </w:rPr>
              <w:t>-26.0</w:t>
            </w:r>
          </w:p>
        </w:tc>
        <w:tc>
          <w:tcPr>
            <w:tcW w:w="722" w:type="pct"/>
          </w:tcPr>
          <w:p w:rsidR="00E45EEF" w:rsidRPr="003A3459" w:rsidRDefault="00E45EEF" w:rsidP="00754E5E">
            <w:pPr>
              <w:pStyle w:val="TableTextCentred"/>
              <w:keepNext/>
              <w:keepLines/>
              <w:spacing w:line="240" w:lineRule="auto"/>
              <w:jc w:val="right"/>
              <w:rPr>
                <w:szCs w:val="20"/>
              </w:rPr>
            </w:pPr>
            <w:r>
              <w:rPr>
                <w:szCs w:val="20"/>
              </w:rPr>
              <w:t>-27.0</w:t>
            </w:r>
          </w:p>
        </w:tc>
        <w:tc>
          <w:tcPr>
            <w:tcW w:w="721" w:type="pct"/>
          </w:tcPr>
          <w:p w:rsidR="00E45EEF" w:rsidRPr="003A3459" w:rsidRDefault="00E45EEF" w:rsidP="00754E5E">
            <w:pPr>
              <w:pStyle w:val="TableTextCentred"/>
              <w:keepNext/>
              <w:keepLines/>
              <w:spacing w:line="240" w:lineRule="auto"/>
              <w:jc w:val="right"/>
              <w:rPr>
                <w:szCs w:val="20"/>
              </w:rPr>
            </w:pPr>
            <w:r>
              <w:rPr>
                <w:szCs w:val="20"/>
              </w:rPr>
              <w:t>-</w:t>
            </w:r>
          </w:p>
        </w:tc>
        <w:tc>
          <w:tcPr>
            <w:tcW w:w="722" w:type="pct"/>
          </w:tcPr>
          <w:p w:rsidR="00E45EEF" w:rsidRPr="00C363AE" w:rsidRDefault="00E45EEF" w:rsidP="00754E5E">
            <w:pPr>
              <w:pStyle w:val="TableTextCentred"/>
              <w:keepNext/>
              <w:keepLines/>
              <w:spacing w:line="240" w:lineRule="auto"/>
              <w:jc w:val="right"/>
              <w:rPr>
                <w:b/>
                <w:szCs w:val="20"/>
              </w:rPr>
            </w:pPr>
            <w:r>
              <w:rPr>
                <w:b/>
                <w:szCs w:val="20"/>
              </w:rPr>
              <w:t>-53.0</w:t>
            </w:r>
          </w:p>
        </w:tc>
      </w:tr>
    </w:tbl>
    <w:p w:rsidR="00420CF4" w:rsidRPr="00E45EEF" w:rsidRDefault="00420CF4" w:rsidP="00754E5E">
      <w:pPr>
        <w:pStyle w:val="Footnotes"/>
        <w:keepNext/>
        <w:keepLines/>
        <w:numPr>
          <w:ilvl w:val="0"/>
          <w:numId w:val="53"/>
        </w:numPr>
        <w:ind w:left="284" w:hanging="284"/>
      </w:pPr>
      <w:r w:rsidRPr="00E45EEF">
        <w:t>A positive number indicates an increase in the relevant budget balance, a negative number a decrease.</w:t>
      </w:r>
    </w:p>
    <w:p w:rsidR="00420CF4" w:rsidRPr="00E45EEF" w:rsidRDefault="00420CF4" w:rsidP="00754E5E">
      <w:pPr>
        <w:pStyle w:val="Footnotes"/>
        <w:keepNext/>
        <w:keepLines/>
        <w:ind w:left="284" w:hanging="284"/>
      </w:pPr>
      <w:r w:rsidRPr="00E45EEF">
        <w:t>Figures may not sum to totals due to rounding.</w:t>
      </w:r>
    </w:p>
    <w:p w:rsidR="00E45EEF" w:rsidRPr="00E45EEF" w:rsidRDefault="00E45EEF" w:rsidP="00E45EEF">
      <w:pPr>
        <w:pStyle w:val="Footnotes"/>
        <w:numPr>
          <w:ilvl w:val="0"/>
          <w:numId w:val="0"/>
        </w:numPr>
        <w:ind w:left="284" w:hanging="284"/>
        <w:rPr>
          <w:rStyle w:val="FootnoteReference"/>
          <w:vertAlign w:val="baseline"/>
        </w:rPr>
      </w:pPr>
      <w:r w:rsidRPr="00E45EEF">
        <w:t>-</w:t>
      </w:r>
      <w:r w:rsidRPr="00E45EEF">
        <w:tab/>
        <w:t>Indicates nil.</w:t>
      </w:r>
    </w:p>
    <w:p w:rsidR="00420CF4" w:rsidRDefault="00420CF4" w:rsidP="00420CF4">
      <w:pPr>
        <w:pStyle w:val="CostingsH7"/>
      </w:pPr>
      <w:r>
        <w:t>Methodology</w:t>
      </w:r>
    </w:p>
    <w:p w:rsidR="00E45EEF" w:rsidRPr="00E45EEF" w:rsidRDefault="00E45EEF" w:rsidP="00E45EEF">
      <w:pPr>
        <w:pStyle w:val="BodyText"/>
      </w:pPr>
      <w:r w:rsidRPr="00E45EEF">
        <w:t>The impact of administered and departmental expenditure for the proposal was estimated by applying appropriate indexation rates to the average annual operating costs of the Royal</w:t>
      </w:r>
      <w:r>
        <w:t> </w:t>
      </w:r>
      <w:r w:rsidRPr="00E45EEF">
        <w:t>Commission into Trade Union Governance and</w:t>
      </w:r>
      <w:r>
        <w:t xml:space="preserve"> Corruption over 2013</w:t>
      </w:r>
      <w:r>
        <w:noBreakHyphen/>
        <w:t>14 to 2015</w:t>
      </w:r>
      <w:r>
        <w:noBreakHyphen/>
        <w:t>16.</w:t>
      </w:r>
    </w:p>
    <w:p w:rsidR="00E45EEF" w:rsidRPr="00E45EEF" w:rsidRDefault="00E45EEF" w:rsidP="00E45EEF">
      <w:pPr>
        <w:pStyle w:val="BodyText"/>
      </w:pPr>
      <w:r w:rsidRPr="00E45EEF">
        <w:t>Both administered expenses and departmental expenses have been rounded to the nearest $1</w:t>
      </w:r>
      <w:r w:rsidR="004F4C2E">
        <w:t> </w:t>
      </w:r>
      <w:r w:rsidRPr="00E45EEF">
        <w:t>million.</w:t>
      </w:r>
    </w:p>
    <w:p w:rsidR="00420CF4" w:rsidRDefault="00420CF4" w:rsidP="00420CF4">
      <w:pPr>
        <w:pStyle w:val="CostingsH7"/>
      </w:pPr>
      <w:r>
        <w:t>Data sources</w:t>
      </w:r>
    </w:p>
    <w:p w:rsidR="00E45EEF" w:rsidRPr="00E45EEF" w:rsidRDefault="00E45EEF" w:rsidP="00E45EEF">
      <w:pPr>
        <w:pStyle w:val="BodyText"/>
      </w:pPr>
      <w:r w:rsidRPr="00E45EEF">
        <w:t>The Attorney-General’s Department provided actual expenditure and expenditure estimates for the Royal Commission into Trade Union Governance and Corruption over the period 2013</w:t>
      </w:r>
      <w:r>
        <w:noBreakHyphen/>
        <w:t>14 to 2015</w:t>
      </w:r>
      <w:r>
        <w:noBreakHyphen/>
      </w:r>
      <w:r w:rsidRPr="00E45EEF">
        <w:t>16.</w:t>
      </w:r>
    </w:p>
    <w:p w:rsidR="00420CF4" w:rsidRDefault="00E45EEF" w:rsidP="00420CF4">
      <w:pPr>
        <w:pStyle w:val="BodyText"/>
      </w:pPr>
      <w:r w:rsidRPr="00E45EEF">
        <w:t>The Department of Finance provided indexation and efficiency dividend parameters.</w:t>
      </w:r>
    </w:p>
    <w:p w:rsidR="004F4C2E" w:rsidRPr="006E7058" w:rsidRDefault="004F4C2E" w:rsidP="00420CF4">
      <w:pPr>
        <w:pStyle w:val="BodyText"/>
      </w:pPr>
    </w:p>
    <w:p w:rsidR="00420CF4" w:rsidRDefault="00420CF4" w:rsidP="00420CF4">
      <w:pPr>
        <w:pStyle w:val="BodyText"/>
        <w:sectPr w:rsidR="00420CF4" w:rsidSect="00620505">
          <w:headerReference w:type="even" r:id="rId70"/>
          <w:headerReference w:type="default" r:id="rId71"/>
          <w:footerReference w:type="even" r:id="rId72"/>
          <w:footerReference w:type="default" r:id="rId73"/>
          <w:footnotePr>
            <w:numRestart w:val="eachSect"/>
          </w:footnotePr>
          <w:pgSz w:w="11907" w:h="16839" w:code="9"/>
          <w:pgMar w:top="1361" w:right="1797" w:bottom="1474" w:left="1797" w:header="283" w:footer="454" w:gutter="0"/>
          <w:cols w:space="708"/>
          <w:docGrid w:linePitch="360"/>
        </w:sectPr>
      </w:pPr>
    </w:p>
    <w:p w:rsidR="00420CF4" w:rsidRDefault="00420CF4" w:rsidP="00420CF4">
      <w:pPr>
        <w:pStyle w:val="Heading5"/>
        <w:ind w:left="1080" w:hanging="1080"/>
      </w:pPr>
      <w:bookmarkStart w:id="28" w:name="_Toc458081648"/>
      <w:r>
        <w:t>ALP024: Scaling back the Colombo Plan</w:t>
      </w:r>
      <w:bookmarkEnd w:id="28"/>
    </w:p>
    <w:p w:rsidR="00745988" w:rsidRDefault="00745988" w:rsidP="00745988">
      <w:pPr>
        <w:pStyle w:val="BodyText"/>
      </w:pPr>
      <w:r>
        <w:rPr>
          <w:noProof/>
          <w:lang w:eastAsia="en-AU"/>
        </w:rPr>
        <w:drawing>
          <wp:inline distT="0" distB="0" distL="0" distR="0" wp14:anchorId="2694AC72" wp14:editId="30A85167">
            <wp:extent cx="2696845" cy="572135"/>
            <wp:effectExtent l="0" t="0" r="8255" b="0"/>
            <wp:docPr id="369" name="Picture 36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CD2329" w:rsidP="004F4C2E">
            <w:pPr>
              <w:pStyle w:val="PullOutBoxHeading"/>
              <w:rPr>
                <w:b/>
              </w:rPr>
            </w:pPr>
            <w:r w:rsidRPr="00E758BA">
              <w:rPr>
                <w:b/>
              </w:rPr>
              <w:t>Scaling back the Colombo Plan</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CD2329" w:rsidRDefault="00CD2329" w:rsidP="004F4C2E">
            <w:pPr>
              <w:pStyle w:val="PullOutBoxBodyText"/>
            </w:pPr>
            <w:r>
              <w:t>The proposal would reduce the number of scholarships to students and grants to universities available under the New Colombo Plan.  The reductions would be implemented so as to deliver a 50 per cent reduct</w:t>
            </w:r>
            <w:r w:rsidR="004F4C2E">
              <w:t>ion in funding for the program.</w:t>
            </w:r>
          </w:p>
          <w:p w:rsidR="00420CF4" w:rsidRPr="00B45F94" w:rsidRDefault="00CD2329" w:rsidP="004F4C2E">
            <w:pPr>
              <w:pStyle w:val="PullOutBoxBodyText"/>
            </w:pPr>
            <w:r>
              <w:t>The proposal would have effect from 1 January 2017.</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CD2329" w:rsidRPr="00B45F94" w:rsidTr="00967BCD">
        <w:tc>
          <w:tcPr>
            <w:tcW w:w="1809" w:type="pct"/>
          </w:tcPr>
          <w:p w:rsidR="00CD2329" w:rsidRPr="00CD2329" w:rsidRDefault="00CD2329" w:rsidP="004F4C2E">
            <w:pPr>
              <w:pStyle w:val="PullOutBoxBodyText"/>
            </w:pPr>
            <w:r w:rsidRPr="00CD2329">
              <w:t>Additional information requested:</w:t>
            </w:r>
          </w:p>
        </w:tc>
        <w:tc>
          <w:tcPr>
            <w:tcW w:w="3191" w:type="pct"/>
          </w:tcPr>
          <w:p w:rsidR="00CD2329" w:rsidRPr="00CD2329" w:rsidRDefault="00CD2329" w:rsidP="004F4C2E">
            <w:pPr>
              <w:pStyle w:val="PullOutBoxBodyText"/>
            </w:pPr>
            <w:r w:rsidRPr="00CD2329">
              <w:t>On 6 July 2016 clarification was sought from the office of the Hon Tony Burke MP (the office) on how the specified funding reduction would be achieved.</w:t>
            </w:r>
          </w:p>
        </w:tc>
      </w:tr>
      <w:tr w:rsidR="00CD2329" w:rsidRPr="00B45F94" w:rsidTr="00967BCD">
        <w:tc>
          <w:tcPr>
            <w:tcW w:w="1809" w:type="pct"/>
          </w:tcPr>
          <w:p w:rsidR="00CD2329" w:rsidRPr="00CD2329" w:rsidRDefault="00CD2329" w:rsidP="004F4C2E">
            <w:pPr>
              <w:pStyle w:val="PullOutBoxBodyText"/>
            </w:pPr>
            <w:r w:rsidRPr="00CD2329">
              <w:t>Additional information received:</w:t>
            </w:r>
          </w:p>
        </w:tc>
        <w:tc>
          <w:tcPr>
            <w:tcW w:w="3191" w:type="pct"/>
          </w:tcPr>
          <w:p w:rsidR="00CD2329" w:rsidRPr="00CD2329" w:rsidRDefault="00CD2329" w:rsidP="004F4C2E">
            <w:pPr>
              <w:pStyle w:val="PullOutBoxBodyText"/>
            </w:pPr>
            <w:r w:rsidRPr="00CD2329">
              <w:t>On 6 July 2016 the office advised that the funding reduction would be achieved by reducing the number of scholarships and grants available under the New Colombo Plan.</w:t>
            </w:r>
          </w:p>
        </w:tc>
      </w:tr>
      <w:tr w:rsidR="00CD2329" w:rsidRPr="00B45F94" w:rsidTr="00967BCD">
        <w:tc>
          <w:tcPr>
            <w:tcW w:w="1809" w:type="pct"/>
          </w:tcPr>
          <w:p w:rsidR="00CD2329" w:rsidRPr="00B45F94" w:rsidRDefault="00CD2329" w:rsidP="004F4C2E">
            <w:pPr>
              <w:pStyle w:val="PullOutBoxBodyText"/>
            </w:pPr>
            <w:r w:rsidRPr="00B45F94">
              <w:t>Expiry date for the costing:</w:t>
            </w:r>
          </w:p>
        </w:tc>
        <w:tc>
          <w:tcPr>
            <w:tcW w:w="3191" w:type="pct"/>
          </w:tcPr>
          <w:p w:rsidR="00CD2329"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CD2329" w:rsidRPr="00CD2329" w:rsidRDefault="00CD2329" w:rsidP="00CD2329">
      <w:pPr>
        <w:pStyle w:val="BodyText"/>
      </w:pPr>
      <w:r w:rsidRPr="00CD2329">
        <w:t>This proposal would be expected to increase both the fiscal and underlying cash balances by $83.5 million over the 2016-17 Budget forward estimates period.  This impact is entirely due to a decrease in administered expenses.</w:t>
      </w:r>
    </w:p>
    <w:p w:rsidR="00CD2329" w:rsidRPr="00CD2329" w:rsidRDefault="00CD2329" w:rsidP="00CD2329">
      <w:pPr>
        <w:pStyle w:val="BodyText"/>
      </w:pPr>
      <w:r w:rsidRPr="00CD2329">
        <w:t>This proposal would not be expected to reduce departmental expenditure as the Department</w:t>
      </w:r>
      <w:r>
        <w:t> </w:t>
      </w:r>
      <w:r w:rsidRPr="00CD2329">
        <w:t>of Foreign Affairs and Trade was not provided administrative funding for the program.</w:t>
      </w:r>
    </w:p>
    <w:p w:rsidR="00CD2329" w:rsidRPr="00CD2329" w:rsidRDefault="00CD2329" w:rsidP="00CD2329">
      <w:pPr>
        <w:pStyle w:val="BodyText"/>
      </w:pPr>
      <w:r w:rsidRPr="00CD2329">
        <w:t xml:space="preserve">The proposal would have an impact beyond the 2016-17 Budget forward estimates period, with the annual impact to the budget being consistent with the impact in 2019-20. </w:t>
      </w:r>
    </w:p>
    <w:p w:rsidR="00A84927" w:rsidRDefault="00CD2329" w:rsidP="00CD2329">
      <w:pPr>
        <w:pStyle w:val="BodyText"/>
      </w:pPr>
      <w:r w:rsidRPr="00CD2329">
        <w:t>The costing is considered to be of high reliability as it is based on a specified reduction in funding for an existing program.</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CD2329">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CD2329">
            <w:pPr>
              <w:pStyle w:val="TableTextRight"/>
            </w:pPr>
            <w:r>
              <w:t>Total</w:t>
            </w:r>
          </w:p>
        </w:tc>
      </w:tr>
      <w:tr w:rsidR="00CD2329" w:rsidTr="00967BCD">
        <w:tc>
          <w:tcPr>
            <w:tcW w:w="1393" w:type="pct"/>
          </w:tcPr>
          <w:p w:rsidR="00CD2329" w:rsidRDefault="00CD2329" w:rsidP="004F4C2E">
            <w:pPr>
              <w:pStyle w:val="TableText"/>
              <w:keepNext/>
              <w:keepLines/>
            </w:pPr>
            <w:r>
              <w:t>Fiscal balance</w:t>
            </w:r>
          </w:p>
        </w:tc>
        <w:tc>
          <w:tcPr>
            <w:tcW w:w="721" w:type="pct"/>
          </w:tcPr>
          <w:p w:rsidR="00CD2329" w:rsidRDefault="00CD2329" w:rsidP="004F4C2E">
            <w:pPr>
              <w:keepNext/>
              <w:keepLines/>
              <w:spacing w:before="70" w:after="70"/>
              <w:jc w:val="right"/>
              <w:rPr>
                <w:color w:val="000000"/>
              </w:rPr>
            </w:pPr>
            <w:r>
              <w:rPr>
                <w:color w:val="000000"/>
              </w:rPr>
              <w:t>7.1</w:t>
            </w:r>
          </w:p>
        </w:tc>
        <w:tc>
          <w:tcPr>
            <w:tcW w:w="721" w:type="pct"/>
          </w:tcPr>
          <w:p w:rsidR="00CD2329" w:rsidRDefault="00CD2329" w:rsidP="004F4C2E">
            <w:pPr>
              <w:keepNext/>
              <w:keepLines/>
              <w:spacing w:before="70" w:after="70"/>
              <w:jc w:val="right"/>
              <w:rPr>
                <w:color w:val="000000"/>
              </w:rPr>
            </w:pPr>
            <w:r>
              <w:rPr>
                <w:color w:val="000000"/>
              </w:rPr>
              <w:t>25.5</w:t>
            </w:r>
          </w:p>
        </w:tc>
        <w:tc>
          <w:tcPr>
            <w:tcW w:w="722" w:type="pct"/>
          </w:tcPr>
          <w:p w:rsidR="00CD2329" w:rsidRDefault="00CD2329" w:rsidP="004F4C2E">
            <w:pPr>
              <w:keepNext/>
              <w:keepLines/>
              <w:spacing w:before="70" w:after="70"/>
              <w:jc w:val="right"/>
              <w:rPr>
                <w:color w:val="000000"/>
              </w:rPr>
            </w:pPr>
            <w:r>
              <w:rPr>
                <w:color w:val="000000"/>
              </w:rPr>
              <w:t>25.5</w:t>
            </w:r>
          </w:p>
        </w:tc>
        <w:tc>
          <w:tcPr>
            <w:tcW w:w="721" w:type="pct"/>
          </w:tcPr>
          <w:p w:rsidR="00CD2329" w:rsidRDefault="00CD2329" w:rsidP="004F4C2E">
            <w:pPr>
              <w:keepNext/>
              <w:keepLines/>
              <w:spacing w:before="70" w:after="70"/>
              <w:jc w:val="right"/>
              <w:rPr>
                <w:color w:val="000000"/>
              </w:rPr>
            </w:pPr>
            <w:r>
              <w:rPr>
                <w:color w:val="000000"/>
              </w:rPr>
              <w:t>25.5</w:t>
            </w:r>
          </w:p>
        </w:tc>
        <w:tc>
          <w:tcPr>
            <w:tcW w:w="722" w:type="pct"/>
          </w:tcPr>
          <w:p w:rsidR="00CD2329" w:rsidRDefault="00CD2329" w:rsidP="004F4C2E">
            <w:pPr>
              <w:keepNext/>
              <w:keepLines/>
              <w:spacing w:before="70" w:after="70"/>
              <w:jc w:val="right"/>
              <w:rPr>
                <w:b/>
                <w:bCs/>
                <w:color w:val="000000"/>
              </w:rPr>
            </w:pPr>
            <w:r>
              <w:rPr>
                <w:b/>
                <w:bCs/>
                <w:color w:val="000000"/>
              </w:rPr>
              <w:t>83.5</w:t>
            </w:r>
          </w:p>
        </w:tc>
      </w:tr>
      <w:tr w:rsidR="00CD2329" w:rsidTr="00967BCD">
        <w:tc>
          <w:tcPr>
            <w:tcW w:w="1393" w:type="pct"/>
          </w:tcPr>
          <w:p w:rsidR="00CD2329" w:rsidRDefault="00CD2329" w:rsidP="004F4C2E">
            <w:pPr>
              <w:pStyle w:val="TableText"/>
              <w:keepNext/>
              <w:keepLines/>
            </w:pPr>
            <w:r>
              <w:t>Underlying cash balance</w:t>
            </w:r>
          </w:p>
        </w:tc>
        <w:tc>
          <w:tcPr>
            <w:tcW w:w="721" w:type="pct"/>
          </w:tcPr>
          <w:p w:rsidR="00CD2329" w:rsidRDefault="00CD2329" w:rsidP="004F4C2E">
            <w:pPr>
              <w:keepNext/>
              <w:keepLines/>
              <w:spacing w:before="70" w:after="70"/>
              <w:jc w:val="right"/>
              <w:rPr>
                <w:color w:val="000000"/>
              </w:rPr>
            </w:pPr>
            <w:r>
              <w:rPr>
                <w:color w:val="000000"/>
              </w:rPr>
              <w:t>7.1</w:t>
            </w:r>
          </w:p>
        </w:tc>
        <w:tc>
          <w:tcPr>
            <w:tcW w:w="721" w:type="pct"/>
          </w:tcPr>
          <w:p w:rsidR="00CD2329" w:rsidRDefault="00CD2329" w:rsidP="004F4C2E">
            <w:pPr>
              <w:keepNext/>
              <w:keepLines/>
              <w:spacing w:before="70" w:after="70"/>
              <w:jc w:val="right"/>
              <w:rPr>
                <w:color w:val="000000"/>
              </w:rPr>
            </w:pPr>
            <w:r>
              <w:rPr>
                <w:color w:val="000000"/>
              </w:rPr>
              <w:t>25.5</w:t>
            </w:r>
          </w:p>
        </w:tc>
        <w:tc>
          <w:tcPr>
            <w:tcW w:w="722" w:type="pct"/>
          </w:tcPr>
          <w:p w:rsidR="00CD2329" w:rsidRDefault="00CD2329" w:rsidP="004F4C2E">
            <w:pPr>
              <w:keepNext/>
              <w:keepLines/>
              <w:spacing w:before="70" w:after="70"/>
              <w:jc w:val="right"/>
              <w:rPr>
                <w:color w:val="000000"/>
              </w:rPr>
            </w:pPr>
            <w:r>
              <w:rPr>
                <w:color w:val="000000"/>
              </w:rPr>
              <w:t>25.5</w:t>
            </w:r>
          </w:p>
        </w:tc>
        <w:tc>
          <w:tcPr>
            <w:tcW w:w="721" w:type="pct"/>
          </w:tcPr>
          <w:p w:rsidR="00CD2329" w:rsidRDefault="00CD2329" w:rsidP="004F4C2E">
            <w:pPr>
              <w:keepNext/>
              <w:keepLines/>
              <w:spacing w:before="70" w:after="70"/>
              <w:jc w:val="right"/>
              <w:rPr>
                <w:color w:val="000000"/>
              </w:rPr>
            </w:pPr>
            <w:r>
              <w:rPr>
                <w:color w:val="000000"/>
              </w:rPr>
              <w:t>25.5</w:t>
            </w:r>
          </w:p>
        </w:tc>
        <w:tc>
          <w:tcPr>
            <w:tcW w:w="722" w:type="pct"/>
          </w:tcPr>
          <w:p w:rsidR="00CD2329" w:rsidRDefault="00CD2329" w:rsidP="004F4C2E">
            <w:pPr>
              <w:keepNext/>
              <w:keepLines/>
              <w:spacing w:before="70" w:after="70"/>
              <w:jc w:val="right"/>
              <w:rPr>
                <w:b/>
                <w:bCs/>
                <w:color w:val="000000"/>
              </w:rPr>
            </w:pPr>
            <w:r>
              <w:rPr>
                <w:b/>
                <w:bCs/>
                <w:color w:val="000000"/>
              </w:rPr>
              <w:t>83.5</w:t>
            </w:r>
          </w:p>
        </w:tc>
      </w:tr>
    </w:tbl>
    <w:p w:rsidR="00420CF4" w:rsidRPr="00EB5134" w:rsidRDefault="00420CF4" w:rsidP="002C43F8">
      <w:pPr>
        <w:pStyle w:val="Footnotes"/>
        <w:numPr>
          <w:ilvl w:val="0"/>
          <w:numId w:val="54"/>
        </w:numPr>
        <w:ind w:left="284" w:hanging="284"/>
      </w:pPr>
      <w:r w:rsidRPr="00EB5134">
        <w:t>A positive number indicates an increase in the relevant budget balance, a negative number a decrease.</w:t>
      </w:r>
    </w:p>
    <w:p w:rsidR="00420CF4" w:rsidRPr="00EB5134" w:rsidRDefault="00420CF4" w:rsidP="004F4C2E">
      <w:pPr>
        <w:pStyle w:val="Footnotes"/>
        <w:ind w:left="284" w:hanging="284"/>
        <w:rPr>
          <w:rStyle w:val="FootnoteReference"/>
          <w:vertAlign w:val="baseline"/>
        </w:rPr>
      </w:pPr>
      <w:r w:rsidRPr="00EB5134">
        <w:t>Figures may not sum to totals due to rounding.</w:t>
      </w:r>
    </w:p>
    <w:p w:rsidR="00420CF4" w:rsidRDefault="00420CF4" w:rsidP="00420CF4">
      <w:pPr>
        <w:pStyle w:val="CostingsH7"/>
      </w:pPr>
      <w:r>
        <w:t>Methodology</w:t>
      </w:r>
    </w:p>
    <w:p w:rsidR="00EB5134" w:rsidRPr="00EB5134" w:rsidRDefault="00EB5134" w:rsidP="00EB5134">
      <w:pPr>
        <w:pStyle w:val="BodyText"/>
      </w:pPr>
      <w:r w:rsidRPr="00EB5134">
        <w:t>The savings were estimated based on the budget of the New Colomb</w:t>
      </w:r>
      <w:r w:rsidR="00130D00">
        <w:t>o Plan as published in the 2016</w:t>
      </w:r>
      <w:r w:rsidR="00130D00">
        <w:noBreakHyphen/>
      </w:r>
      <w:r w:rsidRPr="00EB5134">
        <w:t>17 Portfolio Budget Statements of the Department of Foreign Affairs and Trade, taking into account the effective date of the proposal.</w:t>
      </w:r>
    </w:p>
    <w:p w:rsidR="00420CF4" w:rsidRDefault="00420CF4" w:rsidP="00420CF4">
      <w:pPr>
        <w:pStyle w:val="CostingsH7"/>
      </w:pPr>
      <w:r>
        <w:t>Data sources</w:t>
      </w:r>
    </w:p>
    <w:p w:rsidR="00420CF4" w:rsidRDefault="00EB5134" w:rsidP="00420CF4">
      <w:pPr>
        <w:pStyle w:val="BodyText"/>
      </w:pPr>
      <w:r w:rsidRPr="00EB5134">
        <w:t>Department of Foreign Affairs and Trade</w:t>
      </w:r>
      <w:r w:rsidR="00505104">
        <w:t xml:space="preserve"> 2016,</w:t>
      </w:r>
      <w:r w:rsidRPr="00EB5134">
        <w:t xml:space="preserve"> </w:t>
      </w:r>
      <w:r w:rsidRPr="0073534F">
        <w:rPr>
          <w:i/>
        </w:rPr>
        <w:t>2016</w:t>
      </w:r>
      <w:r w:rsidR="00130D00" w:rsidRPr="0073534F">
        <w:rPr>
          <w:i/>
        </w:rPr>
        <w:noBreakHyphen/>
      </w:r>
      <w:r w:rsidRPr="0073534F">
        <w:rPr>
          <w:i/>
        </w:rPr>
        <w:t>17 Portfolio Budget Statements</w:t>
      </w:r>
      <w:r w:rsidRPr="00EB5134">
        <w:t>.</w:t>
      </w:r>
    </w:p>
    <w:p w:rsidR="004F4C2E" w:rsidRPr="00951305" w:rsidRDefault="004F4C2E"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29" w:name="_Toc458081649"/>
      <w:r>
        <w:t>ALP025: Establish a Treasury Outreach Office in Perth</w:t>
      </w:r>
      <w:bookmarkEnd w:id="29"/>
    </w:p>
    <w:p w:rsidR="00745988" w:rsidRDefault="00745988" w:rsidP="00745988">
      <w:pPr>
        <w:pStyle w:val="BodyText"/>
      </w:pPr>
      <w:r>
        <w:rPr>
          <w:noProof/>
          <w:lang w:eastAsia="en-AU"/>
        </w:rPr>
        <w:drawing>
          <wp:inline distT="0" distB="0" distL="0" distR="0" wp14:anchorId="4447BAE7" wp14:editId="0EDA0BA2">
            <wp:extent cx="2696845" cy="572135"/>
            <wp:effectExtent l="0" t="0" r="8255" b="0"/>
            <wp:docPr id="368" name="Picture 36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CB2617" w:rsidP="004F4C2E">
            <w:pPr>
              <w:pStyle w:val="PullOutBoxHeading"/>
              <w:rPr>
                <w:b/>
              </w:rPr>
            </w:pPr>
            <w:r w:rsidRPr="00E758BA">
              <w:rPr>
                <w:b/>
              </w:rPr>
              <w:t>Establish a Treasury Outreach Office in Perth</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CB2617" w:rsidRPr="00CB2617" w:rsidRDefault="00CB2617" w:rsidP="004F4C2E">
            <w:pPr>
              <w:pStyle w:val="PullOutBoxBodyText"/>
            </w:pPr>
            <w:r w:rsidRPr="00CB2617">
              <w:t>The proposal would establish a regional office of the Department of the Treasury (the Treasury) in the Perth central business district on 1 July 2017.</w:t>
            </w:r>
          </w:p>
          <w:p w:rsidR="00CB2617" w:rsidRPr="00CB2617" w:rsidRDefault="00CB2617" w:rsidP="004F4C2E">
            <w:pPr>
              <w:pStyle w:val="PullOutBoxBodyText"/>
            </w:pPr>
            <w:r w:rsidRPr="00CB2617">
              <w:t>The office would include the following 15 new full time staff:</w:t>
            </w:r>
          </w:p>
          <w:p w:rsidR="00CB2617" w:rsidRDefault="00CB2617" w:rsidP="004F4C2E">
            <w:pPr>
              <w:pStyle w:val="PullOutBoxBullet"/>
            </w:pPr>
            <w:r>
              <w:t>one Senior Executive Service Level 1 employee</w:t>
            </w:r>
          </w:p>
          <w:p w:rsidR="00CB2617" w:rsidRDefault="00CB2617" w:rsidP="004F4C2E">
            <w:pPr>
              <w:pStyle w:val="PullOutBoxBullet"/>
            </w:pPr>
            <w:r>
              <w:t>two Australian Public Service (APS) Executive Level 2 employees</w:t>
            </w:r>
          </w:p>
          <w:p w:rsidR="00CB2617" w:rsidRDefault="00CB2617" w:rsidP="004F4C2E">
            <w:pPr>
              <w:pStyle w:val="PullOutBoxBullet"/>
            </w:pPr>
            <w:r>
              <w:t>three APS Executive Level 1 employees</w:t>
            </w:r>
          </w:p>
          <w:p w:rsidR="00CB2617" w:rsidRDefault="00CB2617" w:rsidP="004F4C2E">
            <w:pPr>
              <w:pStyle w:val="PullOutBoxBullet"/>
            </w:pPr>
            <w:r>
              <w:t>four APS Level 6 employees</w:t>
            </w:r>
          </w:p>
          <w:p w:rsidR="00CB2617" w:rsidRDefault="00CB2617" w:rsidP="004F4C2E">
            <w:pPr>
              <w:pStyle w:val="PullOutBoxBullet"/>
            </w:pPr>
            <w:r>
              <w:t>five APS Level 4/5 employees.</w:t>
            </w:r>
          </w:p>
          <w:p w:rsidR="00420CF4" w:rsidRPr="00CB2617" w:rsidRDefault="00CB2617" w:rsidP="004F4C2E">
            <w:pPr>
              <w:pStyle w:val="PullOutBoxBodyText"/>
            </w:pPr>
            <w:r w:rsidRPr="00CB2617">
              <w:t>Half of the staff budget for the new office would be transferred from current departmental funding of the Treasury.</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420CF4" w:rsidRPr="00B45F94" w:rsidTr="00967BCD">
        <w:tc>
          <w:tcPr>
            <w:tcW w:w="1809" w:type="pct"/>
          </w:tcPr>
          <w:p w:rsidR="00420CF4" w:rsidRPr="00B45F94" w:rsidRDefault="00420CF4" w:rsidP="004F4C2E">
            <w:pPr>
              <w:pStyle w:val="PullOutBoxBodyText"/>
            </w:pPr>
            <w:r w:rsidRPr="00B45F94">
              <w:t>Expiry date for the costing:</w:t>
            </w:r>
          </w:p>
        </w:tc>
        <w:tc>
          <w:tcPr>
            <w:tcW w:w="3191" w:type="pct"/>
          </w:tcPr>
          <w:p w:rsidR="00420CF4"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CB2617" w:rsidRPr="00CB2617" w:rsidRDefault="00CB2617" w:rsidP="00CB2617">
      <w:pPr>
        <w:pStyle w:val="BodyText"/>
      </w:pPr>
      <w:r w:rsidRPr="00CB2617">
        <w:t>The proposal would be expected to decrease the fiscal and underlying cash balances by $3.8</w:t>
      </w:r>
      <w:r>
        <w:t> </w:t>
      </w:r>
      <w:r w:rsidRPr="00CB2617">
        <w:t>million over the 2016-17 Budget forward estimates period.  This impact is entirely due to an increase in departmental expenses.</w:t>
      </w:r>
    </w:p>
    <w:p w:rsidR="00CB2617" w:rsidRPr="00CB2617" w:rsidRDefault="00CB2617" w:rsidP="00CB2617">
      <w:pPr>
        <w:pStyle w:val="BodyText"/>
      </w:pPr>
      <w:r w:rsidRPr="00CB2617">
        <w:t>This proposal would have an ongoing impa</w:t>
      </w:r>
      <w:r>
        <w:t>ct that extends beyond the 2016</w:t>
      </w:r>
      <w:r>
        <w:noBreakHyphen/>
      </w:r>
      <w:r w:rsidRPr="00CB2617">
        <w:t>17 Budget forward estimates period.</w:t>
      </w:r>
    </w:p>
    <w:p w:rsidR="00CB2617" w:rsidRDefault="00CB2617" w:rsidP="00CB2617">
      <w:pPr>
        <w:pStyle w:val="BodyText"/>
      </w:pPr>
      <w:r w:rsidRPr="00CB2617">
        <w:t>This costing is considered to be of high reliability as the estimates are based on applying standard departmental costing rates.</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CB2617">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CB2617" w:rsidP="00CB2617">
            <w:pPr>
              <w:pStyle w:val="TableTextRight"/>
            </w:pPr>
            <w:r>
              <w:t>Total</w:t>
            </w:r>
          </w:p>
        </w:tc>
      </w:tr>
      <w:tr w:rsidR="00CB2617" w:rsidTr="00923E28">
        <w:tc>
          <w:tcPr>
            <w:tcW w:w="1393" w:type="pct"/>
          </w:tcPr>
          <w:p w:rsidR="00CB2617" w:rsidRDefault="00CB2617" w:rsidP="004F4C2E">
            <w:pPr>
              <w:pStyle w:val="TableText"/>
              <w:keepNext/>
              <w:keepLines/>
            </w:pPr>
            <w:r>
              <w:t>Fiscal balance</w:t>
            </w:r>
          </w:p>
        </w:tc>
        <w:tc>
          <w:tcPr>
            <w:tcW w:w="721" w:type="pct"/>
            <w:vAlign w:val="bottom"/>
          </w:tcPr>
          <w:p w:rsidR="00CB2617" w:rsidRPr="00907B94" w:rsidRDefault="00CB2617" w:rsidP="004F4C2E">
            <w:pPr>
              <w:keepNext/>
              <w:keepLines/>
              <w:spacing w:before="70" w:after="70"/>
              <w:jc w:val="right"/>
              <w:rPr>
                <w:color w:val="000000"/>
                <w:szCs w:val="20"/>
              </w:rPr>
            </w:pPr>
            <w:r>
              <w:rPr>
                <w:color w:val="000000"/>
                <w:szCs w:val="20"/>
              </w:rPr>
              <w:t>-</w:t>
            </w:r>
            <w:r w:rsidRPr="00907B94">
              <w:rPr>
                <w:color w:val="000000"/>
                <w:szCs w:val="20"/>
              </w:rPr>
              <w:t xml:space="preserve"> </w:t>
            </w:r>
          </w:p>
        </w:tc>
        <w:tc>
          <w:tcPr>
            <w:tcW w:w="721" w:type="pct"/>
            <w:vAlign w:val="bottom"/>
          </w:tcPr>
          <w:p w:rsidR="00CB2617" w:rsidRPr="00907B94" w:rsidRDefault="00CB2617" w:rsidP="004F4C2E">
            <w:pPr>
              <w:keepNext/>
              <w:keepLines/>
              <w:spacing w:before="70" w:after="70"/>
              <w:jc w:val="right"/>
              <w:rPr>
                <w:color w:val="000000"/>
                <w:szCs w:val="20"/>
              </w:rPr>
            </w:pPr>
            <w:r>
              <w:rPr>
                <w:color w:val="000000"/>
                <w:szCs w:val="20"/>
              </w:rPr>
              <w:t>-1.6</w:t>
            </w:r>
          </w:p>
        </w:tc>
        <w:tc>
          <w:tcPr>
            <w:tcW w:w="722" w:type="pct"/>
            <w:vAlign w:val="bottom"/>
          </w:tcPr>
          <w:p w:rsidR="00CB2617" w:rsidRPr="00907B94" w:rsidRDefault="00CB2617" w:rsidP="004F4C2E">
            <w:pPr>
              <w:keepNext/>
              <w:keepLines/>
              <w:spacing w:before="70" w:after="70"/>
              <w:jc w:val="right"/>
              <w:rPr>
                <w:color w:val="000000"/>
                <w:szCs w:val="20"/>
              </w:rPr>
            </w:pPr>
            <w:r>
              <w:rPr>
                <w:color w:val="000000"/>
                <w:szCs w:val="20"/>
              </w:rPr>
              <w:t>-1.1</w:t>
            </w:r>
            <w:r w:rsidRPr="00907B94">
              <w:rPr>
                <w:color w:val="000000"/>
                <w:szCs w:val="20"/>
              </w:rPr>
              <w:t xml:space="preserve"> </w:t>
            </w:r>
          </w:p>
        </w:tc>
        <w:tc>
          <w:tcPr>
            <w:tcW w:w="721" w:type="pct"/>
            <w:vAlign w:val="bottom"/>
          </w:tcPr>
          <w:p w:rsidR="00CB2617" w:rsidRPr="00907B94" w:rsidRDefault="00CB2617" w:rsidP="004F4C2E">
            <w:pPr>
              <w:keepNext/>
              <w:keepLines/>
              <w:spacing w:before="70" w:after="70"/>
              <w:jc w:val="right"/>
              <w:rPr>
                <w:color w:val="000000"/>
                <w:szCs w:val="20"/>
              </w:rPr>
            </w:pPr>
            <w:r>
              <w:rPr>
                <w:color w:val="000000"/>
                <w:szCs w:val="20"/>
              </w:rPr>
              <w:t>-1.1</w:t>
            </w:r>
            <w:r w:rsidRPr="00907B94">
              <w:rPr>
                <w:color w:val="000000"/>
                <w:szCs w:val="20"/>
              </w:rPr>
              <w:t xml:space="preserve"> </w:t>
            </w:r>
          </w:p>
        </w:tc>
        <w:tc>
          <w:tcPr>
            <w:tcW w:w="722" w:type="pct"/>
            <w:vAlign w:val="bottom"/>
          </w:tcPr>
          <w:p w:rsidR="00CB2617" w:rsidRPr="00D974AF" w:rsidRDefault="00CB2617" w:rsidP="004F4C2E">
            <w:pPr>
              <w:keepNext/>
              <w:keepLines/>
              <w:spacing w:before="70" w:after="70"/>
              <w:jc w:val="right"/>
              <w:rPr>
                <w:b/>
                <w:color w:val="000000"/>
                <w:szCs w:val="20"/>
              </w:rPr>
            </w:pPr>
            <w:r>
              <w:rPr>
                <w:b/>
                <w:color w:val="000000"/>
                <w:szCs w:val="20"/>
              </w:rPr>
              <w:t>-3.8</w:t>
            </w:r>
            <w:r w:rsidRPr="00D974AF">
              <w:rPr>
                <w:b/>
                <w:color w:val="000000"/>
                <w:szCs w:val="20"/>
              </w:rPr>
              <w:t xml:space="preserve"> </w:t>
            </w:r>
          </w:p>
        </w:tc>
      </w:tr>
      <w:tr w:rsidR="00CB2617" w:rsidTr="00923E28">
        <w:tc>
          <w:tcPr>
            <w:tcW w:w="1393" w:type="pct"/>
          </w:tcPr>
          <w:p w:rsidR="00CB2617" w:rsidRDefault="00CB2617" w:rsidP="004F4C2E">
            <w:pPr>
              <w:pStyle w:val="TableText"/>
              <w:keepNext/>
              <w:keepLines/>
            </w:pPr>
            <w:r>
              <w:t>Underlying cash balance</w:t>
            </w:r>
          </w:p>
        </w:tc>
        <w:tc>
          <w:tcPr>
            <w:tcW w:w="721" w:type="pct"/>
            <w:vAlign w:val="bottom"/>
          </w:tcPr>
          <w:p w:rsidR="00CB2617" w:rsidRPr="00907B94" w:rsidRDefault="00CB2617" w:rsidP="004F4C2E">
            <w:pPr>
              <w:keepNext/>
              <w:keepLines/>
              <w:spacing w:before="70" w:after="70"/>
              <w:jc w:val="right"/>
              <w:rPr>
                <w:color w:val="000000"/>
                <w:szCs w:val="20"/>
              </w:rPr>
            </w:pPr>
            <w:r w:rsidRPr="00907B94">
              <w:rPr>
                <w:color w:val="000000"/>
                <w:szCs w:val="20"/>
              </w:rPr>
              <w:t xml:space="preserve"> </w:t>
            </w:r>
            <w:r>
              <w:rPr>
                <w:color w:val="000000"/>
                <w:szCs w:val="20"/>
              </w:rPr>
              <w:t>-</w:t>
            </w:r>
            <w:r w:rsidRPr="00907B94">
              <w:rPr>
                <w:color w:val="000000"/>
                <w:szCs w:val="20"/>
              </w:rPr>
              <w:t xml:space="preserve"> </w:t>
            </w:r>
          </w:p>
        </w:tc>
        <w:tc>
          <w:tcPr>
            <w:tcW w:w="721" w:type="pct"/>
            <w:vAlign w:val="bottom"/>
          </w:tcPr>
          <w:p w:rsidR="00CB2617" w:rsidRPr="00907B94" w:rsidRDefault="00CB2617" w:rsidP="004F4C2E">
            <w:pPr>
              <w:keepNext/>
              <w:keepLines/>
              <w:spacing w:before="70" w:after="70"/>
              <w:jc w:val="right"/>
              <w:rPr>
                <w:color w:val="000000"/>
                <w:szCs w:val="20"/>
              </w:rPr>
            </w:pPr>
            <w:r>
              <w:rPr>
                <w:color w:val="000000"/>
                <w:szCs w:val="20"/>
              </w:rPr>
              <w:t>-1.6</w:t>
            </w:r>
            <w:r w:rsidRPr="00907B94">
              <w:rPr>
                <w:color w:val="000000"/>
                <w:szCs w:val="20"/>
              </w:rPr>
              <w:t xml:space="preserve"> </w:t>
            </w:r>
          </w:p>
        </w:tc>
        <w:tc>
          <w:tcPr>
            <w:tcW w:w="722" w:type="pct"/>
            <w:vAlign w:val="bottom"/>
          </w:tcPr>
          <w:p w:rsidR="00CB2617" w:rsidRPr="00907B94" w:rsidRDefault="00CB2617" w:rsidP="004F4C2E">
            <w:pPr>
              <w:keepNext/>
              <w:keepLines/>
              <w:spacing w:before="70" w:after="70"/>
              <w:jc w:val="right"/>
              <w:rPr>
                <w:color w:val="000000"/>
                <w:szCs w:val="20"/>
              </w:rPr>
            </w:pPr>
            <w:r>
              <w:rPr>
                <w:color w:val="000000"/>
                <w:szCs w:val="20"/>
              </w:rPr>
              <w:t>-1.1</w:t>
            </w:r>
            <w:r w:rsidRPr="00907B94">
              <w:rPr>
                <w:color w:val="000000"/>
                <w:szCs w:val="20"/>
              </w:rPr>
              <w:t xml:space="preserve"> </w:t>
            </w:r>
          </w:p>
        </w:tc>
        <w:tc>
          <w:tcPr>
            <w:tcW w:w="721" w:type="pct"/>
            <w:vAlign w:val="bottom"/>
          </w:tcPr>
          <w:p w:rsidR="00CB2617" w:rsidRPr="00907B94" w:rsidRDefault="00CB2617" w:rsidP="004F4C2E">
            <w:pPr>
              <w:keepNext/>
              <w:keepLines/>
              <w:spacing w:before="70" w:after="70"/>
              <w:jc w:val="right"/>
              <w:rPr>
                <w:color w:val="000000"/>
                <w:szCs w:val="20"/>
              </w:rPr>
            </w:pPr>
            <w:r>
              <w:rPr>
                <w:color w:val="000000"/>
                <w:szCs w:val="20"/>
              </w:rPr>
              <w:t>-1.1</w:t>
            </w:r>
            <w:r w:rsidRPr="00907B94">
              <w:rPr>
                <w:color w:val="000000"/>
                <w:szCs w:val="20"/>
              </w:rPr>
              <w:t xml:space="preserve"> </w:t>
            </w:r>
          </w:p>
        </w:tc>
        <w:tc>
          <w:tcPr>
            <w:tcW w:w="722" w:type="pct"/>
            <w:vAlign w:val="bottom"/>
          </w:tcPr>
          <w:p w:rsidR="00CB2617" w:rsidRPr="00D974AF" w:rsidRDefault="00CB2617" w:rsidP="004F4C2E">
            <w:pPr>
              <w:keepNext/>
              <w:keepLines/>
              <w:spacing w:before="70" w:after="70"/>
              <w:jc w:val="right"/>
              <w:rPr>
                <w:b/>
                <w:color w:val="000000"/>
                <w:szCs w:val="20"/>
              </w:rPr>
            </w:pPr>
            <w:r w:rsidRPr="00D974AF">
              <w:rPr>
                <w:b/>
                <w:color w:val="000000"/>
                <w:szCs w:val="20"/>
              </w:rPr>
              <w:t xml:space="preserve"> </w:t>
            </w:r>
            <w:r>
              <w:rPr>
                <w:b/>
                <w:color w:val="000000"/>
                <w:szCs w:val="20"/>
              </w:rPr>
              <w:t>-3.8</w:t>
            </w:r>
            <w:r w:rsidRPr="00D974AF">
              <w:rPr>
                <w:b/>
                <w:color w:val="000000"/>
                <w:szCs w:val="20"/>
              </w:rPr>
              <w:t xml:space="preserve"> </w:t>
            </w:r>
          </w:p>
        </w:tc>
      </w:tr>
    </w:tbl>
    <w:p w:rsidR="00CB2617" w:rsidRPr="00CB2617" w:rsidRDefault="00CB2617" w:rsidP="002C43F8">
      <w:pPr>
        <w:pStyle w:val="Footnotes"/>
        <w:keepNext/>
        <w:keepLines/>
        <w:numPr>
          <w:ilvl w:val="0"/>
          <w:numId w:val="56"/>
        </w:numPr>
        <w:ind w:left="284" w:hanging="284"/>
      </w:pPr>
      <w:r w:rsidRPr="00CB2617">
        <w:t>A positive number indicates an increase in the relevant budget balance, a negative number a decrease.</w:t>
      </w:r>
    </w:p>
    <w:p w:rsidR="00CB2617" w:rsidRPr="00CB2617" w:rsidRDefault="00CB2617" w:rsidP="004F4C2E">
      <w:pPr>
        <w:pStyle w:val="Footnotes"/>
        <w:keepNext/>
        <w:keepLines/>
        <w:ind w:left="284" w:hanging="284"/>
      </w:pPr>
      <w:r w:rsidRPr="00CB2617">
        <w:t>Figures may not sum to totals due to rounding.</w:t>
      </w:r>
    </w:p>
    <w:p w:rsidR="00CB2617" w:rsidRDefault="00CB2617" w:rsidP="002C43F8">
      <w:pPr>
        <w:pStyle w:val="Footnotes"/>
        <w:keepNext/>
        <w:keepLines/>
        <w:numPr>
          <w:ilvl w:val="0"/>
          <w:numId w:val="55"/>
        </w:numPr>
        <w:spacing w:before="0" w:after="113"/>
        <w:ind w:left="284" w:hanging="284"/>
      </w:pPr>
      <w:r>
        <w:t>Indicates nil.</w:t>
      </w:r>
    </w:p>
    <w:p w:rsidR="00420CF4" w:rsidRDefault="00420CF4" w:rsidP="00420CF4">
      <w:pPr>
        <w:pStyle w:val="CostingsH7"/>
      </w:pPr>
      <w:r>
        <w:t>Key assumptions</w:t>
      </w:r>
    </w:p>
    <w:p w:rsidR="00CB2617" w:rsidRDefault="00CB2617" w:rsidP="00CB2617">
      <w:pPr>
        <w:pStyle w:val="BodyText"/>
      </w:pPr>
      <w:r>
        <w:t>The Parliamentary Budget Office has made the following assumptions regarding this proposal:</w:t>
      </w:r>
    </w:p>
    <w:p w:rsidR="00CB2617" w:rsidRDefault="00CB2617" w:rsidP="00CB2617">
      <w:pPr>
        <w:pStyle w:val="ListBullet"/>
      </w:pPr>
      <w:r>
        <w:t>The new office would be leased and not purchased.</w:t>
      </w:r>
    </w:p>
    <w:p w:rsidR="00CB2617" w:rsidRPr="00CB2617" w:rsidRDefault="00CB2617" w:rsidP="00CB2617">
      <w:pPr>
        <w:pStyle w:val="ListBullet"/>
      </w:pPr>
      <w:r>
        <w:t>Half of the new staff would require relocation assistance and half of the new staff would be already based in Perth.</w:t>
      </w:r>
    </w:p>
    <w:p w:rsidR="00420CF4" w:rsidRDefault="00420CF4" w:rsidP="00420CF4">
      <w:pPr>
        <w:pStyle w:val="CostingsH7"/>
      </w:pPr>
      <w:r>
        <w:t>Methodology</w:t>
      </w:r>
    </w:p>
    <w:p w:rsidR="00CB2617" w:rsidRPr="00CB2617" w:rsidRDefault="00CB2617" w:rsidP="00CB2617">
      <w:pPr>
        <w:pStyle w:val="BodyText"/>
      </w:pPr>
      <w:r w:rsidRPr="00CB2617">
        <w:t>The impact of the proposal was derived by applying the Department of Finance’s departmental costing assumptions (including the impact of the efficiency dividend and relevant 2016-17 Budget indexation rates) to the costs of the specified staffing levels (including on-costs such as property operating expenses), staff relocation allowances and office fit-out.  As specified, the cost of staffing was halved to account for funding provided from current departmental funding of the Treasury.</w:t>
      </w:r>
    </w:p>
    <w:p w:rsidR="00CB2617" w:rsidRPr="00CB2617" w:rsidRDefault="00CB2617" w:rsidP="00CB2617">
      <w:pPr>
        <w:pStyle w:val="BodyText"/>
      </w:pPr>
      <w:r w:rsidRPr="00CB2617">
        <w:t>Office fit-out costs were calculated by multiplying the specified staffing allocation by the average cost per staff member (derived by multiplying the average office fit-out costs per square metre by the median Commonwealth office square metres per staff member).</w:t>
      </w:r>
    </w:p>
    <w:p w:rsidR="00CB2617" w:rsidRPr="00CB2617" w:rsidRDefault="00CB2617" w:rsidP="00CB2617">
      <w:pPr>
        <w:pStyle w:val="BodyText"/>
      </w:pPr>
      <w:r w:rsidRPr="00CB2617">
        <w:t>Note staff relocation allowances and office fit-out costs only have an impact in the first year (2017-18).</w:t>
      </w:r>
    </w:p>
    <w:p w:rsidR="00420CF4" w:rsidRDefault="00420CF4" w:rsidP="00420CF4">
      <w:pPr>
        <w:pStyle w:val="CostingsH7"/>
      </w:pPr>
      <w:r>
        <w:t>Data sources</w:t>
      </w:r>
    </w:p>
    <w:p w:rsidR="00420CF4" w:rsidRDefault="00505104" w:rsidP="00420CF4">
      <w:pPr>
        <w:pStyle w:val="BodyText"/>
      </w:pPr>
      <w:r>
        <w:t xml:space="preserve">The </w:t>
      </w:r>
      <w:r w:rsidR="00CB2617" w:rsidRPr="00CB2617">
        <w:t xml:space="preserve">Department of Finance </w:t>
      </w:r>
      <w:r>
        <w:t xml:space="preserve">provided </w:t>
      </w:r>
      <w:r w:rsidR="00CB2617" w:rsidRPr="00CB2617">
        <w:t>departmental costing assumptions.</w:t>
      </w:r>
    </w:p>
    <w:p w:rsidR="004F4C2E" w:rsidRPr="00951305" w:rsidRDefault="004F4C2E"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30" w:name="_Toc458081650"/>
      <w:r>
        <w:t>ALP026: Not proceeding with income tax cuts for high-income Australians</w:t>
      </w:r>
      <w:bookmarkEnd w:id="30"/>
    </w:p>
    <w:p w:rsidR="00745988" w:rsidRDefault="00745988" w:rsidP="00745988">
      <w:pPr>
        <w:pStyle w:val="BodyText"/>
      </w:pPr>
      <w:r>
        <w:rPr>
          <w:noProof/>
          <w:lang w:eastAsia="en-AU"/>
        </w:rPr>
        <w:drawing>
          <wp:inline distT="0" distB="0" distL="0" distR="0" wp14:anchorId="5DFD05EA" wp14:editId="4ED8C776">
            <wp:extent cx="2696845" cy="572135"/>
            <wp:effectExtent l="0" t="0" r="8255" b="0"/>
            <wp:docPr id="367" name="Picture 36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923E28" w:rsidP="004F4C2E">
            <w:pPr>
              <w:pStyle w:val="PullOutBoxHeading"/>
              <w:rPr>
                <w:b/>
              </w:rPr>
            </w:pPr>
            <w:r w:rsidRPr="00E758BA">
              <w:rPr>
                <w:b/>
              </w:rPr>
              <w:t>Not proceeding with income tax cuts for high-income Australians</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923E28" w:rsidRPr="00923E28" w:rsidRDefault="00923E28" w:rsidP="004F4C2E">
            <w:pPr>
              <w:pStyle w:val="PullOutBoxBodyText"/>
            </w:pPr>
            <w:r w:rsidRPr="00923E28">
              <w:t>The Temporary Budget Repair Levy (TBRL) is a 2 per cent levy on taxable incomes in excess of $180,000 applying in 2014-15, 2015-16 and 2016-17.</w:t>
            </w:r>
          </w:p>
          <w:p w:rsidR="00923E28" w:rsidRPr="00923E28" w:rsidRDefault="00923E28" w:rsidP="004F4C2E">
            <w:pPr>
              <w:pStyle w:val="PullOutBoxBodyText"/>
            </w:pPr>
            <w:r w:rsidRPr="00923E28">
              <w:t>The proposal would extend the TBRL indefinitely.</w:t>
            </w:r>
          </w:p>
          <w:p w:rsidR="00923E28" w:rsidRPr="00923E28" w:rsidRDefault="00923E28" w:rsidP="004F4C2E">
            <w:pPr>
              <w:pStyle w:val="PullOutBoxBodyText"/>
            </w:pPr>
            <w:r w:rsidRPr="00923E28">
              <w:t>The proposal would also increase the Fringe Benefits Tax (FBT) by 2 per cent.</w:t>
            </w:r>
          </w:p>
          <w:p w:rsidR="00420CF4" w:rsidRPr="00B45F94" w:rsidRDefault="00923E28" w:rsidP="004F4C2E">
            <w:pPr>
              <w:pStyle w:val="PullOutBoxBodyText"/>
            </w:pPr>
            <w:r w:rsidRPr="00923E28">
              <w:t>The proposal would have effect from 1 July 2017.</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420CF4" w:rsidRPr="00B45F94" w:rsidTr="00967BCD">
        <w:tc>
          <w:tcPr>
            <w:tcW w:w="1809" w:type="pct"/>
          </w:tcPr>
          <w:p w:rsidR="00420CF4" w:rsidRPr="00B45F94" w:rsidRDefault="00420CF4" w:rsidP="004F4C2E">
            <w:pPr>
              <w:pStyle w:val="PullOutBoxBodyText"/>
            </w:pPr>
            <w:r w:rsidRPr="00B45F94">
              <w:t>Expiry date for the costing:</w:t>
            </w:r>
          </w:p>
        </w:tc>
        <w:tc>
          <w:tcPr>
            <w:tcW w:w="3191" w:type="pct"/>
          </w:tcPr>
          <w:p w:rsidR="00420CF4"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923E28" w:rsidRPr="00923E28" w:rsidRDefault="00923E28" w:rsidP="00923E28">
      <w:pPr>
        <w:pStyle w:val="BodyText"/>
      </w:pPr>
      <w:r w:rsidRPr="00923E28">
        <w:t>This proposal would be expected to increase both the fiscal and underlying cash balances by $4,150 million over the 2016-17 Budget forward estimates period.  This impact is entirely due to an increase in revenue.</w:t>
      </w:r>
    </w:p>
    <w:p w:rsidR="00923E28" w:rsidRPr="00923E28" w:rsidRDefault="00923E28" w:rsidP="00923E28">
      <w:pPr>
        <w:pStyle w:val="BodyText"/>
      </w:pPr>
      <w:r w:rsidRPr="00923E28">
        <w:t>This proposal would have ongoing financi</w:t>
      </w:r>
      <w:r>
        <w:t>al implications beyond the 2016</w:t>
      </w:r>
      <w:r>
        <w:noBreakHyphen/>
      </w:r>
      <w:r w:rsidRPr="00923E28">
        <w:t xml:space="preserve">17 Budget forward estimates period.  The financial implications of the proposal over the 2016-17 Budget forward estimates period are not necessarily reflective of its ongoing implications due to the operation of bracket creep, where nominal income growth leads to higher marginal and average tax rates.  The estimated financial implications to 2026-27 are provided at </w:t>
      </w:r>
      <w:r w:rsidRPr="00923E28">
        <w:rPr>
          <w:u w:val="single"/>
        </w:rPr>
        <w:t>Attachment A</w:t>
      </w:r>
      <w:r w:rsidRPr="00923E28">
        <w:t>.</w:t>
      </w:r>
    </w:p>
    <w:p w:rsidR="00923E28" w:rsidRPr="00923E28" w:rsidRDefault="00923E28" w:rsidP="00923E28">
      <w:pPr>
        <w:pStyle w:val="BodyText"/>
      </w:pPr>
      <w:r w:rsidRPr="00923E28">
        <w:t>The Parliamentary Budget Office (PBO) does not expect that departmental expenses would be significant for this proposal based on our analysis of previous proposals with similar administrative complexity.</w:t>
      </w:r>
    </w:p>
    <w:p w:rsidR="00CA70AE" w:rsidRDefault="00923E28" w:rsidP="00923E28">
      <w:pPr>
        <w:pStyle w:val="BodyText"/>
      </w:pPr>
      <w:r w:rsidRPr="00923E28">
        <w:t>The costing is considered to be of medium reliability.  The estimates are based on a large representative sample of administrative tax data.  However, the estimates would be sensitive to behavioural responses by individuals affected by this proposal and to variations in population and income growth.  The reliability of the costing decreases the further into the future the estimates are projected.</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917E0D"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917E0D" w:rsidRDefault="00420CF4" w:rsidP="00967BCD">
            <w:pPr>
              <w:pStyle w:val="TableHeading"/>
              <w:rPr>
                <w:szCs w:val="20"/>
              </w:rPr>
            </w:pPr>
            <w:r w:rsidRPr="00917E0D">
              <w:rPr>
                <w:szCs w:val="20"/>
              </w:rPr>
              <w:t>Impact on</w:t>
            </w:r>
            <w:r w:rsidR="00CA70AE" w:rsidRPr="00917E0D">
              <w:rPr>
                <w:szCs w:val="20"/>
              </w:rPr>
              <w:t xml:space="preserve"> ($m)</w:t>
            </w:r>
          </w:p>
        </w:tc>
        <w:tc>
          <w:tcPr>
            <w:tcW w:w="721" w:type="pct"/>
          </w:tcPr>
          <w:p w:rsidR="00420CF4" w:rsidRPr="00917E0D" w:rsidRDefault="00420CF4" w:rsidP="00967BCD">
            <w:pPr>
              <w:pStyle w:val="TableHeadingRight"/>
              <w:rPr>
                <w:szCs w:val="20"/>
              </w:rPr>
            </w:pPr>
            <w:r w:rsidRPr="00917E0D">
              <w:rPr>
                <w:szCs w:val="20"/>
              </w:rPr>
              <w:t>2016–17</w:t>
            </w:r>
          </w:p>
        </w:tc>
        <w:tc>
          <w:tcPr>
            <w:tcW w:w="721" w:type="pct"/>
          </w:tcPr>
          <w:p w:rsidR="00420CF4" w:rsidRPr="00917E0D" w:rsidRDefault="00420CF4" w:rsidP="00967BCD">
            <w:pPr>
              <w:pStyle w:val="TableHeadingRight"/>
              <w:rPr>
                <w:szCs w:val="20"/>
              </w:rPr>
            </w:pPr>
            <w:r w:rsidRPr="00917E0D">
              <w:rPr>
                <w:szCs w:val="20"/>
              </w:rPr>
              <w:t>2017–18</w:t>
            </w:r>
          </w:p>
        </w:tc>
        <w:tc>
          <w:tcPr>
            <w:tcW w:w="722" w:type="pct"/>
          </w:tcPr>
          <w:p w:rsidR="00420CF4" w:rsidRPr="00917E0D" w:rsidRDefault="00420CF4" w:rsidP="00967BCD">
            <w:pPr>
              <w:pStyle w:val="TableHeadingRight"/>
              <w:rPr>
                <w:szCs w:val="20"/>
              </w:rPr>
            </w:pPr>
            <w:r w:rsidRPr="00917E0D">
              <w:rPr>
                <w:szCs w:val="20"/>
              </w:rPr>
              <w:t>2018–19</w:t>
            </w:r>
          </w:p>
        </w:tc>
        <w:tc>
          <w:tcPr>
            <w:tcW w:w="721" w:type="pct"/>
          </w:tcPr>
          <w:p w:rsidR="00420CF4" w:rsidRPr="00917E0D" w:rsidRDefault="00420CF4" w:rsidP="00967BCD">
            <w:pPr>
              <w:pStyle w:val="TableHeadingRight"/>
              <w:rPr>
                <w:szCs w:val="20"/>
              </w:rPr>
            </w:pPr>
            <w:r w:rsidRPr="00917E0D">
              <w:rPr>
                <w:szCs w:val="20"/>
              </w:rPr>
              <w:t>2019–20</w:t>
            </w:r>
          </w:p>
        </w:tc>
        <w:tc>
          <w:tcPr>
            <w:tcW w:w="722" w:type="pct"/>
          </w:tcPr>
          <w:p w:rsidR="00420CF4" w:rsidRPr="00917E0D" w:rsidRDefault="00420CF4" w:rsidP="00CA70AE">
            <w:pPr>
              <w:pStyle w:val="TableTextRight"/>
              <w:rPr>
                <w:szCs w:val="20"/>
              </w:rPr>
            </w:pPr>
            <w:r w:rsidRPr="00917E0D">
              <w:rPr>
                <w:szCs w:val="20"/>
              </w:rPr>
              <w:t>Total</w:t>
            </w:r>
          </w:p>
        </w:tc>
      </w:tr>
      <w:tr w:rsidR="00923E28" w:rsidRPr="00917E0D" w:rsidTr="00967BCD">
        <w:tc>
          <w:tcPr>
            <w:tcW w:w="1393" w:type="pct"/>
          </w:tcPr>
          <w:p w:rsidR="00923E28" w:rsidRPr="00917E0D" w:rsidRDefault="00923E28" w:rsidP="004F4C2E">
            <w:pPr>
              <w:pStyle w:val="TableText"/>
              <w:keepNext/>
              <w:keepLines/>
              <w:rPr>
                <w:szCs w:val="20"/>
              </w:rPr>
            </w:pPr>
            <w:r w:rsidRPr="00917E0D">
              <w:rPr>
                <w:szCs w:val="20"/>
              </w:rPr>
              <w:t>Fiscal balance</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1,150</w:t>
            </w:r>
          </w:p>
        </w:tc>
        <w:tc>
          <w:tcPr>
            <w:tcW w:w="722" w:type="pct"/>
          </w:tcPr>
          <w:p w:rsidR="00923E28" w:rsidRPr="00917E0D" w:rsidRDefault="00923E28" w:rsidP="004F4C2E">
            <w:pPr>
              <w:keepNext/>
              <w:keepLines/>
              <w:spacing w:before="70" w:after="70"/>
              <w:jc w:val="right"/>
              <w:rPr>
                <w:sz w:val="20"/>
                <w:szCs w:val="20"/>
              </w:rPr>
            </w:pPr>
            <w:r w:rsidRPr="00917E0D">
              <w:rPr>
                <w:sz w:val="20"/>
                <w:szCs w:val="20"/>
              </w:rPr>
              <w:t>1,450</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1,550</w:t>
            </w:r>
          </w:p>
        </w:tc>
        <w:tc>
          <w:tcPr>
            <w:tcW w:w="722" w:type="pct"/>
          </w:tcPr>
          <w:p w:rsidR="00923E28" w:rsidRPr="00917E0D" w:rsidRDefault="00923E28" w:rsidP="004F4C2E">
            <w:pPr>
              <w:keepNext/>
              <w:keepLines/>
              <w:spacing w:before="70" w:after="70"/>
              <w:jc w:val="right"/>
              <w:rPr>
                <w:b/>
                <w:sz w:val="20"/>
                <w:szCs w:val="20"/>
              </w:rPr>
            </w:pPr>
            <w:r w:rsidRPr="00917E0D">
              <w:rPr>
                <w:b/>
                <w:sz w:val="20"/>
                <w:szCs w:val="20"/>
              </w:rPr>
              <w:t>4,150</w:t>
            </w:r>
          </w:p>
        </w:tc>
      </w:tr>
      <w:tr w:rsidR="00923E28" w:rsidRPr="00917E0D" w:rsidTr="00967BCD">
        <w:tc>
          <w:tcPr>
            <w:tcW w:w="1393" w:type="pct"/>
          </w:tcPr>
          <w:p w:rsidR="00923E28" w:rsidRPr="00917E0D" w:rsidRDefault="00923E28" w:rsidP="004F4C2E">
            <w:pPr>
              <w:pStyle w:val="TableText"/>
              <w:keepNext/>
              <w:keepLines/>
              <w:rPr>
                <w:szCs w:val="20"/>
              </w:rPr>
            </w:pPr>
            <w:r w:rsidRPr="00917E0D">
              <w:rPr>
                <w:szCs w:val="20"/>
              </w:rPr>
              <w:t>Underlying cash balance</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1,150</w:t>
            </w:r>
          </w:p>
        </w:tc>
        <w:tc>
          <w:tcPr>
            <w:tcW w:w="722" w:type="pct"/>
          </w:tcPr>
          <w:p w:rsidR="00923E28" w:rsidRPr="00917E0D" w:rsidRDefault="00923E28" w:rsidP="004F4C2E">
            <w:pPr>
              <w:keepNext/>
              <w:keepLines/>
              <w:spacing w:before="70" w:after="70"/>
              <w:jc w:val="right"/>
              <w:rPr>
                <w:sz w:val="20"/>
                <w:szCs w:val="20"/>
              </w:rPr>
            </w:pPr>
            <w:r w:rsidRPr="00917E0D">
              <w:rPr>
                <w:sz w:val="20"/>
                <w:szCs w:val="20"/>
              </w:rPr>
              <w:t>1,450</w:t>
            </w:r>
          </w:p>
        </w:tc>
        <w:tc>
          <w:tcPr>
            <w:tcW w:w="721" w:type="pct"/>
          </w:tcPr>
          <w:p w:rsidR="00923E28" w:rsidRPr="00917E0D" w:rsidRDefault="00923E28" w:rsidP="004F4C2E">
            <w:pPr>
              <w:keepNext/>
              <w:keepLines/>
              <w:spacing w:before="70" w:after="70"/>
              <w:jc w:val="right"/>
              <w:rPr>
                <w:sz w:val="20"/>
                <w:szCs w:val="20"/>
              </w:rPr>
            </w:pPr>
            <w:r w:rsidRPr="00917E0D">
              <w:rPr>
                <w:sz w:val="20"/>
                <w:szCs w:val="20"/>
              </w:rPr>
              <w:t>1,550</w:t>
            </w:r>
          </w:p>
        </w:tc>
        <w:tc>
          <w:tcPr>
            <w:tcW w:w="722" w:type="pct"/>
          </w:tcPr>
          <w:p w:rsidR="00923E28" w:rsidRPr="00917E0D" w:rsidRDefault="00923E28" w:rsidP="004F4C2E">
            <w:pPr>
              <w:keepNext/>
              <w:keepLines/>
              <w:spacing w:before="70" w:after="70"/>
              <w:jc w:val="right"/>
              <w:rPr>
                <w:b/>
                <w:sz w:val="20"/>
                <w:szCs w:val="20"/>
              </w:rPr>
            </w:pPr>
            <w:r w:rsidRPr="00917E0D">
              <w:rPr>
                <w:b/>
                <w:sz w:val="20"/>
                <w:szCs w:val="20"/>
              </w:rPr>
              <w:t>4,150</w:t>
            </w:r>
          </w:p>
        </w:tc>
      </w:tr>
    </w:tbl>
    <w:p w:rsidR="00420CF4" w:rsidRDefault="00420CF4" w:rsidP="00620505">
      <w:pPr>
        <w:pStyle w:val="Footnotes"/>
        <w:numPr>
          <w:ilvl w:val="0"/>
          <w:numId w:val="217"/>
        </w:numPr>
        <w:ind w:left="284" w:hanging="284"/>
      </w:pPr>
      <w:r>
        <w:t xml:space="preserve">A positive </w:t>
      </w:r>
      <w:r w:rsidRPr="00FC1F1C">
        <w:t>number indicates an increase in the relevant budget balance.</w:t>
      </w:r>
    </w:p>
    <w:p w:rsidR="00923E28" w:rsidRPr="00B77CCE" w:rsidRDefault="00420CF4" w:rsidP="00620505">
      <w:pPr>
        <w:pStyle w:val="Footnotes"/>
        <w:ind w:left="284" w:hanging="284"/>
        <w:rPr>
          <w:rStyle w:val="FootnoteReference"/>
          <w:vertAlign w:val="baseline"/>
        </w:rPr>
      </w:pPr>
      <w:r w:rsidRPr="000E063A">
        <w:t>Figures may not sum to totals due to rounding.</w:t>
      </w:r>
      <w:r w:rsidR="00B77CCE">
        <w:t xml:space="preserve"> - </w:t>
      </w:r>
      <w:r w:rsidR="00923E28">
        <w:t>Indicates nil.</w:t>
      </w:r>
    </w:p>
    <w:p w:rsidR="00420CF4" w:rsidRDefault="00420CF4" w:rsidP="00B77CCE">
      <w:pPr>
        <w:pStyle w:val="CostingsH7"/>
        <w:spacing w:before="240"/>
      </w:pPr>
      <w:r>
        <w:t>Key assumptions</w:t>
      </w:r>
    </w:p>
    <w:p w:rsidR="00923E28" w:rsidRDefault="00923E28" w:rsidP="00923E28">
      <w:pPr>
        <w:pStyle w:val="ListBullet"/>
      </w:pPr>
      <w:r>
        <w:t>There are a number of potential behavioural responses associated with changes to personal income tax rates, including changes to labour supply and investment decisions.</w:t>
      </w:r>
    </w:p>
    <w:p w:rsidR="00923E28" w:rsidRDefault="00923E28" w:rsidP="00923E28">
      <w:pPr>
        <w:pStyle w:val="ListBullet2"/>
      </w:pPr>
      <w:r>
        <w:t>The PBO has included a behavioural response to account for changes in investment decisions and tax planning arrangements by affected individuals, which results in decreased taxable income for these individuals.</w:t>
      </w:r>
    </w:p>
    <w:p w:rsidR="00923E28" w:rsidRDefault="00923E28" w:rsidP="00923E28">
      <w:pPr>
        <w:pStyle w:val="ListBullet3"/>
      </w:pPr>
      <w:r>
        <w:t>The PBO has assumed that individuals with incomes in excess of $180,000 have a taxable income elasticity of 0.2.</w:t>
      </w:r>
      <w:r w:rsidRPr="00E53973">
        <w:rPr>
          <w:rStyle w:val="FootnoteReference"/>
        </w:rPr>
        <w:footnoteReference w:id="7"/>
      </w:r>
    </w:p>
    <w:p w:rsidR="00923E28" w:rsidRPr="00923E28" w:rsidRDefault="00923E28" w:rsidP="00923E28">
      <w:pPr>
        <w:pStyle w:val="ListBullet2"/>
      </w:pPr>
      <w:r>
        <w:t>The costing does not account for changes in labour supply as a result of this proposal.  While studies indicate that labour supply, particularly by secondary earners, decreases in response to increases in tax rates, there is considerable uncertainty surrounding the magnitude and timing of the effect on employment.</w:t>
      </w:r>
    </w:p>
    <w:p w:rsidR="00420CF4" w:rsidRDefault="00420CF4" w:rsidP="00B77CCE">
      <w:pPr>
        <w:pStyle w:val="CostingsH7"/>
        <w:spacing w:before="240"/>
      </w:pPr>
      <w:r>
        <w:t>Methodology</w:t>
      </w:r>
    </w:p>
    <w:p w:rsidR="00923E28" w:rsidRDefault="00923E28" w:rsidP="00923E28">
      <w:pPr>
        <w:pStyle w:val="ListBullet"/>
      </w:pPr>
      <w:r>
        <w:t>The costing was estimated using a 16 per cent sample of de-identified personal income tax and superannuation returns for 2012-13 provided by the Australian Taxation Office (ATO).  The data was used to estimate the increase in tax associated with the higher tax rates, accounting for the changes in taxable incomes as a result of the behavioural responses outlined above.</w:t>
      </w:r>
    </w:p>
    <w:p w:rsidR="00923E28" w:rsidRDefault="00923E28" w:rsidP="00923E28">
      <w:pPr>
        <w:pStyle w:val="ListBullet"/>
      </w:pPr>
      <w:r>
        <w:t>A separate model was used to estimate the financial implications of increases in the FBT rate.  This model separately estimated the flow-on effects of a change in the FBT rate to personal income tax, FBT and company tax collections.</w:t>
      </w:r>
    </w:p>
    <w:p w:rsidR="00923E28" w:rsidRDefault="00923E28" w:rsidP="00923E28">
      <w:pPr>
        <w:pStyle w:val="ListBullet"/>
      </w:pPr>
      <w:r>
        <w:t>The modelling takes account of the timing of tax collections.</w:t>
      </w:r>
    </w:p>
    <w:p w:rsidR="00923E28" w:rsidRPr="00923E28" w:rsidRDefault="00923E28" w:rsidP="00923E28">
      <w:pPr>
        <w:pStyle w:val="ListBullet"/>
      </w:pPr>
      <w:r>
        <w:t>Estimates of revenue have been rounded to the nearest $50 million.</w:t>
      </w:r>
    </w:p>
    <w:p w:rsidR="00420CF4" w:rsidRDefault="00420CF4" w:rsidP="00420CF4">
      <w:pPr>
        <w:pStyle w:val="CostingsH7"/>
      </w:pPr>
      <w:r>
        <w:t>Data sources</w:t>
      </w:r>
    </w:p>
    <w:p w:rsidR="00923E28" w:rsidRDefault="00505104" w:rsidP="00923E28">
      <w:pPr>
        <w:pStyle w:val="ListBullet"/>
      </w:pPr>
      <w:r>
        <w:t>The Australian Taxation Office provided</w:t>
      </w:r>
      <w:r w:rsidR="00D14973">
        <w:t xml:space="preserve"> </w:t>
      </w:r>
      <w:r w:rsidR="00923E28" w:rsidRPr="00923E28">
        <w:t>16 per cent samples of de-identified personal income tax and superannuation records for the 2012-13 financial year.</w:t>
      </w:r>
    </w:p>
    <w:p w:rsidR="004F4C2E" w:rsidRDefault="004F4C2E" w:rsidP="004F4C2E">
      <w:pPr>
        <w:pStyle w:val="BodyText"/>
        <w:sectPr w:rsidR="004F4C2E" w:rsidSect="00967BCD">
          <w:footnotePr>
            <w:numRestart w:val="eachSect"/>
          </w:footnotePr>
          <w:pgSz w:w="11906" w:h="16838" w:code="9"/>
          <w:pgMar w:top="1361" w:right="1797" w:bottom="1474" w:left="1797" w:header="283" w:footer="454" w:gutter="0"/>
          <w:cols w:space="708"/>
          <w:docGrid w:linePitch="360"/>
        </w:sectPr>
      </w:pPr>
    </w:p>
    <w:p w:rsidR="00420CF4" w:rsidRDefault="00923E28" w:rsidP="00923E28">
      <w:pPr>
        <w:pStyle w:val="Heading6"/>
      </w:pPr>
      <w:r>
        <w:t xml:space="preserve">Attachment </w:t>
      </w:r>
      <w:r w:rsidRPr="00923E28">
        <w:t>A: Not proceeding with income tax cuts for high-income Australians—financial implications</w:t>
      </w:r>
    </w:p>
    <w:p w:rsidR="00420CF4" w:rsidRDefault="00420CF4" w:rsidP="00420CF4">
      <w:pPr>
        <w:pStyle w:val="Caption"/>
        <w:rPr>
          <w:vertAlign w:val="superscript"/>
        </w:rPr>
      </w:pPr>
      <w:r w:rsidRPr="002B36F1">
        <w:t xml:space="preserve">Table </w:t>
      </w:r>
      <w:r>
        <w:t>A1</w:t>
      </w:r>
      <w:r w:rsidRPr="002B36F1">
        <w:t xml:space="preserve">: </w:t>
      </w:r>
      <w:r w:rsidR="00923E28" w:rsidRPr="00923E28">
        <w:t>Not proceeding with income tax cuts for high-income Australians—Financial implications (outturn prices)</w:t>
      </w:r>
      <w:r w:rsidRPr="002B36F1">
        <w:rPr>
          <w:vertAlign w:val="superscript"/>
        </w:rPr>
        <w:t>(a)(b)</w:t>
      </w:r>
    </w:p>
    <w:tbl>
      <w:tblPr>
        <w:tblStyle w:val="TableGrid"/>
        <w:tblW w:w="4948"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2024"/>
        <w:gridCol w:w="854"/>
        <w:gridCol w:w="852"/>
        <w:gridCol w:w="852"/>
        <w:gridCol w:w="852"/>
        <w:gridCol w:w="858"/>
        <w:gridCol w:w="853"/>
        <w:gridCol w:w="853"/>
        <w:gridCol w:w="853"/>
        <w:gridCol w:w="853"/>
        <w:gridCol w:w="853"/>
        <w:gridCol w:w="853"/>
        <w:gridCol w:w="853"/>
        <w:gridCol w:w="853"/>
      </w:tblGrid>
      <w:tr w:rsidR="0073534F" w:rsidRPr="00B31810" w:rsidTr="00923E28">
        <w:trPr>
          <w:cantSplit/>
        </w:trPr>
        <w:tc>
          <w:tcPr>
            <w:cnfStyle w:val="001000000000" w:firstRow="0" w:lastRow="0" w:firstColumn="1" w:lastColumn="0" w:oddVBand="0" w:evenVBand="0" w:oddHBand="0" w:evenHBand="0" w:firstRowFirstColumn="0" w:firstRowLastColumn="0" w:lastRowFirstColumn="0" w:lastRowLastColumn="0"/>
            <w:tcW w:w="772" w:type="pct"/>
            <w:shd w:val="clear" w:color="auto" w:fill="D7DDE9"/>
          </w:tcPr>
          <w:p w:rsidR="00923E28" w:rsidRPr="004B7E6C" w:rsidRDefault="00923E28" w:rsidP="00923E28">
            <w:pPr>
              <w:keepNext/>
              <w:keepLines/>
              <w:spacing w:line="240" w:lineRule="auto"/>
              <w:ind w:left="57" w:right="57"/>
              <w:rPr>
                <w:szCs w:val="20"/>
              </w:rPr>
            </w:pPr>
            <w:r w:rsidRPr="004B7E6C">
              <w:rPr>
                <w:szCs w:val="20"/>
              </w:rPr>
              <w:t>($m)</w:t>
            </w:r>
          </w:p>
        </w:tc>
        <w:tc>
          <w:tcPr>
            <w:tcW w:w="326"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2016–17</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2017–18</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2018–19</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2019–20</w:t>
            </w:r>
          </w:p>
        </w:tc>
        <w:tc>
          <w:tcPr>
            <w:tcW w:w="327" w:type="pct"/>
            <w:shd w:val="clear" w:color="auto" w:fill="D7DDE9"/>
          </w:tcPr>
          <w:p w:rsidR="00923E28" w:rsidRPr="004B7E6C"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4B7E6C">
              <w:rPr>
                <w:szCs w:val="20"/>
              </w:rPr>
              <w:t>Total to 2019–20</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2020–21</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2021–22</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2022–23</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2023–24</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2024–25</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2025–26</w:t>
            </w:r>
          </w:p>
        </w:tc>
        <w:tc>
          <w:tcPr>
            <w:tcW w:w="325" w:type="pct"/>
            <w:shd w:val="clear" w:color="auto" w:fill="D7DDE9"/>
          </w:tcPr>
          <w:p w:rsidR="00923E28" w:rsidRPr="00923E28" w:rsidRDefault="00923E28" w:rsidP="00B8138C">
            <w:pPr>
              <w:pStyle w:val="TableHeadingCentred"/>
              <w:spacing w:line="240" w:lineRule="auto"/>
              <w:jc w:val="right"/>
              <w:cnfStyle w:val="000000000000" w:firstRow="0" w:lastRow="0" w:firstColumn="0" w:lastColumn="0" w:oddVBand="0" w:evenVBand="0" w:oddHBand="0" w:evenHBand="0" w:firstRowFirstColumn="0" w:firstRowLastColumn="0" w:lastRowFirstColumn="0" w:lastRowLastColumn="0"/>
              <w:rPr>
                <w:b w:val="0"/>
                <w:szCs w:val="20"/>
              </w:rPr>
            </w:pPr>
            <w:r w:rsidRPr="00923E28">
              <w:rPr>
                <w:b w:val="0"/>
                <w:szCs w:val="20"/>
              </w:rPr>
              <w:t>2026–27</w:t>
            </w:r>
          </w:p>
        </w:tc>
        <w:tc>
          <w:tcPr>
            <w:tcW w:w="325" w:type="pct"/>
            <w:shd w:val="clear" w:color="auto" w:fill="D7DDE9"/>
          </w:tcPr>
          <w:p w:rsidR="00923E28" w:rsidRPr="004B7E6C" w:rsidRDefault="00923E28" w:rsidP="00923E2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szCs w:val="20"/>
              </w:rPr>
            </w:pPr>
            <w:r w:rsidRPr="004B7E6C">
              <w:rPr>
                <w:szCs w:val="20"/>
              </w:rPr>
              <w:t>Total to 2026–27</w:t>
            </w:r>
          </w:p>
        </w:tc>
      </w:tr>
      <w:tr w:rsidR="00923E28" w:rsidRPr="00B31810" w:rsidTr="00923E28">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923E28" w:rsidRPr="004B7E6C" w:rsidRDefault="00923E28" w:rsidP="00923E28">
            <w:pPr>
              <w:pStyle w:val="TableHeadingCentred"/>
              <w:spacing w:line="240" w:lineRule="auto"/>
              <w:jc w:val="left"/>
              <w:rPr>
                <w:b w:val="0"/>
                <w:szCs w:val="20"/>
              </w:rPr>
            </w:pPr>
            <w:r>
              <w:rPr>
                <w:szCs w:val="20"/>
              </w:rPr>
              <w:t>Impact on f</w:t>
            </w:r>
            <w:r w:rsidRPr="004B7E6C">
              <w:rPr>
                <w:szCs w:val="20"/>
              </w:rPr>
              <w:t>iscal and underlying cash balances</w:t>
            </w:r>
          </w:p>
        </w:tc>
      </w:tr>
      <w:tr w:rsidR="00923E28" w:rsidTr="00923E28">
        <w:trPr>
          <w:cantSplit/>
        </w:trPr>
        <w:tc>
          <w:tcPr>
            <w:cnfStyle w:val="001000000000" w:firstRow="0" w:lastRow="0" w:firstColumn="1" w:lastColumn="0" w:oddVBand="0" w:evenVBand="0" w:oddHBand="0" w:evenHBand="0" w:firstRowFirstColumn="0" w:firstRowLastColumn="0" w:lastRowFirstColumn="0" w:lastRowLastColumn="0"/>
            <w:tcW w:w="772" w:type="pct"/>
          </w:tcPr>
          <w:p w:rsidR="00923E28" w:rsidRPr="0014088D" w:rsidRDefault="00923E28" w:rsidP="00923E28">
            <w:pPr>
              <w:keepNext/>
              <w:keepLines/>
              <w:spacing w:line="240" w:lineRule="auto"/>
              <w:ind w:left="57" w:right="57"/>
              <w:rPr>
                <w:szCs w:val="20"/>
              </w:rPr>
            </w:pPr>
            <w:r w:rsidRPr="0014088D">
              <w:rPr>
                <w:szCs w:val="20"/>
              </w:rPr>
              <w:t>Revenue</w:t>
            </w:r>
          </w:p>
        </w:tc>
        <w:tc>
          <w:tcPr>
            <w:tcW w:w="326"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1,150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1,450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1,550</w:t>
            </w:r>
          </w:p>
        </w:tc>
        <w:tc>
          <w:tcPr>
            <w:tcW w:w="327"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4B7E6C">
              <w:rPr>
                <w:b/>
                <w:i/>
                <w:szCs w:val="20"/>
              </w:rPr>
              <w:t>4,150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1,700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1,800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1,950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2,100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2,300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2,500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4B7E6C">
              <w:rPr>
                <w:i/>
                <w:szCs w:val="20"/>
              </w:rPr>
              <w:t>2,700</w:t>
            </w:r>
          </w:p>
        </w:tc>
        <w:tc>
          <w:tcPr>
            <w:tcW w:w="325" w:type="pct"/>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4B7E6C">
              <w:rPr>
                <w:b/>
                <w:i/>
                <w:szCs w:val="20"/>
              </w:rPr>
              <w:t>19,200</w:t>
            </w:r>
          </w:p>
        </w:tc>
      </w:tr>
      <w:tr w:rsidR="0073534F" w:rsidRPr="00B31810" w:rsidTr="00923E28">
        <w:trPr>
          <w:cantSplit/>
        </w:trPr>
        <w:tc>
          <w:tcPr>
            <w:cnfStyle w:val="001000000000" w:firstRow="0" w:lastRow="0" w:firstColumn="1" w:lastColumn="0" w:oddVBand="0" w:evenVBand="0" w:oddHBand="0" w:evenHBand="0" w:firstRowFirstColumn="0" w:firstRowLastColumn="0" w:lastRowFirstColumn="0" w:lastRowLastColumn="0"/>
            <w:tcW w:w="772" w:type="pct"/>
            <w:shd w:val="clear" w:color="auto" w:fill="D7DDE9"/>
          </w:tcPr>
          <w:p w:rsidR="00923E28" w:rsidRPr="004B7E6C" w:rsidRDefault="00923E28" w:rsidP="00923E28">
            <w:pPr>
              <w:keepNext/>
              <w:keepLines/>
              <w:spacing w:line="240" w:lineRule="auto"/>
              <w:ind w:left="57" w:right="57"/>
              <w:rPr>
                <w:b/>
                <w:szCs w:val="20"/>
              </w:rPr>
            </w:pPr>
            <w:r w:rsidRPr="004B7E6C">
              <w:rPr>
                <w:b/>
                <w:szCs w:val="20"/>
              </w:rPr>
              <w:t>Total</w:t>
            </w:r>
          </w:p>
        </w:tc>
        <w:tc>
          <w:tcPr>
            <w:tcW w:w="326"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1,150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1,450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1,550</w:t>
            </w:r>
          </w:p>
        </w:tc>
        <w:tc>
          <w:tcPr>
            <w:tcW w:w="327"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4,150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1,700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1,800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1,950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2,100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2,300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2,500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2,700</w:t>
            </w:r>
          </w:p>
        </w:tc>
        <w:tc>
          <w:tcPr>
            <w:tcW w:w="325" w:type="pct"/>
            <w:shd w:val="clear" w:color="auto" w:fill="D7DDE9"/>
          </w:tcPr>
          <w:p w:rsidR="00923E28" w:rsidRPr="004B7E6C" w:rsidRDefault="00923E28" w:rsidP="00923E28">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4B7E6C">
              <w:rPr>
                <w:b/>
                <w:szCs w:val="20"/>
              </w:rPr>
              <w:t>19,200</w:t>
            </w:r>
          </w:p>
        </w:tc>
      </w:tr>
    </w:tbl>
    <w:p w:rsidR="00923E28" w:rsidRDefault="00923E28" w:rsidP="002C43F8">
      <w:pPr>
        <w:pStyle w:val="Footnotes"/>
        <w:numPr>
          <w:ilvl w:val="0"/>
          <w:numId w:val="58"/>
        </w:numPr>
        <w:ind w:left="284" w:hanging="284"/>
      </w:pPr>
      <w:r>
        <w:t>A positive number indicates an increase in revenue in accrual and cash terms.</w:t>
      </w:r>
    </w:p>
    <w:p w:rsidR="00923E28" w:rsidRDefault="00923E28" w:rsidP="004F4C2E">
      <w:pPr>
        <w:pStyle w:val="Footnotes"/>
        <w:ind w:left="284" w:hanging="284"/>
      </w:pPr>
      <w:r>
        <w:t>Figures may not sum to totals due to rounding.</w:t>
      </w:r>
    </w:p>
    <w:p w:rsidR="00420CF4" w:rsidRPr="00951305" w:rsidRDefault="00923E28" w:rsidP="00B8138C">
      <w:pPr>
        <w:pStyle w:val="Footnotes"/>
        <w:numPr>
          <w:ilvl w:val="0"/>
          <w:numId w:val="0"/>
        </w:numPr>
        <w:ind w:left="284" w:hanging="284"/>
      </w:pPr>
      <w:r>
        <w:t>-</w:t>
      </w:r>
      <w:r>
        <w:tab/>
        <w:t>Indicates nil.</w:t>
      </w:r>
    </w:p>
    <w:p w:rsidR="00420CF4" w:rsidRDefault="00420CF4" w:rsidP="00420CF4">
      <w:pPr>
        <w:pStyle w:val="BodyText"/>
        <w:sectPr w:rsidR="00420CF4" w:rsidSect="00B02D76">
          <w:headerReference w:type="even" r:id="rId74"/>
          <w:headerReference w:type="default" r:id="rId75"/>
          <w:footerReference w:type="even" r:id="rId76"/>
          <w:footerReference w:type="default" r:id="rId77"/>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31" w:name="_Toc458081651"/>
      <w:r>
        <w:t>ALP027: Not proceeding with big company tax cuts</w:t>
      </w:r>
      <w:bookmarkEnd w:id="31"/>
    </w:p>
    <w:p w:rsidR="00745988" w:rsidRDefault="00745988" w:rsidP="00745988">
      <w:pPr>
        <w:pStyle w:val="BodyText"/>
      </w:pPr>
      <w:r>
        <w:rPr>
          <w:noProof/>
          <w:lang w:eastAsia="en-AU"/>
        </w:rPr>
        <w:drawing>
          <wp:inline distT="0" distB="0" distL="0" distR="0" wp14:anchorId="6D68D175" wp14:editId="69385C4E">
            <wp:extent cx="2696845" cy="572135"/>
            <wp:effectExtent l="0" t="0" r="8255" b="0"/>
            <wp:docPr id="366" name="Picture 36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D92B29" w:rsidRDefault="00D92B29" w:rsidP="00D92B29">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D92B29" w:rsidRPr="00E758BA" w:rsidTr="00E27CD9">
        <w:trPr>
          <w:cnfStyle w:val="100000000000" w:firstRow="1" w:lastRow="0" w:firstColumn="0" w:lastColumn="0" w:oddVBand="0" w:evenVBand="0" w:oddHBand="0" w:evenHBand="0" w:firstRowFirstColumn="0" w:firstRowLastColumn="0" w:lastRowFirstColumn="0" w:lastRowLastColumn="0"/>
        </w:trPr>
        <w:tc>
          <w:tcPr>
            <w:tcW w:w="1809" w:type="pct"/>
          </w:tcPr>
          <w:p w:rsidR="00D92B29" w:rsidRPr="00E758BA" w:rsidRDefault="00D92B29" w:rsidP="00E27CD9">
            <w:pPr>
              <w:pStyle w:val="PullOutBoxHeading"/>
              <w:rPr>
                <w:b/>
              </w:rPr>
            </w:pPr>
            <w:r w:rsidRPr="00E758BA">
              <w:rPr>
                <w:b/>
              </w:rPr>
              <w:t>Name of proposal:</w:t>
            </w:r>
          </w:p>
        </w:tc>
        <w:tc>
          <w:tcPr>
            <w:tcW w:w="3191" w:type="pct"/>
          </w:tcPr>
          <w:p w:rsidR="00D92B29" w:rsidRPr="00E758BA" w:rsidRDefault="00D92B29" w:rsidP="00E27CD9">
            <w:pPr>
              <w:pStyle w:val="PullOutBoxHeading"/>
              <w:rPr>
                <w:b/>
              </w:rPr>
            </w:pPr>
            <w:r w:rsidRPr="00E758BA">
              <w:rPr>
                <w:b/>
              </w:rPr>
              <w:t>Not proceeding with big company tax cuts</w:t>
            </w:r>
          </w:p>
        </w:tc>
      </w:tr>
      <w:tr w:rsidR="00D92B29" w:rsidRPr="00D777AA" w:rsidTr="00E27CD9">
        <w:tc>
          <w:tcPr>
            <w:tcW w:w="1809" w:type="pct"/>
          </w:tcPr>
          <w:p w:rsidR="00D92B29" w:rsidRPr="00D777AA" w:rsidRDefault="00D92B29" w:rsidP="00E27CD9">
            <w:pPr>
              <w:pStyle w:val="PullOutBoxBodyText"/>
            </w:pPr>
            <w:r w:rsidRPr="00D777AA">
              <w:t>Summary of proposal:</w:t>
            </w:r>
          </w:p>
        </w:tc>
        <w:tc>
          <w:tcPr>
            <w:tcW w:w="3191" w:type="pct"/>
          </w:tcPr>
          <w:p w:rsidR="00D92B29" w:rsidRPr="00D777AA" w:rsidRDefault="00D92B29" w:rsidP="00E27CD9">
            <w:pPr>
              <w:pStyle w:val="PullOutBoxBodyText"/>
            </w:pPr>
            <w:r w:rsidRPr="00D777AA">
              <w:t>The proposal has three components that would either partially or fully reverse the following 2016</w:t>
            </w:r>
            <w:r w:rsidRPr="00D777AA">
              <w:noBreakHyphen/>
              <w:t>17 Budget measures.</w:t>
            </w:r>
          </w:p>
          <w:p w:rsidR="00D92B29" w:rsidRPr="00D777AA" w:rsidRDefault="00D92B29" w:rsidP="00E27CD9">
            <w:pPr>
              <w:pStyle w:val="PullOutBoxBodyText"/>
              <w:rPr>
                <w:u w:val="single"/>
              </w:rPr>
            </w:pPr>
            <w:r w:rsidRPr="00D777AA">
              <w:rPr>
                <w:u w:val="single"/>
              </w:rPr>
              <w:t xml:space="preserve">Component 1 - Reverse the </w:t>
            </w:r>
            <w:r w:rsidRPr="00D777AA">
              <w:rPr>
                <w:i/>
                <w:u w:val="single"/>
              </w:rPr>
              <w:t>increase the small business entity (SBE) turnover threshold measure</w:t>
            </w:r>
          </w:p>
          <w:p w:rsidR="00D92B29" w:rsidRPr="00D777AA" w:rsidRDefault="00D92B29" w:rsidP="00E27CD9">
            <w:pPr>
              <w:pStyle w:val="PullOutBoxBodyText"/>
            </w:pPr>
            <w:r w:rsidRPr="00D777AA">
              <w:t>This component would fully reverse the 2016</w:t>
            </w:r>
            <w:r w:rsidRPr="00D777AA">
              <w:noBreakHyphen/>
              <w:t xml:space="preserve">17 Budget measure, </w:t>
            </w:r>
            <w:r w:rsidRPr="00D777AA">
              <w:rPr>
                <w:i/>
              </w:rPr>
              <w:t>Ten Year Enterprise Tax Plan – increase the small business entity turnover threshold</w:t>
            </w:r>
            <w:r w:rsidRPr="00D777AA">
              <w:t>.</w:t>
            </w:r>
          </w:p>
          <w:p w:rsidR="00D92B29" w:rsidRPr="00D777AA" w:rsidRDefault="00D92B29" w:rsidP="00E27CD9">
            <w:pPr>
              <w:pStyle w:val="PullOutBoxBodyText"/>
              <w:rPr>
                <w:u w:val="single"/>
              </w:rPr>
            </w:pPr>
            <w:r w:rsidRPr="00D777AA">
              <w:rPr>
                <w:u w:val="single"/>
              </w:rPr>
              <w:t xml:space="preserve">Component 2 - Partially reverse the </w:t>
            </w:r>
            <w:r w:rsidRPr="00D777AA">
              <w:rPr>
                <w:i/>
                <w:u w:val="single"/>
              </w:rPr>
              <w:t>reducing the company tax rate to 25 per cent measure</w:t>
            </w:r>
          </w:p>
          <w:p w:rsidR="00D92B29" w:rsidRPr="00D777AA" w:rsidRDefault="00D92B29" w:rsidP="00E27CD9">
            <w:pPr>
              <w:pStyle w:val="PullOutBoxBodyText"/>
            </w:pPr>
            <w:r w:rsidRPr="00D777AA">
              <w:t>This component would partially reverse the 2016</w:t>
            </w:r>
            <w:r w:rsidRPr="00D777AA">
              <w:noBreakHyphen/>
              <w:t xml:space="preserve">17 Budget measure, </w:t>
            </w:r>
            <w:r w:rsidRPr="00D777AA">
              <w:rPr>
                <w:i/>
              </w:rPr>
              <w:t>Ten Year Enterprise Tax Plan – reducing the company tax rate to 25 per cent</w:t>
            </w:r>
            <w:r w:rsidRPr="00D777AA">
              <w:t xml:space="preserve"> by retaining only the reduction in the company tax rate to 27.5 per cent for businesses with turnover less than $2 million.</w:t>
            </w:r>
          </w:p>
          <w:p w:rsidR="00D92B29" w:rsidRPr="00D777AA" w:rsidRDefault="00D92B29" w:rsidP="00E27CD9">
            <w:pPr>
              <w:pStyle w:val="PullOutBoxBodyText"/>
            </w:pPr>
            <w:r w:rsidRPr="00D777AA">
              <w:rPr>
                <w:u w:val="single"/>
              </w:rPr>
              <w:t xml:space="preserve">Component 3 - Partially reverse the </w:t>
            </w:r>
            <w:r w:rsidRPr="00D777AA">
              <w:rPr>
                <w:i/>
                <w:u w:val="single"/>
              </w:rPr>
              <w:t>increase the unincorporated small business tax discount measure.</w:t>
            </w:r>
          </w:p>
          <w:p w:rsidR="00D92B29" w:rsidRPr="00D777AA" w:rsidRDefault="00D92B29" w:rsidP="00E27CD9">
            <w:pPr>
              <w:pStyle w:val="PullOutBoxBodyText"/>
            </w:pPr>
            <w:r w:rsidRPr="00D777AA">
              <w:t>This component would partially reverse the 2016</w:t>
            </w:r>
            <w:r w:rsidRPr="00D777AA">
              <w:noBreakHyphen/>
              <w:t>17 Budget measure, T</w:t>
            </w:r>
            <w:r w:rsidRPr="00D777AA">
              <w:rPr>
                <w:i/>
              </w:rPr>
              <w:t>en Year Enterprise Tax Plan – increase the unincorporated small business tax discount</w:t>
            </w:r>
            <w:r w:rsidRPr="00D777AA">
              <w:t xml:space="preserve"> by retaining only the increase in the unincorporated small business tax discount to 8 per cent for businesses with turnover less than $2 million.</w:t>
            </w:r>
          </w:p>
          <w:p w:rsidR="00D92B29" w:rsidRPr="00D777AA" w:rsidRDefault="00D92B29" w:rsidP="00E27CD9">
            <w:pPr>
              <w:pStyle w:val="PullOutBoxBodyText"/>
            </w:pPr>
            <w:r w:rsidRPr="00D777AA">
              <w:t>The proposal would have effect from 1 July 2016.</w:t>
            </w:r>
          </w:p>
        </w:tc>
      </w:tr>
      <w:tr w:rsidR="00D92B29" w:rsidRPr="00D777AA" w:rsidTr="00E27CD9">
        <w:tc>
          <w:tcPr>
            <w:tcW w:w="1809" w:type="pct"/>
          </w:tcPr>
          <w:p w:rsidR="00D92B29" w:rsidRPr="00D777AA" w:rsidRDefault="00D92B29" w:rsidP="00E27CD9">
            <w:pPr>
              <w:pStyle w:val="PullOutBoxBodyText"/>
            </w:pPr>
            <w:r w:rsidRPr="00D777AA">
              <w:t>Party:</w:t>
            </w:r>
          </w:p>
        </w:tc>
        <w:tc>
          <w:tcPr>
            <w:tcW w:w="3191" w:type="pct"/>
          </w:tcPr>
          <w:p w:rsidR="00D92B29" w:rsidRPr="00D777AA" w:rsidRDefault="00D92B29" w:rsidP="00E27CD9">
            <w:pPr>
              <w:pStyle w:val="PullOutBoxBodyText"/>
            </w:pPr>
            <w:r w:rsidRPr="00D777AA">
              <w:t>Australian Labor Party</w:t>
            </w:r>
          </w:p>
        </w:tc>
      </w:tr>
      <w:tr w:rsidR="00D92B29" w:rsidRPr="00D777AA" w:rsidTr="00E27CD9">
        <w:tc>
          <w:tcPr>
            <w:tcW w:w="1809" w:type="pct"/>
          </w:tcPr>
          <w:p w:rsidR="00D92B29" w:rsidRPr="00D777AA" w:rsidRDefault="00D92B29" w:rsidP="00E27CD9">
            <w:pPr>
              <w:pStyle w:val="PullOutBoxBodyText"/>
            </w:pPr>
            <w:r w:rsidRPr="00D777AA">
              <w:t>Expiry date for the costing:</w:t>
            </w:r>
          </w:p>
        </w:tc>
        <w:tc>
          <w:tcPr>
            <w:tcW w:w="3191" w:type="pct"/>
          </w:tcPr>
          <w:p w:rsidR="00D92B29" w:rsidRPr="00D777AA" w:rsidRDefault="00D92B29" w:rsidP="00E27CD9">
            <w:pPr>
              <w:pStyle w:val="PullOutBoxBodyText"/>
            </w:pPr>
            <w:r w:rsidRPr="00D777AA">
              <w:t>Release of the next economic and fiscal update</w:t>
            </w:r>
          </w:p>
        </w:tc>
      </w:tr>
    </w:tbl>
    <w:p w:rsidR="00D92B29" w:rsidRDefault="00D92B29" w:rsidP="00D92B29">
      <w:pPr>
        <w:pStyle w:val="CostingsH7"/>
      </w:pPr>
      <w:r w:rsidRPr="00BF1EE6">
        <w:t>Costing overview</w:t>
      </w:r>
    </w:p>
    <w:p w:rsidR="00D92B29" w:rsidRDefault="00D92B29" w:rsidP="00D92B29">
      <w:pPr>
        <w:pStyle w:val="BodyText"/>
        <w:keepNext/>
        <w:keepLines/>
      </w:pPr>
      <w:r>
        <w:t>This proposal would be expected to increase the fiscal balance by $4,380 million and increase the underlying cash balance by $4,395 million over the 2016-17 Budget forward estimates period.  The fiscal balance impact of this proposal reflects a net increase in revenue of $4,395 million and an increase in expenses of $15 million over this period.</w:t>
      </w:r>
    </w:p>
    <w:p w:rsidR="00D92B29" w:rsidRDefault="00D92B29" w:rsidP="00D92B29">
      <w:pPr>
        <w:pStyle w:val="BodyText"/>
      </w:pPr>
      <w:r>
        <w:t xml:space="preserve">The underlying cash balance impact differs from the fiscal balance impact because allowing more businesses to remit quarterly Goods and Services Tax (GST) instalments would increase the amount of GST received in the financial year after it is recognised as tax revenue.  </w:t>
      </w:r>
    </w:p>
    <w:p w:rsidR="00D92B29" w:rsidRDefault="00D92B29" w:rsidP="00D92B29">
      <w:pPr>
        <w:pStyle w:val="BodyText"/>
      </w:pPr>
      <w:r>
        <w:t>This proposal would be expected to have an ongoing impact that extends beyond the 2016</w:t>
      </w:r>
      <w:r>
        <w:noBreakHyphen/>
        <w:t>17 Budget forward estimates period.  The financial impact would be expected to increase sharply towards the end of the medium term as, under the measures proposed to be reversed, the company tax rate reduces further to 25 per cent and the company tax cut is extended to apply to all companies.</w:t>
      </w:r>
    </w:p>
    <w:p w:rsidR="00D92B29" w:rsidRDefault="00D92B29" w:rsidP="00D92B29">
      <w:pPr>
        <w:pStyle w:val="BodyText"/>
      </w:pPr>
      <w:r>
        <w:t>Detailed financial implications over the period to 2026</w:t>
      </w:r>
      <w:r>
        <w:noBreakHyphen/>
        <w:t xml:space="preserve">27 are provided at </w:t>
      </w:r>
      <w:r w:rsidRPr="00583EBF">
        <w:rPr>
          <w:u w:val="single"/>
        </w:rPr>
        <w:t>Attachment A</w:t>
      </w:r>
      <w:r>
        <w:t>.</w:t>
      </w:r>
    </w:p>
    <w:p w:rsidR="00D92B29" w:rsidRDefault="00D92B29" w:rsidP="00D92B29">
      <w:pPr>
        <w:pStyle w:val="BodyText"/>
      </w:pPr>
      <w:r>
        <w:t>This proposal would not be expected to have any impact on departmental costs as no departmental funding was provided in the original 2016</w:t>
      </w:r>
      <w:r>
        <w:noBreakHyphen/>
        <w:t>17 Budget measures.</w:t>
      </w:r>
    </w:p>
    <w:p w:rsidR="00D92B29" w:rsidRDefault="00D92B29" w:rsidP="00D92B29">
      <w:pPr>
        <w:pStyle w:val="BodyText"/>
      </w:pPr>
      <w:r>
        <w:t>This costing is considered to be of low to medium reliability over the 2016-17 Budget forward estimates period as it relies on several assumptions.  In particular, the costing is sensitive to assumptions about the proportion of small businesses with turnover of less than $2 million and assumptions about the behavioural response of affected companies to the proposals.  The reliability of the costing decreases the further into the future the estimates are projected.</w:t>
      </w:r>
    </w:p>
    <w:p w:rsidR="00D92B29" w:rsidRPr="00583EBF" w:rsidRDefault="00D92B29" w:rsidP="00D92B29">
      <w:pPr>
        <w:pStyle w:val="BodyText"/>
      </w:pPr>
      <w:r>
        <w:t>The budget papers note that the cut to company tax is expected to increase gross domestic product growth over time.  This costing does not include any allowance for any such ‘further economic impacts’ from reversing the tax cut measure.</w:t>
      </w:r>
    </w:p>
    <w:p w:rsidR="00D92B29" w:rsidRDefault="00D92B29" w:rsidP="00B3578C">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D92B29" w:rsidRPr="00D264E1" w:rsidTr="00E27CD9">
        <w:trPr>
          <w:cnfStyle w:val="100000000000" w:firstRow="1" w:lastRow="0" w:firstColumn="0" w:lastColumn="0" w:oddVBand="0" w:evenVBand="0" w:oddHBand="0" w:evenHBand="0" w:firstRowFirstColumn="0" w:firstRowLastColumn="0" w:lastRowFirstColumn="0" w:lastRowLastColumn="0"/>
        </w:trPr>
        <w:tc>
          <w:tcPr>
            <w:tcW w:w="1393" w:type="pct"/>
          </w:tcPr>
          <w:p w:rsidR="00D92B29" w:rsidRPr="00D264E1" w:rsidRDefault="00D92B29" w:rsidP="00B3578C">
            <w:pPr>
              <w:pStyle w:val="TableHeading"/>
            </w:pPr>
            <w:r>
              <w:t>Impact on ($m)</w:t>
            </w:r>
          </w:p>
        </w:tc>
        <w:tc>
          <w:tcPr>
            <w:tcW w:w="721" w:type="pct"/>
          </w:tcPr>
          <w:p w:rsidR="00D92B29" w:rsidRPr="00FC1F1C" w:rsidRDefault="00D92B29" w:rsidP="00B3578C">
            <w:pPr>
              <w:pStyle w:val="TableHeadingRight"/>
            </w:pPr>
            <w:r>
              <w:t>2016–17</w:t>
            </w:r>
          </w:p>
        </w:tc>
        <w:tc>
          <w:tcPr>
            <w:tcW w:w="721" w:type="pct"/>
          </w:tcPr>
          <w:p w:rsidR="00D92B29" w:rsidRPr="00FC1F1C" w:rsidRDefault="00D92B29" w:rsidP="00B3578C">
            <w:pPr>
              <w:pStyle w:val="TableHeadingRight"/>
            </w:pPr>
            <w:r>
              <w:t>2017–18</w:t>
            </w:r>
          </w:p>
        </w:tc>
        <w:tc>
          <w:tcPr>
            <w:tcW w:w="722" w:type="pct"/>
          </w:tcPr>
          <w:p w:rsidR="00D92B29" w:rsidRPr="00FC1F1C" w:rsidRDefault="00D92B29" w:rsidP="00B3578C">
            <w:pPr>
              <w:pStyle w:val="TableHeadingRight"/>
            </w:pPr>
            <w:r>
              <w:t>2018–19</w:t>
            </w:r>
          </w:p>
        </w:tc>
        <w:tc>
          <w:tcPr>
            <w:tcW w:w="721" w:type="pct"/>
          </w:tcPr>
          <w:p w:rsidR="00D92B29" w:rsidRPr="00FC1F1C" w:rsidRDefault="00D92B29" w:rsidP="00B3578C">
            <w:pPr>
              <w:pStyle w:val="TableHeadingRight"/>
            </w:pPr>
            <w:r>
              <w:t>2019–20</w:t>
            </w:r>
          </w:p>
        </w:tc>
        <w:tc>
          <w:tcPr>
            <w:tcW w:w="722" w:type="pct"/>
          </w:tcPr>
          <w:p w:rsidR="00D92B29" w:rsidRPr="00FC1F1C" w:rsidRDefault="00D92B29" w:rsidP="00B3578C">
            <w:pPr>
              <w:pStyle w:val="TableHeadingRight"/>
              <w:rPr>
                <w:b/>
              </w:rPr>
            </w:pPr>
            <w:r w:rsidRPr="00FC1F1C">
              <w:t>Total</w:t>
            </w:r>
          </w:p>
        </w:tc>
      </w:tr>
      <w:tr w:rsidR="00D92B29" w:rsidTr="00E27CD9">
        <w:tc>
          <w:tcPr>
            <w:tcW w:w="1393" w:type="pct"/>
          </w:tcPr>
          <w:p w:rsidR="00D92B29" w:rsidRDefault="00D92B29" w:rsidP="00B3578C">
            <w:pPr>
              <w:pStyle w:val="TableText"/>
              <w:keepNext/>
              <w:keepLines/>
            </w:pPr>
            <w:r>
              <w:t>Fiscal balance</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480.0</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1,130.0</w:t>
            </w:r>
          </w:p>
        </w:tc>
        <w:tc>
          <w:tcPr>
            <w:tcW w:w="722" w:type="pct"/>
            <w:vAlign w:val="center"/>
          </w:tcPr>
          <w:p w:rsidR="00D92B29" w:rsidRPr="003A3459" w:rsidRDefault="00D92B29" w:rsidP="00B3578C">
            <w:pPr>
              <w:pStyle w:val="TableTextCentred"/>
              <w:keepNext/>
              <w:keepLines/>
              <w:spacing w:line="240" w:lineRule="auto"/>
              <w:jc w:val="right"/>
              <w:rPr>
                <w:szCs w:val="20"/>
              </w:rPr>
            </w:pPr>
            <w:r>
              <w:rPr>
                <w:szCs w:val="20"/>
              </w:rPr>
              <w:t>1,260.0</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1,510.0</w:t>
            </w:r>
          </w:p>
        </w:tc>
        <w:tc>
          <w:tcPr>
            <w:tcW w:w="722" w:type="pct"/>
            <w:vAlign w:val="center"/>
          </w:tcPr>
          <w:p w:rsidR="00D92B29" w:rsidRPr="00C363AE" w:rsidRDefault="00D92B29" w:rsidP="00B3578C">
            <w:pPr>
              <w:pStyle w:val="TableTextCentred"/>
              <w:keepNext/>
              <w:keepLines/>
              <w:spacing w:line="240" w:lineRule="auto"/>
              <w:jc w:val="right"/>
              <w:rPr>
                <w:b/>
                <w:szCs w:val="20"/>
              </w:rPr>
            </w:pPr>
            <w:r>
              <w:rPr>
                <w:b/>
                <w:szCs w:val="20"/>
              </w:rPr>
              <w:t>4,380.0</w:t>
            </w:r>
          </w:p>
        </w:tc>
      </w:tr>
      <w:tr w:rsidR="00D92B29" w:rsidTr="00E27CD9">
        <w:tc>
          <w:tcPr>
            <w:tcW w:w="1393" w:type="pct"/>
          </w:tcPr>
          <w:p w:rsidR="00D92B29" w:rsidRDefault="00D92B29" w:rsidP="00B3578C">
            <w:pPr>
              <w:pStyle w:val="TableText"/>
              <w:keepNext/>
              <w:keepLines/>
            </w:pPr>
            <w:r>
              <w:t>Underlying cash balance</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495.0</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1,130.0</w:t>
            </w:r>
          </w:p>
        </w:tc>
        <w:tc>
          <w:tcPr>
            <w:tcW w:w="722" w:type="pct"/>
            <w:vAlign w:val="center"/>
          </w:tcPr>
          <w:p w:rsidR="00D92B29" w:rsidRPr="003A3459" w:rsidRDefault="00D92B29" w:rsidP="00B3578C">
            <w:pPr>
              <w:pStyle w:val="TableTextCentred"/>
              <w:keepNext/>
              <w:keepLines/>
              <w:spacing w:line="240" w:lineRule="auto"/>
              <w:jc w:val="right"/>
              <w:rPr>
                <w:szCs w:val="20"/>
              </w:rPr>
            </w:pPr>
            <w:r>
              <w:rPr>
                <w:szCs w:val="20"/>
              </w:rPr>
              <w:t>1,260.0</w:t>
            </w:r>
          </w:p>
        </w:tc>
        <w:tc>
          <w:tcPr>
            <w:tcW w:w="721" w:type="pct"/>
            <w:vAlign w:val="center"/>
          </w:tcPr>
          <w:p w:rsidR="00D92B29" w:rsidRPr="003A3459" w:rsidRDefault="00D92B29" w:rsidP="00B3578C">
            <w:pPr>
              <w:pStyle w:val="TableTextCentred"/>
              <w:keepNext/>
              <w:keepLines/>
              <w:spacing w:line="240" w:lineRule="auto"/>
              <w:jc w:val="right"/>
              <w:rPr>
                <w:szCs w:val="20"/>
              </w:rPr>
            </w:pPr>
            <w:r>
              <w:rPr>
                <w:szCs w:val="20"/>
              </w:rPr>
              <w:t>1,510.0</w:t>
            </w:r>
          </w:p>
        </w:tc>
        <w:tc>
          <w:tcPr>
            <w:tcW w:w="722" w:type="pct"/>
            <w:vAlign w:val="center"/>
          </w:tcPr>
          <w:p w:rsidR="00D92B29" w:rsidRPr="00C363AE" w:rsidRDefault="00D92B29" w:rsidP="00B3578C">
            <w:pPr>
              <w:pStyle w:val="TableTextCentred"/>
              <w:keepNext/>
              <w:keepLines/>
              <w:spacing w:line="240" w:lineRule="auto"/>
              <w:jc w:val="right"/>
              <w:rPr>
                <w:b/>
                <w:szCs w:val="20"/>
              </w:rPr>
            </w:pPr>
            <w:r>
              <w:rPr>
                <w:b/>
                <w:szCs w:val="20"/>
              </w:rPr>
              <w:t>4,395.0</w:t>
            </w:r>
          </w:p>
        </w:tc>
      </w:tr>
    </w:tbl>
    <w:p w:rsidR="00D92B29" w:rsidRDefault="00D92B29" w:rsidP="00B3578C">
      <w:pPr>
        <w:pStyle w:val="Footnotes"/>
        <w:keepNext/>
        <w:keepLines/>
        <w:numPr>
          <w:ilvl w:val="0"/>
          <w:numId w:val="192"/>
        </w:numPr>
        <w:ind w:left="284" w:hanging="284"/>
      </w:pPr>
      <w:r>
        <w:t xml:space="preserve">A positive </w:t>
      </w:r>
      <w:r w:rsidRPr="00FC1F1C">
        <w:t>number indicates an increase in the relevant budget balance, a negative number a decrease.</w:t>
      </w:r>
    </w:p>
    <w:p w:rsidR="00D92B29" w:rsidRPr="000E063A" w:rsidRDefault="00D92B29" w:rsidP="00B3578C">
      <w:pPr>
        <w:pStyle w:val="Footnotes"/>
        <w:ind w:left="284" w:hanging="284"/>
        <w:rPr>
          <w:rStyle w:val="FootnoteReference"/>
          <w:vertAlign w:val="baseline"/>
        </w:rPr>
      </w:pPr>
      <w:r w:rsidRPr="000E063A">
        <w:t>Figures may not sum to totals due to rounding.</w:t>
      </w:r>
    </w:p>
    <w:p w:rsidR="00D92B29" w:rsidRDefault="00D92B29" w:rsidP="00D92B29">
      <w:pPr>
        <w:pStyle w:val="CostingsH7"/>
      </w:pPr>
      <w:r>
        <w:t>Key assumptions</w:t>
      </w:r>
    </w:p>
    <w:p w:rsidR="00D92B29" w:rsidRDefault="00D92B29" w:rsidP="00D92B29">
      <w:pPr>
        <w:pStyle w:val="BodyText"/>
        <w:keepNext/>
        <w:keepLines/>
      </w:pPr>
      <w:r>
        <w:t>The Parliamentary Budget Office (PBO) has made the following assumptions in relation to this proposal:</w:t>
      </w:r>
    </w:p>
    <w:p w:rsidR="00D92B29" w:rsidRDefault="00D92B29" w:rsidP="00D92B29">
      <w:pPr>
        <w:pStyle w:val="ListBullet"/>
        <w:keepNext/>
      </w:pPr>
      <w:r>
        <w:t>The estimated proportion of taxable income that relates to companies that have less than $2 million in turnover was based on historical data for the 2013-14 financial year.</w:t>
      </w:r>
    </w:p>
    <w:p w:rsidR="00D92B29" w:rsidRPr="00A95EFF" w:rsidRDefault="00D92B29" w:rsidP="00D92B29">
      <w:pPr>
        <w:pStyle w:val="ListBullet"/>
      </w:pPr>
      <w:r>
        <w:t>The estimate of the financial impact of the company tax rate cut includes an estimated claw-back due to dividend imputation.  This estimate assumes that companies continue to pay the same proportion of their after-tax income as dividends.</w:t>
      </w:r>
    </w:p>
    <w:p w:rsidR="00D92B29" w:rsidRDefault="00D92B29" w:rsidP="00D92B29">
      <w:pPr>
        <w:pStyle w:val="CostingsH7"/>
      </w:pPr>
      <w:r>
        <w:t>Methodology</w:t>
      </w:r>
    </w:p>
    <w:p w:rsidR="00D92B29" w:rsidRDefault="00D92B29" w:rsidP="00D92B29">
      <w:pPr>
        <w:pStyle w:val="CostingsH8"/>
      </w:pPr>
      <w:r w:rsidRPr="00A95EFF">
        <w:t>Component 1 - Reverse the increase the SBE turnover threshold measure</w:t>
      </w:r>
    </w:p>
    <w:p w:rsidR="00D92B29" w:rsidRDefault="00D92B29" w:rsidP="00D92B29">
      <w:pPr>
        <w:pStyle w:val="BodyText"/>
      </w:pPr>
      <w:r>
        <w:t>The impact of this proposal has been estimated by fully reversing the financial impact of this measure from the 2016-17 Budget.  The details of the elements of the measure, and medium term estimates, are PBO estimates.</w:t>
      </w:r>
    </w:p>
    <w:p w:rsidR="00D92B29" w:rsidRDefault="00D92B29" w:rsidP="00D92B29">
      <w:pPr>
        <w:pStyle w:val="CostingsH8"/>
      </w:pPr>
      <w:r>
        <w:t>Component 2 - Partially reverse the reducing the company tax rate to 25 per cent measure</w:t>
      </w:r>
    </w:p>
    <w:p w:rsidR="00D92B29" w:rsidRDefault="00D92B29" w:rsidP="00D92B29">
      <w:pPr>
        <w:pStyle w:val="BodyText"/>
      </w:pPr>
      <w:r>
        <w:t>The impact of this proposal has been estimated by fully reversing the financial impact of this measure in the 2016-17 Budget and then adjusting to account for the estimated cost of continuing the proposed company tax cut to 27.5 per cent for companies with turnover less than $2 million.  The details of the elements of the measure, and medium term estimates, are PBO estimates.</w:t>
      </w:r>
    </w:p>
    <w:p w:rsidR="00D92B29" w:rsidRDefault="00D92B29" w:rsidP="00D92B29">
      <w:pPr>
        <w:pStyle w:val="CostingsH8"/>
      </w:pPr>
      <w:r>
        <w:t>Component 3 - Partially reverse the increase the unincorporated small business tax discount measure</w:t>
      </w:r>
    </w:p>
    <w:p w:rsidR="00D92B29" w:rsidRPr="00A95EFF" w:rsidRDefault="00D92B29" w:rsidP="00D92B29">
      <w:pPr>
        <w:pStyle w:val="BodyText"/>
      </w:pPr>
      <w:r>
        <w:t>The impact of this proposal has been estimated by fully reversing the financial impact of this measure in the 2016-17 Budget and then adjusting to account for the estimated cost of continuing the proposed increase in the unincorporated small business tax discount to 8 per cent for businesses with turnover of less than $2 million.  The details of the elements of the measure, and medium term estimates, are PBO estimates.</w:t>
      </w:r>
    </w:p>
    <w:p w:rsidR="00D92B29" w:rsidRDefault="00D92B29" w:rsidP="00D92B29">
      <w:pPr>
        <w:pStyle w:val="CostingsH7"/>
      </w:pPr>
      <w:r>
        <w:t>Data sources</w:t>
      </w:r>
    </w:p>
    <w:p w:rsidR="00D92B29" w:rsidRDefault="00505104" w:rsidP="00D92B29">
      <w:pPr>
        <w:pStyle w:val="BodyText"/>
      </w:pPr>
      <w:r>
        <w:t xml:space="preserve">Commonwealth of Australia 2016, </w:t>
      </w:r>
      <w:r w:rsidR="00D92B29" w:rsidRPr="0073534F">
        <w:rPr>
          <w:i/>
        </w:rPr>
        <w:t>2016-17</w:t>
      </w:r>
      <w:r w:rsidRPr="0073534F">
        <w:rPr>
          <w:i/>
        </w:rPr>
        <w:t xml:space="preserve"> Budget</w:t>
      </w:r>
      <w:r>
        <w:t>, Commonwealth of Australia, Canberra</w:t>
      </w:r>
      <w:r w:rsidR="00D92B29">
        <w:t>.</w:t>
      </w:r>
    </w:p>
    <w:p w:rsidR="00D92B29" w:rsidRDefault="00505104" w:rsidP="00D92B29">
      <w:pPr>
        <w:pStyle w:val="BodyText"/>
      </w:pPr>
      <w:r>
        <w:t xml:space="preserve">The </w:t>
      </w:r>
      <w:r w:rsidR="00D92B29">
        <w:t xml:space="preserve">Australian Taxation Office </w:t>
      </w:r>
      <w:r>
        <w:t xml:space="preserve">provided </w:t>
      </w:r>
      <w:r w:rsidR="00D92B29">
        <w:t xml:space="preserve">company tax return data </w:t>
      </w:r>
      <w:r>
        <w:t xml:space="preserve">for the period </w:t>
      </w:r>
      <w:r w:rsidR="00D92B29">
        <w:t>2005-06 to 2013-14.</w:t>
      </w:r>
    </w:p>
    <w:p w:rsidR="00D92B29" w:rsidRDefault="00D92B29" w:rsidP="00D92B29">
      <w:pPr>
        <w:pStyle w:val="BodyText"/>
      </w:pPr>
    </w:p>
    <w:p w:rsidR="00D92B29" w:rsidRDefault="00D92B29" w:rsidP="00D92B29">
      <w:pPr>
        <w:pStyle w:val="BodyText"/>
        <w:sectPr w:rsidR="00D92B29" w:rsidSect="00B3578C">
          <w:headerReference w:type="even" r:id="rId78"/>
          <w:headerReference w:type="default" r:id="rId79"/>
          <w:footerReference w:type="even" r:id="rId80"/>
          <w:footerReference w:type="default" r:id="rId81"/>
          <w:footnotePr>
            <w:numRestart w:val="eachSect"/>
          </w:footnotePr>
          <w:pgSz w:w="11906" w:h="16838" w:code="9"/>
          <w:pgMar w:top="1361" w:right="1797" w:bottom="1474" w:left="1797" w:header="283" w:footer="454" w:gutter="0"/>
          <w:cols w:space="708"/>
          <w:docGrid w:linePitch="360"/>
        </w:sectPr>
      </w:pPr>
    </w:p>
    <w:p w:rsidR="00D92B29" w:rsidRDefault="00D92B29" w:rsidP="00400217">
      <w:pPr>
        <w:pStyle w:val="Heading6"/>
      </w:pPr>
      <w:r>
        <w:t xml:space="preserve">Attachment </w:t>
      </w:r>
      <w:r w:rsidR="00400217">
        <w:t xml:space="preserve">A </w:t>
      </w:r>
      <w:r w:rsidR="001B4E8C">
        <w:t xml:space="preserve">— </w:t>
      </w:r>
      <w:r w:rsidR="00400217" w:rsidRPr="00400217">
        <w:t>Not proceeding with big company tax cuts—financial implications</w:t>
      </w:r>
    </w:p>
    <w:p w:rsidR="00400217" w:rsidRPr="00400217" w:rsidRDefault="00400217" w:rsidP="00400217">
      <w:pPr>
        <w:pStyle w:val="BodyText"/>
      </w:pPr>
      <w:r w:rsidRPr="00400217">
        <w:t>The following tables provide a detailed breakdown of the estimated impacts over the 2016-17 Budget forward estimates period and the medium term to 2026-27.  Tables A1 and A2 provide the financial impact of each component of the proposal, with reference to the relevant 2016</w:t>
      </w:r>
      <w:r>
        <w:noBreakHyphen/>
      </w:r>
      <w:r w:rsidRPr="00400217">
        <w:t>17 Budget measure.  Tables A3 to A6 provide a detailed breakdown of the components.</w:t>
      </w:r>
    </w:p>
    <w:p w:rsidR="00D92B29" w:rsidRDefault="00BE71C3" w:rsidP="00D92B29">
      <w:pPr>
        <w:pStyle w:val="Caption"/>
        <w:rPr>
          <w:vertAlign w:val="superscript"/>
        </w:rPr>
      </w:pPr>
      <w:r w:rsidRPr="00BE71C3">
        <w:t>Table A1: Not proceeding with big company tax cuts—Fiscal balance</w:t>
      </w:r>
      <w:r w:rsidRPr="00BE71C3">
        <w:rPr>
          <w:vertAlign w:val="superscript"/>
        </w:rPr>
        <w:t>(a)(b)</w:t>
      </w:r>
    </w:p>
    <w:tbl>
      <w:tblPr>
        <w:tblStyle w:val="Style1"/>
        <w:tblW w:w="5322" w:type="pct"/>
        <w:tblLayout w:type="fixed"/>
        <w:tblLook w:val="06A0" w:firstRow="1" w:lastRow="0" w:firstColumn="1" w:lastColumn="0" w:noHBand="1" w:noVBand="1"/>
      </w:tblPr>
      <w:tblGrid>
        <w:gridCol w:w="1936"/>
        <w:gridCol w:w="847"/>
        <w:gridCol w:w="848"/>
        <w:gridCol w:w="848"/>
        <w:gridCol w:w="848"/>
        <w:gridCol w:w="989"/>
        <w:gridCol w:w="989"/>
        <w:gridCol w:w="989"/>
        <w:gridCol w:w="989"/>
        <w:gridCol w:w="989"/>
        <w:gridCol w:w="989"/>
        <w:gridCol w:w="989"/>
        <w:gridCol w:w="989"/>
        <w:gridCol w:w="1089"/>
      </w:tblGrid>
      <w:tr w:rsidR="00C51158" w:rsidTr="00C51158">
        <w:trPr>
          <w:cnfStyle w:val="100000000000" w:firstRow="1" w:lastRow="0" w:firstColumn="0" w:lastColumn="0" w:oddVBand="0" w:evenVBand="0" w:oddHBand="0" w:evenHBand="0" w:firstRowFirstColumn="0" w:firstRowLastColumn="0" w:lastRowFirstColumn="0" w:lastRowLastColumn="0"/>
        </w:trPr>
        <w:tc>
          <w:tcPr>
            <w:tcW w:w="676" w:type="pct"/>
            <w:vAlign w:val="center"/>
          </w:tcPr>
          <w:p w:rsidR="00BE71C3" w:rsidRPr="007C2713" w:rsidRDefault="00BE71C3" w:rsidP="00BE71C3">
            <w:pPr>
              <w:pStyle w:val="TableText"/>
              <w:keepNext/>
              <w:keepLines/>
              <w:rPr>
                <w:b w:val="0"/>
              </w:rPr>
            </w:pPr>
            <w:r>
              <w:t>($m)</w:t>
            </w:r>
          </w:p>
        </w:tc>
        <w:tc>
          <w:tcPr>
            <w:tcW w:w="296" w:type="pct"/>
            <w:vAlign w:val="center"/>
          </w:tcPr>
          <w:p w:rsidR="00BE71C3" w:rsidRDefault="00BE71C3" w:rsidP="001B4E8C">
            <w:pPr>
              <w:pStyle w:val="TableTextRight"/>
              <w:keepNext/>
              <w:keepLines/>
              <w:spacing w:before="0" w:after="0" w:line="240" w:lineRule="auto"/>
              <w:ind w:left="-57" w:right="-57"/>
              <w:jc w:val="center"/>
              <w:rPr>
                <w:b w:val="0"/>
              </w:rPr>
            </w:pPr>
            <w:r>
              <w:t>2016–17</w:t>
            </w:r>
          </w:p>
        </w:tc>
        <w:tc>
          <w:tcPr>
            <w:tcW w:w="296" w:type="pct"/>
            <w:vAlign w:val="center"/>
          </w:tcPr>
          <w:p w:rsidR="00BE71C3" w:rsidRDefault="00BE71C3" w:rsidP="001B4E8C">
            <w:pPr>
              <w:pStyle w:val="TableTextRight"/>
              <w:keepNext/>
              <w:keepLines/>
              <w:spacing w:before="0" w:after="0" w:line="240" w:lineRule="auto"/>
              <w:ind w:left="-57" w:right="-57"/>
              <w:jc w:val="center"/>
              <w:rPr>
                <w:b w:val="0"/>
              </w:rPr>
            </w:pPr>
            <w:r>
              <w:t>2017–18</w:t>
            </w:r>
          </w:p>
        </w:tc>
        <w:tc>
          <w:tcPr>
            <w:tcW w:w="296" w:type="pct"/>
            <w:vAlign w:val="center"/>
          </w:tcPr>
          <w:p w:rsidR="00BE71C3" w:rsidRDefault="00BE71C3" w:rsidP="001B4E8C">
            <w:pPr>
              <w:pStyle w:val="TableTextRight"/>
              <w:keepNext/>
              <w:keepLines/>
              <w:spacing w:before="0" w:after="0" w:line="240" w:lineRule="auto"/>
              <w:ind w:left="-57" w:right="-57"/>
              <w:jc w:val="center"/>
              <w:rPr>
                <w:b w:val="0"/>
              </w:rPr>
            </w:pPr>
            <w:r>
              <w:t>2018–19</w:t>
            </w:r>
          </w:p>
        </w:tc>
        <w:tc>
          <w:tcPr>
            <w:tcW w:w="296" w:type="pct"/>
            <w:vAlign w:val="center"/>
          </w:tcPr>
          <w:p w:rsidR="00BE71C3" w:rsidRDefault="00BE71C3" w:rsidP="001B4E8C">
            <w:pPr>
              <w:pStyle w:val="TableTextRight"/>
              <w:keepNext/>
              <w:keepLines/>
              <w:spacing w:before="0" w:after="0" w:line="240" w:lineRule="auto"/>
              <w:ind w:left="-57" w:right="-57"/>
              <w:jc w:val="center"/>
              <w:rPr>
                <w:b w:val="0"/>
              </w:rPr>
            </w:pPr>
            <w:r>
              <w:t>2019–20</w:t>
            </w:r>
          </w:p>
        </w:tc>
        <w:tc>
          <w:tcPr>
            <w:tcW w:w="345" w:type="pct"/>
            <w:vAlign w:val="center"/>
          </w:tcPr>
          <w:p w:rsidR="00BE71C3" w:rsidRDefault="00BE71C3" w:rsidP="001B4E8C">
            <w:pPr>
              <w:pStyle w:val="TableTextRight"/>
              <w:keepNext/>
              <w:keepLines/>
              <w:spacing w:before="0" w:after="0" w:line="240" w:lineRule="auto"/>
              <w:ind w:left="-57" w:right="-57"/>
              <w:jc w:val="center"/>
              <w:rPr>
                <w:b w:val="0"/>
              </w:rPr>
            </w:pPr>
            <w:r>
              <w:t>Total to 2019–20</w:t>
            </w:r>
          </w:p>
        </w:tc>
        <w:tc>
          <w:tcPr>
            <w:tcW w:w="345" w:type="pct"/>
            <w:vAlign w:val="center"/>
          </w:tcPr>
          <w:p w:rsidR="00BE71C3" w:rsidRPr="001B4E8C" w:rsidRDefault="00BE71C3" w:rsidP="001B4E8C">
            <w:pPr>
              <w:pStyle w:val="TableHeadingCentred"/>
              <w:ind w:left="-57" w:right="-57"/>
              <w:rPr>
                <w:b/>
              </w:rPr>
            </w:pPr>
            <w:r w:rsidRPr="001B4E8C">
              <w:rPr>
                <w:b/>
              </w:rPr>
              <w:t>2020–21</w:t>
            </w:r>
          </w:p>
        </w:tc>
        <w:tc>
          <w:tcPr>
            <w:tcW w:w="345" w:type="pct"/>
            <w:vAlign w:val="center"/>
          </w:tcPr>
          <w:p w:rsidR="00BE71C3" w:rsidRPr="001B4E8C" w:rsidRDefault="00BE71C3" w:rsidP="001B4E8C">
            <w:pPr>
              <w:pStyle w:val="TableHeadingCentred"/>
              <w:ind w:left="-57" w:right="-57"/>
              <w:rPr>
                <w:b/>
              </w:rPr>
            </w:pPr>
            <w:r w:rsidRPr="001B4E8C">
              <w:rPr>
                <w:b/>
              </w:rPr>
              <w:t>2021–22</w:t>
            </w:r>
          </w:p>
        </w:tc>
        <w:tc>
          <w:tcPr>
            <w:tcW w:w="345" w:type="pct"/>
            <w:vAlign w:val="center"/>
          </w:tcPr>
          <w:p w:rsidR="00BE71C3" w:rsidRPr="001B4E8C" w:rsidRDefault="00BE71C3" w:rsidP="001B4E8C">
            <w:pPr>
              <w:pStyle w:val="TableHeadingCentred"/>
              <w:ind w:left="-57" w:right="-57"/>
              <w:rPr>
                <w:b/>
              </w:rPr>
            </w:pPr>
            <w:r w:rsidRPr="001B4E8C">
              <w:rPr>
                <w:b/>
              </w:rPr>
              <w:t>2022–23</w:t>
            </w:r>
          </w:p>
        </w:tc>
        <w:tc>
          <w:tcPr>
            <w:tcW w:w="345" w:type="pct"/>
            <w:vAlign w:val="center"/>
          </w:tcPr>
          <w:p w:rsidR="00BE71C3" w:rsidRPr="001B4E8C" w:rsidRDefault="00BE71C3" w:rsidP="001B4E8C">
            <w:pPr>
              <w:pStyle w:val="TableHeadingCentred"/>
              <w:ind w:left="-57" w:right="-57"/>
              <w:rPr>
                <w:b/>
              </w:rPr>
            </w:pPr>
            <w:r w:rsidRPr="001B4E8C">
              <w:rPr>
                <w:b/>
              </w:rPr>
              <w:t>2023–24</w:t>
            </w:r>
          </w:p>
        </w:tc>
        <w:tc>
          <w:tcPr>
            <w:tcW w:w="345" w:type="pct"/>
            <w:vAlign w:val="center"/>
          </w:tcPr>
          <w:p w:rsidR="00BE71C3" w:rsidRPr="001B4E8C" w:rsidRDefault="00BE71C3" w:rsidP="001B4E8C">
            <w:pPr>
              <w:pStyle w:val="TableHeadingCentred"/>
              <w:ind w:left="-57" w:right="-57"/>
              <w:rPr>
                <w:b/>
              </w:rPr>
            </w:pPr>
            <w:r w:rsidRPr="001B4E8C">
              <w:rPr>
                <w:b/>
              </w:rPr>
              <w:t>2024–25</w:t>
            </w:r>
          </w:p>
        </w:tc>
        <w:tc>
          <w:tcPr>
            <w:tcW w:w="345" w:type="pct"/>
            <w:vAlign w:val="center"/>
          </w:tcPr>
          <w:p w:rsidR="00BE71C3" w:rsidRPr="001B4E8C" w:rsidRDefault="00BE71C3" w:rsidP="001B4E8C">
            <w:pPr>
              <w:pStyle w:val="TableHeadingCentred"/>
              <w:ind w:left="-57" w:right="-57"/>
              <w:rPr>
                <w:b/>
              </w:rPr>
            </w:pPr>
            <w:r w:rsidRPr="001B4E8C">
              <w:rPr>
                <w:b/>
              </w:rPr>
              <w:t>2025–26</w:t>
            </w:r>
          </w:p>
        </w:tc>
        <w:tc>
          <w:tcPr>
            <w:tcW w:w="345" w:type="pct"/>
            <w:vAlign w:val="center"/>
          </w:tcPr>
          <w:p w:rsidR="00BE71C3" w:rsidRPr="001B4E8C" w:rsidRDefault="00BE71C3" w:rsidP="001B4E8C">
            <w:pPr>
              <w:pStyle w:val="TableHeadingCentred"/>
              <w:ind w:left="-57" w:right="-57"/>
              <w:rPr>
                <w:b/>
              </w:rPr>
            </w:pPr>
            <w:r w:rsidRPr="001B4E8C">
              <w:rPr>
                <w:b/>
              </w:rPr>
              <w:t>2026–27</w:t>
            </w:r>
          </w:p>
        </w:tc>
        <w:tc>
          <w:tcPr>
            <w:tcW w:w="378" w:type="pct"/>
            <w:vAlign w:val="center"/>
          </w:tcPr>
          <w:p w:rsidR="00BE71C3" w:rsidRPr="001B4E8C" w:rsidRDefault="00BE71C3" w:rsidP="001B4E8C">
            <w:pPr>
              <w:pStyle w:val="TableHeadingCentred"/>
              <w:ind w:left="-57" w:right="-57"/>
              <w:rPr>
                <w:b/>
              </w:rPr>
            </w:pPr>
            <w:r w:rsidRPr="001B4E8C">
              <w:rPr>
                <w:b/>
              </w:rPr>
              <w:t>Total to 2026–27</w:t>
            </w:r>
          </w:p>
        </w:tc>
      </w:tr>
      <w:tr w:rsidR="00BE71C3" w:rsidTr="00C51158">
        <w:tc>
          <w:tcPr>
            <w:tcW w:w="5000" w:type="pct"/>
            <w:gridSpan w:val="14"/>
            <w:shd w:val="clear" w:color="auto" w:fill="E9ECF3" w:themeFill="accent2" w:themeFillTint="33"/>
            <w:vAlign w:val="center"/>
          </w:tcPr>
          <w:p w:rsidR="00BE71C3" w:rsidRPr="004E5C66" w:rsidRDefault="00BD0133" w:rsidP="00BE71C3">
            <w:pPr>
              <w:pStyle w:val="TableHeading"/>
              <w:rPr>
                <w:i/>
                <w:szCs w:val="20"/>
              </w:rPr>
            </w:pPr>
            <w:r w:rsidRPr="004E5C66">
              <w:rPr>
                <w:szCs w:val="20"/>
              </w:rPr>
              <w:t>Fiscal balance</w:t>
            </w:r>
          </w:p>
        </w:tc>
      </w:tr>
      <w:tr w:rsidR="00C51158" w:rsidTr="00C51158">
        <w:tc>
          <w:tcPr>
            <w:tcW w:w="676" w:type="pct"/>
          </w:tcPr>
          <w:p w:rsidR="00BE71C3" w:rsidRPr="004E5C66" w:rsidRDefault="00BE71C3" w:rsidP="0069344E">
            <w:pPr>
              <w:spacing w:before="70" w:after="70"/>
              <w:rPr>
                <w:color w:val="000000"/>
                <w:sz w:val="20"/>
                <w:szCs w:val="20"/>
              </w:rPr>
            </w:pPr>
            <w:r w:rsidRPr="004E5C66">
              <w:rPr>
                <w:color w:val="000000"/>
                <w:sz w:val="20"/>
                <w:szCs w:val="20"/>
              </w:rPr>
              <w:t>Component 1 - Reverse SBE turnover threshold</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280.0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700.0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550.0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650.0</w:t>
            </w:r>
          </w:p>
        </w:tc>
        <w:tc>
          <w:tcPr>
            <w:tcW w:w="345" w:type="pct"/>
          </w:tcPr>
          <w:p w:rsidR="00BE71C3" w:rsidRPr="001B4E8C" w:rsidRDefault="00BE71C3" w:rsidP="00C51158">
            <w:pPr>
              <w:spacing w:before="70" w:after="70"/>
              <w:jc w:val="right"/>
              <w:rPr>
                <w:b/>
                <w:sz w:val="20"/>
                <w:szCs w:val="20"/>
              </w:rPr>
            </w:pPr>
            <w:r w:rsidRPr="001B4E8C">
              <w:rPr>
                <w:b/>
                <w:color w:val="000000"/>
                <w:sz w:val="20"/>
                <w:szCs w:val="20"/>
              </w:rPr>
              <w:t>2,180.0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650.0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700.0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700.0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750.0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800.0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800.0</w:t>
            </w:r>
          </w:p>
        </w:tc>
        <w:tc>
          <w:tcPr>
            <w:tcW w:w="345" w:type="pct"/>
          </w:tcPr>
          <w:p w:rsidR="00BE71C3" w:rsidRPr="001B4E8C" w:rsidRDefault="00BE71C3" w:rsidP="00C51158">
            <w:pPr>
              <w:spacing w:before="70" w:after="70"/>
              <w:ind w:left="-57"/>
              <w:jc w:val="right"/>
              <w:rPr>
                <w:sz w:val="20"/>
                <w:szCs w:val="20"/>
              </w:rPr>
            </w:pPr>
            <w:r w:rsidRPr="001B4E8C">
              <w:rPr>
                <w:color w:val="000000"/>
                <w:sz w:val="20"/>
                <w:szCs w:val="20"/>
              </w:rPr>
              <w:t>850.0</w:t>
            </w:r>
          </w:p>
        </w:tc>
        <w:tc>
          <w:tcPr>
            <w:tcW w:w="378" w:type="pct"/>
          </w:tcPr>
          <w:p w:rsidR="00BE71C3" w:rsidRPr="001B4E8C" w:rsidRDefault="00BE71C3" w:rsidP="00C51158">
            <w:pPr>
              <w:spacing w:before="70" w:after="70"/>
              <w:ind w:left="-57"/>
              <w:jc w:val="right"/>
              <w:rPr>
                <w:b/>
                <w:sz w:val="20"/>
                <w:szCs w:val="20"/>
              </w:rPr>
            </w:pPr>
            <w:r w:rsidRPr="001B4E8C">
              <w:rPr>
                <w:b/>
                <w:color w:val="000000"/>
                <w:sz w:val="20"/>
                <w:szCs w:val="20"/>
              </w:rPr>
              <w:t>7,430.0</w:t>
            </w:r>
          </w:p>
        </w:tc>
      </w:tr>
      <w:tr w:rsidR="00C51158" w:rsidTr="00C51158">
        <w:tc>
          <w:tcPr>
            <w:tcW w:w="676" w:type="pct"/>
          </w:tcPr>
          <w:p w:rsidR="00BE71C3" w:rsidRPr="004E5C66" w:rsidRDefault="00BE71C3" w:rsidP="00BD0133">
            <w:pPr>
              <w:spacing w:before="70" w:after="70"/>
              <w:rPr>
                <w:sz w:val="20"/>
                <w:szCs w:val="20"/>
              </w:rPr>
            </w:pPr>
            <w:r w:rsidRPr="004E5C66">
              <w:rPr>
                <w:sz w:val="20"/>
                <w:szCs w:val="20"/>
              </w:rPr>
              <w:t>Component 2 - Partially reverse company tax cut</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200.0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400.0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680.0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830.0</w:t>
            </w:r>
          </w:p>
        </w:tc>
        <w:tc>
          <w:tcPr>
            <w:tcW w:w="345" w:type="pct"/>
          </w:tcPr>
          <w:p w:rsidR="00BE71C3" w:rsidRPr="001B4E8C" w:rsidRDefault="00BE71C3" w:rsidP="00C51158">
            <w:pPr>
              <w:spacing w:before="70" w:after="70"/>
              <w:jc w:val="right"/>
              <w:rPr>
                <w:b/>
                <w:sz w:val="20"/>
                <w:szCs w:val="20"/>
              </w:rPr>
            </w:pPr>
            <w:r w:rsidRPr="001B4E8C">
              <w:rPr>
                <w:b/>
                <w:color w:val="000000"/>
                <w:sz w:val="20"/>
                <w:szCs w:val="20"/>
              </w:rPr>
              <w:t>2,110.0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1,190.0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1,480.0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1,870.0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5,560.0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6,760.0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9,960.0</w:t>
            </w:r>
          </w:p>
        </w:tc>
        <w:tc>
          <w:tcPr>
            <w:tcW w:w="345" w:type="pct"/>
          </w:tcPr>
          <w:p w:rsidR="00BE71C3" w:rsidRPr="001B4E8C" w:rsidRDefault="00BE71C3" w:rsidP="00C51158">
            <w:pPr>
              <w:spacing w:before="70" w:after="70"/>
              <w:ind w:left="-57"/>
              <w:jc w:val="right"/>
              <w:rPr>
                <w:sz w:val="20"/>
                <w:szCs w:val="20"/>
              </w:rPr>
            </w:pPr>
            <w:r w:rsidRPr="001B4E8C">
              <w:rPr>
                <w:color w:val="000000"/>
                <w:sz w:val="20"/>
                <w:szCs w:val="20"/>
              </w:rPr>
              <w:t>13,250.0</w:t>
            </w:r>
          </w:p>
        </w:tc>
        <w:tc>
          <w:tcPr>
            <w:tcW w:w="378" w:type="pct"/>
          </w:tcPr>
          <w:p w:rsidR="00BE71C3" w:rsidRPr="001B4E8C" w:rsidRDefault="00BE71C3" w:rsidP="00C51158">
            <w:pPr>
              <w:spacing w:before="70" w:after="70"/>
              <w:ind w:left="-57"/>
              <w:jc w:val="right"/>
              <w:rPr>
                <w:b/>
                <w:sz w:val="20"/>
                <w:szCs w:val="20"/>
              </w:rPr>
            </w:pPr>
            <w:r w:rsidRPr="001B4E8C">
              <w:rPr>
                <w:b/>
                <w:color w:val="000000"/>
                <w:sz w:val="20"/>
                <w:szCs w:val="20"/>
              </w:rPr>
              <w:t>42,180.0</w:t>
            </w:r>
          </w:p>
        </w:tc>
      </w:tr>
      <w:tr w:rsidR="00C51158" w:rsidTr="00C51158">
        <w:tc>
          <w:tcPr>
            <w:tcW w:w="676" w:type="pct"/>
          </w:tcPr>
          <w:p w:rsidR="00BE71C3" w:rsidRPr="004E5C66" w:rsidRDefault="00BE71C3" w:rsidP="00BD0133">
            <w:pPr>
              <w:spacing w:before="70" w:after="70"/>
              <w:rPr>
                <w:sz w:val="20"/>
                <w:szCs w:val="20"/>
              </w:rPr>
            </w:pPr>
            <w:r w:rsidRPr="004E5C66">
              <w:rPr>
                <w:sz w:val="20"/>
                <w:szCs w:val="20"/>
              </w:rPr>
              <w:t xml:space="preserve">Component 3 - Partially reverse tax discount </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296"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b/>
                <w:sz w:val="20"/>
                <w:szCs w:val="20"/>
              </w:rPr>
            </w:pPr>
            <w:r w:rsidRPr="001B4E8C">
              <w:rPr>
                <w:b/>
                <w:color w:val="000000"/>
                <w:sz w:val="20"/>
                <w:szCs w:val="20"/>
              </w:rPr>
              <w:t>90.0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30.0</w:t>
            </w:r>
          </w:p>
        </w:tc>
        <w:tc>
          <w:tcPr>
            <w:tcW w:w="345" w:type="pct"/>
          </w:tcPr>
          <w:p w:rsidR="00BE71C3" w:rsidRPr="001B4E8C" w:rsidRDefault="00BE71C3" w:rsidP="00C51158">
            <w:pPr>
              <w:spacing w:before="70" w:after="70"/>
              <w:jc w:val="right"/>
              <w:rPr>
                <w:sz w:val="20"/>
                <w:szCs w:val="20"/>
              </w:rPr>
            </w:pPr>
            <w:r w:rsidRPr="001B4E8C">
              <w:rPr>
                <w:color w:val="000000"/>
                <w:sz w:val="20"/>
                <w:szCs w:val="20"/>
              </w:rPr>
              <w:t>90.0</w:t>
            </w:r>
          </w:p>
        </w:tc>
        <w:tc>
          <w:tcPr>
            <w:tcW w:w="345" w:type="pct"/>
          </w:tcPr>
          <w:p w:rsidR="00BE71C3" w:rsidRPr="001B4E8C" w:rsidRDefault="00BE71C3" w:rsidP="00C51158">
            <w:pPr>
              <w:spacing w:before="70" w:after="70"/>
              <w:ind w:left="-57"/>
              <w:jc w:val="right"/>
              <w:rPr>
                <w:sz w:val="20"/>
                <w:szCs w:val="20"/>
              </w:rPr>
            </w:pPr>
            <w:r w:rsidRPr="001B4E8C">
              <w:rPr>
                <w:color w:val="000000"/>
                <w:sz w:val="20"/>
                <w:szCs w:val="20"/>
              </w:rPr>
              <w:t>140.0</w:t>
            </w:r>
          </w:p>
        </w:tc>
        <w:tc>
          <w:tcPr>
            <w:tcW w:w="378" w:type="pct"/>
          </w:tcPr>
          <w:p w:rsidR="00BE71C3" w:rsidRPr="001B4E8C" w:rsidRDefault="00BE71C3" w:rsidP="00C51158">
            <w:pPr>
              <w:spacing w:before="70" w:after="70"/>
              <w:ind w:left="-57"/>
              <w:jc w:val="right"/>
              <w:rPr>
                <w:b/>
                <w:sz w:val="20"/>
                <w:szCs w:val="20"/>
              </w:rPr>
            </w:pPr>
            <w:r w:rsidRPr="001B4E8C">
              <w:rPr>
                <w:b/>
                <w:color w:val="000000"/>
                <w:sz w:val="20"/>
                <w:szCs w:val="20"/>
              </w:rPr>
              <w:t>470.0</w:t>
            </w:r>
          </w:p>
        </w:tc>
      </w:tr>
      <w:tr w:rsidR="00C51158" w:rsidRPr="007C2713" w:rsidTr="00C51158">
        <w:tc>
          <w:tcPr>
            <w:tcW w:w="676" w:type="pct"/>
            <w:shd w:val="clear" w:color="auto" w:fill="D7DDE9" w:themeFill="accent3"/>
            <w:vAlign w:val="center"/>
          </w:tcPr>
          <w:p w:rsidR="000271AC" w:rsidRPr="004E5C66" w:rsidRDefault="000271AC" w:rsidP="00BE71C3">
            <w:pPr>
              <w:pStyle w:val="TableText"/>
              <w:keepNext/>
              <w:keepLines/>
              <w:rPr>
                <w:b/>
                <w:szCs w:val="20"/>
              </w:rPr>
            </w:pPr>
            <w:r w:rsidRPr="004E5C66">
              <w:rPr>
                <w:b/>
                <w:szCs w:val="20"/>
              </w:rPr>
              <w:t>Total</w:t>
            </w:r>
          </w:p>
        </w:tc>
        <w:tc>
          <w:tcPr>
            <w:tcW w:w="296"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480.0</w:t>
            </w:r>
          </w:p>
        </w:tc>
        <w:tc>
          <w:tcPr>
            <w:tcW w:w="296"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1,130.0</w:t>
            </w:r>
          </w:p>
        </w:tc>
        <w:tc>
          <w:tcPr>
            <w:tcW w:w="296"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1,260.0</w:t>
            </w:r>
          </w:p>
        </w:tc>
        <w:tc>
          <w:tcPr>
            <w:tcW w:w="296"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1,510.0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4,380.0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1,870.0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2,210.0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2,600.0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6,340.0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7,590.0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10,850.0</w:t>
            </w:r>
          </w:p>
        </w:tc>
        <w:tc>
          <w:tcPr>
            <w:tcW w:w="345"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14,240.0</w:t>
            </w:r>
          </w:p>
        </w:tc>
        <w:tc>
          <w:tcPr>
            <w:tcW w:w="378" w:type="pct"/>
            <w:shd w:val="clear" w:color="auto" w:fill="D7DDE9" w:themeFill="accent3"/>
          </w:tcPr>
          <w:p w:rsidR="000271AC" w:rsidRPr="004E5C66" w:rsidRDefault="000271AC" w:rsidP="00C51158">
            <w:pPr>
              <w:spacing w:before="70" w:after="70"/>
              <w:ind w:left="-57"/>
              <w:jc w:val="right"/>
              <w:rPr>
                <w:b/>
                <w:sz w:val="20"/>
                <w:szCs w:val="20"/>
              </w:rPr>
            </w:pPr>
            <w:r w:rsidRPr="004E5C66">
              <w:rPr>
                <w:b/>
                <w:bCs/>
                <w:color w:val="000000"/>
                <w:sz w:val="20"/>
                <w:szCs w:val="20"/>
              </w:rPr>
              <w:t>50,080.0</w:t>
            </w:r>
          </w:p>
        </w:tc>
      </w:tr>
    </w:tbl>
    <w:p w:rsidR="000271AC" w:rsidRPr="000271AC" w:rsidRDefault="000271AC" w:rsidP="00327C55">
      <w:pPr>
        <w:pStyle w:val="Footnotes"/>
        <w:numPr>
          <w:ilvl w:val="0"/>
          <w:numId w:val="186"/>
        </w:numPr>
        <w:ind w:left="284" w:hanging="284"/>
      </w:pPr>
      <w:r w:rsidRPr="000271AC">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D92B29" w:rsidRPr="005F544A" w:rsidRDefault="00D92B29" w:rsidP="00327C55">
      <w:pPr>
        <w:pStyle w:val="Footnotes"/>
        <w:spacing w:after="120"/>
        <w:ind w:left="284" w:hanging="284"/>
      </w:pPr>
      <w:r w:rsidRPr="005F544A">
        <w:t>Figures may not sum to totals due to rounding.</w:t>
      </w:r>
    </w:p>
    <w:p w:rsidR="00D92B29" w:rsidRDefault="00D92B29" w:rsidP="00327C55">
      <w:pPr>
        <w:pStyle w:val="Footnotes"/>
        <w:numPr>
          <w:ilvl w:val="0"/>
          <w:numId w:val="0"/>
        </w:numPr>
        <w:ind w:left="284" w:hanging="284"/>
      </w:pPr>
      <w:r w:rsidRPr="005F544A">
        <w:t>-</w:t>
      </w:r>
      <w:r w:rsidRPr="005F544A">
        <w:tab/>
        <w:t>Indicates nil.</w:t>
      </w:r>
    </w:p>
    <w:p w:rsidR="00D92B29" w:rsidRDefault="00BD0133" w:rsidP="00D92B29">
      <w:pPr>
        <w:pStyle w:val="Caption"/>
        <w:rPr>
          <w:vertAlign w:val="superscript"/>
        </w:rPr>
      </w:pPr>
      <w:r w:rsidRPr="00BD0133">
        <w:t>Table A2: Not proceeding with big company tax cuts—Underlying cash balance</w:t>
      </w:r>
      <w:r w:rsidRPr="00BD0133">
        <w:rPr>
          <w:vertAlign w:val="superscript"/>
        </w:rPr>
        <w:t>(a)(b)</w:t>
      </w:r>
    </w:p>
    <w:tbl>
      <w:tblPr>
        <w:tblStyle w:val="Style1"/>
        <w:tblW w:w="5250" w:type="pct"/>
        <w:tblLayout w:type="fixed"/>
        <w:tblLook w:val="06A0" w:firstRow="1" w:lastRow="0" w:firstColumn="1" w:lastColumn="0" w:noHBand="1" w:noVBand="1"/>
      </w:tblPr>
      <w:tblGrid>
        <w:gridCol w:w="2123"/>
        <w:gridCol w:w="862"/>
        <w:gridCol w:w="867"/>
        <w:gridCol w:w="935"/>
        <w:gridCol w:w="935"/>
        <w:gridCol w:w="936"/>
        <w:gridCol w:w="936"/>
        <w:gridCol w:w="936"/>
        <w:gridCol w:w="936"/>
        <w:gridCol w:w="936"/>
        <w:gridCol w:w="936"/>
        <w:gridCol w:w="936"/>
        <w:gridCol w:w="936"/>
        <w:gridCol w:w="924"/>
      </w:tblGrid>
      <w:tr w:rsidR="00BD0133" w:rsidTr="00C51158">
        <w:trPr>
          <w:cnfStyle w:val="100000000000" w:firstRow="1" w:lastRow="0" w:firstColumn="0" w:lastColumn="0" w:oddVBand="0" w:evenVBand="0" w:oddHBand="0" w:evenHBand="0" w:firstRowFirstColumn="0" w:firstRowLastColumn="0" w:lastRowFirstColumn="0" w:lastRowLastColumn="0"/>
        </w:trPr>
        <w:tc>
          <w:tcPr>
            <w:tcW w:w="2093" w:type="dxa"/>
            <w:vAlign w:val="center"/>
          </w:tcPr>
          <w:p w:rsidR="00BD0133" w:rsidRPr="007C2713" w:rsidRDefault="00BD0133" w:rsidP="004E5C66">
            <w:pPr>
              <w:pStyle w:val="TableText"/>
              <w:keepNext/>
              <w:keepLines/>
              <w:rPr>
                <w:b w:val="0"/>
              </w:rPr>
            </w:pPr>
            <w:r>
              <w:t>($m)</w:t>
            </w:r>
          </w:p>
        </w:tc>
        <w:tc>
          <w:tcPr>
            <w:tcW w:w="850" w:type="dxa"/>
            <w:vAlign w:val="center"/>
          </w:tcPr>
          <w:p w:rsidR="00BD0133" w:rsidRDefault="00BD0133" w:rsidP="004E5C66">
            <w:pPr>
              <w:pStyle w:val="TableTextRight"/>
              <w:keepNext/>
              <w:keepLines/>
              <w:spacing w:before="0" w:after="0" w:line="240" w:lineRule="auto"/>
              <w:ind w:left="-57" w:right="-57"/>
              <w:rPr>
                <w:b w:val="0"/>
              </w:rPr>
            </w:pPr>
            <w:r>
              <w:t>2016–17</w:t>
            </w:r>
          </w:p>
        </w:tc>
        <w:tc>
          <w:tcPr>
            <w:tcW w:w="855" w:type="dxa"/>
            <w:vAlign w:val="center"/>
          </w:tcPr>
          <w:p w:rsidR="00BD0133" w:rsidRDefault="00BD0133" w:rsidP="004E5C66">
            <w:pPr>
              <w:pStyle w:val="TableTextRight"/>
              <w:keepNext/>
              <w:keepLines/>
              <w:spacing w:before="0" w:after="0" w:line="240" w:lineRule="auto"/>
              <w:ind w:left="-57" w:right="-57"/>
              <w:rPr>
                <w:b w:val="0"/>
              </w:rPr>
            </w:pPr>
            <w:r>
              <w:t>2017–18</w:t>
            </w:r>
          </w:p>
        </w:tc>
        <w:tc>
          <w:tcPr>
            <w:tcW w:w="922" w:type="dxa"/>
            <w:vAlign w:val="center"/>
          </w:tcPr>
          <w:p w:rsidR="00BD0133" w:rsidRDefault="00BD0133" w:rsidP="004E5C66">
            <w:pPr>
              <w:pStyle w:val="TableTextRight"/>
              <w:keepNext/>
              <w:keepLines/>
              <w:spacing w:before="0" w:after="0" w:line="240" w:lineRule="auto"/>
              <w:ind w:left="-57" w:right="-57"/>
              <w:rPr>
                <w:b w:val="0"/>
              </w:rPr>
            </w:pPr>
            <w:r>
              <w:t>2018–19</w:t>
            </w:r>
          </w:p>
        </w:tc>
        <w:tc>
          <w:tcPr>
            <w:tcW w:w="922" w:type="dxa"/>
            <w:vAlign w:val="center"/>
          </w:tcPr>
          <w:p w:rsidR="00BD0133" w:rsidRDefault="00BD0133" w:rsidP="004E5C66">
            <w:pPr>
              <w:pStyle w:val="TableTextRight"/>
              <w:keepNext/>
              <w:keepLines/>
              <w:spacing w:before="0" w:after="0" w:line="240" w:lineRule="auto"/>
              <w:ind w:left="-57" w:right="-57"/>
              <w:rPr>
                <w:b w:val="0"/>
              </w:rPr>
            </w:pPr>
            <w:r>
              <w:t>2019–20</w:t>
            </w:r>
          </w:p>
        </w:tc>
        <w:tc>
          <w:tcPr>
            <w:tcW w:w="922" w:type="dxa"/>
            <w:vAlign w:val="center"/>
          </w:tcPr>
          <w:p w:rsidR="00BD0133" w:rsidRDefault="00BD0133" w:rsidP="004E5C66">
            <w:pPr>
              <w:pStyle w:val="TableTextRight"/>
              <w:keepNext/>
              <w:keepLines/>
              <w:spacing w:before="0" w:after="0" w:line="240" w:lineRule="auto"/>
              <w:ind w:left="-57" w:right="-57"/>
              <w:rPr>
                <w:b w:val="0"/>
              </w:rPr>
            </w:pPr>
            <w:r>
              <w:t>Total to 2019–20</w:t>
            </w:r>
          </w:p>
        </w:tc>
        <w:tc>
          <w:tcPr>
            <w:tcW w:w="922" w:type="dxa"/>
            <w:vAlign w:val="center"/>
          </w:tcPr>
          <w:p w:rsidR="00BD0133" w:rsidRPr="00C51158" w:rsidRDefault="00BD0133" w:rsidP="004E5C66">
            <w:pPr>
              <w:pStyle w:val="TableHeadingCentred"/>
              <w:ind w:left="-57" w:right="-57"/>
              <w:jc w:val="right"/>
              <w:rPr>
                <w:b/>
              </w:rPr>
            </w:pPr>
            <w:r w:rsidRPr="00C51158">
              <w:rPr>
                <w:b/>
              </w:rPr>
              <w:t>2020–21</w:t>
            </w:r>
          </w:p>
        </w:tc>
        <w:tc>
          <w:tcPr>
            <w:tcW w:w="922" w:type="dxa"/>
            <w:vAlign w:val="center"/>
          </w:tcPr>
          <w:p w:rsidR="00BD0133" w:rsidRPr="00C51158" w:rsidRDefault="00BD0133" w:rsidP="004E5C66">
            <w:pPr>
              <w:pStyle w:val="TableHeadingCentred"/>
              <w:ind w:left="-57" w:right="-57"/>
              <w:jc w:val="right"/>
              <w:rPr>
                <w:b/>
              </w:rPr>
            </w:pPr>
            <w:r w:rsidRPr="00C51158">
              <w:rPr>
                <w:b/>
              </w:rPr>
              <w:t>2021–22</w:t>
            </w:r>
          </w:p>
        </w:tc>
        <w:tc>
          <w:tcPr>
            <w:tcW w:w="922" w:type="dxa"/>
            <w:vAlign w:val="center"/>
          </w:tcPr>
          <w:p w:rsidR="00BD0133" w:rsidRPr="00C51158" w:rsidRDefault="00BD0133" w:rsidP="004E5C66">
            <w:pPr>
              <w:pStyle w:val="TableHeadingCentred"/>
              <w:ind w:left="-57" w:right="-57"/>
              <w:jc w:val="right"/>
              <w:rPr>
                <w:b/>
              </w:rPr>
            </w:pPr>
            <w:r w:rsidRPr="00C51158">
              <w:rPr>
                <w:b/>
              </w:rPr>
              <w:t>2022–23</w:t>
            </w:r>
          </w:p>
        </w:tc>
        <w:tc>
          <w:tcPr>
            <w:tcW w:w="922" w:type="dxa"/>
            <w:vAlign w:val="center"/>
          </w:tcPr>
          <w:p w:rsidR="00BD0133" w:rsidRPr="00C51158" w:rsidRDefault="00BD0133" w:rsidP="004E5C66">
            <w:pPr>
              <w:pStyle w:val="TableHeadingCentred"/>
              <w:ind w:left="-57" w:right="-57"/>
              <w:jc w:val="right"/>
              <w:rPr>
                <w:b/>
              </w:rPr>
            </w:pPr>
            <w:r w:rsidRPr="00C51158">
              <w:rPr>
                <w:b/>
              </w:rPr>
              <w:t>2023–24</w:t>
            </w:r>
          </w:p>
        </w:tc>
        <w:tc>
          <w:tcPr>
            <w:tcW w:w="922" w:type="dxa"/>
            <w:vAlign w:val="center"/>
          </w:tcPr>
          <w:p w:rsidR="00BD0133" w:rsidRPr="00C51158" w:rsidRDefault="00BD0133" w:rsidP="004E5C66">
            <w:pPr>
              <w:pStyle w:val="TableHeadingCentred"/>
              <w:ind w:left="-57" w:right="-57"/>
              <w:jc w:val="right"/>
              <w:rPr>
                <w:b/>
              </w:rPr>
            </w:pPr>
            <w:r w:rsidRPr="00C51158">
              <w:rPr>
                <w:b/>
              </w:rPr>
              <w:t>2024–25</w:t>
            </w:r>
          </w:p>
        </w:tc>
        <w:tc>
          <w:tcPr>
            <w:tcW w:w="922" w:type="dxa"/>
            <w:vAlign w:val="center"/>
          </w:tcPr>
          <w:p w:rsidR="00BD0133" w:rsidRPr="00C51158" w:rsidRDefault="00BD0133" w:rsidP="004E5C66">
            <w:pPr>
              <w:pStyle w:val="TableHeadingCentred"/>
              <w:ind w:left="-57" w:right="-57"/>
              <w:jc w:val="right"/>
              <w:rPr>
                <w:b/>
              </w:rPr>
            </w:pPr>
            <w:r w:rsidRPr="00C51158">
              <w:rPr>
                <w:b/>
              </w:rPr>
              <w:t>2025–26</w:t>
            </w:r>
          </w:p>
        </w:tc>
        <w:tc>
          <w:tcPr>
            <w:tcW w:w="922" w:type="dxa"/>
            <w:vAlign w:val="center"/>
          </w:tcPr>
          <w:p w:rsidR="00BD0133" w:rsidRPr="00C51158" w:rsidRDefault="00BD0133" w:rsidP="004E5C66">
            <w:pPr>
              <w:pStyle w:val="TableHeadingCentred"/>
              <w:ind w:left="-57" w:right="-57"/>
              <w:jc w:val="right"/>
              <w:rPr>
                <w:b/>
              </w:rPr>
            </w:pPr>
            <w:r w:rsidRPr="00C51158">
              <w:rPr>
                <w:b/>
              </w:rPr>
              <w:t>2026–27</w:t>
            </w:r>
          </w:p>
        </w:tc>
        <w:tc>
          <w:tcPr>
            <w:tcW w:w="911" w:type="dxa"/>
            <w:vAlign w:val="center"/>
          </w:tcPr>
          <w:p w:rsidR="00BD0133" w:rsidRPr="00C51158" w:rsidRDefault="00BD0133" w:rsidP="004E5C66">
            <w:pPr>
              <w:pStyle w:val="TableHeadingCentred"/>
              <w:ind w:left="-57" w:right="-57"/>
              <w:jc w:val="right"/>
              <w:rPr>
                <w:b/>
              </w:rPr>
            </w:pPr>
            <w:r w:rsidRPr="00C51158">
              <w:rPr>
                <w:b/>
              </w:rPr>
              <w:t>Total to 2026–27</w:t>
            </w:r>
          </w:p>
        </w:tc>
      </w:tr>
      <w:tr w:rsidR="00BD0133" w:rsidTr="00C51158">
        <w:tc>
          <w:tcPr>
            <w:tcW w:w="13929" w:type="dxa"/>
            <w:gridSpan w:val="14"/>
            <w:shd w:val="clear" w:color="auto" w:fill="E9ECF3" w:themeFill="accent2" w:themeFillTint="33"/>
            <w:vAlign w:val="center"/>
          </w:tcPr>
          <w:p w:rsidR="00BD0133" w:rsidRPr="004E5C66" w:rsidRDefault="00BD0133" w:rsidP="004E5C66">
            <w:pPr>
              <w:pStyle w:val="TableHeading"/>
              <w:rPr>
                <w:i/>
                <w:szCs w:val="20"/>
              </w:rPr>
            </w:pPr>
            <w:r w:rsidRPr="004E5C66">
              <w:rPr>
                <w:szCs w:val="20"/>
              </w:rPr>
              <w:t>Underlying cash balance</w:t>
            </w:r>
          </w:p>
        </w:tc>
      </w:tr>
      <w:tr w:rsidR="00BD0133" w:rsidTr="00C51158">
        <w:tc>
          <w:tcPr>
            <w:tcW w:w="2093" w:type="dxa"/>
          </w:tcPr>
          <w:p w:rsidR="00BD0133" w:rsidRPr="004E5C66" w:rsidRDefault="00BD0133" w:rsidP="004E5C66">
            <w:pPr>
              <w:spacing w:before="70" w:after="70"/>
              <w:rPr>
                <w:color w:val="000000"/>
                <w:sz w:val="20"/>
                <w:szCs w:val="20"/>
              </w:rPr>
            </w:pPr>
            <w:r w:rsidRPr="004E5C66">
              <w:rPr>
                <w:color w:val="000000"/>
                <w:sz w:val="20"/>
                <w:szCs w:val="20"/>
              </w:rPr>
              <w:t>Component 1</w:t>
            </w:r>
            <w:r w:rsidR="004E5C66" w:rsidRPr="004E5C66">
              <w:rPr>
                <w:color w:val="000000"/>
                <w:sz w:val="20"/>
                <w:szCs w:val="20"/>
              </w:rPr>
              <w:t xml:space="preserve"> -</w:t>
            </w:r>
            <w:r w:rsidRPr="004E5C66">
              <w:rPr>
                <w:color w:val="000000"/>
                <w:sz w:val="20"/>
                <w:szCs w:val="20"/>
              </w:rPr>
              <w:t xml:space="preserve"> Reverse SBE turnover threshold</w:t>
            </w:r>
          </w:p>
        </w:tc>
        <w:tc>
          <w:tcPr>
            <w:tcW w:w="850" w:type="dxa"/>
          </w:tcPr>
          <w:p w:rsidR="00BD0133" w:rsidRPr="00C51158" w:rsidRDefault="00BD0133" w:rsidP="00BD0133">
            <w:pPr>
              <w:pStyle w:val="TableText"/>
              <w:ind w:left="-57" w:right="-57"/>
              <w:jc w:val="right"/>
              <w:rPr>
                <w:szCs w:val="20"/>
              </w:rPr>
            </w:pPr>
            <w:r w:rsidRPr="00C51158">
              <w:rPr>
                <w:szCs w:val="20"/>
              </w:rPr>
              <w:t>295.0</w:t>
            </w:r>
          </w:p>
        </w:tc>
        <w:tc>
          <w:tcPr>
            <w:tcW w:w="855" w:type="dxa"/>
          </w:tcPr>
          <w:p w:rsidR="00BD0133" w:rsidRPr="00C51158" w:rsidRDefault="00BD0133" w:rsidP="00BD0133">
            <w:pPr>
              <w:pStyle w:val="TableText"/>
              <w:ind w:left="-57" w:right="-57"/>
              <w:jc w:val="right"/>
              <w:rPr>
                <w:szCs w:val="20"/>
              </w:rPr>
            </w:pPr>
            <w:r w:rsidRPr="00C51158">
              <w:rPr>
                <w:szCs w:val="20"/>
              </w:rPr>
              <w:t>700.0</w:t>
            </w:r>
          </w:p>
        </w:tc>
        <w:tc>
          <w:tcPr>
            <w:tcW w:w="922" w:type="dxa"/>
          </w:tcPr>
          <w:p w:rsidR="00BD0133" w:rsidRPr="00C51158" w:rsidRDefault="00BD0133" w:rsidP="00BD0133">
            <w:pPr>
              <w:pStyle w:val="TableText"/>
              <w:ind w:left="-57" w:right="-57"/>
              <w:jc w:val="right"/>
              <w:rPr>
                <w:szCs w:val="20"/>
              </w:rPr>
            </w:pPr>
            <w:r w:rsidRPr="00C51158">
              <w:rPr>
                <w:szCs w:val="20"/>
              </w:rPr>
              <w:t>550.0</w:t>
            </w:r>
          </w:p>
        </w:tc>
        <w:tc>
          <w:tcPr>
            <w:tcW w:w="922" w:type="dxa"/>
          </w:tcPr>
          <w:p w:rsidR="00BD0133" w:rsidRPr="00C51158" w:rsidRDefault="00BD0133" w:rsidP="00BD0133">
            <w:pPr>
              <w:pStyle w:val="TableText"/>
              <w:ind w:left="-57" w:right="-57"/>
              <w:jc w:val="right"/>
              <w:rPr>
                <w:szCs w:val="20"/>
              </w:rPr>
            </w:pPr>
            <w:r w:rsidRPr="00C51158">
              <w:rPr>
                <w:szCs w:val="20"/>
              </w:rPr>
              <w:t>650.0</w:t>
            </w:r>
          </w:p>
        </w:tc>
        <w:tc>
          <w:tcPr>
            <w:tcW w:w="922" w:type="dxa"/>
          </w:tcPr>
          <w:p w:rsidR="00BD0133" w:rsidRPr="00C51158" w:rsidRDefault="00BD0133" w:rsidP="00BD0133">
            <w:pPr>
              <w:pStyle w:val="TableText"/>
              <w:ind w:left="-57" w:right="-57"/>
              <w:jc w:val="right"/>
              <w:rPr>
                <w:b/>
                <w:szCs w:val="20"/>
              </w:rPr>
            </w:pPr>
            <w:r w:rsidRPr="00C51158">
              <w:rPr>
                <w:b/>
                <w:szCs w:val="20"/>
              </w:rPr>
              <w:t>2,195.0</w:t>
            </w:r>
          </w:p>
        </w:tc>
        <w:tc>
          <w:tcPr>
            <w:tcW w:w="922" w:type="dxa"/>
          </w:tcPr>
          <w:p w:rsidR="00BD0133" w:rsidRPr="00C51158" w:rsidRDefault="00BD0133" w:rsidP="00BD0133">
            <w:pPr>
              <w:pStyle w:val="TableText"/>
              <w:ind w:left="-57" w:right="-57"/>
              <w:jc w:val="right"/>
              <w:rPr>
                <w:szCs w:val="20"/>
              </w:rPr>
            </w:pPr>
            <w:r w:rsidRPr="00C51158">
              <w:rPr>
                <w:szCs w:val="20"/>
              </w:rPr>
              <w:t>650.0</w:t>
            </w:r>
          </w:p>
        </w:tc>
        <w:tc>
          <w:tcPr>
            <w:tcW w:w="922" w:type="dxa"/>
          </w:tcPr>
          <w:p w:rsidR="00BD0133" w:rsidRPr="00C51158" w:rsidRDefault="00BD0133" w:rsidP="00BD0133">
            <w:pPr>
              <w:pStyle w:val="TableText"/>
              <w:ind w:left="-57" w:right="-57"/>
              <w:jc w:val="right"/>
              <w:rPr>
                <w:szCs w:val="20"/>
              </w:rPr>
            </w:pPr>
            <w:r w:rsidRPr="00C51158">
              <w:rPr>
                <w:szCs w:val="20"/>
              </w:rPr>
              <w:t>700.0</w:t>
            </w:r>
          </w:p>
        </w:tc>
        <w:tc>
          <w:tcPr>
            <w:tcW w:w="922" w:type="dxa"/>
          </w:tcPr>
          <w:p w:rsidR="00BD0133" w:rsidRPr="00C51158" w:rsidRDefault="00BD0133" w:rsidP="00BD0133">
            <w:pPr>
              <w:pStyle w:val="TableText"/>
              <w:ind w:left="-57" w:right="-57"/>
              <w:jc w:val="right"/>
              <w:rPr>
                <w:szCs w:val="20"/>
              </w:rPr>
            </w:pPr>
            <w:r w:rsidRPr="00C51158">
              <w:rPr>
                <w:szCs w:val="20"/>
              </w:rPr>
              <w:t>700.0</w:t>
            </w:r>
          </w:p>
        </w:tc>
        <w:tc>
          <w:tcPr>
            <w:tcW w:w="922" w:type="dxa"/>
          </w:tcPr>
          <w:p w:rsidR="00BD0133" w:rsidRPr="00C51158" w:rsidRDefault="00BD0133" w:rsidP="00BD0133">
            <w:pPr>
              <w:pStyle w:val="TableText"/>
              <w:ind w:left="-57" w:right="-57"/>
              <w:jc w:val="right"/>
              <w:rPr>
                <w:szCs w:val="20"/>
              </w:rPr>
            </w:pPr>
            <w:r w:rsidRPr="00C51158">
              <w:rPr>
                <w:szCs w:val="20"/>
              </w:rPr>
              <w:t>750.0</w:t>
            </w:r>
          </w:p>
        </w:tc>
        <w:tc>
          <w:tcPr>
            <w:tcW w:w="922" w:type="dxa"/>
          </w:tcPr>
          <w:p w:rsidR="00BD0133" w:rsidRPr="00C51158" w:rsidRDefault="00BD0133" w:rsidP="00BD0133">
            <w:pPr>
              <w:pStyle w:val="TableText"/>
              <w:ind w:left="-57" w:right="-57"/>
              <w:jc w:val="right"/>
              <w:rPr>
                <w:szCs w:val="20"/>
              </w:rPr>
            </w:pPr>
            <w:r w:rsidRPr="00C51158">
              <w:rPr>
                <w:szCs w:val="20"/>
              </w:rPr>
              <w:t>800.0</w:t>
            </w:r>
          </w:p>
        </w:tc>
        <w:tc>
          <w:tcPr>
            <w:tcW w:w="922" w:type="dxa"/>
          </w:tcPr>
          <w:p w:rsidR="00BD0133" w:rsidRPr="00C51158" w:rsidRDefault="00BD0133" w:rsidP="00BD0133">
            <w:pPr>
              <w:pStyle w:val="TableText"/>
              <w:ind w:left="-57" w:right="-57"/>
              <w:jc w:val="right"/>
              <w:rPr>
                <w:szCs w:val="20"/>
              </w:rPr>
            </w:pPr>
            <w:r w:rsidRPr="00C51158">
              <w:rPr>
                <w:szCs w:val="20"/>
              </w:rPr>
              <w:t>800.0</w:t>
            </w:r>
          </w:p>
        </w:tc>
        <w:tc>
          <w:tcPr>
            <w:tcW w:w="922" w:type="dxa"/>
          </w:tcPr>
          <w:p w:rsidR="00BD0133" w:rsidRPr="00C51158" w:rsidRDefault="00BD0133" w:rsidP="00BD0133">
            <w:pPr>
              <w:pStyle w:val="TableText"/>
              <w:ind w:left="-57" w:right="-57"/>
              <w:jc w:val="right"/>
              <w:rPr>
                <w:szCs w:val="20"/>
              </w:rPr>
            </w:pPr>
            <w:r w:rsidRPr="00C51158">
              <w:rPr>
                <w:szCs w:val="20"/>
              </w:rPr>
              <w:t>850.0</w:t>
            </w:r>
          </w:p>
        </w:tc>
        <w:tc>
          <w:tcPr>
            <w:tcW w:w="911" w:type="dxa"/>
          </w:tcPr>
          <w:p w:rsidR="00BD0133" w:rsidRPr="00C51158" w:rsidRDefault="00BD0133" w:rsidP="00BD0133">
            <w:pPr>
              <w:pStyle w:val="TableText"/>
              <w:ind w:left="-57" w:right="-57"/>
              <w:jc w:val="right"/>
              <w:rPr>
                <w:b/>
                <w:szCs w:val="20"/>
              </w:rPr>
            </w:pPr>
            <w:r w:rsidRPr="00C51158">
              <w:rPr>
                <w:b/>
                <w:szCs w:val="20"/>
              </w:rPr>
              <w:t>7,445.0</w:t>
            </w:r>
          </w:p>
        </w:tc>
      </w:tr>
      <w:tr w:rsidR="00BD0133" w:rsidTr="00C51158">
        <w:tc>
          <w:tcPr>
            <w:tcW w:w="2093" w:type="dxa"/>
          </w:tcPr>
          <w:p w:rsidR="00BD0133" w:rsidRPr="004E5C66" w:rsidRDefault="00BD0133" w:rsidP="004E5C66">
            <w:pPr>
              <w:spacing w:before="70" w:after="70"/>
              <w:rPr>
                <w:sz w:val="20"/>
                <w:szCs w:val="20"/>
              </w:rPr>
            </w:pPr>
            <w:r w:rsidRPr="004E5C66">
              <w:rPr>
                <w:sz w:val="20"/>
                <w:szCs w:val="20"/>
              </w:rPr>
              <w:t>Component 2</w:t>
            </w:r>
            <w:r w:rsidR="004E5C66" w:rsidRPr="004E5C66">
              <w:rPr>
                <w:sz w:val="20"/>
                <w:szCs w:val="20"/>
              </w:rPr>
              <w:t xml:space="preserve"> -</w:t>
            </w:r>
            <w:r w:rsidRPr="004E5C66">
              <w:rPr>
                <w:sz w:val="20"/>
                <w:szCs w:val="20"/>
              </w:rPr>
              <w:t xml:space="preserve"> Partially reverse company tax cut</w:t>
            </w:r>
          </w:p>
        </w:tc>
        <w:tc>
          <w:tcPr>
            <w:tcW w:w="850" w:type="dxa"/>
          </w:tcPr>
          <w:p w:rsidR="00BD0133" w:rsidRPr="00C51158" w:rsidRDefault="00BD0133" w:rsidP="00BD0133">
            <w:pPr>
              <w:pStyle w:val="TableText"/>
              <w:ind w:left="-57" w:right="-57"/>
              <w:jc w:val="right"/>
              <w:rPr>
                <w:szCs w:val="20"/>
              </w:rPr>
            </w:pPr>
            <w:r w:rsidRPr="00C51158">
              <w:rPr>
                <w:szCs w:val="20"/>
              </w:rPr>
              <w:t>200.0</w:t>
            </w:r>
          </w:p>
        </w:tc>
        <w:tc>
          <w:tcPr>
            <w:tcW w:w="855" w:type="dxa"/>
          </w:tcPr>
          <w:p w:rsidR="00BD0133" w:rsidRPr="00C51158" w:rsidRDefault="00BD0133" w:rsidP="00BD0133">
            <w:pPr>
              <w:pStyle w:val="TableText"/>
              <w:ind w:left="-57" w:right="-57"/>
              <w:jc w:val="right"/>
              <w:rPr>
                <w:szCs w:val="20"/>
              </w:rPr>
            </w:pPr>
            <w:r w:rsidRPr="00C51158">
              <w:rPr>
                <w:szCs w:val="20"/>
              </w:rPr>
              <w:t>400.0</w:t>
            </w:r>
          </w:p>
        </w:tc>
        <w:tc>
          <w:tcPr>
            <w:tcW w:w="922" w:type="dxa"/>
          </w:tcPr>
          <w:p w:rsidR="00BD0133" w:rsidRPr="00C51158" w:rsidRDefault="00BD0133" w:rsidP="00BD0133">
            <w:pPr>
              <w:pStyle w:val="TableText"/>
              <w:ind w:left="-57" w:right="-57"/>
              <w:jc w:val="right"/>
              <w:rPr>
                <w:szCs w:val="20"/>
              </w:rPr>
            </w:pPr>
            <w:r w:rsidRPr="00C51158">
              <w:rPr>
                <w:szCs w:val="20"/>
              </w:rPr>
              <w:t>680.0</w:t>
            </w:r>
          </w:p>
        </w:tc>
        <w:tc>
          <w:tcPr>
            <w:tcW w:w="922" w:type="dxa"/>
          </w:tcPr>
          <w:p w:rsidR="00BD0133" w:rsidRPr="00C51158" w:rsidRDefault="00BD0133" w:rsidP="00BD0133">
            <w:pPr>
              <w:pStyle w:val="TableText"/>
              <w:ind w:left="-57" w:right="-57"/>
              <w:jc w:val="right"/>
              <w:rPr>
                <w:szCs w:val="20"/>
              </w:rPr>
            </w:pPr>
            <w:r w:rsidRPr="00C51158">
              <w:rPr>
                <w:szCs w:val="20"/>
              </w:rPr>
              <w:t>830.0</w:t>
            </w:r>
          </w:p>
        </w:tc>
        <w:tc>
          <w:tcPr>
            <w:tcW w:w="922" w:type="dxa"/>
          </w:tcPr>
          <w:p w:rsidR="00BD0133" w:rsidRPr="00C51158" w:rsidRDefault="00BD0133" w:rsidP="00BD0133">
            <w:pPr>
              <w:pStyle w:val="TableText"/>
              <w:ind w:left="-57" w:right="-57"/>
              <w:jc w:val="right"/>
              <w:rPr>
                <w:b/>
                <w:szCs w:val="20"/>
              </w:rPr>
            </w:pPr>
            <w:r w:rsidRPr="00C51158">
              <w:rPr>
                <w:b/>
                <w:szCs w:val="20"/>
              </w:rPr>
              <w:t>2,110.0</w:t>
            </w:r>
          </w:p>
        </w:tc>
        <w:tc>
          <w:tcPr>
            <w:tcW w:w="922" w:type="dxa"/>
          </w:tcPr>
          <w:p w:rsidR="00BD0133" w:rsidRPr="00C51158" w:rsidRDefault="00BD0133" w:rsidP="00BD0133">
            <w:pPr>
              <w:pStyle w:val="TableText"/>
              <w:ind w:left="-57" w:right="-57"/>
              <w:jc w:val="right"/>
              <w:rPr>
                <w:szCs w:val="20"/>
              </w:rPr>
            </w:pPr>
            <w:r w:rsidRPr="00C51158">
              <w:rPr>
                <w:szCs w:val="20"/>
              </w:rPr>
              <w:t>1,190.0</w:t>
            </w:r>
          </w:p>
        </w:tc>
        <w:tc>
          <w:tcPr>
            <w:tcW w:w="922" w:type="dxa"/>
          </w:tcPr>
          <w:p w:rsidR="00BD0133" w:rsidRPr="00C51158" w:rsidRDefault="00BD0133" w:rsidP="00BD0133">
            <w:pPr>
              <w:pStyle w:val="TableText"/>
              <w:ind w:left="-57" w:right="-57"/>
              <w:jc w:val="right"/>
              <w:rPr>
                <w:szCs w:val="20"/>
              </w:rPr>
            </w:pPr>
            <w:r w:rsidRPr="00C51158">
              <w:rPr>
                <w:szCs w:val="20"/>
              </w:rPr>
              <w:t>1,480.0</w:t>
            </w:r>
          </w:p>
        </w:tc>
        <w:tc>
          <w:tcPr>
            <w:tcW w:w="922" w:type="dxa"/>
          </w:tcPr>
          <w:p w:rsidR="00BD0133" w:rsidRPr="00C51158" w:rsidRDefault="00BD0133" w:rsidP="00BD0133">
            <w:pPr>
              <w:pStyle w:val="TableText"/>
              <w:ind w:left="-57" w:right="-57"/>
              <w:jc w:val="right"/>
              <w:rPr>
                <w:szCs w:val="20"/>
              </w:rPr>
            </w:pPr>
            <w:r w:rsidRPr="00C51158">
              <w:rPr>
                <w:szCs w:val="20"/>
              </w:rPr>
              <w:t>1,870.0</w:t>
            </w:r>
          </w:p>
        </w:tc>
        <w:tc>
          <w:tcPr>
            <w:tcW w:w="922" w:type="dxa"/>
          </w:tcPr>
          <w:p w:rsidR="00BD0133" w:rsidRPr="00C51158" w:rsidRDefault="00BD0133" w:rsidP="00BD0133">
            <w:pPr>
              <w:pStyle w:val="TableText"/>
              <w:ind w:left="-57" w:right="-57"/>
              <w:jc w:val="right"/>
              <w:rPr>
                <w:szCs w:val="20"/>
              </w:rPr>
            </w:pPr>
            <w:r w:rsidRPr="00C51158">
              <w:rPr>
                <w:szCs w:val="20"/>
              </w:rPr>
              <w:t>5,560.0</w:t>
            </w:r>
          </w:p>
        </w:tc>
        <w:tc>
          <w:tcPr>
            <w:tcW w:w="922" w:type="dxa"/>
          </w:tcPr>
          <w:p w:rsidR="00BD0133" w:rsidRPr="00C51158" w:rsidRDefault="00BD0133" w:rsidP="00BD0133">
            <w:pPr>
              <w:pStyle w:val="TableText"/>
              <w:ind w:left="-57" w:right="-57"/>
              <w:jc w:val="right"/>
              <w:rPr>
                <w:szCs w:val="20"/>
              </w:rPr>
            </w:pPr>
            <w:r w:rsidRPr="00C51158">
              <w:rPr>
                <w:szCs w:val="20"/>
              </w:rPr>
              <w:t>6,760.0</w:t>
            </w:r>
          </w:p>
        </w:tc>
        <w:tc>
          <w:tcPr>
            <w:tcW w:w="922" w:type="dxa"/>
          </w:tcPr>
          <w:p w:rsidR="00BD0133" w:rsidRPr="00C51158" w:rsidRDefault="00BD0133" w:rsidP="00BD0133">
            <w:pPr>
              <w:pStyle w:val="TableText"/>
              <w:ind w:left="-57" w:right="-57"/>
              <w:jc w:val="right"/>
              <w:rPr>
                <w:szCs w:val="20"/>
              </w:rPr>
            </w:pPr>
            <w:r w:rsidRPr="00C51158">
              <w:rPr>
                <w:szCs w:val="20"/>
              </w:rPr>
              <w:t>9,960.0</w:t>
            </w:r>
          </w:p>
        </w:tc>
        <w:tc>
          <w:tcPr>
            <w:tcW w:w="922" w:type="dxa"/>
          </w:tcPr>
          <w:p w:rsidR="00BD0133" w:rsidRPr="00C51158" w:rsidRDefault="00BD0133" w:rsidP="00BD0133">
            <w:pPr>
              <w:pStyle w:val="TableText"/>
              <w:ind w:left="-57" w:right="-57"/>
              <w:jc w:val="right"/>
              <w:rPr>
                <w:szCs w:val="20"/>
              </w:rPr>
            </w:pPr>
            <w:r w:rsidRPr="00C51158">
              <w:rPr>
                <w:szCs w:val="20"/>
              </w:rPr>
              <w:t>13,250.0</w:t>
            </w:r>
          </w:p>
        </w:tc>
        <w:tc>
          <w:tcPr>
            <w:tcW w:w="911" w:type="dxa"/>
          </w:tcPr>
          <w:p w:rsidR="00BD0133" w:rsidRPr="00C51158" w:rsidRDefault="00BD0133" w:rsidP="00BD0133">
            <w:pPr>
              <w:pStyle w:val="TableText"/>
              <w:ind w:left="-57" w:right="-57"/>
              <w:jc w:val="right"/>
              <w:rPr>
                <w:b/>
                <w:szCs w:val="20"/>
              </w:rPr>
            </w:pPr>
            <w:r w:rsidRPr="00C51158">
              <w:rPr>
                <w:b/>
                <w:szCs w:val="20"/>
              </w:rPr>
              <w:t>42,180.0</w:t>
            </w:r>
          </w:p>
        </w:tc>
      </w:tr>
      <w:tr w:rsidR="00BD0133" w:rsidTr="00C51158">
        <w:tc>
          <w:tcPr>
            <w:tcW w:w="2093" w:type="dxa"/>
          </w:tcPr>
          <w:p w:rsidR="00BD0133" w:rsidRPr="004E5C66" w:rsidRDefault="00BD0133" w:rsidP="004E5C66">
            <w:pPr>
              <w:spacing w:before="70" w:after="70"/>
              <w:rPr>
                <w:sz w:val="20"/>
                <w:szCs w:val="20"/>
              </w:rPr>
            </w:pPr>
            <w:r w:rsidRPr="004E5C66">
              <w:rPr>
                <w:sz w:val="20"/>
                <w:szCs w:val="20"/>
              </w:rPr>
              <w:t>Component 3</w:t>
            </w:r>
            <w:r w:rsidR="004E5C66" w:rsidRPr="004E5C66">
              <w:rPr>
                <w:sz w:val="20"/>
                <w:szCs w:val="20"/>
              </w:rPr>
              <w:t xml:space="preserve"> -</w:t>
            </w:r>
            <w:r w:rsidRPr="004E5C66">
              <w:rPr>
                <w:sz w:val="20"/>
                <w:szCs w:val="20"/>
              </w:rPr>
              <w:t xml:space="preserve"> Partially reverse tax discount </w:t>
            </w:r>
          </w:p>
        </w:tc>
        <w:tc>
          <w:tcPr>
            <w:tcW w:w="850" w:type="dxa"/>
          </w:tcPr>
          <w:p w:rsidR="00BD0133" w:rsidRPr="00C51158" w:rsidRDefault="00BD0133" w:rsidP="00BD0133">
            <w:pPr>
              <w:pStyle w:val="TableText"/>
              <w:ind w:left="-57" w:right="-57"/>
              <w:jc w:val="right"/>
              <w:rPr>
                <w:szCs w:val="20"/>
              </w:rPr>
            </w:pPr>
            <w:r w:rsidRPr="00C51158">
              <w:rPr>
                <w:szCs w:val="20"/>
              </w:rPr>
              <w:t>-</w:t>
            </w:r>
          </w:p>
        </w:tc>
        <w:tc>
          <w:tcPr>
            <w:tcW w:w="855"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b/>
                <w:szCs w:val="20"/>
              </w:rPr>
            </w:pPr>
            <w:r w:rsidRPr="00C51158">
              <w:rPr>
                <w:b/>
                <w:szCs w:val="20"/>
              </w:rPr>
              <w:t>90.0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30.0</w:t>
            </w:r>
          </w:p>
        </w:tc>
        <w:tc>
          <w:tcPr>
            <w:tcW w:w="922" w:type="dxa"/>
          </w:tcPr>
          <w:p w:rsidR="00BD0133" w:rsidRPr="00C51158" w:rsidRDefault="00BD0133" w:rsidP="00BD0133">
            <w:pPr>
              <w:pStyle w:val="TableText"/>
              <w:ind w:left="-57" w:right="-57"/>
              <w:jc w:val="right"/>
              <w:rPr>
                <w:szCs w:val="20"/>
              </w:rPr>
            </w:pPr>
            <w:r w:rsidRPr="00C51158">
              <w:rPr>
                <w:szCs w:val="20"/>
              </w:rPr>
              <w:t>90.0</w:t>
            </w:r>
          </w:p>
        </w:tc>
        <w:tc>
          <w:tcPr>
            <w:tcW w:w="922" w:type="dxa"/>
          </w:tcPr>
          <w:p w:rsidR="00BD0133" w:rsidRPr="00C51158" w:rsidRDefault="00BD0133" w:rsidP="00BD0133">
            <w:pPr>
              <w:pStyle w:val="TableText"/>
              <w:ind w:left="-57" w:right="-57"/>
              <w:jc w:val="right"/>
              <w:rPr>
                <w:szCs w:val="20"/>
              </w:rPr>
            </w:pPr>
            <w:r w:rsidRPr="00C51158">
              <w:rPr>
                <w:szCs w:val="20"/>
              </w:rPr>
              <w:t>140.0</w:t>
            </w:r>
          </w:p>
        </w:tc>
        <w:tc>
          <w:tcPr>
            <w:tcW w:w="911" w:type="dxa"/>
          </w:tcPr>
          <w:p w:rsidR="00BD0133" w:rsidRPr="00C51158" w:rsidRDefault="00BD0133" w:rsidP="00BD0133">
            <w:pPr>
              <w:pStyle w:val="TableText"/>
              <w:ind w:left="-57" w:right="-57"/>
              <w:jc w:val="right"/>
              <w:rPr>
                <w:b/>
                <w:szCs w:val="20"/>
              </w:rPr>
            </w:pPr>
            <w:r w:rsidRPr="00C51158">
              <w:rPr>
                <w:b/>
                <w:szCs w:val="20"/>
              </w:rPr>
              <w:t>470.0</w:t>
            </w:r>
          </w:p>
        </w:tc>
      </w:tr>
      <w:tr w:rsidR="0073534F" w:rsidRPr="007C2713" w:rsidTr="00C51158">
        <w:tc>
          <w:tcPr>
            <w:tcW w:w="2093" w:type="dxa"/>
            <w:shd w:val="clear" w:color="auto" w:fill="D7DDE9" w:themeFill="accent3"/>
            <w:vAlign w:val="center"/>
          </w:tcPr>
          <w:p w:rsidR="00BD0133" w:rsidRPr="004E5C66" w:rsidRDefault="00BD0133" w:rsidP="004E5C66">
            <w:pPr>
              <w:pStyle w:val="TableText"/>
              <w:keepNext/>
              <w:keepLines/>
              <w:rPr>
                <w:b/>
                <w:szCs w:val="20"/>
              </w:rPr>
            </w:pPr>
            <w:r w:rsidRPr="004E5C66">
              <w:rPr>
                <w:b/>
                <w:szCs w:val="20"/>
              </w:rPr>
              <w:t>Total</w:t>
            </w:r>
          </w:p>
        </w:tc>
        <w:tc>
          <w:tcPr>
            <w:tcW w:w="850"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495.0</w:t>
            </w:r>
          </w:p>
        </w:tc>
        <w:tc>
          <w:tcPr>
            <w:tcW w:w="855"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1,130.0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1,260.0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1,510.0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4,395.0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1,870.0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2,210.0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2,600.0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6,340.0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7,590.0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10,850.0</w:t>
            </w:r>
          </w:p>
        </w:tc>
        <w:tc>
          <w:tcPr>
            <w:tcW w:w="922"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14,240.0</w:t>
            </w:r>
          </w:p>
        </w:tc>
        <w:tc>
          <w:tcPr>
            <w:tcW w:w="911" w:type="dxa"/>
            <w:shd w:val="clear" w:color="auto" w:fill="D7DDE9" w:themeFill="accent3"/>
          </w:tcPr>
          <w:p w:rsidR="00BD0133" w:rsidRPr="004E5C66" w:rsidRDefault="00BD0133" w:rsidP="00BD0133">
            <w:pPr>
              <w:pStyle w:val="TableText"/>
              <w:ind w:left="-57" w:right="-57"/>
              <w:jc w:val="right"/>
              <w:rPr>
                <w:b/>
                <w:szCs w:val="20"/>
              </w:rPr>
            </w:pPr>
            <w:r w:rsidRPr="004E5C66">
              <w:rPr>
                <w:b/>
                <w:bCs/>
                <w:szCs w:val="20"/>
              </w:rPr>
              <w:t>50,095.0</w:t>
            </w:r>
          </w:p>
        </w:tc>
      </w:tr>
    </w:tbl>
    <w:p w:rsidR="00BD0133" w:rsidRPr="00BD0133" w:rsidRDefault="00BD0133" w:rsidP="00327C55">
      <w:pPr>
        <w:pStyle w:val="Footnotes"/>
        <w:numPr>
          <w:ilvl w:val="0"/>
          <w:numId w:val="187"/>
        </w:numPr>
        <w:ind w:left="284" w:hanging="284"/>
      </w:pPr>
      <w:r w:rsidRPr="00BD0133">
        <w:t xml:space="preserve">A positive number for the underlying cash balance indicates an increase in receipts or a decrease in </w:t>
      </w:r>
      <w:r w:rsidR="0080154C">
        <w:t>payments</w:t>
      </w:r>
      <w:r w:rsidRPr="00BD0133">
        <w:t xml:space="preserve"> or net capital investment in cash terms.  A negative number for the underlying cash balance indicates a decrease in receipts or an increase in </w:t>
      </w:r>
      <w:r w:rsidR="0080154C">
        <w:t>payments</w:t>
      </w:r>
      <w:r w:rsidRPr="00BD0133">
        <w:t xml:space="preserve"> or net capital investment in cash terms.</w:t>
      </w:r>
    </w:p>
    <w:p w:rsidR="00D92B29" w:rsidRPr="005F544A" w:rsidRDefault="00D92B29" w:rsidP="00327C55">
      <w:pPr>
        <w:pStyle w:val="Footnotes"/>
        <w:spacing w:after="120"/>
        <w:ind w:left="284" w:hanging="284"/>
      </w:pPr>
      <w:r w:rsidRPr="005F544A">
        <w:t>Figures may not sum to totals due to rounding.</w:t>
      </w:r>
    </w:p>
    <w:p w:rsidR="00BD0133" w:rsidRDefault="00D92B29" w:rsidP="00327C55">
      <w:pPr>
        <w:pStyle w:val="Footnotes"/>
        <w:numPr>
          <w:ilvl w:val="0"/>
          <w:numId w:val="0"/>
        </w:numPr>
        <w:ind w:left="284" w:hanging="284"/>
      </w:pPr>
      <w:r w:rsidRPr="005F544A">
        <w:t>-</w:t>
      </w:r>
      <w:r w:rsidRPr="005F544A">
        <w:tab/>
        <w:t>Indicates nil.</w:t>
      </w:r>
    </w:p>
    <w:p w:rsidR="00D92B29" w:rsidRDefault="00BD0133" w:rsidP="005405A6">
      <w:pPr>
        <w:pStyle w:val="Caption"/>
        <w:spacing w:before="0"/>
        <w:rPr>
          <w:vertAlign w:val="superscript"/>
        </w:rPr>
      </w:pPr>
      <w:r w:rsidRPr="00BD0133">
        <w:t>Table A3: Component 1 - Fully reverse the increase the SBE turnover threshold measure—Fiscal balance</w:t>
      </w:r>
      <w:r w:rsidRPr="00BD0133">
        <w:rPr>
          <w:vertAlign w:val="superscript"/>
        </w:rPr>
        <w:t>(a)(b)</w:t>
      </w:r>
    </w:p>
    <w:tbl>
      <w:tblPr>
        <w:tblStyle w:val="Style1"/>
        <w:tblW w:w="5174" w:type="pct"/>
        <w:tblLayout w:type="fixed"/>
        <w:tblLook w:val="06A0" w:firstRow="1" w:lastRow="0" w:firstColumn="1" w:lastColumn="0" w:noHBand="1" w:noVBand="1"/>
      </w:tblPr>
      <w:tblGrid>
        <w:gridCol w:w="2093"/>
        <w:gridCol w:w="850"/>
        <w:gridCol w:w="855"/>
        <w:gridCol w:w="922"/>
        <w:gridCol w:w="922"/>
        <w:gridCol w:w="922"/>
        <w:gridCol w:w="922"/>
        <w:gridCol w:w="922"/>
        <w:gridCol w:w="922"/>
        <w:gridCol w:w="922"/>
        <w:gridCol w:w="922"/>
        <w:gridCol w:w="922"/>
        <w:gridCol w:w="922"/>
        <w:gridCol w:w="911"/>
      </w:tblGrid>
      <w:tr w:rsidR="00BD0133" w:rsidTr="004E5C66">
        <w:trPr>
          <w:cnfStyle w:val="100000000000" w:firstRow="1" w:lastRow="0" w:firstColumn="0" w:lastColumn="0" w:oddVBand="0" w:evenVBand="0" w:oddHBand="0" w:evenHBand="0" w:firstRowFirstColumn="0" w:firstRowLastColumn="0" w:lastRowFirstColumn="0" w:lastRowLastColumn="0"/>
        </w:trPr>
        <w:tc>
          <w:tcPr>
            <w:tcW w:w="751" w:type="pct"/>
            <w:vAlign w:val="center"/>
          </w:tcPr>
          <w:p w:rsidR="00BD0133" w:rsidRPr="007C2713" w:rsidRDefault="00BD0133" w:rsidP="004E5C66">
            <w:pPr>
              <w:pStyle w:val="TableText"/>
              <w:keepNext/>
              <w:keepLines/>
              <w:rPr>
                <w:b w:val="0"/>
              </w:rPr>
            </w:pPr>
            <w:r>
              <w:t>($m)</w:t>
            </w:r>
          </w:p>
        </w:tc>
        <w:tc>
          <w:tcPr>
            <w:tcW w:w="305" w:type="pct"/>
            <w:vAlign w:val="center"/>
          </w:tcPr>
          <w:p w:rsidR="00BD0133" w:rsidRDefault="00BD0133" w:rsidP="00C51158">
            <w:pPr>
              <w:pStyle w:val="TableTextRight"/>
              <w:keepNext/>
              <w:keepLines/>
              <w:spacing w:before="0" w:after="0" w:line="240" w:lineRule="auto"/>
              <w:ind w:left="-57" w:right="-57"/>
              <w:jc w:val="center"/>
              <w:rPr>
                <w:b w:val="0"/>
              </w:rPr>
            </w:pPr>
            <w:r>
              <w:t>2016–17</w:t>
            </w:r>
          </w:p>
        </w:tc>
        <w:tc>
          <w:tcPr>
            <w:tcW w:w="307" w:type="pct"/>
            <w:vAlign w:val="center"/>
          </w:tcPr>
          <w:p w:rsidR="00BD0133" w:rsidRDefault="00BD0133" w:rsidP="00C51158">
            <w:pPr>
              <w:pStyle w:val="TableTextRight"/>
              <w:keepNext/>
              <w:keepLines/>
              <w:spacing w:before="0" w:after="0" w:line="240" w:lineRule="auto"/>
              <w:ind w:left="-57" w:right="-57"/>
              <w:jc w:val="center"/>
              <w:rPr>
                <w:b w:val="0"/>
              </w:rPr>
            </w:pPr>
            <w:r>
              <w:t>2017–18</w:t>
            </w:r>
          </w:p>
        </w:tc>
        <w:tc>
          <w:tcPr>
            <w:tcW w:w="331" w:type="pct"/>
            <w:vAlign w:val="center"/>
          </w:tcPr>
          <w:p w:rsidR="00BD0133" w:rsidRDefault="00BD0133" w:rsidP="00C51158">
            <w:pPr>
              <w:pStyle w:val="TableTextRight"/>
              <w:keepNext/>
              <w:keepLines/>
              <w:spacing w:before="0" w:after="0" w:line="240" w:lineRule="auto"/>
              <w:ind w:left="-57" w:right="-57"/>
              <w:jc w:val="center"/>
              <w:rPr>
                <w:b w:val="0"/>
              </w:rPr>
            </w:pPr>
            <w:r>
              <w:t>2018–19</w:t>
            </w:r>
          </w:p>
        </w:tc>
        <w:tc>
          <w:tcPr>
            <w:tcW w:w="331" w:type="pct"/>
            <w:vAlign w:val="center"/>
          </w:tcPr>
          <w:p w:rsidR="00BD0133" w:rsidRDefault="00BD0133" w:rsidP="00C51158">
            <w:pPr>
              <w:pStyle w:val="TableTextRight"/>
              <w:keepNext/>
              <w:keepLines/>
              <w:spacing w:before="0" w:after="0" w:line="240" w:lineRule="auto"/>
              <w:ind w:left="-57" w:right="-57"/>
              <w:jc w:val="center"/>
              <w:rPr>
                <w:b w:val="0"/>
              </w:rPr>
            </w:pPr>
            <w:r>
              <w:t>2019–20</w:t>
            </w:r>
          </w:p>
        </w:tc>
        <w:tc>
          <w:tcPr>
            <w:tcW w:w="331" w:type="pct"/>
            <w:vAlign w:val="center"/>
          </w:tcPr>
          <w:p w:rsidR="00BD0133" w:rsidRDefault="00BD0133" w:rsidP="00C51158">
            <w:pPr>
              <w:pStyle w:val="TableTextRight"/>
              <w:keepNext/>
              <w:keepLines/>
              <w:spacing w:before="0" w:after="0" w:line="240" w:lineRule="auto"/>
              <w:ind w:left="-57" w:right="-57"/>
              <w:jc w:val="center"/>
              <w:rPr>
                <w:b w:val="0"/>
              </w:rPr>
            </w:pPr>
            <w:r>
              <w:t>Total to 2019–20</w:t>
            </w:r>
          </w:p>
        </w:tc>
        <w:tc>
          <w:tcPr>
            <w:tcW w:w="331" w:type="pct"/>
            <w:vAlign w:val="center"/>
          </w:tcPr>
          <w:p w:rsidR="00BD0133" w:rsidRPr="00C51158" w:rsidRDefault="00BD0133" w:rsidP="00C51158">
            <w:pPr>
              <w:pStyle w:val="TableHeadingCentred"/>
              <w:ind w:left="-57" w:right="-57"/>
              <w:rPr>
                <w:b/>
              </w:rPr>
            </w:pPr>
            <w:r w:rsidRPr="00C51158">
              <w:rPr>
                <w:b/>
              </w:rPr>
              <w:t>2020–21</w:t>
            </w:r>
          </w:p>
        </w:tc>
        <w:tc>
          <w:tcPr>
            <w:tcW w:w="331" w:type="pct"/>
            <w:vAlign w:val="center"/>
          </w:tcPr>
          <w:p w:rsidR="00BD0133" w:rsidRPr="00C51158" w:rsidRDefault="00BD0133" w:rsidP="00C51158">
            <w:pPr>
              <w:pStyle w:val="TableHeadingCentred"/>
              <w:ind w:left="-57" w:right="-57"/>
              <w:rPr>
                <w:b/>
              </w:rPr>
            </w:pPr>
            <w:r w:rsidRPr="00C51158">
              <w:rPr>
                <w:b/>
              </w:rPr>
              <w:t>2021–22</w:t>
            </w:r>
          </w:p>
        </w:tc>
        <w:tc>
          <w:tcPr>
            <w:tcW w:w="331" w:type="pct"/>
            <w:vAlign w:val="center"/>
          </w:tcPr>
          <w:p w:rsidR="00BD0133" w:rsidRPr="00C51158" w:rsidRDefault="00BD0133" w:rsidP="00C51158">
            <w:pPr>
              <w:pStyle w:val="TableHeadingCentred"/>
              <w:ind w:left="-57" w:right="-57"/>
              <w:rPr>
                <w:b/>
              </w:rPr>
            </w:pPr>
            <w:r w:rsidRPr="00C51158">
              <w:rPr>
                <w:b/>
              </w:rPr>
              <w:t>2022–23</w:t>
            </w:r>
          </w:p>
        </w:tc>
        <w:tc>
          <w:tcPr>
            <w:tcW w:w="331" w:type="pct"/>
            <w:vAlign w:val="center"/>
          </w:tcPr>
          <w:p w:rsidR="00BD0133" w:rsidRPr="00C51158" w:rsidRDefault="00BD0133" w:rsidP="00C51158">
            <w:pPr>
              <w:pStyle w:val="TableHeadingCentred"/>
              <w:ind w:left="-57" w:right="-57"/>
              <w:rPr>
                <w:b/>
              </w:rPr>
            </w:pPr>
            <w:r w:rsidRPr="00C51158">
              <w:rPr>
                <w:b/>
              </w:rPr>
              <w:t>2023–24</w:t>
            </w:r>
          </w:p>
        </w:tc>
        <w:tc>
          <w:tcPr>
            <w:tcW w:w="331" w:type="pct"/>
            <w:vAlign w:val="center"/>
          </w:tcPr>
          <w:p w:rsidR="00BD0133" w:rsidRPr="00C51158" w:rsidRDefault="00BD0133" w:rsidP="00C51158">
            <w:pPr>
              <w:pStyle w:val="TableHeadingCentred"/>
              <w:ind w:left="-57" w:right="-57"/>
              <w:rPr>
                <w:b/>
              </w:rPr>
            </w:pPr>
            <w:r w:rsidRPr="00C51158">
              <w:rPr>
                <w:b/>
              </w:rPr>
              <w:t>2024–25</w:t>
            </w:r>
          </w:p>
        </w:tc>
        <w:tc>
          <w:tcPr>
            <w:tcW w:w="331" w:type="pct"/>
            <w:vAlign w:val="center"/>
          </w:tcPr>
          <w:p w:rsidR="00BD0133" w:rsidRPr="00C51158" w:rsidRDefault="00BD0133" w:rsidP="00C51158">
            <w:pPr>
              <w:pStyle w:val="TableHeadingCentred"/>
              <w:ind w:left="-57" w:right="-57"/>
              <w:rPr>
                <w:b/>
              </w:rPr>
            </w:pPr>
            <w:r w:rsidRPr="00C51158">
              <w:rPr>
                <w:b/>
              </w:rPr>
              <w:t>2025–26</w:t>
            </w:r>
          </w:p>
        </w:tc>
        <w:tc>
          <w:tcPr>
            <w:tcW w:w="331" w:type="pct"/>
            <w:vAlign w:val="center"/>
          </w:tcPr>
          <w:p w:rsidR="00BD0133" w:rsidRPr="00C51158" w:rsidRDefault="00BD0133" w:rsidP="00C51158">
            <w:pPr>
              <w:pStyle w:val="TableHeadingCentred"/>
              <w:ind w:left="-57" w:right="-57"/>
              <w:rPr>
                <w:b/>
              </w:rPr>
            </w:pPr>
            <w:r w:rsidRPr="00C51158">
              <w:rPr>
                <w:b/>
              </w:rPr>
              <w:t>2026–27</w:t>
            </w:r>
          </w:p>
        </w:tc>
        <w:tc>
          <w:tcPr>
            <w:tcW w:w="327" w:type="pct"/>
            <w:vAlign w:val="center"/>
          </w:tcPr>
          <w:p w:rsidR="00BD0133" w:rsidRPr="00C51158" w:rsidRDefault="00BD0133" w:rsidP="00C51158">
            <w:pPr>
              <w:pStyle w:val="TableHeadingCentred"/>
              <w:ind w:left="-57" w:right="-57"/>
              <w:rPr>
                <w:b/>
              </w:rPr>
            </w:pPr>
            <w:r w:rsidRPr="00C51158">
              <w:rPr>
                <w:b/>
              </w:rPr>
              <w:t>Total to 2026–27</w:t>
            </w:r>
          </w:p>
        </w:tc>
      </w:tr>
      <w:tr w:rsidR="00BD0133" w:rsidTr="004E5C66">
        <w:tc>
          <w:tcPr>
            <w:tcW w:w="5000" w:type="pct"/>
            <w:gridSpan w:val="14"/>
            <w:shd w:val="clear" w:color="auto" w:fill="E9ECF3" w:themeFill="accent2" w:themeFillTint="33"/>
            <w:vAlign w:val="center"/>
          </w:tcPr>
          <w:p w:rsidR="00BD0133" w:rsidRPr="004E5C66" w:rsidRDefault="0037160A" w:rsidP="004E5C66">
            <w:pPr>
              <w:pStyle w:val="TableHeading"/>
              <w:rPr>
                <w:szCs w:val="20"/>
              </w:rPr>
            </w:pPr>
            <w:r w:rsidRPr="004E5C66">
              <w:rPr>
                <w:szCs w:val="20"/>
              </w:rPr>
              <w:t>Fiscal balance</w:t>
            </w:r>
          </w:p>
        </w:tc>
      </w:tr>
      <w:tr w:rsidR="0037160A" w:rsidTr="004E5C66">
        <w:tc>
          <w:tcPr>
            <w:tcW w:w="751" w:type="pct"/>
          </w:tcPr>
          <w:p w:rsidR="0037160A" w:rsidRPr="004E5C66" w:rsidRDefault="0037160A" w:rsidP="004E5C66">
            <w:pPr>
              <w:keepNext/>
              <w:keepLines/>
              <w:spacing w:before="70" w:after="70"/>
              <w:rPr>
                <w:b/>
                <w:sz w:val="20"/>
                <w:szCs w:val="20"/>
              </w:rPr>
            </w:pPr>
            <w:r w:rsidRPr="004E5C66">
              <w:rPr>
                <w:b/>
                <w:sz w:val="20"/>
                <w:szCs w:val="20"/>
              </w:rPr>
              <w:t>Revenue</w:t>
            </w:r>
          </w:p>
        </w:tc>
        <w:tc>
          <w:tcPr>
            <w:tcW w:w="305" w:type="pct"/>
          </w:tcPr>
          <w:p w:rsidR="0037160A" w:rsidRPr="004E5C66" w:rsidRDefault="0037160A" w:rsidP="005405A6">
            <w:pPr>
              <w:pStyle w:val="TableTextRight"/>
              <w:spacing w:line="240" w:lineRule="auto"/>
              <w:ind w:left="0" w:right="0"/>
              <w:rPr>
                <w:b/>
                <w:szCs w:val="20"/>
              </w:rPr>
            </w:pPr>
            <w:r w:rsidRPr="004E5C66">
              <w:rPr>
                <w:b/>
                <w:szCs w:val="20"/>
              </w:rPr>
              <w:t>295.0</w:t>
            </w:r>
          </w:p>
        </w:tc>
        <w:tc>
          <w:tcPr>
            <w:tcW w:w="307" w:type="pct"/>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550.0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650.0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2,195.0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650.0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750.0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800.0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800.0</w:t>
            </w:r>
          </w:p>
        </w:tc>
        <w:tc>
          <w:tcPr>
            <w:tcW w:w="331" w:type="pct"/>
          </w:tcPr>
          <w:p w:rsidR="0037160A" w:rsidRPr="004E5C66" w:rsidRDefault="0037160A" w:rsidP="005405A6">
            <w:pPr>
              <w:pStyle w:val="TableTextRight"/>
              <w:spacing w:line="240" w:lineRule="auto"/>
              <w:ind w:left="0" w:right="0"/>
              <w:rPr>
                <w:b/>
                <w:szCs w:val="20"/>
              </w:rPr>
            </w:pPr>
            <w:r w:rsidRPr="004E5C66">
              <w:rPr>
                <w:b/>
                <w:szCs w:val="20"/>
              </w:rPr>
              <w:t>850.0</w:t>
            </w:r>
          </w:p>
        </w:tc>
        <w:tc>
          <w:tcPr>
            <w:tcW w:w="327" w:type="pct"/>
          </w:tcPr>
          <w:p w:rsidR="0037160A" w:rsidRPr="004E5C66" w:rsidRDefault="0037160A" w:rsidP="005405A6">
            <w:pPr>
              <w:pStyle w:val="TableTextRight"/>
              <w:spacing w:line="240" w:lineRule="auto"/>
              <w:ind w:left="0" w:right="0"/>
              <w:rPr>
                <w:b/>
                <w:szCs w:val="20"/>
              </w:rPr>
            </w:pPr>
            <w:r w:rsidRPr="004E5C66">
              <w:rPr>
                <w:b/>
                <w:szCs w:val="20"/>
              </w:rPr>
              <w:t>7,445.0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Company tax rate for small businesses</w:t>
            </w:r>
          </w:p>
        </w:tc>
        <w:tc>
          <w:tcPr>
            <w:tcW w:w="305" w:type="pct"/>
          </w:tcPr>
          <w:p w:rsidR="0037160A" w:rsidRPr="00C51158" w:rsidRDefault="0037160A" w:rsidP="005405A6">
            <w:pPr>
              <w:pStyle w:val="TableTextRight"/>
              <w:spacing w:line="240" w:lineRule="auto"/>
              <w:ind w:left="0" w:right="0"/>
              <w:rPr>
                <w:szCs w:val="20"/>
              </w:rPr>
            </w:pPr>
            <w:r w:rsidRPr="00C51158">
              <w:rPr>
                <w:szCs w:val="20"/>
              </w:rPr>
              <w:t>280.0</w:t>
            </w:r>
          </w:p>
        </w:tc>
        <w:tc>
          <w:tcPr>
            <w:tcW w:w="307" w:type="pct"/>
          </w:tcPr>
          <w:p w:rsidR="0037160A" w:rsidRPr="00C51158" w:rsidRDefault="0037160A" w:rsidP="005405A6">
            <w:pPr>
              <w:pStyle w:val="TableTextRight"/>
              <w:spacing w:line="240" w:lineRule="auto"/>
              <w:ind w:left="0" w:right="0"/>
              <w:rPr>
                <w:szCs w:val="20"/>
              </w:rPr>
            </w:pPr>
            <w:r w:rsidRPr="00C51158">
              <w:rPr>
                <w:szCs w:val="20"/>
              </w:rPr>
              <w:t>380.0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430.0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1,490.0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430.0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450.0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470.0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550.0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590.0</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5,030.0</w:t>
            </w:r>
          </w:p>
        </w:tc>
      </w:tr>
      <w:tr w:rsidR="0037160A" w:rsidTr="004E5C66">
        <w:tc>
          <w:tcPr>
            <w:tcW w:w="751" w:type="pct"/>
          </w:tcPr>
          <w:p w:rsidR="0037160A" w:rsidRPr="004E5C66" w:rsidRDefault="0037160A" w:rsidP="005405A6">
            <w:pPr>
              <w:keepNext/>
              <w:keepLines/>
              <w:spacing w:before="70" w:after="70"/>
              <w:ind w:left="283"/>
              <w:rPr>
                <w:sz w:val="20"/>
                <w:szCs w:val="20"/>
              </w:rPr>
            </w:pPr>
            <w:r w:rsidRPr="004E5C66">
              <w:rPr>
                <w:sz w:val="20"/>
                <w:szCs w:val="20"/>
              </w:rPr>
              <w:t>Companies</w:t>
            </w:r>
          </w:p>
        </w:tc>
        <w:tc>
          <w:tcPr>
            <w:tcW w:w="305" w:type="pct"/>
          </w:tcPr>
          <w:p w:rsidR="0037160A" w:rsidRPr="00C51158" w:rsidRDefault="0037160A" w:rsidP="005405A6">
            <w:pPr>
              <w:pStyle w:val="TableTextRight"/>
              <w:spacing w:line="240" w:lineRule="auto"/>
              <w:ind w:left="0" w:right="0"/>
              <w:rPr>
                <w:szCs w:val="20"/>
              </w:rPr>
            </w:pPr>
            <w:r w:rsidRPr="00C51158">
              <w:rPr>
                <w:szCs w:val="20"/>
              </w:rPr>
              <w:t>280.0</w:t>
            </w:r>
          </w:p>
        </w:tc>
        <w:tc>
          <w:tcPr>
            <w:tcW w:w="307" w:type="pct"/>
          </w:tcPr>
          <w:p w:rsidR="0037160A" w:rsidRPr="00C51158" w:rsidRDefault="0037160A" w:rsidP="005405A6">
            <w:pPr>
              <w:pStyle w:val="TableTextRight"/>
              <w:spacing w:line="240" w:lineRule="auto"/>
              <w:ind w:left="0" w:right="0"/>
              <w:rPr>
                <w:szCs w:val="20"/>
              </w:rPr>
            </w:pPr>
            <w:r w:rsidRPr="00C51158">
              <w:rPr>
                <w:szCs w:val="20"/>
              </w:rPr>
              <w:t>390.0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450.0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1,530.0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450.0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470.0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490.0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530.0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570.0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580.0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620.0</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5,240.0</w:t>
            </w:r>
          </w:p>
        </w:tc>
      </w:tr>
      <w:tr w:rsidR="0037160A" w:rsidTr="004E5C66">
        <w:tc>
          <w:tcPr>
            <w:tcW w:w="751" w:type="pct"/>
          </w:tcPr>
          <w:p w:rsidR="0037160A" w:rsidRPr="004E5C66" w:rsidRDefault="0037160A" w:rsidP="005405A6">
            <w:pPr>
              <w:keepNext/>
              <w:keepLines/>
              <w:spacing w:before="70" w:after="70"/>
              <w:ind w:left="283"/>
              <w:rPr>
                <w:sz w:val="20"/>
                <w:szCs w:val="20"/>
              </w:rPr>
            </w:pPr>
            <w:r w:rsidRPr="004E5C66">
              <w:rPr>
                <w:sz w:val="20"/>
                <w:szCs w:val="20"/>
              </w:rPr>
              <w:t>Shareholders</w:t>
            </w:r>
          </w:p>
        </w:tc>
        <w:tc>
          <w:tcPr>
            <w:tcW w:w="305" w:type="pct"/>
          </w:tcPr>
          <w:p w:rsidR="0037160A" w:rsidRPr="00C51158" w:rsidRDefault="0037160A" w:rsidP="005405A6">
            <w:pPr>
              <w:pStyle w:val="TableTextRight"/>
              <w:spacing w:line="240" w:lineRule="auto"/>
              <w:ind w:left="0" w:right="0"/>
              <w:rPr>
                <w:szCs w:val="20"/>
              </w:rPr>
            </w:pPr>
            <w:r w:rsidRPr="00C51158">
              <w:rPr>
                <w:szCs w:val="20"/>
              </w:rPr>
              <w:t>-</w:t>
            </w:r>
          </w:p>
        </w:tc>
        <w:tc>
          <w:tcPr>
            <w:tcW w:w="307" w:type="pct"/>
          </w:tcPr>
          <w:p w:rsidR="0037160A" w:rsidRPr="00C51158" w:rsidRDefault="0037160A" w:rsidP="005405A6">
            <w:pPr>
              <w:pStyle w:val="TableTextRight"/>
              <w:spacing w:line="240" w:lineRule="auto"/>
              <w:ind w:left="0" w:right="0"/>
              <w:rPr>
                <w:szCs w:val="20"/>
              </w:rPr>
            </w:pPr>
            <w:r w:rsidRPr="00C51158">
              <w:rPr>
                <w:szCs w:val="20"/>
              </w:rPr>
              <w:t>-10.0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-30.0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-30.0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-30.0</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-210.0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Tax discount</w:t>
            </w:r>
          </w:p>
        </w:tc>
        <w:tc>
          <w:tcPr>
            <w:tcW w:w="305" w:type="pct"/>
          </w:tcPr>
          <w:p w:rsidR="0037160A" w:rsidRPr="00C51158" w:rsidRDefault="0037160A" w:rsidP="005405A6">
            <w:pPr>
              <w:pStyle w:val="TableTextRight"/>
              <w:spacing w:line="240" w:lineRule="auto"/>
              <w:ind w:left="0" w:right="0"/>
              <w:rPr>
                <w:szCs w:val="20"/>
              </w:rPr>
            </w:pPr>
            <w:r w:rsidRPr="00C51158">
              <w:rPr>
                <w:szCs w:val="20"/>
              </w:rPr>
              <w:t>-</w:t>
            </w:r>
          </w:p>
        </w:tc>
        <w:tc>
          <w:tcPr>
            <w:tcW w:w="307"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40.0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50.0</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420.0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Simplified depreciation</w:t>
            </w:r>
          </w:p>
        </w:tc>
        <w:tc>
          <w:tcPr>
            <w:tcW w:w="305" w:type="pct"/>
          </w:tcPr>
          <w:p w:rsidR="0037160A" w:rsidRPr="00C51158" w:rsidRDefault="0037160A" w:rsidP="005405A6">
            <w:pPr>
              <w:pStyle w:val="TableTextRight"/>
              <w:spacing w:line="240" w:lineRule="auto"/>
              <w:ind w:left="0" w:right="0"/>
              <w:rPr>
                <w:szCs w:val="20"/>
              </w:rPr>
            </w:pPr>
            <w:r w:rsidRPr="00C51158">
              <w:rPr>
                <w:szCs w:val="20"/>
              </w:rPr>
              <w:t>-</w:t>
            </w:r>
          </w:p>
        </w:tc>
        <w:tc>
          <w:tcPr>
            <w:tcW w:w="307" w:type="pct"/>
          </w:tcPr>
          <w:p w:rsidR="0037160A" w:rsidRPr="00C51158" w:rsidRDefault="0037160A" w:rsidP="005405A6">
            <w:pPr>
              <w:pStyle w:val="TableTextRight"/>
              <w:spacing w:line="240" w:lineRule="auto"/>
              <w:ind w:left="0" w:right="0"/>
              <w:rPr>
                <w:szCs w:val="20"/>
              </w:rPr>
            </w:pPr>
            <w:r w:rsidRPr="00C51158">
              <w:rPr>
                <w:szCs w:val="20"/>
              </w:rPr>
              <w:t>260.0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120.0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170.0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550.0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210.0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200.0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190.0</w:t>
            </w:r>
          </w:p>
        </w:tc>
        <w:tc>
          <w:tcPr>
            <w:tcW w:w="331" w:type="pct"/>
          </w:tcPr>
          <w:p w:rsidR="0037160A" w:rsidRPr="00C51158" w:rsidRDefault="0037160A" w:rsidP="005405A6">
            <w:pPr>
              <w:pStyle w:val="TableTextRight"/>
              <w:spacing w:line="240" w:lineRule="auto"/>
              <w:ind w:left="0" w:right="0"/>
              <w:rPr>
                <w:szCs w:val="20"/>
              </w:rPr>
            </w:pPr>
            <w:r w:rsidRPr="00C51158">
              <w:rPr>
                <w:szCs w:val="20"/>
              </w:rPr>
              <w:t>190.0</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1,960.0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PAYG instalments</w:t>
            </w:r>
          </w:p>
        </w:tc>
        <w:tc>
          <w:tcPr>
            <w:tcW w:w="305" w:type="pct"/>
          </w:tcPr>
          <w:p w:rsidR="0037160A" w:rsidRPr="00C51158" w:rsidRDefault="0037160A" w:rsidP="005405A6">
            <w:pPr>
              <w:pStyle w:val="TableTextRight"/>
              <w:spacing w:line="240" w:lineRule="auto"/>
              <w:ind w:left="0" w:right="0"/>
              <w:rPr>
                <w:szCs w:val="20"/>
              </w:rPr>
            </w:pPr>
            <w:r w:rsidRPr="00C51158">
              <w:rPr>
                <w:szCs w:val="20"/>
              </w:rPr>
              <w:t>15.0</w:t>
            </w:r>
          </w:p>
        </w:tc>
        <w:tc>
          <w:tcPr>
            <w:tcW w:w="307"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15.0</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15.0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GST quarterly instalments</w:t>
            </w:r>
          </w:p>
        </w:tc>
        <w:tc>
          <w:tcPr>
            <w:tcW w:w="305" w:type="pct"/>
          </w:tcPr>
          <w:p w:rsidR="0037160A" w:rsidRPr="00C51158" w:rsidRDefault="0037160A" w:rsidP="005405A6">
            <w:pPr>
              <w:pStyle w:val="TableTextRight"/>
              <w:spacing w:line="240" w:lineRule="auto"/>
              <w:ind w:left="0" w:right="0"/>
              <w:rPr>
                <w:szCs w:val="20"/>
              </w:rPr>
            </w:pPr>
            <w:r w:rsidRPr="00C51158">
              <w:rPr>
                <w:szCs w:val="20"/>
              </w:rPr>
              <w:t>-</w:t>
            </w:r>
          </w:p>
        </w:tc>
        <w:tc>
          <w:tcPr>
            <w:tcW w:w="307"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w:t>
            </w:r>
          </w:p>
        </w:tc>
      </w:tr>
      <w:tr w:rsidR="0037160A" w:rsidTr="004E5C66">
        <w:tc>
          <w:tcPr>
            <w:tcW w:w="751" w:type="pct"/>
          </w:tcPr>
          <w:p w:rsidR="0037160A" w:rsidRPr="004E5C66" w:rsidRDefault="0037160A" w:rsidP="004E5C66">
            <w:pPr>
              <w:keepNext/>
              <w:keepLines/>
              <w:spacing w:before="70" w:after="70"/>
              <w:rPr>
                <w:b/>
                <w:sz w:val="20"/>
                <w:szCs w:val="20"/>
              </w:rPr>
            </w:pPr>
            <w:r w:rsidRPr="004E5C66">
              <w:rPr>
                <w:b/>
                <w:sz w:val="20"/>
                <w:szCs w:val="20"/>
              </w:rPr>
              <w:t>Expenses</w:t>
            </w:r>
          </w:p>
        </w:tc>
        <w:tc>
          <w:tcPr>
            <w:tcW w:w="305" w:type="pct"/>
          </w:tcPr>
          <w:p w:rsidR="0037160A" w:rsidRPr="00C51158" w:rsidRDefault="0037160A" w:rsidP="005405A6">
            <w:pPr>
              <w:pStyle w:val="TableTextRight"/>
              <w:spacing w:line="240" w:lineRule="auto"/>
              <w:ind w:left="0" w:right="0"/>
              <w:rPr>
                <w:b/>
                <w:szCs w:val="20"/>
              </w:rPr>
            </w:pPr>
            <w:r w:rsidRPr="00C51158">
              <w:rPr>
                <w:b/>
                <w:szCs w:val="20"/>
              </w:rPr>
              <w:t>-15.0</w:t>
            </w:r>
          </w:p>
        </w:tc>
        <w:tc>
          <w:tcPr>
            <w:tcW w:w="307"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-15.0</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-15.0</w:t>
            </w:r>
          </w:p>
        </w:tc>
      </w:tr>
      <w:tr w:rsidR="0037160A" w:rsidTr="004E5C66">
        <w:tc>
          <w:tcPr>
            <w:tcW w:w="751" w:type="pct"/>
          </w:tcPr>
          <w:p w:rsidR="0037160A" w:rsidRPr="004E5C66" w:rsidRDefault="0037160A" w:rsidP="004E5C66">
            <w:pPr>
              <w:keepNext/>
              <w:keepLines/>
              <w:spacing w:before="70" w:after="70"/>
              <w:rPr>
                <w:sz w:val="20"/>
                <w:szCs w:val="20"/>
              </w:rPr>
            </w:pPr>
            <w:r w:rsidRPr="004E5C66">
              <w:rPr>
                <w:sz w:val="20"/>
                <w:szCs w:val="20"/>
              </w:rPr>
              <w:t>GST quarterly instalments</w:t>
            </w:r>
          </w:p>
        </w:tc>
        <w:tc>
          <w:tcPr>
            <w:tcW w:w="305" w:type="pct"/>
          </w:tcPr>
          <w:p w:rsidR="0037160A" w:rsidRPr="00C51158" w:rsidRDefault="0037160A" w:rsidP="005405A6">
            <w:pPr>
              <w:pStyle w:val="TableTextRight"/>
              <w:spacing w:line="240" w:lineRule="auto"/>
              <w:ind w:left="0" w:right="0"/>
              <w:rPr>
                <w:szCs w:val="20"/>
              </w:rPr>
            </w:pPr>
            <w:r w:rsidRPr="00C51158">
              <w:rPr>
                <w:szCs w:val="20"/>
              </w:rPr>
              <w:t>-15.0</w:t>
            </w:r>
          </w:p>
        </w:tc>
        <w:tc>
          <w:tcPr>
            <w:tcW w:w="307"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b/>
                <w:szCs w:val="20"/>
              </w:rPr>
            </w:pPr>
            <w:r w:rsidRPr="00C51158">
              <w:rPr>
                <w:b/>
                <w:szCs w:val="20"/>
              </w:rPr>
              <w:t>-15.0</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31" w:type="pct"/>
          </w:tcPr>
          <w:p w:rsidR="0037160A" w:rsidRPr="00C51158" w:rsidRDefault="0037160A" w:rsidP="005405A6">
            <w:pPr>
              <w:pStyle w:val="TableTextRight"/>
              <w:spacing w:line="240" w:lineRule="auto"/>
              <w:ind w:left="0" w:right="0"/>
              <w:rPr>
                <w:szCs w:val="20"/>
              </w:rPr>
            </w:pPr>
            <w:r w:rsidRPr="00C51158">
              <w:rPr>
                <w:szCs w:val="20"/>
              </w:rPr>
              <w:t>..</w:t>
            </w:r>
          </w:p>
        </w:tc>
        <w:tc>
          <w:tcPr>
            <w:tcW w:w="327" w:type="pct"/>
          </w:tcPr>
          <w:p w:rsidR="0037160A" w:rsidRPr="00C51158" w:rsidRDefault="0037160A" w:rsidP="005405A6">
            <w:pPr>
              <w:pStyle w:val="TableTextRight"/>
              <w:spacing w:line="240" w:lineRule="auto"/>
              <w:ind w:left="0" w:right="0"/>
              <w:rPr>
                <w:b/>
                <w:szCs w:val="20"/>
              </w:rPr>
            </w:pPr>
            <w:r w:rsidRPr="00C51158">
              <w:rPr>
                <w:b/>
                <w:szCs w:val="20"/>
              </w:rPr>
              <w:t>-15.0</w:t>
            </w:r>
          </w:p>
        </w:tc>
      </w:tr>
      <w:tr w:rsidR="0073534F" w:rsidRPr="007C2713" w:rsidTr="004E5C66">
        <w:tc>
          <w:tcPr>
            <w:tcW w:w="751" w:type="pct"/>
            <w:shd w:val="clear" w:color="auto" w:fill="D7DDE9" w:themeFill="accent3"/>
            <w:vAlign w:val="center"/>
          </w:tcPr>
          <w:p w:rsidR="0037160A" w:rsidRPr="004E5C66" w:rsidRDefault="0037160A" w:rsidP="004E5C66">
            <w:pPr>
              <w:pStyle w:val="TableText"/>
              <w:keepNext/>
              <w:keepLines/>
              <w:rPr>
                <w:b/>
                <w:szCs w:val="20"/>
              </w:rPr>
            </w:pPr>
            <w:r w:rsidRPr="004E5C66">
              <w:rPr>
                <w:b/>
                <w:szCs w:val="20"/>
              </w:rPr>
              <w:t>Total</w:t>
            </w:r>
          </w:p>
        </w:tc>
        <w:tc>
          <w:tcPr>
            <w:tcW w:w="305"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280.0</w:t>
            </w:r>
          </w:p>
        </w:tc>
        <w:tc>
          <w:tcPr>
            <w:tcW w:w="307"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550.0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650.0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2,180.0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650.0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750.0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800.0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800.0</w:t>
            </w:r>
          </w:p>
        </w:tc>
        <w:tc>
          <w:tcPr>
            <w:tcW w:w="331"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850.0</w:t>
            </w:r>
          </w:p>
        </w:tc>
        <w:tc>
          <w:tcPr>
            <w:tcW w:w="327" w:type="pct"/>
            <w:shd w:val="clear" w:color="auto" w:fill="D7DDE9" w:themeFill="accent3"/>
          </w:tcPr>
          <w:p w:rsidR="0037160A" w:rsidRPr="004E5C66" w:rsidRDefault="0037160A" w:rsidP="005405A6">
            <w:pPr>
              <w:pStyle w:val="TableTextRight"/>
              <w:spacing w:line="240" w:lineRule="auto"/>
              <w:ind w:left="0" w:right="0"/>
              <w:rPr>
                <w:b/>
                <w:szCs w:val="20"/>
              </w:rPr>
            </w:pPr>
            <w:r w:rsidRPr="004E5C66">
              <w:rPr>
                <w:b/>
                <w:szCs w:val="20"/>
              </w:rPr>
              <w:t>7,430.0</w:t>
            </w:r>
          </w:p>
        </w:tc>
      </w:tr>
    </w:tbl>
    <w:p w:rsidR="00D92B29" w:rsidRDefault="005405A6" w:rsidP="00327C55">
      <w:pPr>
        <w:pStyle w:val="Footnotes"/>
        <w:numPr>
          <w:ilvl w:val="0"/>
          <w:numId w:val="188"/>
        </w:numPr>
        <w:spacing w:before="120"/>
        <w:ind w:left="284" w:hanging="284"/>
      </w:pPr>
      <w:r w:rsidRPr="005405A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D92B29" w:rsidRPr="005F544A" w:rsidRDefault="00D92B29" w:rsidP="00327C55">
      <w:pPr>
        <w:pStyle w:val="Footnotes"/>
        <w:spacing w:before="0" w:after="120"/>
        <w:ind w:left="284" w:hanging="284"/>
      </w:pPr>
      <w:r w:rsidRPr="005F544A">
        <w:t>Figures may not sum to totals due to rounding.</w:t>
      </w:r>
    </w:p>
    <w:p w:rsidR="00D92B29" w:rsidRPr="005F544A" w:rsidRDefault="00D92B29" w:rsidP="00327C55">
      <w:pPr>
        <w:pStyle w:val="Footnotes"/>
        <w:numPr>
          <w:ilvl w:val="0"/>
          <w:numId w:val="0"/>
        </w:numPr>
        <w:spacing w:before="0"/>
        <w:ind w:left="284" w:hanging="284"/>
      </w:pPr>
      <w:r w:rsidRPr="005F544A">
        <w:t>..</w:t>
      </w:r>
      <w:r w:rsidRPr="005F544A">
        <w:tab/>
        <w:t>Not zero but rounded to zero.</w:t>
      </w:r>
    </w:p>
    <w:p w:rsidR="00420CF4" w:rsidRDefault="00D92B29" w:rsidP="00327C55">
      <w:pPr>
        <w:pStyle w:val="Footnotes"/>
        <w:numPr>
          <w:ilvl w:val="0"/>
          <w:numId w:val="0"/>
        </w:numPr>
        <w:spacing w:before="0"/>
        <w:ind w:left="284" w:hanging="284"/>
      </w:pPr>
      <w:r w:rsidRPr="005F544A">
        <w:t>-</w:t>
      </w:r>
      <w:r w:rsidRPr="005F544A">
        <w:tab/>
        <w:t>Indicates nil.</w:t>
      </w:r>
    </w:p>
    <w:p w:rsidR="00420CF4" w:rsidRDefault="001C470D" w:rsidP="001C470D">
      <w:pPr>
        <w:pStyle w:val="Caption"/>
        <w:spacing w:before="0"/>
      </w:pPr>
      <w:r w:rsidRPr="001C470D">
        <w:t xml:space="preserve">Table A4: Component 1 - Fully reverse the </w:t>
      </w:r>
      <w:r w:rsidRPr="004E5C66">
        <w:rPr>
          <w:i/>
        </w:rPr>
        <w:t>increase the SBE turnover threshold measure</w:t>
      </w:r>
      <w:r w:rsidRPr="001C470D">
        <w:t>—Underlying cash balance</w:t>
      </w:r>
      <w:r w:rsidRPr="001C470D">
        <w:rPr>
          <w:vertAlign w:val="superscript"/>
        </w:rPr>
        <w:t>(a)(b)</w:t>
      </w:r>
    </w:p>
    <w:tbl>
      <w:tblPr>
        <w:tblStyle w:val="Style1"/>
        <w:tblW w:w="5174" w:type="pct"/>
        <w:tblLayout w:type="fixed"/>
        <w:tblLook w:val="06A0" w:firstRow="1" w:lastRow="0" w:firstColumn="1" w:lastColumn="0" w:noHBand="1" w:noVBand="1"/>
      </w:tblPr>
      <w:tblGrid>
        <w:gridCol w:w="2093"/>
        <w:gridCol w:w="850"/>
        <w:gridCol w:w="855"/>
        <w:gridCol w:w="922"/>
        <w:gridCol w:w="922"/>
        <w:gridCol w:w="922"/>
        <w:gridCol w:w="922"/>
        <w:gridCol w:w="922"/>
        <w:gridCol w:w="922"/>
        <w:gridCol w:w="922"/>
        <w:gridCol w:w="922"/>
        <w:gridCol w:w="922"/>
        <w:gridCol w:w="922"/>
        <w:gridCol w:w="911"/>
      </w:tblGrid>
      <w:tr w:rsidR="001C470D" w:rsidTr="004E5C66">
        <w:trPr>
          <w:cnfStyle w:val="100000000000" w:firstRow="1" w:lastRow="0" w:firstColumn="0" w:lastColumn="0" w:oddVBand="0" w:evenVBand="0" w:oddHBand="0" w:evenHBand="0" w:firstRowFirstColumn="0" w:firstRowLastColumn="0" w:lastRowFirstColumn="0" w:lastRowLastColumn="0"/>
        </w:trPr>
        <w:tc>
          <w:tcPr>
            <w:tcW w:w="751" w:type="pct"/>
            <w:vAlign w:val="center"/>
          </w:tcPr>
          <w:p w:rsidR="001C470D" w:rsidRPr="007C2713" w:rsidRDefault="001C470D" w:rsidP="004E5C66">
            <w:pPr>
              <w:pStyle w:val="TableText"/>
              <w:keepNext/>
              <w:keepLines/>
              <w:rPr>
                <w:b w:val="0"/>
              </w:rPr>
            </w:pPr>
            <w:r>
              <w:t>($m)</w:t>
            </w:r>
          </w:p>
        </w:tc>
        <w:tc>
          <w:tcPr>
            <w:tcW w:w="305" w:type="pct"/>
            <w:vAlign w:val="center"/>
          </w:tcPr>
          <w:p w:rsidR="001C470D" w:rsidRDefault="001C470D" w:rsidP="00C51158">
            <w:pPr>
              <w:pStyle w:val="TableTextRight"/>
              <w:keepNext/>
              <w:keepLines/>
              <w:spacing w:before="0" w:after="0" w:line="240" w:lineRule="auto"/>
              <w:ind w:left="-57" w:right="-57"/>
              <w:jc w:val="center"/>
              <w:rPr>
                <w:b w:val="0"/>
              </w:rPr>
            </w:pPr>
            <w:r>
              <w:t>2016–17</w:t>
            </w:r>
          </w:p>
        </w:tc>
        <w:tc>
          <w:tcPr>
            <w:tcW w:w="307" w:type="pct"/>
            <w:vAlign w:val="center"/>
          </w:tcPr>
          <w:p w:rsidR="001C470D" w:rsidRDefault="001C470D" w:rsidP="00C51158">
            <w:pPr>
              <w:pStyle w:val="TableTextRight"/>
              <w:keepNext/>
              <w:keepLines/>
              <w:spacing w:before="0" w:after="0" w:line="240" w:lineRule="auto"/>
              <w:ind w:left="-57" w:right="-57"/>
              <w:jc w:val="center"/>
              <w:rPr>
                <w:b w:val="0"/>
              </w:rPr>
            </w:pPr>
            <w:r>
              <w:t>2017–18</w:t>
            </w:r>
          </w:p>
        </w:tc>
        <w:tc>
          <w:tcPr>
            <w:tcW w:w="331" w:type="pct"/>
            <w:vAlign w:val="center"/>
          </w:tcPr>
          <w:p w:rsidR="001C470D" w:rsidRDefault="001C470D" w:rsidP="00C51158">
            <w:pPr>
              <w:pStyle w:val="TableTextRight"/>
              <w:keepNext/>
              <w:keepLines/>
              <w:spacing w:before="0" w:after="0" w:line="240" w:lineRule="auto"/>
              <w:ind w:left="-57" w:right="-57"/>
              <w:jc w:val="center"/>
              <w:rPr>
                <w:b w:val="0"/>
              </w:rPr>
            </w:pPr>
            <w:r>
              <w:t>2018–19</w:t>
            </w:r>
          </w:p>
        </w:tc>
        <w:tc>
          <w:tcPr>
            <w:tcW w:w="331" w:type="pct"/>
            <w:vAlign w:val="center"/>
          </w:tcPr>
          <w:p w:rsidR="001C470D" w:rsidRDefault="001C470D" w:rsidP="00C51158">
            <w:pPr>
              <w:pStyle w:val="TableTextRight"/>
              <w:keepNext/>
              <w:keepLines/>
              <w:spacing w:before="0" w:after="0" w:line="240" w:lineRule="auto"/>
              <w:ind w:left="-57" w:right="-57"/>
              <w:jc w:val="center"/>
              <w:rPr>
                <w:b w:val="0"/>
              </w:rPr>
            </w:pPr>
            <w:r>
              <w:t>2019–20</w:t>
            </w:r>
          </w:p>
        </w:tc>
        <w:tc>
          <w:tcPr>
            <w:tcW w:w="331" w:type="pct"/>
            <w:vAlign w:val="center"/>
          </w:tcPr>
          <w:p w:rsidR="001C470D" w:rsidRDefault="001C470D" w:rsidP="00C51158">
            <w:pPr>
              <w:pStyle w:val="TableTextRight"/>
              <w:keepNext/>
              <w:keepLines/>
              <w:spacing w:before="0" w:after="0" w:line="240" w:lineRule="auto"/>
              <w:ind w:left="-57" w:right="-57"/>
              <w:jc w:val="center"/>
              <w:rPr>
                <w:b w:val="0"/>
              </w:rPr>
            </w:pPr>
            <w:r>
              <w:t>Total to 2019–20</w:t>
            </w:r>
          </w:p>
        </w:tc>
        <w:tc>
          <w:tcPr>
            <w:tcW w:w="331" w:type="pct"/>
            <w:vAlign w:val="center"/>
          </w:tcPr>
          <w:p w:rsidR="001C470D" w:rsidRPr="00C51158" w:rsidRDefault="001C470D" w:rsidP="00C51158">
            <w:pPr>
              <w:pStyle w:val="TableHeadingCentred"/>
              <w:ind w:left="-57" w:right="-57"/>
              <w:rPr>
                <w:b/>
              </w:rPr>
            </w:pPr>
            <w:r w:rsidRPr="00C51158">
              <w:rPr>
                <w:b/>
              </w:rPr>
              <w:t>2020–21</w:t>
            </w:r>
          </w:p>
        </w:tc>
        <w:tc>
          <w:tcPr>
            <w:tcW w:w="331" w:type="pct"/>
            <w:vAlign w:val="center"/>
          </w:tcPr>
          <w:p w:rsidR="001C470D" w:rsidRPr="00C51158" w:rsidRDefault="001C470D" w:rsidP="00C51158">
            <w:pPr>
              <w:pStyle w:val="TableHeadingCentred"/>
              <w:ind w:left="-57" w:right="-57"/>
              <w:rPr>
                <w:b/>
              </w:rPr>
            </w:pPr>
            <w:r w:rsidRPr="00C51158">
              <w:rPr>
                <w:b/>
              </w:rPr>
              <w:t>2021–22</w:t>
            </w:r>
          </w:p>
        </w:tc>
        <w:tc>
          <w:tcPr>
            <w:tcW w:w="331" w:type="pct"/>
            <w:vAlign w:val="center"/>
          </w:tcPr>
          <w:p w:rsidR="001C470D" w:rsidRPr="00C51158" w:rsidRDefault="001C470D" w:rsidP="00C51158">
            <w:pPr>
              <w:pStyle w:val="TableHeadingCentred"/>
              <w:ind w:left="-57" w:right="-57"/>
              <w:rPr>
                <w:b/>
              </w:rPr>
            </w:pPr>
            <w:r w:rsidRPr="00C51158">
              <w:rPr>
                <w:b/>
              </w:rPr>
              <w:t>2022–23</w:t>
            </w:r>
          </w:p>
        </w:tc>
        <w:tc>
          <w:tcPr>
            <w:tcW w:w="331" w:type="pct"/>
            <w:vAlign w:val="center"/>
          </w:tcPr>
          <w:p w:rsidR="001C470D" w:rsidRPr="00C51158" w:rsidRDefault="001C470D" w:rsidP="00C51158">
            <w:pPr>
              <w:pStyle w:val="TableHeadingCentred"/>
              <w:ind w:left="-57" w:right="-57"/>
              <w:rPr>
                <w:b/>
              </w:rPr>
            </w:pPr>
            <w:r w:rsidRPr="00C51158">
              <w:rPr>
                <w:b/>
              </w:rPr>
              <w:t>2023–24</w:t>
            </w:r>
          </w:p>
        </w:tc>
        <w:tc>
          <w:tcPr>
            <w:tcW w:w="331" w:type="pct"/>
            <w:vAlign w:val="center"/>
          </w:tcPr>
          <w:p w:rsidR="001C470D" w:rsidRPr="00C51158" w:rsidRDefault="001C470D" w:rsidP="00C51158">
            <w:pPr>
              <w:pStyle w:val="TableHeadingCentred"/>
              <w:ind w:left="-57" w:right="-57"/>
              <w:rPr>
                <w:b/>
              </w:rPr>
            </w:pPr>
            <w:r w:rsidRPr="00C51158">
              <w:rPr>
                <w:b/>
              </w:rPr>
              <w:t>2024–25</w:t>
            </w:r>
          </w:p>
        </w:tc>
        <w:tc>
          <w:tcPr>
            <w:tcW w:w="331" w:type="pct"/>
            <w:vAlign w:val="center"/>
          </w:tcPr>
          <w:p w:rsidR="001C470D" w:rsidRPr="00C51158" w:rsidRDefault="001C470D" w:rsidP="00C51158">
            <w:pPr>
              <w:pStyle w:val="TableHeadingCentred"/>
              <w:ind w:left="-57" w:right="-57"/>
              <w:rPr>
                <w:b/>
              </w:rPr>
            </w:pPr>
            <w:r w:rsidRPr="00C51158">
              <w:rPr>
                <w:b/>
              </w:rPr>
              <w:t>2025–26</w:t>
            </w:r>
          </w:p>
        </w:tc>
        <w:tc>
          <w:tcPr>
            <w:tcW w:w="331" w:type="pct"/>
            <w:vAlign w:val="center"/>
          </w:tcPr>
          <w:p w:rsidR="001C470D" w:rsidRPr="00C51158" w:rsidRDefault="001C470D" w:rsidP="00C51158">
            <w:pPr>
              <w:pStyle w:val="TableHeadingCentred"/>
              <w:ind w:left="-57" w:right="-57"/>
              <w:rPr>
                <w:b/>
              </w:rPr>
            </w:pPr>
            <w:r w:rsidRPr="00C51158">
              <w:rPr>
                <w:b/>
              </w:rPr>
              <w:t>2026–27</w:t>
            </w:r>
          </w:p>
        </w:tc>
        <w:tc>
          <w:tcPr>
            <w:tcW w:w="327" w:type="pct"/>
            <w:vAlign w:val="center"/>
          </w:tcPr>
          <w:p w:rsidR="001C470D" w:rsidRPr="00C51158" w:rsidRDefault="001C470D" w:rsidP="00C51158">
            <w:pPr>
              <w:pStyle w:val="TableHeadingCentred"/>
              <w:ind w:left="-57" w:right="-57"/>
              <w:rPr>
                <w:b/>
              </w:rPr>
            </w:pPr>
            <w:r w:rsidRPr="00C51158">
              <w:rPr>
                <w:b/>
              </w:rPr>
              <w:t>Total to 2026–27</w:t>
            </w:r>
          </w:p>
        </w:tc>
      </w:tr>
      <w:tr w:rsidR="001C470D" w:rsidTr="004E5C66">
        <w:tc>
          <w:tcPr>
            <w:tcW w:w="5000" w:type="pct"/>
            <w:gridSpan w:val="14"/>
            <w:shd w:val="clear" w:color="auto" w:fill="E9ECF3" w:themeFill="accent2" w:themeFillTint="33"/>
            <w:vAlign w:val="center"/>
          </w:tcPr>
          <w:p w:rsidR="001C470D" w:rsidRPr="004E5C66" w:rsidRDefault="001C470D" w:rsidP="004E5C66">
            <w:pPr>
              <w:pStyle w:val="TableHeading"/>
              <w:rPr>
                <w:szCs w:val="20"/>
              </w:rPr>
            </w:pPr>
            <w:r w:rsidRPr="004E5C66">
              <w:rPr>
                <w:szCs w:val="20"/>
              </w:rPr>
              <w:t>Underlying cash balance</w:t>
            </w:r>
          </w:p>
        </w:tc>
      </w:tr>
      <w:tr w:rsidR="001C470D" w:rsidTr="004E5C66">
        <w:tc>
          <w:tcPr>
            <w:tcW w:w="751" w:type="pct"/>
          </w:tcPr>
          <w:p w:rsidR="001C470D" w:rsidRPr="004E5C66" w:rsidRDefault="001C470D" w:rsidP="004E5C66">
            <w:pPr>
              <w:keepNext/>
              <w:keepLines/>
              <w:spacing w:before="70" w:after="70"/>
              <w:rPr>
                <w:b/>
                <w:sz w:val="20"/>
                <w:szCs w:val="20"/>
              </w:rPr>
            </w:pPr>
            <w:r w:rsidRPr="004E5C66">
              <w:rPr>
                <w:b/>
                <w:sz w:val="20"/>
                <w:szCs w:val="20"/>
              </w:rPr>
              <w:t>Receipts</w:t>
            </w:r>
          </w:p>
        </w:tc>
        <w:tc>
          <w:tcPr>
            <w:tcW w:w="305" w:type="pct"/>
          </w:tcPr>
          <w:p w:rsidR="001C470D" w:rsidRPr="004E5C66" w:rsidRDefault="001C470D" w:rsidP="001C470D">
            <w:pPr>
              <w:pStyle w:val="TableTextRight"/>
              <w:spacing w:line="240" w:lineRule="auto"/>
              <w:ind w:left="0" w:right="0"/>
              <w:rPr>
                <w:b/>
                <w:szCs w:val="20"/>
              </w:rPr>
            </w:pPr>
            <w:r w:rsidRPr="004E5C66">
              <w:rPr>
                <w:b/>
                <w:szCs w:val="20"/>
              </w:rPr>
              <w:t>310.0</w:t>
            </w:r>
          </w:p>
        </w:tc>
        <w:tc>
          <w:tcPr>
            <w:tcW w:w="307" w:type="pct"/>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550.0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650.0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2,210.0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650.0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750.0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800.0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800.0</w:t>
            </w:r>
          </w:p>
        </w:tc>
        <w:tc>
          <w:tcPr>
            <w:tcW w:w="331" w:type="pct"/>
          </w:tcPr>
          <w:p w:rsidR="001C470D" w:rsidRPr="004E5C66" w:rsidRDefault="001C470D" w:rsidP="001C470D">
            <w:pPr>
              <w:pStyle w:val="TableTextRight"/>
              <w:spacing w:line="240" w:lineRule="auto"/>
              <w:ind w:left="0" w:right="0"/>
              <w:rPr>
                <w:b/>
                <w:szCs w:val="20"/>
              </w:rPr>
            </w:pPr>
            <w:r w:rsidRPr="004E5C66">
              <w:rPr>
                <w:b/>
                <w:szCs w:val="20"/>
              </w:rPr>
              <w:t>850.0</w:t>
            </w:r>
          </w:p>
        </w:tc>
        <w:tc>
          <w:tcPr>
            <w:tcW w:w="327" w:type="pct"/>
          </w:tcPr>
          <w:p w:rsidR="001C470D" w:rsidRPr="004E5C66" w:rsidRDefault="001C470D" w:rsidP="001C470D">
            <w:pPr>
              <w:pStyle w:val="TableTextRight"/>
              <w:spacing w:line="240" w:lineRule="auto"/>
              <w:ind w:left="0" w:right="0"/>
              <w:rPr>
                <w:b/>
                <w:szCs w:val="20"/>
              </w:rPr>
            </w:pPr>
            <w:r w:rsidRPr="004E5C66">
              <w:rPr>
                <w:b/>
                <w:szCs w:val="20"/>
              </w:rPr>
              <w:t>7,460.0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Company tax rate for small businesses</w:t>
            </w:r>
          </w:p>
        </w:tc>
        <w:tc>
          <w:tcPr>
            <w:tcW w:w="305" w:type="pct"/>
          </w:tcPr>
          <w:p w:rsidR="001C470D" w:rsidRPr="00C51158" w:rsidRDefault="001C470D" w:rsidP="001C470D">
            <w:pPr>
              <w:pStyle w:val="TableTextRight"/>
              <w:spacing w:line="240" w:lineRule="auto"/>
              <w:ind w:left="0" w:right="0"/>
              <w:rPr>
                <w:szCs w:val="20"/>
              </w:rPr>
            </w:pPr>
            <w:r w:rsidRPr="00C51158">
              <w:rPr>
                <w:szCs w:val="20"/>
              </w:rPr>
              <w:t>280.0</w:t>
            </w:r>
          </w:p>
        </w:tc>
        <w:tc>
          <w:tcPr>
            <w:tcW w:w="307" w:type="pct"/>
          </w:tcPr>
          <w:p w:rsidR="001C470D" w:rsidRPr="00C51158" w:rsidRDefault="001C470D" w:rsidP="001C470D">
            <w:pPr>
              <w:pStyle w:val="TableTextRight"/>
              <w:spacing w:line="240" w:lineRule="auto"/>
              <w:ind w:left="0" w:right="0"/>
              <w:rPr>
                <w:szCs w:val="20"/>
              </w:rPr>
            </w:pPr>
            <w:r w:rsidRPr="00C51158">
              <w:rPr>
                <w:szCs w:val="20"/>
              </w:rPr>
              <w:t>380.0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430.0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1,490.0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430.0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450.0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470.0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550.0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590.0</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5,030.0</w:t>
            </w:r>
          </w:p>
        </w:tc>
      </w:tr>
      <w:tr w:rsidR="001C470D" w:rsidTr="004E5C66">
        <w:tc>
          <w:tcPr>
            <w:tcW w:w="751" w:type="pct"/>
          </w:tcPr>
          <w:p w:rsidR="001C470D" w:rsidRPr="004E5C66" w:rsidRDefault="001C470D" w:rsidP="001C470D">
            <w:pPr>
              <w:keepNext/>
              <w:keepLines/>
              <w:spacing w:before="70" w:after="70"/>
              <w:ind w:left="283"/>
              <w:rPr>
                <w:sz w:val="20"/>
                <w:szCs w:val="20"/>
              </w:rPr>
            </w:pPr>
            <w:r w:rsidRPr="004E5C66">
              <w:rPr>
                <w:sz w:val="20"/>
                <w:szCs w:val="20"/>
              </w:rPr>
              <w:t>Companies</w:t>
            </w:r>
          </w:p>
        </w:tc>
        <w:tc>
          <w:tcPr>
            <w:tcW w:w="305" w:type="pct"/>
          </w:tcPr>
          <w:p w:rsidR="001C470D" w:rsidRPr="00C51158" w:rsidRDefault="001C470D" w:rsidP="001C470D">
            <w:pPr>
              <w:pStyle w:val="TableTextRight"/>
              <w:spacing w:line="240" w:lineRule="auto"/>
              <w:ind w:left="0" w:right="0"/>
              <w:rPr>
                <w:szCs w:val="20"/>
              </w:rPr>
            </w:pPr>
            <w:r w:rsidRPr="00C51158">
              <w:rPr>
                <w:szCs w:val="20"/>
              </w:rPr>
              <w:t>280.0</w:t>
            </w:r>
          </w:p>
        </w:tc>
        <w:tc>
          <w:tcPr>
            <w:tcW w:w="307" w:type="pct"/>
          </w:tcPr>
          <w:p w:rsidR="001C470D" w:rsidRPr="00C51158" w:rsidRDefault="001C470D" w:rsidP="001C470D">
            <w:pPr>
              <w:pStyle w:val="TableTextRight"/>
              <w:spacing w:line="240" w:lineRule="auto"/>
              <w:ind w:left="0" w:right="0"/>
              <w:rPr>
                <w:szCs w:val="20"/>
              </w:rPr>
            </w:pPr>
            <w:r w:rsidRPr="00C51158">
              <w:rPr>
                <w:szCs w:val="20"/>
              </w:rPr>
              <w:t>390.0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450.0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1,530.0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450.0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470.0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490.0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530.0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570.0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580.0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620.0</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5,240.0</w:t>
            </w:r>
          </w:p>
        </w:tc>
      </w:tr>
      <w:tr w:rsidR="001C470D" w:rsidTr="004E5C66">
        <w:tc>
          <w:tcPr>
            <w:tcW w:w="751" w:type="pct"/>
          </w:tcPr>
          <w:p w:rsidR="001C470D" w:rsidRPr="004E5C66" w:rsidRDefault="001C470D" w:rsidP="001C470D">
            <w:pPr>
              <w:keepNext/>
              <w:keepLines/>
              <w:spacing w:before="70" w:after="70"/>
              <w:ind w:left="283"/>
              <w:rPr>
                <w:sz w:val="20"/>
                <w:szCs w:val="20"/>
              </w:rPr>
            </w:pPr>
            <w:r w:rsidRPr="004E5C66">
              <w:rPr>
                <w:sz w:val="20"/>
                <w:szCs w:val="20"/>
              </w:rPr>
              <w:t>Shareholders</w:t>
            </w:r>
          </w:p>
        </w:tc>
        <w:tc>
          <w:tcPr>
            <w:tcW w:w="305" w:type="pct"/>
          </w:tcPr>
          <w:p w:rsidR="001C470D" w:rsidRPr="00C51158" w:rsidRDefault="001C470D" w:rsidP="001C470D">
            <w:pPr>
              <w:pStyle w:val="TableTextRight"/>
              <w:spacing w:line="240" w:lineRule="auto"/>
              <w:ind w:left="0" w:right="0"/>
              <w:rPr>
                <w:szCs w:val="20"/>
              </w:rPr>
            </w:pPr>
            <w:r w:rsidRPr="00C51158">
              <w:rPr>
                <w:szCs w:val="20"/>
              </w:rPr>
              <w:t>-</w:t>
            </w:r>
          </w:p>
        </w:tc>
        <w:tc>
          <w:tcPr>
            <w:tcW w:w="307" w:type="pct"/>
          </w:tcPr>
          <w:p w:rsidR="001C470D" w:rsidRPr="00C51158" w:rsidRDefault="001C470D" w:rsidP="001C470D">
            <w:pPr>
              <w:pStyle w:val="TableTextRight"/>
              <w:spacing w:line="240" w:lineRule="auto"/>
              <w:ind w:left="0" w:right="0"/>
              <w:rPr>
                <w:szCs w:val="20"/>
              </w:rPr>
            </w:pPr>
            <w:r w:rsidRPr="00C51158">
              <w:rPr>
                <w:szCs w:val="20"/>
              </w:rPr>
              <w:t>-10.0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-30.0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-30.0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-30.0</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-210.0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Tax discount</w:t>
            </w:r>
          </w:p>
        </w:tc>
        <w:tc>
          <w:tcPr>
            <w:tcW w:w="305" w:type="pct"/>
          </w:tcPr>
          <w:p w:rsidR="001C470D" w:rsidRPr="00C51158" w:rsidRDefault="001C470D" w:rsidP="001C470D">
            <w:pPr>
              <w:pStyle w:val="TableTextRight"/>
              <w:spacing w:line="240" w:lineRule="auto"/>
              <w:ind w:left="0" w:right="0"/>
              <w:rPr>
                <w:szCs w:val="20"/>
              </w:rPr>
            </w:pPr>
            <w:r w:rsidRPr="00C51158">
              <w:rPr>
                <w:szCs w:val="20"/>
              </w:rPr>
              <w:t>-</w:t>
            </w:r>
          </w:p>
        </w:tc>
        <w:tc>
          <w:tcPr>
            <w:tcW w:w="307"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40.0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50.0</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420.0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Simplified depreciation</w:t>
            </w:r>
          </w:p>
        </w:tc>
        <w:tc>
          <w:tcPr>
            <w:tcW w:w="305" w:type="pct"/>
          </w:tcPr>
          <w:p w:rsidR="001C470D" w:rsidRPr="00C51158" w:rsidRDefault="001C470D" w:rsidP="001C470D">
            <w:pPr>
              <w:pStyle w:val="TableTextRight"/>
              <w:spacing w:line="240" w:lineRule="auto"/>
              <w:ind w:left="0" w:right="0"/>
              <w:rPr>
                <w:szCs w:val="20"/>
              </w:rPr>
            </w:pPr>
            <w:r w:rsidRPr="00C51158">
              <w:rPr>
                <w:szCs w:val="20"/>
              </w:rPr>
              <w:t>-</w:t>
            </w:r>
          </w:p>
        </w:tc>
        <w:tc>
          <w:tcPr>
            <w:tcW w:w="307" w:type="pct"/>
          </w:tcPr>
          <w:p w:rsidR="001C470D" w:rsidRPr="00C51158" w:rsidRDefault="001C470D" w:rsidP="001C470D">
            <w:pPr>
              <w:pStyle w:val="TableTextRight"/>
              <w:spacing w:line="240" w:lineRule="auto"/>
              <w:ind w:left="0" w:right="0"/>
              <w:rPr>
                <w:szCs w:val="20"/>
              </w:rPr>
            </w:pPr>
            <w:r w:rsidRPr="00C51158">
              <w:rPr>
                <w:szCs w:val="20"/>
              </w:rPr>
              <w:t>260.0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120.0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170.0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550.0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210.0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200.0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190.0</w:t>
            </w:r>
          </w:p>
        </w:tc>
        <w:tc>
          <w:tcPr>
            <w:tcW w:w="331" w:type="pct"/>
          </w:tcPr>
          <w:p w:rsidR="001C470D" w:rsidRPr="00C51158" w:rsidRDefault="001C470D" w:rsidP="001C470D">
            <w:pPr>
              <w:pStyle w:val="TableTextRight"/>
              <w:spacing w:line="240" w:lineRule="auto"/>
              <w:ind w:left="0" w:right="0"/>
              <w:rPr>
                <w:szCs w:val="20"/>
              </w:rPr>
            </w:pPr>
            <w:r w:rsidRPr="00C51158">
              <w:rPr>
                <w:szCs w:val="20"/>
              </w:rPr>
              <w:t>190.0</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1,960.0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PAYG instalments</w:t>
            </w:r>
          </w:p>
        </w:tc>
        <w:tc>
          <w:tcPr>
            <w:tcW w:w="305" w:type="pct"/>
          </w:tcPr>
          <w:p w:rsidR="001C470D" w:rsidRPr="00C51158" w:rsidRDefault="001C470D" w:rsidP="001C470D">
            <w:pPr>
              <w:pStyle w:val="TableTextRight"/>
              <w:spacing w:line="240" w:lineRule="auto"/>
              <w:ind w:left="0" w:right="0"/>
              <w:rPr>
                <w:szCs w:val="20"/>
              </w:rPr>
            </w:pPr>
            <w:r w:rsidRPr="00C51158">
              <w:rPr>
                <w:szCs w:val="20"/>
              </w:rPr>
              <w:t>15.0</w:t>
            </w:r>
          </w:p>
        </w:tc>
        <w:tc>
          <w:tcPr>
            <w:tcW w:w="307"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15.0</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15.0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GST quarterly instalments</w:t>
            </w:r>
          </w:p>
        </w:tc>
        <w:tc>
          <w:tcPr>
            <w:tcW w:w="305" w:type="pct"/>
          </w:tcPr>
          <w:p w:rsidR="001C470D" w:rsidRPr="00C51158" w:rsidRDefault="001C470D" w:rsidP="001C470D">
            <w:pPr>
              <w:pStyle w:val="TableTextRight"/>
              <w:spacing w:line="240" w:lineRule="auto"/>
              <w:ind w:left="0" w:right="0"/>
              <w:rPr>
                <w:szCs w:val="20"/>
              </w:rPr>
            </w:pPr>
            <w:r w:rsidRPr="00C51158">
              <w:rPr>
                <w:szCs w:val="20"/>
              </w:rPr>
              <w:t>15.0</w:t>
            </w:r>
          </w:p>
        </w:tc>
        <w:tc>
          <w:tcPr>
            <w:tcW w:w="307"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15.0</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15.0</w:t>
            </w:r>
          </w:p>
        </w:tc>
      </w:tr>
      <w:tr w:rsidR="001C470D" w:rsidTr="004E5C66">
        <w:tc>
          <w:tcPr>
            <w:tcW w:w="751" w:type="pct"/>
          </w:tcPr>
          <w:p w:rsidR="001C470D" w:rsidRPr="004E5C66" w:rsidRDefault="0080154C" w:rsidP="004E5C66">
            <w:pPr>
              <w:keepNext/>
              <w:keepLines/>
              <w:spacing w:before="70" w:after="70"/>
              <w:rPr>
                <w:b/>
                <w:sz w:val="20"/>
                <w:szCs w:val="20"/>
              </w:rPr>
            </w:pPr>
            <w:r>
              <w:rPr>
                <w:b/>
                <w:sz w:val="20"/>
                <w:szCs w:val="20"/>
              </w:rPr>
              <w:t>Payments</w:t>
            </w:r>
          </w:p>
        </w:tc>
        <w:tc>
          <w:tcPr>
            <w:tcW w:w="305" w:type="pct"/>
          </w:tcPr>
          <w:p w:rsidR="001C470D" w:rsidRPr="00C51158" w:rsidRDefault="001C470D" w:rsidP="001C470D">
            <w:pPr>
              <w:pStyle w:val="TableTextRight"/>
              <w:spacing w:line="240" w:lineRule="auto"/>
              <w:ind w:left="0" w:right="0"/>
              <w:rPr>
                <w:b/>
                <w:szCs w:val="20"/>
              </w:rPr>
            </w:pPr>
            <w:r w:rsidRPr="00C51158">
              <w:rPr>
                <w:b/>
                <w:szCs w:val="20"/>
              </w:rPr>
              <w:t>-15.0</w:t>
            </w:r>
          </w:p>
        </w:tc>
        <w:tc>
          <w:tcPr>
            <w:tcW w:w="307"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-15.0</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-15.0</w:t>
            </w:r>
          </w:p>
        </w:tc>
      </w:tr>
      <w:tr w:rsidR="001C470D" w:rsidTr="004E5C66">
        <w:tc>
          <w:tcPr>
            <w:tcW w:w="751" w:type="pct"/>
          </w:tcPr>
          <w:p w:rsidR="001C470D" w:rsidRPr="004E5C66" w:rsidRDefault="001C470D" w:rsidP="004E5C66">
            <w:pPr>
              <w:keepNext/>
              <w:keepLines/>
              <w:spacing w:before="70" w:after="70"/>
              <w:rPr>
                <w:sz w:val="20"/>
                <w:szCs w:val="20"/>
              </w:rPr>
            </w:pPr>
            <w:r w:rsidRPr="004E5C66">
              <w:rPr>
                <w:sz w:val="20"/>
                <w:szCs w:val="20"/>
              </w:rPr>
              <w:t>GST quarterly instalments</w:t>
            </w:r>
          </w:p>
        </w:tc>
        <w:tc>
          <w:tcPr>
            <w:tcW w:w="305" w:type="pct"/>
          </w:tcPr>
          <w:p w:rsidR="001C470D" w:rsidRPr="00C51158" w:rsidRDefault="001C470D" w:rsidP="001C470D">
            <w:pPr>
              <w:pStyle w:val="TableTextRight"/>
              <w:spacing w:line="240" w:lineRule="auto"/>
              <w:ind w:left="0" w:right="0"/>
              <w:rPr>
                <w:szCs w:val="20"/>
              </w:rPr>
            </w:pPr>
            <w:r w:rsidRPr="00C51158">
              <w:rPr>
                <w:szCs w:val="20"/>
              </w:rPr>
              <w:t>-15.0</w:t>
            </w:r>
          </w:p>
        </w:tc>
        <w:tc>
          <w:tcPr>
            <w:tcW w:w="307"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b/>
                <w:szCs w:val="20"/>
              </w:rPr>
            </w:pPr>
            <w:r w:rsidRPr="00C51158">
              <w:rPr>
                <w:b/>
                <w:szCs w:val="20"/>
              </w:rPr>
              <w:t>-15.0</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31" w:type="pct"/>
          </w:tcPr>
          <w:p w:rsidR="001C470D" w:rsidRPr="00C51158" w:rsidRDefault="001C470D" w:rsidP="001C470D">
            <w:pPr>
              <w:pStyle w:val="TableTextRight"/>
              <w:spacing w:line="240" w:lineRule="auto"/>
              <w:ind w:left="0" w:right="0"/>
              <w:rPr>
                <w:szCs w:val="20"/>
              </w:rPr>
            </w:pPr>
            <w:r w:rsidRPr="00C51158">
              <w:rPr>
                <w:szCs w:val="20"/>
              </w:rPr>
              <w:t>..</w:t>
            </w:r>
          </w:p>
        </w:tc>
        <w:tc>
          <w:tcPr>
            <w:tcW w:w="327" w:type="pct"/>
          </w:tcPr>
          <w:p w:rsidR="001C470D" w:rsidRPr="00C51158" w:rsidRDefault="001C470D" w:rsidP="001C470D">
            <w:pPr>
              <w:pStyle w:val="TableTextRight"/>
              <w:spacing w:line="240" w:lineRule="auto"/>
              <w:ind w:left="0" w:right="0"/>
              <w:rPr>
                <w:b/>
                <w:szCs w:val="20"/>
              </w:rPr>
            </w:pPr>
            <w:r w:rsidRPr="00C51158">
              <w:rPr>
                <w:b/>
                <w:szCs w:val="20"/>
              </w:rPr>
              <w:t>-15.0</w:t>
            </w:r>
          </w:p>
        </w:tc>
      </w:tr>
      <w:tr w:rsidR="0073534F" w:rsidRPr="007C2713" w:rsidTr="004E5C66">
        <w:tc>
          <w:tcPr>
            <w:tcW w:w="751" w:type="pct"/>
            <w:shd w:val="clear" w:color="auto" w:fill="D7DDE9" w:themeFill="accent3"/>
          </w:tcPr>
          <w:p w:rsidR="001C470D" w:rsidRPr="004E5C66" w:rsidRDefault="001C470D" w:rsidP="004E5C66">
            <w:pPr>
              <w:keepNext/>
              <w:keepLines/>
              <w:spacing w:before="70" w:after="70"/>
              <w:rPr>
                <w:b/>
                <w:sz w:val="20"/>
                <w:szCs w:val="20"/>
              </w:rPr>
            </w:pPr>
            <w:r w:rsidRPr="004E5C66">
              <w:rPr>
                <w:b/>
                <w:sz w:val="20"/>
                <w:szCs w:val="20"/>
              </w:rPr>
              <w:t>Total</w:t>
            </w:r>
          </w:p>
        </w:tc>
        <w:tc>
          <w:tcPr>
            <w:tcW w:w="305"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295.0</w:t>
            </w:r>
          </w:p>
        </w:tc>
        <w:tc>
          <w:tcPr>
            <w:tcW w:w="307"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550.0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650.0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2,195.0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650.0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700.0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750.0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800.0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800.0</w:t>
            </w:r>
          </w:p>
        </w:tc>
        <w:tc>
          <w:tcPr>
            <w:tcW w:w="331"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850.0</w:t>
            </w:r>
          </w:p>
        </w:tc>
        <w:tc>
          <w:tcPr>
            <w:tcW w:w="327" w:type="pct"/>
            <w:shd w:val="clear" w:color="auto" w:fill="D7DDE9" w:themeFill="accent3"/>
          </w:tcPr>
          <w:p w:rsidR="001C470D" w:rsidRPr="004E5C66" w:rsidRDefault="001C470D" w:rsidP="001C470D">
            <w:pPr>
              <w:pStyle w:val="TableTextRight"/>
              <w:spacing w:line="240" w:lineRule="auto"/>
              <w:ind w:left="0" w:right="0"/>
              <w:rPr>
                <w:b/>
                <w:szCs w:val="20"/>
              </w:rPr>
            </w:pPr>
            <w:r w:rsidRPr="004E5C66">
              <w:rPr>
                <w:b/>
                <w:szCs w:val="20"/>
              </w:rPr>
              <w:t>7,445.0</w:t>
            </w:r>
          </w:p>
        </w:tc>
      </w:tr>
    </w:tbl>
    <w:p w:rsidR="001C470D" w:rsidRDefault="001C470D" w:rsidP="00327C55">
      <w:pPr>
        <w:pStyle w:val="Footnotes"/>
        <w:numPr>
          <w:ilvl w:val="0"/>
          <w:numId w:val="189"/>
        </w:numPr>
        <w:ind w:left="284" w:hanging="284"/>
      </w:pPr>
      <w:r>
        <w:t xml:space="preserve">A positive number for the underlying cash balance indicates an increase in receipts or a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1C470D" w:rsidRDefault="001C470D" w:rsidP="00327C55">
      <w:pPr>
        <w:pStyle w:val="Footnotes"/>
        <w:ind w:left="284" w:hanging="284"/>
      </w:pPr>
      <w:r>
        <w:t>Figures may not sum to totals due to rounding.</w:t>
      </w:r>
    </w:p>
    <w:p w:rsidR="001C470D" w:rsidRDefault="001C470D" w:rsidP="00327C55">
      <w:pPr>
        <w:pStyle w:val="Footnotes"/>
        <w:numPr>
          <w:ilvl w:val="0"/>
          <w:numId w:val="0"/>
        </w:numPr>
        <w:ind w:left="284" w:hanging="284"/>
      </w:pPr>
      <w:r>
        <w:t>-</w:t>
      </w:r>
      <w:r>
        <w:tab/>
        <w:t>Indicates nil.</w:t>
      </w:r>
    </w:p>
    <w:p w:rsidR="001C470D" w:rsidRDefault="001C470D" w:rsidP="00327C55">
      <w:pPr>
        <w:pStyle w:val="Footnotes"/>
        <w:numPr>
          <w:ilvl w:val="0"/>
          <w:numId w:val="0"/>
        </w:numPr>
        <w:ind w:left="284" w:hanging="284"/>
      </w:pPr>
      <w:r>
        <w:t>..</w:t>
      </w:r>
      <w:r>
        <w:tab/>
        <w:t>Not zero but rounded to zero.</w:t>
      </w:r>
    </w:p>
    <w:p w:rsidR="001C470D" w:rsidRDefault="001C470D" w:rsidP="001C470D">
      <w:pPr>
        <w:pStyle w:val="Caption"/>
      </w:pPr>
      <w:r w:rsidRPr="00FC6579">
        <w:t xml:space="preserve">Table </w:t>
      </w:r>
      <w:r>
        <w:t>A5</w:t>
      </w:r>
      <w:r w:rsidRPr="00FC6579">
        <w:t xml:space="preserve">: </w:t>
      </w:r>
      <w:r>
        <w:t xml:space="preserve">Component 2 - Partially reverse </w:t>
      </w:r>
      <w:r w:rsidRPr="001C79D9">
        <w:t xml:space="preserve">the </w:t>
      </w:r>
      <w:r w:rsidRPr="00FA454F">
        <w:rPr>
          <w:i/>
        </w:rPr>
        <w:t>reduc</w:t>
      </w:r>
      <w:r>
        <w:rPr>
          <w:i/>
        </w:rPr>
        <w:t>ing</w:t>
      </w:r>
      <w:r w:rsidRPr="00FA454F">
        <w:rPr>
          <w:i/>
        </w:rPr>
        <w:t xml:space="preserve"> the company tax rate to 25 per cent </w:t>
      </w:r>
      <w:r w:rsidRPr="001C79D9">
        <w:t>measure</w:t>
      </w:r>
      <w:r>
        <w:t>—</w:t>
      </w:r>
      <w:r w:rsidRPr="00166824">
        <w:t>Financial implications (outturn prices)</w:t>
      </w:r>
      <w:r w:rsidRPr="00C07F85">
        <w:rPr>
          <w:vertAlign w:val="superscript"/>
        </w:rPr>
        <w:t>(a)(b)</w:t>
      </w:r>
    </w:p>
    <w:tbl>
      <w:tblPr>
        <w:tblStyle w:val="Style1"/>
        <w:tblW w:w="5250" w:type="pct"/>
        <w:tblLayout w:type="fixed"/>
        <w:tblLook w:val="06A0" w:firstRow="1" w:lastRow="0" w:firstColumn="1" w:lastColumn="0" w:noHBand="1" w:noVBand="1"/>
      </w:tblPr>
      <w:tblGrid>
        <w:gridCol w:w="1727"/>
        <w:gridCol w:w="899"/>
        <w:gridCol w:w="899"/>
        <w:gridCol w:w="899"/>
        <w:gridCol w:w="902"/>
        <w:gridCol w:w="978"/>
        <w:gridCol w:w="978"/>
        <w:gridCol w:w="978"/>
        <w:gridCol w:w="978"/>
        <w:gridCol w:w="978"/>
        <w:gridCol w:w="978"/>
        <w:gridCol w:w="978"/>
        <w:gridCol w:w="978"/>
        <w:gridCol w:w="984"/>
      </w:tblGrid>
      <w:tr w:rsidR="005B5E6A" w:rsidTr="005B5E6A">
        <w:trPr>
          <w:cnfStyle w:val="100000000000" w:firstRow="1" w:lastRow="0" w:firstColumn="0" w:lastColumn="0" w:oddVBand="0" w:evenVBand="0" w:oddHBand="0" w:evenHBand="0" w:firstRowFirstColumn="0" w:firstRowLastColumn="0" w:lastRowFirstColumn="0" w:lastRowLastColumn="0"/>
        </w:trPr>
        <w:tc>
          <w:tcPr>
            <w:tcW w:w="611" w:type="pct"/>
            <w:vAlign w:val="center"/>
          </w:tcPr>
          <w:p w:rsidR="001C470D" w:rsidRPr="007C2713" w:rsidRDefault="001C470D" w:rsidP="004E5C66">
            <w:pPr>
              <w:pStyle w:val="TableText"/>
              <w:keepNext/>
              <w:keepLines/>
              <w:rPr>
                <w:b w:val="0"/>
              </w:rPr>
            </w:pPr>
            <w:r>
              <w:t>($m)</w:t>
            </w:r>
          </w:p>
        </w:tc>
        <w:tc>
          <w:tcPr>
            <w:tcW w:w="318" w:type="pct"/>
            <w:vAlign w:val="center"/>
          </w:tcPr>
          <w:p w:rsidR="001C470D" w:rsidRDefault="001C470D" w:rsidP="004E5C66">
            <w:pPr>
              <w:pStyle w:val="TableTextRight"/>
              <w:keepNext/>
              <w:keepLines/>
              <w:spacing w:before="0" w:after="0" w:line="240" w:lineRule="auto"/>
              <w:ind w:left="-57" w:right="-57"/>
              <w:rPr>
                <w:b w:val="0"/>
              </w:rPr>
            </w:pPr>
            <w:r>
              <w:t>2016–17</w:t>
            </w:r>
          </w:p>
        </w:tc>
        <w:tc>
          <w:tcPr>
            <w:tcW w:w="318" w:type="pct"/>
            <w:vAlign w:val="center"/>
          </w:tcPr>
          <w:p w:rsidR="001C470D" w:rsidRDefault="001C470D" w:rsidP="004E5C66">
            <w:pPr>
              <w:pStyle w:val="TableTextRight"/>
              <w:keepNext/>
              <w:keepLines/>
              <w:spacing w:before="0" w:after="0" w:line="240" w:lineRule="auto"/>
              <w:ind w:left="-57" w:right="-57"/>
              <w:rPr>
                <w:b w:val="0"/>
              </w:rPr>
            </w:pPr>
            <w:r>
              <w:t>2017–18</w:t>
            </w:r>
          </w:p>
        </w:tc>
        <w:tc>
          <w:tcPr>
            <w:tcW w:w="318" w:type="pct"/>
            <w:vAlign w:val="center"/>
          </w:tcPr>
          <w:p w:rsidR="001C470D" w:rsidRDefault="001C470D" w:rsidP="004E5C66">
            <w:pPr>
              <w:pStyle w:val="TableTextRight"/>
              <w:keepNext/>
              <w:keepLines/>
              <w:spacing w:before="0" w:after="0" w:line="240" w:lineRule="auto"/>
              <w:ind w:left="-57" w:right="-57"/>
              <w:rPr>
                <w:b w:val="0"/>
              </w:rPr>
            </w:pPr>
            <w:r>
              <w:t>2018–19</w:t>
            </w:r>
          </w:p>
        </w:tc>
        <w:tc>
          <w:tcPr>
            <w:tcW w:w="319" w:type="pct"/>
            <w:vAlign w:val="center"/>
          </w:tcPr>
          <w:p w:rsidR="001C470D" w:rsidRDefault="001C470D" w:rsidP="004E5C66">
            <w:pPr>
              <w:pStyle w:val="TableTextRight"/>
              <w:keepNext/>
              <w:keepLines/>
              <w:spacing w:before="0" w:after="0" w:line="240" w:lineRule="auto"/>
              <w:ind w:left="-57" w:right="-57"/>
              <w:rPr>
                <w:b w:val="0"/>
              </w:rPr>
            </w:pPr>
            <w:r>
              <w:t>2019–20</w:t>
            </w:r>
          </w:p>
        </w:tc>
        <w:tc>
          <w:tcPr>
            <w:tcW w:w="346" w:type="pct"/>
            <w:vAlign w:val="center"/>
          </w:tcPr>
          <w:p w:rsidR="001C470D" w:rsidRDefault="001C470D" w:rsidP="004E5C66">
            <w:pPr>
              <w:pStyle w:val="TableTextRight"/>
              <w:keepNext/>
              <w:keepLines/>
              <w:spacing w:before="0" w:after="0" w:line="240" w:lineRule="auto"/>
              <w:ind w:left="-57" w:right="-57"/>
              <w:rPr>
                <w:b w:val="0"/>
              </w:rPr>
            </w:pPr>
            <w:r>
              <w:t>Total to 2019–20</w:t>
            </w:r>
          </w:p>
        </w:tc>
        <w:tc>
          <w:tcPr>
            <w:tcW w:w="346" w:type="pct"/>
            <w:vAlign w:val="center"/>
          </w:tcPr>
          <w:p w:rsidR="001C470D" w:rsidRPr="00C51158" w:rsidRDefault="001C470D" w:rsidP="004E5C66">
            <w:pPr>
              <w:pStyle w:val="TableHeadingCentred"/>
              <w:ind w:left="-57" w:right="-57"/>
              <w:jc w:val="right"/>
              <w:rPr>
                <w:b/>
              </w:rPr>
            </w:pPr>
            <w:r w:rsidRPr="00C51158">
              <w:rPr>
                <w:b/>
              </w:rPr>
              <w:t>2020–21</w:t>
            </w:r>
          </w:p>
        </w:tc>
        <w:tc>
          <w:tcPr>
            <w:tcW w:w="346" w:type="pct"/>
            <w:vAlign w:val="center"/>
          </w:tcPr>
          <w:p w:rsidR="001C470D" w:rsidRPr="00C51158" w:rsidRDefault="001C470D" w:rsidP="004E5C66">
            <w:pPr>
              <w:pStyle w:val="TableHeadingCentred"/>
              <w:ind w:left="-57" w:right="-57"/>
              <w:jc w:val="right"/>
              <w:rPr>
                <w:b/>
              </w:rPr>
            </w:pPr>
            <w:r w:rsidRPr="00C51158">
              <w:rPr>
                <w:b/>
              </w:rPr>
              <w:t>2021–22</w:t>
            </w:r>
          </w:p>
        </w:tc>
        <w:tc>
          <w:tcPr>
            <w:tcW w:w="346" w:type="pct"/>
            <w:vAlign w:val="center"/>
          </w:tcPr>
          <w:p w:rsidR="001C470D" w:rsidRPr="00C51158" w:rsidRDefault="001C470D" w:rsidP="004E5C66">
            <w:pPr>
              <w:pStyle w:val="TableHeadingCentred"/>
              <w:ind w:left="-57" w:right="-57"/>
              <w:jc w:val="right"/>
              <w:rPr>
                <w:b/>
              </w:rPr>
            </w:pPr>
            <w:r w:rsidRPr="00C51158">
              <w:rPr>
                <w:b/>
              </w:rPr>
              <w:t>2022–23</w:t>
            </w:r>
          </w:p>
        </w:tc>
        <w:tc>
          <w:tcPr>
            <w:tcW w:w="346" w:type="pct"/>
            <w:vAlign w:val="center"/>
          </w:tcPr>
          <w:p w:rsidR="001C470D" w:rsidRPr="00C51158" w:rsidRDefault="001C470D" w:rsidP="004E5C66">
            <w:pPr>
              <w:pStyle w:val="TableHeadingCentred"/>
              <w:ind w:left="-57" w:right="-57"/>
              <w:jc w:val="right"/>
              <w:rPr>
                <w:b/>
              </w:rPr>
            </w:pPr>
            <w:r w:rsidRPr="00C51158">
              <w:rPr>
                <w:b/>
              </w:rPr>
              <w:t>2023–24</w:t>
            </w:r>
          </w:p>
        </w:tc>
        <w:tc>
          <w:tcPr>
            <w:tcW w:w="346" w:type="pct"/>
            <w:vAlign w:val="center"/>
          </w:tcPr>
          <w:p w:rsidR="001C470D" w:rsidRPr="00C51158" w:rsidRDefault="001C470D" w:rsidP="004E5C66">
            <w:pPr>
              <w:pStyle w:val="TableHeadingCentred"/>
              <w:ind w:left="-57" w:right="-57"/>
              <w:jc w:val="right"/>
              <w:rPr>
                <w:b/>
              </w:rPr>
            </w:pPr>
            <w:r w:rsidRPr="00C51158">
              <w:rPr>
                <w:b/>
              </w:rPr>
              <w:t>2024–25</w:t>
            </w:r>
          </w:p>
        </w:tc>
        <w:tc>
          <w:tcPr>
            <w:tcW w:w="346" w:type="pct"/>
            <w:vAlign w:val="center"/>
          </w:tcPr>
          <w:p w:rsidR="001C470D" w:rsidRPr="00C51158" w:rsidRDefault="001C470D" w:rsidP="004E5C66">
            <w:pPr>
              <w:pStyle w:val="TableHeadingCentred"/>
              <w:ind w:left="-57" w:right="-57"/>
              <w:jc w:val="right"/>
              <w:rPr>
                <w:b/>
              </w:rPr>
            </w:pPr>
            <w:r w:rsidRPr="00C51158">
              <w:rPr>
                <w:b/>
              </w:rPr>
              <w:t>2025–26</w:t>
            </w:r>
          </w:p>
        </w:tc>
        <w:tc>
          <w:tcPr>
            <w:tcW w:w="346" w:type="pct"/>
            <w:vAlign w:val="center"/>
          </w:tcPr>
          <w:p w:rsidR="001C470D" w:rsidRPr="00C51158" w:rsidRDefault="001C470D" w:rsidP="004E5C66">
            <w:pPr>
              <w:pStyle w:val="TableHeadingCentred"/>
              <w:ind w:left="-57" w:right="-57"/>
              <w:jc w:val="right"/>
              <w:rPr>
                <w:b/>
              </w:rPr>
            </w:pPr>
            <w:r w:rsidRPr="00C51158">
              <w:rPr>
                <w:b/>
              </w:rPr>
              <w:t>2026–27</w:t>
            </w:r>
          </w:p>
        </w:tc>
        <w:tc>
          <w:tcPr>
            <w:tcW w:w="346" w:type="pct"/>
            <w:vAlign w:val="center"/>
          </w:tcPr>
          <w:p w:rsidR="001C470D" w:rsidRPr="00C51158" w:rsidRDefault="001C470D" w:rsidP="004E5C66">
            <w:pPr>
              <w:pStyle w:val="TableHeadingCentred"/>
              <w:ind w:left="-57" w:right="-57"/>
              <w:jc w:val="right"/>
              <w:rPr>
                <w:b/>
              </w:rPr>
            </w:pPr>
            <w:r w:rsidRPr="00C51158">
              <w:rPr>
                <w:b/>
              </w:rPr>
              <w:t>Total to 2026–27</w:t>
            </w:r>
          </w:p>
        </w:tc>
      </w:tr>
      <w:tr w:rsidR="001C470D" w:rsidTr="00C51158">
        <w:tc>
          <w:tcPr>
            <w:tcW w:w="5000" w:type="pct"/>
            <w:gridSpan w:val="14"/>
            <w:shd w:val="clear" w:color="auto" w:fill="E9ECF3" w:themeFill="accent2" w:themeFillTint="33"/>
            <w:vAlign w:val="center"/>
          </w:tcPr>
          <w:p w:rsidR="001C470D" w:rsidRPr="0037160A" w:rsidRDefault="00A80A91" w:rsidP="004E5C66">
            <w:pPr>
              <w:pStyle w:val="TableHeading"/>
            </w:pPr>
            <w:r w:rsidRPr="00C363AE">
              <w:t>Fiscal and underlying cash balances</w:t>
            </w:r>
          </w:p>
        </w:tc>
      </w:tr>
      <w:tr w:rsidR="005B5E6A" w:rsidTr="005B5E6A">
        <w:tc>
          <w:tcPr>
            <w:tcW w:w="611" w:type="pct"/>
          </w:tcPr>
          <w:p w:rsidR="00A80A91" w:rsidRPr="004E5C66" w:rsidRDefault="00A80A91" w:rsidP="004E5C66">
            <w:pPr>
              <w:keepNext/>
              <w:keepLines/>
              <w:spacing w:before="70" w:after="70"/>
              <w:rPr>
                <w:sz w:val="20"/>
                <w:szCs w:val="20"/>
              </w:rPr>
            </w:pPr>
            <w:r w:rsidRPr="004E5C66">
              <w:rPr>
                <w:sz w:val="20"/>
                <w:szCs w:val="20"/>
              </w:rPr>
              <w:t>Full reversal of measure</w:t>
            </w:r>
          </w:p>
        </w:tc>
        <w:tc>
          <w:tcPr>
            <w:tcW w:w="318" w:type="pct"/>
          </w:tcPr>
          <w:p w:rsidR="00A80A91" w:rsidRPr="00C51158" w:rsidRDefault="00A80A91" w:rsidP="005B5E6A">
            <w:pPr>
              <w:spacing w:before="70" w:after="70"/>
              <w:ind w:right="11"/>
              <w:jc w:val="right"/>
              <w:rPr>
                <w:sz w:val="20"/>
                <w:szCs w:val="20"/>
              </w:rPr>
            </w:pPr>
            <w:r w:rsidRPr="00C51158">
              <w:rPr>
                <w:sz w:val="20"/>
                <w:szCs w:val="20"/>
              </w:rPr>
              <w:t>400.0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500.0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800.0</w:t>
            </w:r>
          </w:p>
        </w:tc>
        <w:tc>
          <w:tcPr>
            <w:tcW w:w="319" w:type="pct"/>
          </w:tcPr>
          <w:p w:rsidR="00A80A91" w:rsidRPr="00C51158" w:rsidRDefault="00A80A91" w:rsidP="005B5E6A">
            <w:pPr>
              <w:spacing w:before="70" w:after="70"/>
              <w:ind w:right="11"/>
              <w:jc w:val="right"/>
              <w:rPr>
                <w:sz w:val="20"/>
                <w:szCs w:val="20"/>
              </w:rPr>
            </w:pPr>
            <w:r w:rsidRPr="00C51158">
              <w:rPr>
                <w:sz w:val="20"/>
                <w:szCs w:val="20"/>
              </w:rPr>
              <w:t>950.0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2,650.0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1,300.0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1,600.0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2,000.0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5,700.0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6,900.0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10,100.0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13,400.0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43,650.0</w:t>
            </w:r>
          </w:p>
        </w:tc>
      </w:tr>
      <w:tr w:rsidR="005B5E6A" w:rsidTr="005B5E6A">
        <w:tc>
          <w:tcPr>
            <w:tcW w:w="611" w:type="pct"/>
          </w:tcPr>
          <w:p w:rsidR="00A80A91" w:rsidRPr="004E5C66" w:rsidRDefault="00A80A91" w:rsidP="00A80A91">
            <w:pPr>
              <w:keepNext/>
              <w:keepLines/>
              <w:spacing w:before="70" w:after="70"/>
              <w:ind w:left="283"/>
              <w:rPr>
                <w:sz w:val="20"/>
                <w:szCs w:val="20"/>
              </w:rPr>
            </w:pPr>
            <w:r w:rsidRPr="004E5C66">
              <w:rPr>
                <w:sz w:val="20"/>
                <w:szCs w:val="20"/>
              </w:rPr>
              <w:t>Companies</w:t>
            </w:r>
          </w:p>
        </w:tc>
        <w:tc>
          <w:tcPr>
            <w:tcW w:w="318" w:type="pct"/>
          </w:tcPr>
          <w:p w:rsidR="00A80A91" w:rsidRPr="00C51158" w:rsidRDefault="00A80A91" w:rsidP="005B5E6A">
            <w:pPr>
              <w:spacing w:before="70" w:after="70"/>
              <w:ind w:right="11"/>
              <w:jc w:val="right"/>
              <w:rPr>
                <w:sz w:val="20"/>
                <w:szCs w:val="20"/>
              </w:rPr>
            </w:pPr>
            <w:r w:rsidRPr="00C51158">
              <w:rPr>
                <w:sz w:val="20"/>
                <w:szCs w:val="20"/>
              </w:rPr>
              <w:t>400.0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800.0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1,100.0</w:t>
            </w:r>
          </w:p>
        </w:tc>
        <w:tc>
          <w:tcPr>
            <w:tcW w:w="319" w:type="pct"/>
          </w:tcPr>
          <w:p w:rsidR="00A80A91" w:rsidRPr="00C51158" w:rsidRDefault="00A80A91" w:rsidP="005B5E6A">
            <w:pPr>
              <w:spacing w:before="70" w:after="70"/>
              <w:ind w:right="11"/>
              <w:jc w:val="right"/>
              <w:rPr>
                <w:sz w:val="20"/>
                <w:szCs w:val="20"/>
              </w:rPr>
            </w:pPr>
            <w:r w:rsidRPr="00C51158">
              <w:rPr>
                <w:sz w:val="20"/>
                <w:szCs w:val="20"/>
              </w:rPr>
              <w:t>1,500.0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3,800.0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1,900.0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2,300.0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2,800.0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6,700.0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9,500.0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13,500.0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18,300.0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58,800.0</w:t>
            </w:r>
          </w:p>
        </w:tc>
      </w:tr>
      <w:tr w:rsidR="005B5E6A" w:rsidTr="005B5E6A">
        <w:tc>
          <w:tcPr>
            <w:tcW w:w="611" w:type="pct"/>
          </w:tcPr>
          <w:p w:rsidR="00A80A91" w:rsidRPr="004E5C66" w:rsidRDefault="00A80A91" w:rsidP="00A80A91">
            <w:pPr>
              <w:keepNext/>
              <w:keepLines/>
              <w:spacing w:before="70" w:after="70"/>
              <w:ind w:left="283"/>
              <w:rPr>
                <w:sz w:val="20"/>
                <w:szCs w:val="20"/>
              </w:rPr>
            </w:pPr>
            <w:r w:rsidRPr="004E5C66">
              <w:rPr>
                <w:sz w:val="20"/>
                <w:szCs w:val="20"/>
              </w:rPr>
              <w:t>Shareholders</w:t>
            </w:r>
          </w:p>
        </w:tc>
        <w:tc>
          <w:tcPr>
            <w:tcW w:w="318" w:type="pct"/>
          </w:tcPr>
          <w:p w:rsidR="00A80A91" w:rsidRPr="00C51158" w:rsidRDefault="00A80A91" w:rsidP="005B5E6A">
            <w:pPr>
              <w:spacing w:before="70" w:after="70"/>
              <w:ind w:right="11"/>
              <w:jc w:val="right"/>
              <w:rPr>
                <w:sz w:val="20"/>
                <w:szCs w:val="20"/>
              </w:rPr>
            </w:pPr>
            <w:r w:rsidRPr="00C51158">
              <w:rPr>
                <w:sz w:val="20"/>
                <w:szCs w:val="20"/>
              </w:rPr>
              <w:t>-</w:t>
            </w:r>
          </w:p>
        </w:tc>
        <w:tc>
          <w:tcPr>
            <w:tcW w:w="318" w:type="pct"/>
          </w:tcPr>
          <w:p w:rsidR="00A80A91" w:rsidRPr="00C51158" w:rsidRDefault="00A80A91" w:rsidP="005B5E6A">
            <w:pPr>
              <w:spacing w:before="70" w:after="70"/>
              <w:ind w:right="11"/>
              <w:jc w:val="right"/>
              <w:rPr>
                <w:sz w:val="20"/>
                <w:szCs w:val="20"/>
              </w:rPr>
            </w:pPr>
            <w:r w:rsidRPr="00C51158">
              <w:rPr>
                <w:sz w:val="20"/>
                <w:szCs w:val="20"/>
              </w:rPr>
              <w:t>-300.0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-300.0</w:t>
            </w:r>
          </w:p>
        </w:tc>
        <w:tc>
          <w:tcPr>
            <w:tcW w:w="319" w:type="pct"/>
          </w:tcPr>
          <w:p w:rsidR="00A80A91" w:rsidRPr="00C51158" w:rsidRDefault="00A80A91" w:rsidP="005B5E6A">
            <w:pPr>
              <w:spacing w:before="70" w:after="70"/>
              <w:ind w:right="11"/>
              <w:jc w:val="right"/>
              <w:rPr>
                <w:sz w:val="20"/>
                <w:szCs w:val="20"/>
              </w:rPr>
            </w:pPr>
            <w:r w:rsidRPr="00C51158">
              <w:rPr>
                <w:sz w:val="20"/>
                <w:szCs w:val="20"/>
              </w:rPr>
              <w:t>-550.0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-1,150.0</w:t>
            </w:r>
          </w:p>
        </w:tc>
        <w:tc>
          <w:tcPr>
            <w:tcW w:w="346" w:type="pct"/>
          </w:tcPr>
          <w:p w:rsidR="00A80A91" w:rsidRPr="00C51158" w:rsidRDefault="00A80A91" w:rsidP="005B5E6A">
            <w:pPr>
              <w:spacing w:before="70" w:after="70"/>
              <w:ind w:right="11"/>
              <w:jc w:val="right"/>
              <w:rPr>
                <w:sz w:val="20"/>
                <w:szCs w:val="20"/>
              </w:rPr>
            </w:pPr>
            <w:r w:rsidRPr="00C51158">
              <w:rPr>
                <w:sz w:val="20"/>
                <w:szCs w:val="20"/>
              </w:rPr>
              <w:t>-600.0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-700.0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-800.0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-1,000.0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-2,600.0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-3,400.0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-4,900.0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-15,150.0</w:t>
            </w:r>
          </w:p>
        </w:tc>
      </w:tr>
      <w:tr w:rsidR="005B5E6A" w:rsidTr="005B5E6A">
        <w:tc>
          <w:tcPr>
            <w:tcW w:w="611" w:type="pct"/>
          </w:tcPr>
          <w:p w:rsidR="00A80A91" w:rsidRPr="004E5C66" w:rsidRDefault="00A80A91" w:rsidP="004E5C66">
            <w:pPr>
              <w:keepNext/>
              <w:keepLines/>
              <w:spacing w:before="70" w:after="70"/>
              <w:rPr>
                <w:sz w:val="20"/>
                <w:szCs w:val="20"/>
              </w:rPr>
            </w:pPr>
            <w:r w:rsidRPr="004E5C66">
              <w:rPr>
                <w:sz w:val="20"/>
                <w:szCs w:val="20"/>
              </w:rPr>
              <w:t>Retain tax cut for small business and imputation changes</w:t>
            </w:r>
          </w:p>
        </w:tc>
        <w:tc>
          <w:tcPr>
            <w:tcW w:w="318" w:type="pct"/>
          </w:tcPr>
          <w:p w:rsidR="00A80A91" w:rsidRPr="00C51158" w:rsidRDefault="00A80A91" w:rsidP="005B5E6A">
            <w:pPr>
              <w:spacing w:before="70" w:after="70"/>
              <w:ind w:right="11"/>
              <w:jc w:val="right"/>
              <w:rPr>
                <w:sz w:val="20"/>
                <w:szCs w:val="20"/>
              </w:rPr>
            </w:pPr>
            <w:r w:rsidRPr="00C51158">
              <w:rPr>
                <w:sz w:val="20"/>
                <w:szCs w:val="20"/>
              </w:rPr>
              <w:t>-200.0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-100.0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-120.0</w:t>
            </w:r>
          </w:p>
        </w:tc>
        <w:tc>
          <w:tcPr>
            <w:tcW w:w="319" w:type="pct"/>
          </w:tcPr>
          <w:p w:rsidR="00A80A91" w:rsidRPr="00C51158" w:rsidRDefault="00A80A91" w:rsidP="005B5E6A">
            <w:pPr>
              <w:spacing w:before="70" w:after="70"/>
              <w:ind w:right="11"/>
              <w:jc w:val="right"/>
              <w:rPr>
                <w:sz w:val="20"/>
                <w:szCs w:val="20"/>
              </w:rPr>
            </w:pPr>
            <w:r w:rsidRPr="00C51158">
              <w:rPr>
                <w:sz w:val="20"/>
                <w:szCs w:val="20"/>
              </w:rPr>
              <w:t>-120.0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-540.0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-110.0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-120.0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-130.0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-140.0</w:t>
            </w:r>
          </w:p>
        </w:tc>
        <w:tc>
          <w:tcPr>
            <w:tcW w:w="346" w:type="pct"/>
          </w:tcPr>
          <w:p w:rsidR="00A80A91" w:rsidRPr="00C51158" w:rsidRDefault="00A80A91" w:rsidP="005B5E6A">
            <w:pPr>
              <w:spacing w:before="70" w:after="70"/>
              <w:ind w:right="11"/>
              <w:jc w:val="right"/>
              <w:rPr>
                <w:sz w:val="20"/>
                <w:szCs w:val="20"/>
              </w:rPr>
            </w:pPr>
            <w:r w:rsidRPr="00C51158">
              <w:rPr>
                <w:sz w:val="20"/>
                <w:szCs w:val="20"/>
              </w:rPr>
              <w:t>-140.0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-140.0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-150.0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-1,470.0</w:t>
            </w:r>
          </w:p>
        </w:tc>
      </w:tr>
      <w:tr w:rsidR="005B5E6A" w:rsidTr="005B5E6A">
        <w:tc>
          <w:tcPr>
            <w:tcW w:w="611" w:type="pct"/>
          </w:tcPr>
          <w:p w:rsidR="00A80A91" w:rsidRPr="004E5C66" w:rsidRDefault="00A80A91" w:rsidP="00A80A91">
            <w:pPr>
              <w:keepNext/>
              <w:keepLines/>
              <w:spacing w:before="70" w:after="70"/>
              <w:ind w:left="283"/>
              <w:rPr>
                <w:sz w:val="20"/>
                <w:szCs w:val="20"/>
              </w:rPr>
            </w:pPr>
            <w:r w:rsidRPr="004E5C66">
              <w:rPr>
                <w:sz w:val="20"/>
                <w:szCs w:val="20"/>
              </w:rPr>
              <w:t>Companies</w:t>
            </w:r>
          </w:p>
        </w:tc>
        <w:tc>
          <w:tcPr>
            <w:tcW w:w="318" w:type="pct"/>
          </w:tcPr>
          <w:p w:rsidR="00A80A91" w:rsidRPr="00C51158" w:rsidRDefault="00A80A91" w:rsidP="005B5E6A">
            <w:pPr>
              <w:spacing w:before="70" w:after="70"/>
              <w:ind w:right="11"/>
              <w:jc w:val="right"/>
              <w:rPr>
                <w:sz w:val="20"/>
                <w:szCs w:val="20"/>
              </w:rPr>
            </w:pPr>
            <w:r w:rsidRPr="00C51158">
              <w:rPr>
                <w:sz w:val="20"/>
                <w:szCs w:val="20"/>
              </w:rPr>
              <w:t>-200.0</w:t>
            </w:r>
          </w:p>
        </w:tc>
        <w:tc>
          <w:tcPr>
            <w:tcW w:w="318" w:type="pct"/>
          </w:tcPr>
          <w:p w:rsidR="00A80A91" w:rsidRPr="00C51158" w:rsidRDefault="00A80A91" w:rsidP="005B5E6A">
            <w:pPr>
              <w:spacing w:before="70" w:after="70"/>
              <w:ind w:right="11"/>
              <w:jc w:val="right"/>
              <w:rPr>
                <w:sz w:val="20"/>
                <w:szCs w:val="20"/>
              </w:rPr>
            </w:pPr>
            <w:r w:rsidRPr="00C51158">
              <w:rPr>
                <w:sz w:val="20"/>
                <w:szCs w:val="20"/>
              </w:rPr>
              <w:t>-280.0</w:t>
            </w:r>
          </w:p>
        </w:tc>
        <w:tc>
          <w:tcPr>
            <w:tcW w:w="318" w:type="pct"/>
          </w:tcPr>
          <w:p w:rsidR="00A80A91" w:rsidRPr="00C51158" w:rsidRDefault="00A80A91" w:rsidP="005B5E6A">
            <w:pPr>
              <w:spacing w:before="70" w:after="70"/>
              <w:ind w:right="11"/>
              <w:jc w:val="right"/>
              <w:rPr>
                <w:sz w:val="20"/>
                <w:szCs w:val="20"/>
              </w:rPr>
            </w:pPr>
            <w:r w:rsidRPr="00C51158">
              <w:rPr>
                <w:sz w:val="20"/>
                <w:szCs w:val="20"/>
              </w:rPr>
              <w:t>-300.0</w:t>
            </w:r>
          </w:p>
        </w:tc>
        <w:tc>
          <w:tcPr>
            <w:tcW w:w="319" w:type="pct"/>
          </w:tcPr>
          <w:p w:rsidR="00A80A91" w:rsidRPr="00C51158" w:rsidRDefault="00A80A91" w:rsidP="005B5E6A">
            <w:pPr>
              <w:spacing w:before="70" w:after="70"/>
              <w:ind w:right="11"/>
              <w:jc w:val="right"/>
              <w:rPr>
                <w:sz w:val="20"/>
                <w:szCs w:val="20"/>
              </w:rPr>
            </w:pPr>
            <w:r w:rsidRPr="00C51158">
              <w:rPr>
                <w:sz w:val="20"/>
                <w:szCs w:val="20"/>
              </w:rPr>
              <w:t>-320.0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-1,100.0</w:t>
            </w:r>
          </w:p>
        </w:tc>
        <w:tc>
          <w:tcPr>
            <w:tcW w:w="346" w:type="pct"/>
          </w:tcPr>
          <w:p w:rsidR="00A80A91" w:rsidRPr="00C51158" w:rsidRDefault="00A80A91" w:rsidP="005B5E6A">
            <w:pPr>
              <w:spacing w:before="70" w:after="70"/>
              <w:ind w:right="11"/>
              <w:jc w:val="right"/>
              <w:rPr>
                <w:sz w:val="20"/>
                <w:szCs w:val="20"/>
              </w:rPr>
            </w:pPr>
            <w:r w:rsidRPr="00C51158">
              <w:rPr>
                <w:sz w:val="20"/>
                <w:szCs w:val="20"/>
              </w:rPr>
              <w:t>-330.0</w:t>
            </w:r>
          </w:p>
        </w:tc>
        <w:tc>
          <w:tcPr>
            <w:tcW w:w="346" w:type="pct"/>
          </w:tcPr>
          <w:p w:rsidR="00A80A91" w:rsidRPr="00C51158" w:rsidRDefault="00A80A91" w:rsidP="005B5E6A">
            <w:pPr>
              <w:spacing w:before="70" w:after="70"/>
              <w:ind w:right="11"/>
              <w:jc w:val="right"/>
              <w:rPr>
                <w:sz w:val="20"/>
                <w:szCs w:val="20"/>
              </w:rPr>
            </w:pPr>
            <w:r w:rsidRPr="00C51158">
              <w:rPr>
                <w:sz w:val="20"/>
                <w:szCs w:val="20"/>
              </w:rPr>
              <w:t>-350.0</w:t>
            </w:r>
          </w:p>
        </w:tc>
        <w:tc>
          <w:tcPr>
            <w:tcW w:w="346" w:type="pct"/>
          </w:tcPr>
          <w:p w:rsidR="00A80A91" w:rsidRPr="00C51158" w:rsidRDefault="00A80A91" w:rsidP="005B5E6A">
            <w:pPr>
              <w:spacing w:before="70" w:after="70"/>
              <w:ind w:right="11"/>
              <w:jc w:val="right"/>
              <w:rPr>
                <w:sz w:val="20"/>
                <w:szCs w:val="20"/>
              </w:rPr>
            </w:pPr>
            <w:r w:rsidRPr="00C51158">
              <w:rPr>
                <w:sz w:val="20"/>
                <w:szCs w:val="20"/>
              </w:rPr>
              <w:t>-370.0</w:t>
            </w:r>
          </w:p>
        </w:tc>
        <w:tc>
          <w:tcPr>
            <w:tcW w:w="346" w:type="pct"/>
          </w:tcPr>
          <w:p w:rsidR="00A80A91" w:rsidRPr="00C51158" w:rsidRDefault="00A80A91" w:rsidP="005B5E6A">
            <w:pPr>
              <w:spacing w:before="70" w:after="70"/>
              <w:ind w:right="11"/>
              <w:jc w:val="right"/>
              <w:rPr>
                <w:sz w:val="20"/>
                <w:szCs w:val="20"/>
              </w:rPr>
            </w:pPr>
            <w:r w:rsidRPr="00C51158">
              <w:rPr>
                <w:sz w:val="20"/>
                <w:szCs w:val="20"/>
              </w:rPr>
              <w:t>-390.0</w:t>
            </w:r>
          </w:p>
        </w:tc>
        <w:tc>
          <w:tcPr>
            <w:tcW w:w="346" w:type="pct"/>
          </w:tcPr>
          <w:p w:rsidR="00A80A91" w:rsidRPr="00C51158" w:rsidRDefault="00A80A91" w:rsidP="005B5E6A">
            <w:pPr>
              <w:spacing w:before="70" w:after="70"/>
              <w:ind w:right="11"/>
              <w:jc w:val="right"/>
              <w:rPr>
                <w:sz w:val="20"/>
                <w:szCs w:val="20"/>
              </w:rPr>
            </w:pPr>
            <w:r w:rsidRPr="00C51158">
              <w:rPr>
                <w:sz w:val="20"/>
                <w:szCs w:val="20"/>
              </w:rPr>
              <w:t>-410.0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-420.0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-440.0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-3,810.0</w:t>
            </w:r>
          </w:p>
        </w:tc>
      </w:tr>
      <w:tr w:rsidR="005B5E6A" w:rsidTr="005B5E6A">
        <w:tc>
          <w:tcPr>
            <w:tcW w:w="611" w:type="pct"/>
          </w:tcPr>
          <w:p w:rsidR="00A80A91" w:rsidRPr="004E5C66" w:rsidRDefault="00A80A91" w:rsidP="00A80A91">
            <w:pPr>
              <w:keepNext/>
              <w:keepLines/>
              <w:spacing w:before="70" w:after="70"/>
              <w:ind w:left="283"/>
              <w:rPr>
                <w:sz w:val="20"/>
                <w:szCs w:val="20"/>
              </w:rPr>
            </w:pPr>
            <w:r w:rsidRPr="004E5C66">
              <w:rPr>
                <w:sz w:val="20"/>
                <w:szCs w:val="20"/>
              </w:rPr>
              <w:t>Shareholders</w:t>
            </w:r>
          </w:p>
        </w:tc>
        <w:tc>
          <w:tcPr>
            <w:tcW w:w="318" w:type="pct"/>
          </w:tcPr>
          <w:p w:rsidR="00A80A91" w:rsidRPr="00C51158" w:rsidRDefault="00A80A91" w:rsidP="005B5E6A">
            <w:pPr>
              <w:spacing w:before="70" w:after="70"/>
              <w:ind w:right="11"/>
              <w:jc w:val="right"/>
              <w:rPr>
                <w:sz w:val="20"/>
                <w:szCs w:val="20"/>
              </w:rPr>
            </w:pPr>
            <w:r w:rsidRPr="00C51158">
              <w:rPr>
                <w:sz w:val="20"/>
                <w:szCs w:val="20"/>
              </w:rPr>
              <w:t>-</w:t>
            </w:r>
          </w:p>
        </w:tc>
        <w:tc>
          <w:tcPr>
            <w:tcW w:w="318" w:type="pct"/>
          </w:tcPr>
          <w:p w:rsidR="00A80A91" w:rsidRPr="00C51158" w:rsidRDefault="00A80A91" w:rsidP="005B5E6A">
            <w:pPr>
              <w:spacing w:before="70" w:after="70"/>
              <w:ind w:right="11"/>
              <w:jc w:val="right"/>
              <w:rPr>
                <w:sz w:val="20"/>
                <w:szCs w:val="20"/>
              </w:rPr>
            </w:pPr>
            <w:r w:rsidRPr="00C51158">
              <w:rPr>
                <w:sz w:val="20"/>
                <w:szCs w:val="20"/>
              </w:rPr>
              <w:t>180.0</w:t>
            </w:r>
          </w:p>
        </w:tc>
        <w:tc>
          <w:tcPr>
            <w:tcW w:w="318" w:type="pct"/>
          </w:tcPr>
          <w:p w:rsidR="00A80A91" w:rsidRPr="00C51158" w:rsidRDefault="00A80A91" w:rsidP="005B5E6A">
            <w:pPr>
              <w:spacing w:before="70" w:after="70"/>
              <w:ind w:right="11"/>
              <w:jc w:val="right"/>
              <w:rPr>
                <w:sz w:val="20"/>
                <w:szCs w:val="20"/>
              </w:rPr>
            </w:pPr>
            <w:r w:rsidRPr="00C51158">
              <w:rPr>
                <w:sz w:val="20"/>
                <w:szCs w:val="20"/>
              </w:rPr>
              <w:t>180.0</w:t>
            </w:r>
          </w:p>
        </w:tc>
        <w:tc>
          <w:tcPr>
            <w:tcW w:w="319" w:type="pct"/>
          </w:tcPr>
          <w:p w:rsidR="00A80A91" w:rsidRPr="00C51158" w:rsidRDefault="00A80A91" w:rsidP="005B5E6A">
            <w:pPr>
              <w:spacing w:before="70" w:after="70"/>
              <w:ind w:right="11"/>
              <w:jc w:val="right"/>
              <w:rPr>
                <w:sz w:val="20"/>
                <w:szCs w:val="20"/>
              </w:rPr>
            </w:pPr>
            <w:r w:rsidRPr="00C51158">
              <w:rPr>
                <w:sz w:val="20"/>
                <w:szCs w:val="20"/>
              </w:rPr>
              <w:t>200.0</w:t>
            </w:r>
          </w:p>
        </w:tc>
        <w:tc>
          <w:tcPr>
            <w:tcW w:w="346" w:type="pct"/>
          </w:tcPr>
          <w:p w:rsidR="00A80A91" w:rsidRPr="00C51158" w:rsidRDefault="00A80A91" w:rsidP="005B5E6A">
            <w:pPr>
              <w:spacing w:before="70" w:after="70"/>
              <w:ind w:right="11"/>
              <w:jc w:val="right"/>
              <w:rPr>
                <w:b/>
                <w:sz w:val="20"/>
                <w:szCs w:val="20"/>
              </w:rPr>
            </w:pPr>
            <w:r w:rsidRPr="00C51158">
              <w:rPr>
                <w:b/>
                <w:sz w:val="20"/>
                <w:szCs w:val="20"/>
              </w:rPr>
              <w:t>560.0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220.0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230.0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240.0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250.0</w:t>
            </w:r>
          </w:p>
        </w:tc>
        <w:tc>
          <w:tcPr>
            <w:tcW w:w="346" w:type="pct"/>
          </w:tcPr>
          <w:p w:rsidR="00A80A91" w:rsidRPr="00C51158" w:rsidRDefault="00A80A91" w:rsidP="005B5E6A">
            <w:pPr>
              <w:spacing w:before="70" w:after="70"/>
              <w:ind w:right="11"/>
              <w:jc w:val="right"/>
              <w:rPr>
                <w:sz w:val="20"/>
                <w:szCs w:val="20"/>
              </w:rPr>
            </w:pPr>
            <w:r w:rsidRPr="00C51158">
              <w:rPr>
                <w:sz w:val="20"/>
                <w:szCs w:val="20"/>
              </w:rPr>
              <w:t>270.0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280.0</w:t>
            </w:r>
          </w:p>
        </w:tc>
        <w:tc>
          <w:tcPr>
            <w:tcW w:w="346" w:type="pct"/>
          </w:tcPr>
          <w:p w:rsidR="00A80A91" w:rsidRPr="00C51158" w:rsidRDefault="00A80A91" w:rsidP="005B5E6A">
            <w:pPr>
              <w:spacing w:before="70" w:after="70"/>
              <w:ind w:left="-113" w:right="11"/>
              <w:jc w:val="right"/>
              <w:rPr>
                <w:sz w:val="20"/>
                <w:szCs w:val="20"/>
              </w:rPr>
            </w:pPr>
            <w:r w:rsidRPr="00C51158">
              <w:rPr>
                <w:sz w:val="20"/>
                <w:szCs w:val="20"/>
              </w:rPr>
              <w:t>290.0</w:t>
            </w:r>
          </w:p>
        </w:tc>
        <w:tc>
          <w:tcPr>
            <w:tcW w:w="346" w:type="pct"/>
          </w:tcPr>
          <w:p w:rsidR="00A80A91" w:rsidRPr="00C51158" w:rsidRDefault="00A80A91" w:rsidP="005B5E6A">
            <w:pPr>
              <w:spacing w:before="70" w:after="70"/>
              <w:ind w:left="-113" w:right="11"/>
              <w:jc w:val="right"/>
              <w:rPr>
                <w:b/>
                <w:sz w:val="20"/>
                <w:szCs w:val="20"/>
              </w:rPr>
            </w:pPr>
            <w:r w:rsidRPr="00C51158">
              <w:rPr>
                <w:b/>
                <w:sz w:val="20"/>
                <w:szCs w:val="20"/>
              </w:rPr>
              <w:t>2,340.0</w:t>
            </w:r>
          </w:p>
        </w:tc>
      </w:tr>
      <w:tr w:rsidR="005B5E6A" w:rsidRPr="007C2713" w:rsidTr="005B5E6A">
        <w:tc>
          <w:tcPr>
            <w:tcW w:w="611" w:type="pct"/>
            <w:shd w:val="clear" w:color="auto" w:fill="D7DDE9" w:themeFill="accent3"/>
          </w:tcPr>
          <w:p w:rsidR="00A80A91" w:rsidRPr="004E5C66" w:rsidRDefault="00A80A91" w:rsidP="004E5C66">
            <w:pPr>
              <w:keepNext/>
              <w:keepLines/>
              <w:spacing w:before="70" w:after="70"/>
              <w:rPr>
                <w:b/>
                <w:sz w:val="20"/>
                <w:szCs w:val="20"/>
              </w:rPr>
            </w:pPr>
            <w:r w:rsidRPr="004E5C66">
              <w:rPr>
                <w:b/>
                <w:sz w:val="20"/>
                <w:szCs w:val="20"/>
              </w:rPr>
              <w:t>Total</w:t>
            </w:r>
          </w:p>
        </w:tc>
        <w:tc>
          <w:tcPr>
            <w:tcW w:w="318"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200.0</w:t>
            </w:r>
          </w:p>
        </w:tc>
        <w:tc>
          <w:tcPr>
            <w:tcW w:w="318"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400.0</w:t>
            </w:r>
          </w:p>
        </w:tc>
        <w:tc>
          <w:tcPr>
            <w:tcW w:w="318"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680.0</w:t>
            </w:r>
          </w:p>
        </w:tc>
        <w:tc>
          <w:tcPr>
            <w:tcW w:w="319"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830.0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2,110.0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1,190.0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1,480.0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1,870.0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5,560.0</w:t>
            </w:r>
          </w:p>
        </w:tc>
        <w:tc>
          <w:tcPr>
            <w:tcW w:w="346" w:type="pct"/>
            <w:shd w:val="clear" w:color="auto" w:fill="D7DDE9" w:themeFill="accent3"/>
          </w:tcPr>
          <w:p w:rsidR="00A80A91" w:rsidRPr="004E5C66" w:rsidRDefault="00A80A91" w:rsidP="005B5E6A">
            <w:pPr>
              <w:spacing w:before="70" w:after="70"/>
              <w:ind w:right="11"/>
              <w:jc w:val="right"/>
              <w:rPr>
                <w:b/>
                <w:sz w:val="20"/>
                <w:szCs w:val="20"/>
              </w:rPr>
            </w:pPr>
            <w:r w:rsidRPr="004E5C66">
              <w:rPr>
                <w:b/>
                <w:sz w:val="20"/>
                <w:szCs w:val="20"/>
              </w:rPr>
              <w:t>6,760.0</w:t>
            </w:r>
          </w:p>
        </w:tc>
        <w:tc>
          <w:tcPr>
            <w:tcW w:w="346" w:type="pct"/>
            <w:shd w:val="clear" w:color="auto" w:fill="D7DDE9" w:themeFill="accent3"/>
          </w:tcPr>
          <w:p w:rsidR="00A80A91" w:rsidRPr="004E5C66" w:rsidRDefault="00A80A91" w:rsidP="005B5E6A">
            <w:pPr>
              <w:spacing w:before="70" w:after="70"/>
              <w:ind w:left="-113" w:right="11"/>
              <w:jc w:val="right"/>
              <w:rPr>
                <w:b/>
                <w:sz w:val="20"/>
                <w:szCs w:val="20"/>
              </w:rPr>
            </w:pPr>
            <w:r w:rsidRPr="004E5C66">
              <w:rPr>
                <w:b/>
                <w:sz w:val="20"/>
                <w:szCs w:val="20"/>
              </w:rPr>
              <w:t>9,960.0</w:t>
            </w:r>
          </w:p>
        </w:tc>
        <w:tc>
          <w:tcPr>
            <w:tcW w:w="346" w:type="pct"/>
            <w:shd w:val="clear" w:color="auto" w:fill="D7DDE9" w:themeFill="accent3"/>
          </w:tcPr>
          <w:p w:rsidR="00A80A91" w:rsidRPr="004E5C66" w:rsidRDefault="00A80A91" w:rsidP="005B5E6A">
            <w:pPr>
              <w:spacing w:before="70" w:after="70"/>
              <w:ind w:left="-113" w:right="11"/>
              <w:jc w:val="right"/>
              <w:rPr>
                <w:b/>
                <w:sz w:val="20"/>
                <w:szCs w:val="20"/>
              </w:rPr>
            </w:pPr>
            <w:r w:rsidRPr="004E5C66">
              <w:rPr>
                <w:b/>
                <w:sz w:val="20"/>
                <w:szCs w:val="20"/>
              </w:rPr>
              <w:t>13,250.0</w:t>
            </w:r>
          </w:p>
        </w:tc>
        <w:tc>
          <w:tcPr>
            <w:tcW w:w="346" w:type="pct"/>
            <w:shd w:val="clear" w:color="auto" w:fill="D7DDE9" w:themeFill="accent3"/>
          </w:tcPr>
          <w:p w:rsidR="00A80A91" w:rsidRPr="004E5C66" w:rsidRDefault="00A80A91" w:rsidP="005B5E6A">
            <w:pPr>
              <w:spacing w:before="70" w:after="70"/>
              <w:ind w:left="-113" w:right="11"/>
              <w:jc w:val="right"/>
              <w:rPr>
                <w:b/>
                <w:sz w:val="20"/>
                <w:szCs w:val="20"/>
              </w:rPr>
            </w:pPr>
            <w:r w:rsidRPr="004E5C66">
              <w:rPr>
                <w:b/>
                <w:sz w:val="20"/>
                <w:szCs w:val="20"/>
              </w:rPr>
              <w:t>42,180.0</w:t>
            </w:r>
          </w:p>
        </w:tc>
      </w:tr>
    </w:tbl>
    <w:p w:rsidR="00A80A91" w:rsidRDefault="00A80A91" w:rsidP="00327C55">
      <w:pPr>
        <w:pStyle w:val="Footnotes"/>
        <w:numPr>
          <w:ilvl w:val="0"/>
          <w:numId w:val="190"/>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A80A91" w:rsidRDefault="00A80A91" w:rsidP="00327C55">
      <w:pPr>
        <w:pStyle w:val="Footnotes"/>
        <w:ind w:left="284" w:hanging="284"/>
      </w:pPr>
      <w:r>
        <w:t>Figures may not sum to totals due to rounding.</w:t>
      </w:r>
    </w:p>
    <w:p w:rsidR="00573C0B" w:rsidRDefault="00A80A91" w:rsidP="00327C55">
      <w:pPr>
        <w:pStyle w:val="Footnotes"/>
        <w:numPr>
          <w:ilvl w:val="0"/>
          <w:numId w:val="0"/>
        </w:numPr>
        <w:ind w:left="284" w:hanging="284"/>
      </w:pPr>
      <w:r>
        <w:t>-</w:t>
      </w:r>
      <w:r>
        <w:tab/>
        <w:t>Indicates nil.</w:t>
      </w:r>
    </w:p>
    <w:p w:rsidR="001C470D" w:rsidRDefault="00A80A91" w:rsidP="00A80A91">
      <w:pPr>
        <w:pStyle w:val="Caption"/>
        <w:rPr>
          <w:vertAlign w:val="superscript"/>
        </w:rPr>
      </w:pPr>
      <w:r w:rsidRPr="00A80A91">
        <w:t>Table A6: Component 3 - Partially reverse the increase the unincorporated small business tax discount measure—Financial implications (outturn</w:t>
      </w:r>
      <w:r>
        <w:t> </w:t>
      </w:r>
      <w:r w:rsidRPr="00A80A91">
        <w:t>prices)</w:t>
      </w:r>
      <w:r w:rsidRPr="00A80A91">
        <w:rPr>
          <w:vertAlign w:val="superscript"/>
        </w:rPr>
        <w:t>(a)(b)</w:t>
      </w:r>
    </w:p>
    <w:tbl>
      <w:tblPr>
        <w:tblStyle w:val="Style1"/>
        <w:tblW w:w="5255" w:type="pct"/>
        <w:tblLayout w:type="fixed"/>
        <w:tblLook w:val="06A0" w:firstRow="1" w:lastRow="0" w:firstColumn="1" w:lastColumn="0" w:noHBand="1" w:noVBand="1"/>
      </w:tblPr>
      <w:tblGrid>
        <w:gridCol w:w="2092"/>
        <w:gridCol w:w="850"/>
        <w:gridCol w:w="856"/>
        <w:gridCol w:w="923"/>
        <w:gridCol w:w="922"/>
        <w:gridCol w:w="922"/>
        <w:gridCol w:w="922"/>
        <w:gridCol w:w="922"/>
        <w:gridCol w:w="922"/>
        <w:gridCol w:w="922"/>
        <w:gridCol w:w="922"/>
        <w:gridCol w:w="922"/>
        <w:gridCol w:w="922"/>
        <w:gridCol w:w="1129"/>
      </w:tblGrid>
      <w:tr w:rsidR="00A80A91" w:rsidTr="00DD4448">
        <w:trPr>
          <w:cnfStyle w:val="100000000000" w:firstRow="1" w:lastRow="0" w:firstColumn="0" w:lastColumn="0" w:oddVBand="0" w:evenVBand="0" w:oddHBand="0" w:evenHBand="0" w:firstRowFirstColumn="0" w:firstRowLastColumn="0" w:lastRowFirstColumn="0" w:lastRowLastColumn="0"/>
        </w:trPr>
        <w:tc>
          <w:tcPr>
            <w:tcW w:w="739" w:type="pct"/>
            <w:vAlign w:val="center"/>
          </w:tcPr>
          <w:p w:rsidR="00A80A91" w:rsidRPr="007C2713" w:rsidRDefault="00A80A91" w:rsidP="004E5C66">
            <w:pPr>
              <w:pStyle w:val="TableText"/>
              <w:keepNext/>
              <w:keepLines/>
              <w:rPr>
                <w:b w:val="0"/>
              </w:rPr>
            </w:pPr>
            <w:r>
              <w:t>($m)</w:t>
            </w:r>
          </w:p>
        </w:tc>
        <w:tc>
          <w:tcPr>
            <w:tcW w:w="300" w:type="pct"/>
            <w:vAlign w:val="center"/>
          </w:tcPr>
          <w:p w:rsidR="00A80A91" w:rsidRDefault="00A80A91" w:rsidP="004E5C66">
            <w:pPr>
              <w:pStyle w:val="TableTextRight"/>
              <w:keepNext/>
              <w:keepLines/>
              <w:spacing w:before="0" w:after="0" w:line="240" w:lineRule="auto"/>
              <w:ind w:left="-57" w:right="-57"/>
              <w:rPr>
                <w:b w:val="0"/>
              </w:rPr>
            </w:pPr>
            <w:r>
              <w:t>2016–17</w:t>
            </w:r>
          </w:p>
        </w:tc>
        <w:tc>
          <w:tcPr>
            <w:tcW w:w="302" w:type="pct"/>
            <w:vAlign w:val="center"/>
          </w:tcPr>
          <w:p w:rsidR="00A80A91" w:rsidRDefault="00A80A91" w:rsidP="004E5C66">
            <w:pPr>
              <w:pStyle w:val="TableTextRight"/>
              <w:keepNext/>
              <w:keepLines/>
              <w:spacing w:before="0" w:after="0" w:line="240" w:lineRule="auto"/>
              <w:ind w:left="-57" w:right="-57"/>
              <w:rPr>
                <w:b w:val="0"/>
              </w:rPr>
            </w:pPr>
            <w:r>
              <w:t>2017–18</w:t>
            </w:r>
          </w:p>
        </w:tc>
        <w:tc>
          <w:tcPr>
            <w:tcW w:w="326" w:type="pct"/>
            <w:vAlign w:val="center"/>
          </w:tcPr>
          <w:p w:rsidR="00A80A91" w:rsidRDefault="00A80A91" w:rsidP="004E5C66">
            <w:pPr>
              <w:pStyle w:val="TableTextRight"/>
              <w:keepNext/>
              <w:keepLines/>
              <w:spacing w:before="0" w:after="0" w:line="240" w:lineRule="auto"/>
              <w:ind w:left="-57" w:right="-57"/>
              <w:rPr>
                <w:b w:val="0"/>
              </w:rPr>
            </w:pPr>
            <w:r>
              <w:t>2018–19</w:t>
            </w:r>
          </w:p>
        </w:tc>
        <w:tc>
          <w:tcPr>
            <w:tcW w:w="326" w:type="pct"/>
            <w:vAlign w:val="center"/>
          </w:tcPr>
          <w:p w:rsidR="00A80A91" w:rsidRDefault="00A80A91" w:rsidP="004E5C66">
            <w:pPr>
              <w:pStyle w:val="TableTextRight"/>
              <w:keepNext/>
              <w:keepLines/>
              <w:spacing w:before="0" w:after="0" w:line="240" w:lineRule="auto"/>
              <w:ind w:left="-57" w:right="-57"/>
              <w:rPr>
                <w:b w:val="0"/>
              </w:rPr>
            </w:pPr>
            <w:r>
              <w:t>2019–20</w:t>
            </w:r>
          </w:p>
        </w:tc>
        <w:tc>
          <w:tcPr>
            <w:tcW w:w="326" w:type="pct"/>
            <w:vAlign w:val="center"/>
          </w:tcPr>
          <w:p w:rsidR="00A80A91" w:rsidRDefault="00A80A91" w:rsidP="004E5C66">
            <w:pPr>
              <w:pStyle w:val="TableTextRight"/>
              <w:keepNext/>
              <w:keepLines/>
              <w:spacing w:before="0" w:after="0" w:line="240" w:lineRule="auto"/>
              <w:ind w:left="-57" w:right="-57"/>
              <w:rPr>
                <w:b w:val="0"/>
              </w:rPr>
            </w:pPr>
            <w:r>
              <w:t>Total to 2019–20</w:t>
            </w:r>
          </w:p>
        </w:tc>
        <w:tc>
          <w:tcPr>
            <w:tcW w:w="326" w:type="pct"/>
            <w:vAlign w:val="center"/>
          </w:tcPr>
          <w:p w:rsidR="00A80A91" w:rsidRPr="00CE6D13" w:rsidRDefault="00A80A91" w:rsidP="004E5C66">
            <w:pPr>
              <w:pStyle w:val="TableHeadingCentred"/>
              <w:ind w:left="-57" w:right="-57"/>
              <w:jc w:val="right"/>
              <w:rPr>
                <w:b/>
              </w:rPr>
            </w:pPr>
            <w:r w:rsidRPr="00CE6D13">
              <w:rPr>
                <w:b/>
              </w:rPr>
              <w:t>2020–21</w:t>
            </w:r>
          </w:p>
        </w:tc>
        <w:tc>
          <w:tcPr>
            <w:tcW w:w="326" w:type="pct"/>
            <w:vAlign w:val="center"/>
          </w:tcPr>
          <w:p w:rsidR="00A80A91" w:rsidRPr="00CE6D13" w:rsidRDefault="00A80A91" w:rsidP="004E5C66">
            <w:pPr>
              <w:pStyle w:val="TableHeadingCentred"/>
              <w:ind w:left="-57" w:right="-57"/>
              <w:jc w:val="right"/>
              <w:rPr>
                <w:b/>
              </w:rPr>
            </w:pPr>
            <w:r w:rsidRPr="00CE6D13">
              <w:rPr>
                <w:b/>
              </w:rPr>
              <w:t>2021–22</w:t>
            </w:r>
          </w:p>
        </w:tc>
        <w:tc>
          <w:tcPr>
            <w:tcW w:w="326" w:type="pct"/>
            <w:vAlign w:val="center"/>
          </w:tcPr>
          <w:p w:rsidR="00A80A91" w:rsidRPr="00CE6D13" w:rsidRDefault="00A80A91" w:rsidP="004E5C66">
            <w:pPr>
              <w:pStyle w:val="TableHeadingCentred"/>
              <w:ind w:left="-57" w:right="-57"/>
              <w:jc w:val="right"/>
              <w:rPr>
                <w:b/>
              </w:rPr>
            </w:pPr>
            <w:r w:rsidRPr="00CE6D13">
              <w:rPr>
                <w:b/>
              </w:rPr>
              <w:t>2022–23</w:t>
            </w:r>
          </w:p>
        </w:tc>
        <w:tc>
          <w:tcPr>
            <w:tcW w:w="326" w:type="pct"/>
            <w:vAlign w:val="center"/>
          </w:tcPr>
          <w:p w:rsidR="00A80A91" w:rsidRPr="00CE6D13" w:rsidRDefault="00A80A91" w:rsidP="004E5C66">
            <w:pPr>
              <w:pStyle w:val="TableHeadingCentred"/>
              <w:ind w:left="-57" w:right="-57"/>
              <w:jc w:val="right"/>
              <w:rPr>
                <w:b/>
              </w:rPr>
            </w:pPr>
            <w:r w:rsidRPr="00CE6D13">
              <w:rPr>
                <w:b/>
              </w:rPr>
              <w:t>2023–24</w:t>
            </w:r>
          </w:p>
        </w:tc>
        <w:tc>
          <w:tcPr>
            <w:tcW w:w="326" w:type="pct"/>
            <w:vAlign w:val="center"/>
          </w:tcPr>
          <w:p w:rsidR="00A80A91" w:rsidRPr="00CE6D13" w:rsidRDefault="00A80A91" w:rsidP="004E5C66">
            <w:pPr>
              <w:pStyle w:val="TableHeadingCentred"/>
              <w:ind w:left="-57" w:right="-57"/>
              <w:jc w:val="right"/>
              <w:rPr>
                <w:b/>
              </w:rPr>
            </w:pPr>
            <w:r w:rsidRPr="00CE6D13">
              <w:rPr>
                <w:b/>
              </w:rPr>
              <w:t>2024–25</w:t>
            </w:r>
          </w:p>
        </w:tc>
        <w:tc>
          <w:tcPr>
            <w:tcW w:w="326" w:type="pct"/>
            <w:vAlign w:val="center"/>
          </w:tcPr>
          <w:p w:rsidR="00A80A91" w:rsidRPr="00CE6D13" w:rsidRDefault="00A80A91" w:rsidP="004E5C66">
            <w:pPr>
              <w:pStyle w:val="TableHeadingCentred"/>
              <w:ind w:left="-57" w:right="-57"/>
              <w:jc w:val="right"/>
              <w:rPr>
                <w:b/>
              </w:rPr>
            </w:pPr>
            <w:r w:rsidRPr="00CE6D13">
              <w:rPr>
                <w:b/>
              </w:rPr>
              <w:t>2025–26</w:t>
            </w:r>
          </w:p>
        </w:tc>
        <w:tc>
          <w:tcPr>
            <w:tcW w:w="326" w:type="pct"/>
            <w:vAlign w:val="center"/>
          </w:tcPr>
          <w:p w:rsidR="00A80A91" w:rsidRPr="00CE6D13" w:rsidRDefault="00A80A91" w:rsidP="004E5C66">
            <w:pPr>
              <w:pStyle w:val="TableHeadingCentred"/>
              <w:ind w:left="-57" w:right="-57"/>
              <w:jc w:val="right"/>
              <w:rPr>
                <w:b/>
              </w:rPr>
            </w:pPr>
            <w:r w:rsidRPr="00CE6D13">
              <w:rPr>
                <w:b/>
              </w:rPr>
              <w:t>2026–27</w:t>
            </w:r>
          </w:p>
        </w:tc>
        <w:tc>
          <w:tcPr>
            <w:tcW w:w="401" w:type="pct"/>
            <w:vAlign w:val="center"/>
          </w:tcPr>
          <w:p w:rsidR="00A80A91" w:rsidRPr="00CE6D13" w:rsidRDefault="00A80A91" w:rsidP="004E5C66">
            <w:pPr>
              <w:pStyle w:val="TableHeadingCentred"/>
              <w:ind w:left="-57" w:right="-57"/>
              <w:jc w:val="right"/>
              <w:rPr>
                <w:b/>
              </w:rPr>
            </w:pPr>
            <w:r w:rsidRPr="00CE6D13">
              <w:rPr>
                <w:b/>
              </w:rPr>
              <w:t>Total to 2026–27</w:t>
            </w:r>
          </w:p>
        </w:tc>
      </w:tr>
      <w:tr w:rsidR="00A80A91" w:rsidTr="00DD4448">
        <w:tc>
          <w:tcPr>
            <w:tcW w:w="5000" w:type="pct"/>
            <w:gridSpan w:val="14"/>
            <w:shd w:val="clear" w:color="auto" w:fill="E9ECF3" w:themeFill="accent2" w:themeFillTint="33"/>
            <w:vAlign w:val="center"/>
          </w:tcPr>
          <w:p w:rsidR="00A80A91" w:rsidRPr="004E5C66" w:rsidRDefault="00A80A91" w:rsidP="004E5C66">
            <w:pPr>
              <w:pStyle w:val="TableHeading"/>
              <w:rPr>
                <w:i/>
                <w:szCs w:val="20"/>
              </w:rPr>
            </w:pPr>
            <w:r w:rsidRPr="004E5C66">
              <w:rPr>
                <w:szCs w:val="20"/>
              </w:rPr>
              <w:t>Fiscal and underlying cash balances</w:t>
            </w:r>
          </w:p>
        </w:tc>
      </w:tr>
      <w:tr w:rsidR="00A80A91" w:rsidTr="00DD4448">
        <w:tc>
          <w:tcPr>
            <w:tcW w:w="739" w:type="pct"/>
          </w:tcPr>
          <w:p w:rsidR="00A80A91" w:rsidRPr="004E5C66" w:rsidRDefault="00A80A91" w:rsidP="004E5C66">
            <w:pPr>
              <w:keepNext/>
              <w:keepLines/>
              <w:spacing w:before="70" w:after="70"/>
              <w:rPr>
                <w:sz w:val="20"/>
                <w:szCs w:val="20"/>
              </w:rPr>
            </w:pPr>
            <w:r w:rsidRPr="004E5C66">
              <w:rPr>
                <w:sz w:val="20"/>
                <w:szCs w:val="20"/>
              </w:rPr>
              <w:t>Full reversal of measure</w:t>
            </w:r>
          </w:p>
        </w:tc>
        <w:tc>
          <w:tcPr>
            <w:tcW w:w="300" w:type="pct"/>
          </w:tcPr>
          <w:p w:rsidR="00A80A91" w:rsidRPr="00CE6D13" w:rsidRDefault="00A80A91" w:rsidP="00DD4448">
            <w:pPr>
              <w:spacing w:before="70" w:after="70"/>
              <w:ind w:right="28"/>
              <w:jc w:val="right"/>
              <w:rPr>
                <w:sz w:val="20"/>
                <w:szCs w:val="20"/>
              </w:rPr>
            </w:pPr>
            <w:r w:rsidRPr="00CE6D13">
              <w:rPr>
                <w:sz w:val="20"/>
                <w:szCs w:val="20"/>
              </w:rPr>
              <w:t>-</w:t>
            </w:r>
          </w:p>
        </w:tc>
        <w:tc>
          <w:tcPr>
            <w:tcW w:w="302"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b/>
                <w:sz w:val="20"/>
                <w:szCs w:val="20"/>
              </w:rPr>
            </w:pPr>
            <w:r w:rsidRPr="00CE6D13">
              <w:rPr>
                <w:b/>
                <w:sz w:val="20"/>
                <w:szCs w:val="20"/>
              </w:rPr>
              <w:t>450.0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250.0</w:t>
            </w:r>
          </w:p>
        </w:tc>
        <w:tc>
          <w:tcPr>
            <w:tcW w:w="326" w:type="pct"/>
          </w:tcPr>
          <w:p w:rsidR="00A80A91" w:rsidRPr="00CE6D13" w:rsidRDefault="00A80A91" w:rsidP="00DD4448">
            <w:pPr>
              <w:spacing w:before="70" w:after="70"/>
              <w:ind w:right="28"/>
              <w:jc w:val="right"/>
              <w:rPr>
                <w:sz w:val="20"/>
                <w:szCs w:val="20"/>
              </w:rPr>
            </w:pPr>
            <w:r w:rsidRPr="00CE6D13">
              <w:rPr>
                <w:sz w:val="20"/>
                <w:szCs w:val="20"/>
              </w:rPr>
              <w:t>300.0</w:t>
            </w:r>
          </w:p>
        </w:tc>
        <w:tc>
          <w:tcPr>
            <w:tcW w:w="401" w:type="pct"/>
          </w:tcPr>
          <w:p w:rsidR="00A80A91" w:rsidRPr="00CE6D13" w:rsidRDefault="00A80A91" w:rsidP="00DD4448">
            <w:pPr>
              <w:spacing w:before="70" w:after="70"/>
              <w:ind w:right="28"/>
              <w:jc w:val="right"/>
              <w:rPr>
                <w:b/>
                <w:sz w:val="20"/>
                <w:szCs w:val="20"/>
              </w:rPr>
            </w:pPr>
            <w:r w:rsidRPr="00CE6D13">
              <w:rPr>
                <w:b/>
                <w:sz w:val="20"/>
                <w:szCs w:val="20"/>
              </w:rPr>
              <w:t>1,750.0</w:t>
            </w:r>
          </w:p>
        </w:tc>
      </w:tr>
      <w:tr w:rsidR="00A80A91" w:rsidTr="00DD4448">
        <w:tc>
          <w:tcPr>
            <w:tcW w:w="739" w:type="pct"/>
          </w:tcPr>
          <w:p w:rsidR="00A80A91" w:rsidRPr="004E5C66" w:rsidRDefault="00A80A91" w:rsidP="004E5C66">
            <w:pPr>
              <w:keepNext/>
              <w:keepLines/>
              <w:spacing w:before="70" w:after="70"/>
              <w:rPr>
                <w:sz w:val="20"/>
                <w:szCs w:val="20"/>
              </w:rPr>
            </w:pPr>
            <w:r w:rsidRPr="004E5C66">
              <w:rPr>
                <w:sz w:val="20"/>
                <w:szCs w:val="20"/>
              </w:rPr>
              <w:t>Retain increase to 8 per cent discount rate</w:t>
            </w:r>
          </w:p>
        </w:tc>
        <w:tc>
          <w:tcPr>
            <w:tcW w:w="300" w:type="pct"/>
          </w:tcPr>
          <w:p w:rsidR="00A80A91" w:rsidRPr="00CE6D13" w:rsidRDefault="00A80A91" w:rsidP="00DD4448">
            <w:pPr>
              <w:spacing w:before="70" w:after="70"/>
              <w:ind w:right="28"/>
              <w:jc w:val="right"/>
              <w:rPr>
                <w:sz w:val="20"/>
                <w:szCs w:val="20"/>
              </w:rPr>
            </w:pPr>
            <w:r w:rsidRPr="00CE6D13">
              <w:rPr>
                <w:sz w:val="20"/>
                <w:szCs w:val="20"/>
              </w:rPr>
              <w:t>-</w:t>
            </w:r>
          </w:p>
        </w:tc>
        <w:tc>
          <w:tcPr>
            <w:tcW w:w="302"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b/>
                <w:sz w:val="20"/>
                <w:szCs w:val="20"/>
              </w:rPr>
            </w:pPr>
            <w:r w:rsidRPr="00CE6D13">
              <w:rPr>
                <w:b/>
                <w:sz w:val="20"/>
                <w:szCs w:val="20"/>
              </w:rPr>
              <w:t>-360.0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-120.0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-160.0</w:t>
            </w:r>
          </w:p>
        </w:tc>
        <w:tc>
          <w:tcPr>
            <w:tcW w:w="326" w:type="pct"/>
          </w:tcPr>
          <w:p w:rsidR="00A80A91" w:rsidRPr="00CE6D13" w:rsidRDefault="00A80A91" w:rsidP="00DD4448">
            <w:pPr>
              <w:spacing w:before="70" w:after="70"/>
              <w:ind w:right="28"/>
              <w:jc w:val="right"/>
              <w:rPr>
                <w:sz w:val="20"/>
                <w:szCs w:val="20"/>
              </w:rPr>
            </w:pPr>
            <w:r w:rsidRPr="00CE6D13">
              <w:rPr>
                <w:sz w:val="20"/>
                <w:szCs w:val="20"/>
              </w:rPr>
              <w:t>-160.0</w:t>
            </w:r>
          </w:p>
        </w:tc>
        <w:tc>
          <w:tcPr>
            <w:tcW w:w="401" w:type="pct"/>
          </w:tcPr>
          <w:p w:rsidR="00A80A91" w:rsidRPr="00CE6D13" w:rsidRDefault="00A80A91" w:rsidP="00DD4448">
            <w:pPr>
              <w:spacing w:before="70" w:after="70"/>
              <w:ind w:right="28"/>
              <w:jc w:val="right"/>
              <w:rPr>
                <w:b/>
                <w:sz w:val="20"/>
                <w:szCs w:val="20"/>
              </w:rPr>
            </w:pPr>
            <w:r w:rsidRPr="00CE6D13">
              <w:rPr>
                <w:b/>
                <w:sz w:val="20"/>
                <w:szCs w:val="20"/>
              </w:rPr>
              <w:t>-1,280.0</w:t>
            </w:r>
          </w:p>
        </w:tc>
      </w:tr>
      <w:tr w:rsidR="0073534F" w:rsidRPr="007C2713" w:rsidTr="00DD4448">
        <w:tc>
          <w:tcPr>
            <w:tcW w:w="739" w:type="pct"/>
            <w:shd w:val="clear" w:color="auto" w:fill="D7DDE9" w:themeFill="accent3"/>
          </w:tcPr>
          <w:p w:rsidR="00A80A91" w:rsidRPr="004E5C66" w:rsidRDefault="00A80A91" w:rsidP="004E5C66">
            <w:pPr>
              <w:keepNext/>
              <w:keepLines/>
              <w:spacing w:before="70" w:after="70"/>
              <w:rPr>
                <w:b/>
                <w:sz w:val="20"/>
                <w:szCs w:val="20"/>
              </w:rPr>
            </w:pPr>
            <w:r w:rsidRPr="004E5C66">
              <w:rPr>
                <w:b/>
                <w:sz w:val="20"/>
                <w:szCs w:val="20"/>
              </w:rPr>
              <w:t>Total</w:t>
            </w:r>
          </w:p>
        </w:tc>
        <w:tc>
          <w:tcPr>
            <w:tcW w:w="300"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w:t>
            </w:r>
          </w:p>
        </w:tc>
        <w:tc>
          <w:tcPr>
            <w:tcW w:w="302"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90.0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30.0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90.0</w:t>
            </w:r>
          </w:p>
        </w:tc>
        <w:tc>
          <w:tcPr>
            <w:tcW w:w="326"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140.0</w:t>
            </w:r>
          </w:p>
        </w:tc>
        <w:tc>
          <w:tcPr>
            <w:tcW w:w="401" w:type="pct"/>
            <w:shd w:val="clear" w:color="auto" w:fill="D7DDE9" w:themeFill="accent3"/>
          </w:tcPr>
          <w:p w:rsidR="00A80A91" w:rsidRPr="004E5C66" w:rsidRDefault="00A80A91" w:rsidP="00DD4448">
            <w:pPr>
              <w:spacing w:before="70" w:after="70"/>
              <w:ind w:right="28"/>
              <w:jc w:val="right"/>
              <w:rPr>
                <w:b/>
                <w:sz w:val="20"/>
                <w:szCs w:val="20"/>
              </w:rPr>
            </w:pPr>
            <w:r w:rsidRPr="004E5C66">
              <w:rPr>
                <w:b/>
                <w:sz w:val="20"/>
                <w:szCs w:val="20"/>
              </w:rPr>
              <w:t>470.0</w:t>
            </w:r>
          </w:p>
        </w:tc>
      </w:tr>
    </w:tbl>
    <w:p w:rsidR="00A80A91" w:rsidRDefault="00A80A91" w:rsidP="00327C55">
      <w:pPr>
        <w:pStyle w:val="Footnotes"/>
        <w:numPr>
          <w:ilvl w:val="0"/>
          <w:numId w:val="191"/>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A80A91" w:rsidRDefault="00A80A91" w:rsidP="00327C55">
      <w:pPr>
        <w:pStyle w:val="Footnotes"/>
        <w:ind w:left="284" w:hanging="284"/>
      </w:pPr>
      <w:r>
        <w:t>Figures may not sum to totals due to rounding.</w:t>
      </w:r>
    </w:p>
    <w:p w:rsidR="00A80A91" w:rsidRDefault="00A80A91" w:rsidP="00327C55">
      <w:pPr>
        <w:pStyle w:val="Footnotes"/>
        <w:numPr>
          <w:ilvl w:val="0"/>
          <w:numId w:val="0"/>
        </w:numPr>
        <w:ind w:left="284" w:hanging="284"/>
      </w:pPr>
      <w:r>
        <w:t>-</w:t>
      </w:r>
      <w:r>
        <w:tab/>
        <w:t>Indicates nil.</w:t>
      </w:r>
    </w:p>
    <w:p w:rsidR="001C470D" w:rsidRDefault="00A80A91" w:rsidP="00327C55">
      <w:pPr>
        <w:pStyle w:val="Footnotes"/>
        <w:numPr>
          <w:ilvl w:val="0"/>
          <w:numId w:val="0"/>
        </w:numPr>
        <w:ind w:left="284" w:hanging="284"/>
      </w:pPr>
      <w:r>
        <w:t>..</w:t>
      </w:r>
      <w:r>
        <w:tab/>
        <w:t>Not zero but rounded to zero.</w:t>
      </w:r>
    </w:p>
    <w:p w:rsidR="001C470D" w:rsidRDefault="001C470D" w:rsidP="00420CF4">
      <w:pPr>
        <w:pStyle w:val="BodyText"/>
        <w:sectPr w:rsidR="001C470D" w:rsidSect="009B344E">
          <w:headerReference w:type="even" r:id="rId82"/>
          <w:headerReference w:type="default" r:id="rId83"/>
          <w:footerReference w:type="even" r:id="rId84"/>
          <w:footerReference w:type="default" r:id="rId85"/>
          <w:footnotePr>
            <w:numRestart w:val="eachSect"/>
          </w:footnotePr>
          <w:pgSz w:w="16839" w:h="11907"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32" w:name="_Toc458081652"/>
      <w:r>
        <w:t>ALP028: Putting a $8,000 per year cap on VET FEE-HELP loans</w:t>
      </w:r>
      <w:bookmarkEnd w:id="32"/>
    </w:p>
    <w:p w:rsidR="00745988" w:rsidRDefault="00745988" w:rsidP="00745988">
      <w:pPr>
        <w:pStyle w:val="BodyText"/>
      </w:pPr>
      <w:r>
        <w:rPr>
          <w:noProof/>
          <w:lang w:eastAsia="en-AU"/>
        </w:rPr>
        <w:drawing>
          <wp:inline distT="0" distB="0" distL="0" distR="0" wp14:anchorId="3239FE45" wp14:editId="75DC600D">
            <wp:extent cx="2696845" cy="572135"/>
            <wp:effectExtent l="0" t="0" r="8255" b="0"/>
            <wp:docPr id="365" name="Picture 36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4F4C2E">
            <w:pPr>
              <w:pStyle w:val="PullOutBoxHeading"/>
              <w:rPr>
                <w:b/>
              </w:rPr>
            </w:pPr>
            <w:r w:rsidRPr="00E758BA">
              <w:rPr>
                <w:b/>
              </w:rPr>
              <w:t>Name of proposal:</w:t>
            </w:r>
          </w:p>
        </w:tc>
        <w:tc>
          <w:tcPr>
            <w:tcW w:w="3191" w:type="pct"/>
          </w:tcPr>
          <w:p w:rsidR="00420CF4" w:rsidRPr="00E758BA" w:rsidRDefault="00EB587F" w:rsidP="004F4C2E">
            <w:pPr>
              <w:pStyle w:val="PullOutBoxHeading"/>
              <w:rPr>
                <w:b/>
              </w:rPr>
            </w:pPr>
            <w:r w:rsidRPr="00E758BA">
              <w:rPr>
                <w:b/>
              </w:rPr>
              <w:t>Putting a $8,000 per year cap on VET FEE-HELP loans</w:t>
            </w:r>
          </w:p>
        </w:tc>
      </w:tr>
      <w:tr w:rsidR="00420CF4" w:rsidRPr="00B45F94" w:rsidTr="00967BCD">
        <w:tc>
          <w:tcPr>
            <w:tcW w:w="1809" w:type="pct"/>
          </w:tcPr>
          <w:p w:rsidR="00420CF4" w:rsidRPr="00B45F94" w:rsidRDefault="00420CF4" w:rsidP="004F4C2E">
            <w:pPr>
              <w:pStyle w:val="PullOutBoxBodyText"/>
            </w:pPr>
            <w:r w:rsidRPr="00B45F94">
              <w:t>Summary of proposal:</w:t>
            </w:r>
          </w:p>
        </w:tc>
        <w:tc>
          <w:tcPr>
            <w:tcW w:w="3191" w:type="pct"/>
          </w:tcPr>
          <w:p w:rsidR="00EB587F" w:rsidRDefault="00EB587F" w:rsidP="004F4C2E">
            <w:pPr>
              <w:pStyle w:val="PullOutBoxBodyText"/>
            </w:pPr>
            <w:r>
              <w:t>The proposal would cap students’ borrowings per year for vocational education and training (VET) under the Higher Education Loan Program (HELP) to $8,000 per year.</w:t>
            </w:r>
          </w:p>
          <w:p w:rsidR="00EB587F" w:rsidRDefault="00EB587F" w:rsidP="004F4C2E">
            <w:pPr>
              <w:pStyle w:val="PullOutBoxBodyText"/>
            </w:pPr>
            <w:r>
              <w:t>The cap would be applied on a full-time equivalent basis and indexed to the consumer price index (CPI) with existing courses of study grandfathered.  The cap would be in addition to the current VET FEE HELP lifetime borrowing limit.</w:t>
            </w:r>
          </w:p>
          <w:p w:rsidR="00420CF4" w:rsidRPr="00B45F94" w:rsidRDefault="00EB587F" w:rsidP="004F4C2E">
            <w:pPr>
              <w:pStyle w:val="PullOutBoxBodyText"/>
            </w:pPr>
            <w:r>
              <w:t>The proposal would have effect from 1 January 2017.</w:t>
            </w:r>
          </w:p>
        </w:tc>
      </w:tr>
      <w:tr w:rsidR="00420CF4" w:rsidRPr="00B45F94" w:rsidTr="00967BCD">
        <w:tc>
          <w:tcPr>
            <w:tcW w:w="1809" w:type="pct"/>
          </w:tcPr>
          <w:p w:rsidR="00420CF4" w:rsidRPr="00B45F94" w:rsidRDefault="00420CF4" w:rsidP="004F4C2E">
            <w:pPr>
              <w:pStyle w:val="PullOutBoxBodyText"/>
            </w:pPr>
            <w:r>
              <w:t>Party:</w:t>
            </w:r>
          </w:p>
        </w:tc>
        <w:tc>
          <w:tcPr>
            <w:tcW w:w="3191" w:type="pct"/>
          </w:tcPr>
          <w:p w:rsidR="00420CF4" w:rsidRPr="00B45F94" w:rsidRDefault="00420CF4" w:rsidP="004F4C2E">
            <w:pPr>
              <w:pStyle w:val="PullOutBoxBodyText"/>
            </w:pPr>
            <w:r>
              <w:t>Australian Labor Party</w:t>
            </w:r>
          </w:p>
        </w:tc>
      </w:tr>
      <w:tr w:rsidR="00420CF4" w:rsidRPr="00B45F94" w:rsidTr="00967BCD">
        <w:tc>
          <w:tcPr>
            <w:tcW w:w="1809" w:type="pct"/>
          </w:tcPr>
          <w:p w:rsidR="00420CF4" w:rsidRPr="00B45F94" w:rsidRDefault="00420CF4" w:rsidP="004F4C2E">
            <w:pPr>
              <w:pStyle w:val="PullOutBoxBodyText"/>
            </w:pPr>
            <w:r w:rsidRPr="00B45F94">
              <w:t>Expiry date for the costing:</w:t>
            </w:r>
          </w:p>
        </w:tc>
        <w:tc>
          <w:tcPr>
            <w:tcW w:w="3191" w:type="pct"/>
          </w:tcPr>
          <w:p w:rsidR="00420CF4" w:rsidRPr="00B45F94" w:rsidRDefault="00EC102A" w:rsidP="004F4C2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EB587F" w:rsidRDefault="00EB587F" w:rsidP="00EB587F">
      <w:pPr>
        <w:pStyle w:val="BodyText"/>
      </w:pPr>
      <w:r>
        <w:t>The proposal would be expected to increase the fiscal balance by $620 million, increase the underlying cash balance by $380 million and increase the headline cash balance by $9,970 million over the 2016-17 Budget forward estimates period.</w:t>
      </w:r>
    </w:p>
    <w:p w:rsidR="00EB587F" w:rsidRDefault="00EB587F" w:rsidP="00EB587F">
      <w:pPr>
        <w:pStyle w:val="BodyText"/>
      </w:pPr>
      <w:r>
        <w:t xml:space="preserve">The disaggregated financial impacts of the proposal to 2026-27 are included at </w:t>
      </w:r>
      <w:r w:rsidRPr="00EB587F">
        <w:rPr>
          <w:u w:val="single"/>
        </w:rPr>
        <w:t>Attachment A</w:t>
      </w:r>
      <w:r>
        <w:t>.</w:t>
      </w:r>
    </w:p>
    <w:p w:rsidR="00EB587F" w:rsidRDefault="00EB587F" w:rsidP="00EB587F">
      <w:pPr>
        <w:pStyle w:val="BodyText"/>
      </w:pPr>
      <w:r>
        <w:t>The proposal would not be anticipated to result in additional departmental expenditure as the implementation of the policy is expected to be within the scope of administering the existing VET FEE-HELP program.</w:t>
      </w:r>
    </w:p>
    <w:p w:rsidR="00EB587F" w:rsidRDefault="00EB587F" w:rsidP="00EB587F">
      <w:pPr>
        <w:pStyle w:val="BodyText"/>
      </w:pPr>
      <w:r>
        <w:t xml:space="preserve">The </w:t>
      </w:r>
      <w:r w:rsidRPr="00EB587F">
        <w:rPr>
          <w:i/>
        </w:rPr>
        <w:t>Methodology</w:t>
      </w:r>
      <w:r>
        <w:t xml:space="preserve"> section outlines how impacts on each budget balance are estimated.  As the proposal involves the transaction of financial assets in the form of reduced loan issuance, the Public Debt Interest (PDI) impact of the proposal has been included in the overall financial impact of the proposal.</w:t>
      </w:r>
    </w:p>
    <w:p w:rsidR="00EB587F" w:rsidRDefault="00EB587F" w:rsidP="00EB587F">
      <w:pPr>
        <w:pStyle w:val="BodyText"/>
      </w:pPr>
      <w:r>
        <w:t>The costing is considered to be of low reliability as there is uncertainty regarding the behavioural responses of VET providers.</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EB587F">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EB587F">
            <w:pPr>
              <w:pStyle w:val="TableTextRight"/>
            </w:pPr>
            <w:r>
              <w:t>Total</w:t>
            </w:r>
          </w:p>
        </w:tc>
      </w:tr>
      <w:tr w:rsidR="008D64A9" w:rsidTr="00967BCD">
        <w:tc>
          <w:tcPr>
            <w:tcW w:w="1393" w:type="pct"/>
          </w:tcPr>
          <w:p w:rsidR="008D64A9" w:rsidRPr="003A3459" w:rsidRDefault="008D64A9" w:rsidP="004F4C2E">
            <w:pPr>
              <w:pStyle w:val="TableTextCentred"/>
              <w:keepNext/>
              <w:keepLines/>
              <w:jc w:val="left"/>
            </w:pPr>
            <w:r>
              <w:t>Fiscal balance</w:t>
            </w:r>
          </w:p>
        </w:tc>
        <w:tc>
          <w:tcPr>
            <w:tcW w:w="721" w:type="pct"/>
          </w:tcPr>
          <w:p w:rsidR="008D64A9" w:rsidRPr="008D64A9" w:rsidRDefault="008D64A9" w:rsidP="008D64A9">
            <w:pPr>
              <w:pStyle w:val="TableTextRight"/>
              <w:keepNext/>
              <w:keepLines/>
            </w:pPr>
            <w:r w:rsidRPr="008D64A9">
              <w:t>-90.0</w:t>
            </w:r>
          </w:p>
        </w:tc>
        <w:tc>
          <w:tcPr>
            <w:tcW w:w="721" w:type="pct"/>
          </w:tcPr>
          <w:p w:rsidR="008D64A9" w:rsidRPr="008D64A9" w:rsidRDefault="008D64A9" w:rsidP="008D64A9">
            <w:pPr>
              <w:pStyle w:val="TableTextRight"/>
              <w:keepNext/>
              <w:keepLines/>
            </w:pPr>
            <w:r w:rsidRPr="008D64A9">
              <w:t>60.0</w:t>
            </w:r>
          </w:p>
        </w:tc>
        <w:tc>
          <w:tcPr>
            <w:tcW w:w="722" w:type="pct"/>
          </w:tcPr>
          <w:p w:rsidR="008D64A9" w:rsidRPr="008D64A9" w:rsidRDefault="008D64A9" w:rsidP="008D64A9">
            <w:pPr>
              <w:pStyle w:val="TableTextRight"/>
              <w:keepNext/>
              <w:keepLines/>
            </w:pPr>
            <w:r w:rsidRPr="008D64A9">
              <w:t>320.0</w:t>
            </w:r>
          </w:p>
        </w:tc>
        <w:tc>
          <w:tcPr>
            <w:tcW w:w="721" w:type="pct"/>
          </w:tcPr>
          <w:p w:rsidR="008D64A9" w:rsidRPr="008D64A9" w:rsidRDefault="008D64A9" w:rsidP="008D64A9">
            <w:pPr>
              <w:pStyle w:val="TableTextRight"/>
              <w:keepNext/>
              <w:keepLines/>
            </w:pPr>
            <w:r w:rsidRPr="008D64A9">
              <w:t>330.0</w:t>
            </w:r>
          </w:p>
        </w:tc>
        <w:tc>
          <w:tcPr>
            <w:tcW w:w="722" w:type="pct"/>
          </w:tcPr>
          <w:p w:rsidR="008D64A9" w:rsidRPr="008D64A9" w:rsidRDefault="008D64A9" w:rsidP="008D64A9">
            <w:pPr>
              <w:pStyle w:val="TableTextRight"/>
              <w:keepNext/>
              <w:keepLines/>
              <w:rPr>
                <w:b/>
              </w:rPr>
            </w:pPr>
            <w:r w:rsidRPr="008D64A9">
              <w:rPr>
                <w:b/>
              </w:rPr>
              <w:t>620.0</w:t>
            </w:r>
          </w:p>
        </w:tc>
      </w:tr>
      <w:tr w:rsidR="00EB587F" w:rsidTr="00967BCD">
        <w:tc>
          <w:tcPr>
            <w:tcW w:w="1393" w:type="pct"/>
          </w:tcPr>
          <w:p w:rsidR="00EB587F" w:rsidRPr="003A3459" w:rsidRDefault="00EB587F" w:rsidP="004F4C2E">
            <w:pPr>
              <w:pStyle w:val="TableTextCentred"/>
              <w:keepNext/>
              <w:keepLines/>
              <w:jc w:val="left"/>
            </w:pPr>
            <w:r>
              <w:t>Underlying cash balance</w:t>
            </w:r>
          </w:p>
        </w:tc>
        <w:tc>
          <w:tcPr>
            <w:tcW w:w="721" w:type="pct"/>
          </w:tcPr>
          <w:p w:rsidR="00EB587F" w:rsidRPr="00CB0681" w:rsidRDefault="00EB587F" w:rsidP="004F4C2E">
            <w:pPr>
              <w:pStyle w:val="TableTextRight"/>
              <w:keepNext/>
              <w:keepLines/>
            </w:pPr>
            <w:r w:rsidRPr="00CB0681">
              <w:t>10</w:t>
            </w:r>
            <w:r w:rsidR="008D64A9">
              <w:t>.0</w:t>
            </w:r>
          </w:p>
        </w:tc>
        <w:tc>
          <w:tcPr>
            <w:tcW w:w="721" w:type="pct"/>
          </w:tcPr>
          <w:p w:rsidR="00EB587F" w:rsidRPr="00CB0681" w:rsidRDefault="00EB587F" w:rsidP="004F4C2E">
            <w:pPr>
              <w:pStyle w:val="TableTextRight"/>
              <w:keepNext/>
              <w:keepLines/>
            </w:pPr>
            <w:r w:rsidRPr="00CB0681">
              <w:t>50</w:t>
            </w:r>
            <w:r w:rsidR="008D64A9">
              <w:t>.0</w:t>
            </w:r>
          </w:p>
        </w:tc>
        <w:tc>
          <w:tcPr>
            <w:tcW w:w="722" w:type="pct"/>
          </w:tcPr>
          <w:p w:rsidR="00EB587F" w:rsidRPr="00CB0681" w:rsidRDefault="00EB587F" w:rsidP="004F4C2E">
            <w:pPr>
              <w:pStyle w:val="TableTextRight"/>
              <w:keepNext/>
              <w:keepLines/>
            </w:pPr>
            <w:r w:rsidRPr="00CB0681">
              <w:t>110</w:t>
            </w:r>
            <w:r w:rsidR="008D64A9">
              <w:t>.0</w:t>
            </w:r>
          </w:p>
        </w:tc>
        <w:tc>
          <w:tcPr>
            <w:tcW w:w="721" w:type="pct"/>
          </w:tcPr>
          <w:p w:rsidR="00EB587F" w:rsidRPr="00CB0681" w:rsidRDefault="00EB587F" w:rsidP="004F4C2E">
            <w:pPr>
              <w:pStyle w:val="TableTextRight"/>
              <w:keepNext/>
              <w:keepLines/>
            </w:pPr>
            <w:r w:rsidRPr="00CB0681">
              <w:t>200</w:t>
            </w:r>
            <w:r w:rsidR="008D64A9">
              <w:t>.0</w:t>
            </w:r>
          </w:p>
        </w:tc>
        <w:tc>
          <w:tcPr>
            <w:tcW w:w="722" w:type="pct"/>
          </w:tcPr>
          <w:p w:rsidR="00EB587F" w:rsidRPr="00CB0681" w:rsidRDefault="00EB587F" w:rsidP="004F4C2E">
            <w:pPr>
              <w:pStyle w:val="TableTextRight"/>
              <w:keepNext/>
              <w:keepLines/>
              <w:rPr>
                <w:b/>
              </w:rPr>
            </w:pPr>
            <w:r w:rsidRPr="00CB0681">
              <w:rPr>
                <w:b/>
              </w:rPr>
              <w:t>380</w:t>
            </w:r>
            <w:r w:rsidR="00037F23">
              <w:rPr>
                <w:b/>
              </w:rPr>
              <w:t>.0</w:t>
            </w:r>
          </w:p>
        </w:tc>
      </w:tr>
      <w:tr w:rsidR="00EB587F" w:rsidTr="00967BCD">
        <w:tc>
          <w:tcPr>
            <w:tcW w:w="1393" w:type="pct"/>
          </w:tcPr>
          <w:p w:rsidR="00EB587F" w:rsidRDefault="00EB587F" w:rsidP="004F4C2E">
            <w:pPr>
              <w:pStyle w:val="TableTextCentred"/>
              <w:keepNext/>
              <w:keepLines/>
              <w:jc w:val="left"/>
            </w:pPr>
            <w:r>
              <w:t>Headline cash balance</w:t>
            </w:r>
          </w:p>
        </w:tc>
        <w:tc>
          <w:tcPr>
            <w:tcW w:w="721" w:type="pct"/>
          </w:tcPr>
          <w:p w:rsidR="00EB587F" w:rsidRPr="00CB0681" w:rsidRDefault="00EB587F" w:rsidP="004F4C2E">
            <w:pPr>
              <w:pStyle w:val="TableTextRight"/>
              <w:keepNext/>
              <w:keepLines/>
            </w:pPr>
            <w:r w:rsidRPr="00CB0681">
              <w:t>1,070</w:t>
            </w:r>
            <w:r w:rsidR="008D64A9">
              <w:t>.0</w:t>
            </w:r>
          </w:p>
        </w:tc>
        <w:tc>
          <w:tcPr>
            <w:tcW w:w="721" w:type="pct"/>
          </w:tcPr>
          <w:p w:rsidR="00EB587F" w:rsidRPr="00CB0681" w:rsidRDefault="00EB587F" w:rsidP="004F4C2E">
            <w:pPr>
              <w:pStyle w:val="TableTextRight"/>
              <w:keepNext/>
              <w:keepLines/>
            </w:pPr>
            <w:r w:rsidRPr="00CB0681">
              <w:t>2,570</w:t>
            </w:r>
            <w:r w:rsidR="008D64A9">
              <w:t>.0</w:t>
            </w:r>
          </w:p>
        </w:tc>
        <w:tc>
          <w:tcPr>
            <w:tcW w:w="722" w:type="pct"/>
          </w:tcPr>
          <w:p w:rsidR="00EB587F" w:rsidRPr="00CB0681" w:rsidRDefault="00EB587F" w:rsidP="004F4C2E">
            <w:pPr>
              <w:pStyle w:val="TableTextRight"/>
              <w:keepNext/>
              <w:keepLines/>
            </w:pPr>
            <w:r w:rsidRPr="00CB0681">
              <w:t>3,070</w:t>
            </w:r>
            <w:r w:rsidR="008D64A9">
              <w:t>.0</w:t>
            </w:r>
          </w:p>
        </w:tc>
        <w:tc>
          <w:tcPr>
            <w:tcW w:w="721" w:type="pct"/>
          </w:tcPr>
          <w:p w:rsidR="00EB587F" w:rsidRPr="00CB0681" w:rsidRDefault="00EB587F" w:rsidP="004F4C2E">
            <w:pPr>
              <w:pStyle w:val="TableTextRight"/>
              <w:keepNext/>
              <w:keepLines/>
            </w:pPr>
            <w:r w:rsidRPr="00CB0681">
              <w:t>3,250</w:t>
            </w:r>
            <w:r w:rsidR="008D64A9">
              <w:t>.0</w:t>
            </w:r>
          </w:p>
        </w:tc>
        <w:tc>
          <w:tcPr>
            <w:tcW w:w="722" w:type="pct"/>
          </w:tcPr>
          <w:p w:rsidR="00EB587F" w:rsidRPr="00CB0681" w:rsidRDefault="00EB587F" w:rsidP="004F4C2E">
            <w:pPr>
              <w:pStyle w:val="TableTextRight"/>
              <w:keepNext/>
              <w:keepLines/>
              <w:rPr>
                <w:b/>
              </w:rPr>
            </w:pPr>
            <w:r w:rsidRPr="00CB0681">
              <w:rPr>
                <w:b/>
              </w:rPr>
              <w:t>9,970</w:t>
            </w:r>
            <w:r w:rsidR="008D64A9">
              <w:rPr>
                <w:b/>
              </w:rPr>
              <w:t>.0</w:t>
            </w:r>
          </w:p>
        </w:tc>
      </w:tr>
    </w:tbl>
    <w:p w:rsidR="00420CF4" w:rsidRPr="00EB587F" w:rsidRDefault="00420CF4" w:rsidP="002C43F8">
      <w:pPr>
        <w:pStyle w:val="Footnotes"/>
        <w:numPr>
          <w:ilvl w:val="0"/>
          <w:numId w:val="59"/>
        </w:numPr>
        <w:ind w:left="284" w:hanging="284"/>
      </w:pPr>
      <w:r w:rsidRPr="00EB587F">
        <w:t>A positive number indicates an increase in the relevant budget balance, a negative number a decrease.</w:t>
      </w:r>
    </w:p>
    <w:p w:rsidR="00420CF4" w:rsidRPr="00EB587F" w:rsidRDefault="00420CF4" w:rsidP="004F4C2E">
      <w:pPr>
        <w:pStyle w:val="Footnotes"/>
        <w:ind w:left="284" w:hanging="284"/>
        <w:rPr>
          <w:rStyle w:val="FootnoteReference"/>
          <w:vertAlign w:val="baseline"/>
        </w:rPr>
      </w:pPr>
      <w:r w:rsidRPr="00EB587F">
        <w:t>Figures may not sum to totals due to rounding.</w:t>
      </w:r>
    </w:p>
    <w:p w:rsidR="00420CF4" w:rsidRDefault="00420CF4" w:rsidP="00420CF4">
      <w:pPr>
        <w:pStyle w:val="CostingsH7"/>
      </w:pPr>
      <w:r>
        <w:t>Key assumptions</w:t>
      </w:r>
    </w:p>
    <w:p w:rsidR="00EB587F" w:rsidRPr="00EB587F" w:rsidRDefault="00EB587F" w:rsidP="00EB587F">
      <w:pPr>
        <w:pStyle w:val="BodyText"/>
      </w:pPr>
      <w:r w:rsidRPr="00EB587F">
        <w:t>In costing the proposal, the following assumptions have been made:</w:t>
      </w:r>
    </w:p>
    <w:p w:rsidR="00EB587F" w:rsidRDefault="00EB587F" w:rsidP="00EB587F">
      <w:pPr>
        <w:pStyle w:val="ListBullet"/>
      </w:pPr>
      <w:r>
        <w:t>For courses with fees less than or equal to 50 per cent above the proposed caps, a combination of the following would occur:</w:t>
      </w:r>
    </w:p>
    <w:p w:rsidR="00EB587F" w:rsidRDefault="00EB587F" w:rsidP="00EB587F">
      <w:pPr>
        <w:pStyle w:val="ListBullet2"/>
      </w:pPr>
      <w:r>
        <w:t>providers would lower course fees</w:t>
      </w:r>
    </w:p>
    <w:p w:rsidR="00EB587F" w:rsidRDefault="00A2371E" w:rsidP="00A2371E">
      <w:pPr>
        <w:pStyle w:val="ListBullet2"/>
      </w:pPr>
      <w:r>
        <w:t xml:space="preserve">if there remained any </w:t>
      </w:r>
      <w:r w:rsidR="00EB587F">
        <w:t>difference between course fees and the proposed caps</w:t>
      </w:r>
      <w:r>
        <w:t>, this would be paid by students</w:t>
      </w:r>
      <w:r w:rsidR="00EB587F">
        <w:t>.</w:t>
      </w:r>
    </w:p>
    <w:p w:rsidR="00EB587F" w:rsidRDefault="00EB587F" w:rsidP="00EB587F">
      <w:pPr>
        <w:pStyle w:val="ListBullet2"/>
        <w:numPr>
          <w:ilvl w:val="0"/>
          <w:numId w:val="0"/>
        </w:numPr>
        <w:ind w:left="454"/>
      </w:pPr>
      <w:r>
        <w:t>As a result, the number of students borrowing from VET FEE-HELP for these courses would remain steady, but the amount borrowed per loan would be at the relevant capped amount.</w:t>
      </w:r>
    </w:p>
    <w:p w:rsidR="00EB587F" w:rsidRPr="00EB587F" w:rsidRDefault="00EB587F" w:rsidP="00EB587F">
      <w:pPr>
        <w:pStyle w:val="ListBullet"/>
      </w:pPr>
      <w:r>
        <w:t>For courses with fees more than 50 per cent above the proposed cap, only 20 per cent of students would continue to study them and borrow through VET FEE-HELP at the capped amount.</w:t>
      </w:r>
    </w:p>
    <w:p w:rsidR="00420CF4" w:rsidRDefault="00420CF4" w:rsidP="00F47F2D">
      <w:pPr>
        <w:pStyle w:val="CostingsH7"/>
        <w:spacing w:before="360"/>
      </w:pPr>
      <w:r>
        <w:t>Methodology</w:t>
      </w:r>
    </w:p>
    <w:p w:rsidR="00EB587F" w:rsidRDefault="00EB587F" w:rsidP="00EB587F">
      <w:pPr>
        <w:pStyle w:val="BodyText"/>
      </w:pPr>
      <w:r>
        <w:t>The costing is derived by reducing the average loan amount and number of full-time equivalent students that would be studying with the assistance of VET FEE-HELP from their current baseline projections.  The magnitude of the reduction is based on analysis of unit record data of VET FEE HELP borrowings in 2014 provided by the Department of Education and Training.</w:t>
      </w:r>
    </w:p>
    <w:p w:rsidR="00EB587F" w:rsidRDefault="00EB587F" w:rsidP="00EB587F">
      <w:pPr>
        <w:pStyle w:val="BodyText"/>
      </w:pPr>
      <w:r>
        <w:t>The reduction in the number and value of VET FEE-HELP loans being issued has the following impacts:</w:t>
      </w:r>
    </w:p>
    <w:p w:rsidR="00EB587F" w:rsidRDefault="00EB587F" w:rsidP="00EB587F">
      <w:pPr>
        <w:pStyle w:val="CostingsH8"/>
      </w:pPr>
      <w:r>
        <w:t>Fiscal balance impact – components</w:t>
      </w:r>
    </w:p>
    <w:p w:rsidR="00EB587F" w:rsidRDefault="00EB587F" w:rsidP="00EB587F">
      <w:pPr>
        <w:pStyle w:val="ListBullet"/>
      </w:pPr>
      <w:r>
        <w:t>Decreased interest revenue due to less borrowing has a negative impact on the fiscal balance.</w:t>
      </w:r>
    </w:p>
    <w:p w:rsidR="00EB587F" w:rsidRDefault="00EB587F" w:rsidP="00EB587F">
      <w:pPr>
        <w:pStyle w:val="ListBullet"/>
      </w:pPr>
      <w:r>
        <w:t>Decreased concessional loan discount (CLD) expenses due to less borrowing have a positive impact on the fiscal balance.</w:t>
      </w:r>
    </w:p>
    <w:p w:rsidR="00EB587F" w:rsidRDefault="00EB587F" w:rsidP="00EB587F">
      <w:pPr>
        <w:pStyle w:val="ListBullet"/>
      </w:pPr>
      <w:r>
        <w:t>Decreased CLD unwinding revenue in later years offsets the decreased CLD expenses and has a negative impact on the fiscal balance.  Over the life of an individual loan, the CLD unwinding revenue is equal to the CLD expenses and results in a ni</w:t>
      </w:r>
      <w:r w:rsidR="00CE66B6">
        <w:t>l impact on the fiscal balance.</w:t>
      </w:r>
      <w:r w:rsidR="00CE66B6" w:rsidRPr="00E53973">
        <w:rPr>
          <w:rStyle w:val="FootnoteReference"/>
        </w:rPr>
        <w:footnoteReference w:id="8"/>
      </w:r>
    </w:p>
    <w:p w:rsidR="00EB587F" w:rsidRDefault="00EB587F" w:rsidP="00EB587F">
      <w:pPr>
        <w:pStyle w:val="ListBullet"/>
      </w:pPr>
      <w:r>
        <w:t>Decreased writedowns of bad debts have a positive impact on the fiscal balance.</w:t>
      </w:r>
    </w:p>
    <w:p w:rsidR="00EB587F" w:rsidRDefault="00EB587F" w:rsidP="00EB587F">
      <w:pPr>
        <w:pStyle w:val="ListBullet"/>
      </w:pPr>
      <w:r>
        <w:t>Decreased state contributions to CLD expenses   have a negative impact on the fiscal balance.</w:t>
      </w:r>
    </w:p>
    <w:p w:rsidR="00EB587F" w:rsidRDefault="00EB587F" w:rsidP="00EB587F">
      <w:pPr>
        <w:pStyle w:val="ListBullet"/>
      </w:pPr>
      <w:r>
        <w:t>Decreased PDI payments have a positive impact on the fiscal balance.</w:t>
      </w:r>
    </w:p>
    <w:p w:rsidR="00D33489" w:rsidRDefault="00D33489" w:rsidP="00D33489">
      <w:pPr>
        <w:pStyle w:val="CostingsH8"/>
      </w:pPr>
      <w:r>
        <w:t>Underlying cash balance impact – components</w:t>
      </w:r>
    </w:p>
    <w:p w:rsidR="00D33489" w:rsidRDefault="00D33489" w:rsidP="00D33489">
      <w:pPr>
        <w:pStyle w:val="ListBullet"/>
      </w:pPr>
      <w:r>
        <w:t>Decreased interest payments due to less borrowing have a negative impact on the underlying cash balance.</w:t>
      </w:r>
    </w:p>
    <w:p w:rsidR="00D33489" w:rsidRDefault="00D33489" w:rsidP="00D33489">
      <w:pPr>
        <w:pStyle w:val="ListBullet"/>
      </w:pPr>
      <w:r>
        <w:t>Decreased state contributions to CLD expenses</w:t>
      </w:r>
      <w:r w:rsidR="00CE66B6" w:rsidRPr="00E53973">
        <w:rPr>
          <w:rStyle w:val="FootnoteReference"/>
        </w:rPr>
        <w:footnoteReference w:id="9"/>
      </w:r>
      <w:r>
        <w:t xml:space="preserve"> have a negative impact on the underlying cash balance.</w:t>
      </w:r>
    </w:p>
    <w:p w:rsidR="00D33489" w:rsidRDefault="00D33489" w:rsidP="00D33489">
      <w:pPr>
        <w:pStyle w:val="ListBullet"/>
      </w:pPr>
      <w:r>
        <w:t>Decreased PDI payments have a positive impact on the underlying cash balance.</w:t>
      </w:r>
    </w:p>
    <w:p w:rsidR="00D33489" w:rsidRDefault="00D33489" w:rsidP="00D33489">
      <w:pPr>
        <w:pStyle w:val="CostingsH8"/>
      </w:pPr>
      <w:r>
        <w:t>Headline cash balance impact – components</w:t>
      </w:r>
    </w:p>
    <w:p w:rsidR="00D33489" w:rsidRDefault="00D33489" w:rsidP="00D33489">
      <w:pPr>
        <w:pStyle w:val="ListBullet"/>
      </w:pPr>
      <w:r>
        <w:t>Fewer borrowings at lower amounts by students have a positive impact on the headline cash balance.</w:t>
      </w:r>
    </w:p>
    <w:p w:rsidR="00D33489" w:rsidRDefault="00D33489" w:rsidP="00D33489">
      <w:pPr>
        <w:pStyle w:val="ListBullet"/>
      </w:pPr>
      <w:r>
        <w:t>Decreased principal repayments by students have a negative impact on the headline cash balance.</w:t>
      </w:r>
    </w:p>
    <w:p w:rsidR="00D33489" w:rsidRDefault="00D33489" w:rsidP="00D33489">
      <w:pPr>
        <w:pStyle w:val="ListBullet"/>
      </w:pPr>
      <w:r>
        <w:t>Decreased interest payments by students (interest is estimated as a fixed proportion of repayments) have a negative impact on the headline cash balance.</w:t>
      </w:r>
    </w:p>
    <w:p w:rsidR="00D33489" w:rsidRDefault="00D33489" w:rsidP="00D33489">
      <w:pPr>
        <w:pStyle w:val="ListBullet"/>
      </w:pPr>
      <w:r>
        <w:t>Decreased state contributions to CLD expenses have a negative impact on the headline cash balance.</w:t>
      </w:r>
    </w:p>
    <w:p w:rsidR="00D33489" w:rsidRDefault="00D33489" w:rsidP="00D33489">
      <w:pPr>
        <w:pStyle w:val="ListBullet"/>
      </w:pPr>
      <w:r>
        <w:t>Decreased PDI payments have a positive impact on the headline cash balance.</w:t>
      </w:r>
    </w:p>
    <w:p w:rsidR="00CE66B6" w:rsidRDefault="00CE66B6" w:rsidP="0037381B">
      <w:pPr>
        <w:pStyle w:val="CostingsH8"/>
        <w:spacing w:before="120"/>
      </w:pPr>
      <w:r>
        <w:t>General</w:t>
      </w:r>
    </w:p>
    <w:p w:rsidR="00CE66B6" w:rsidRPr="00EB587F" w:rsidRDefault="00CE66B6" w:rsidP="00CE66B6">
      <w:pPr>
        <w:pStyle w:val="BodyText"/>
      </w:pPr>
      <w:r>
        <w:t>All estimates have been rounded to the nearest $10 million.</w:t>
      </w:r>
    </w:p>
    <w:p w:rsidR="00420CF4" w:rsidRDefault="00420CF4" w:rsidP="0037381B">
      <w:pPr>
        <w:pStyle w:val="CostingsH7"/>
        <w:keepNext w:val="0"/>
        <w:keepLines w:val="0"/>
        <w:spacing w:before="120"/>
      </w:pPr>
      <w:r>
        <w:t>Data sources</w:t>
      </w:r>
    </w:p>
    <w:p w:rsidR="00CE66B6" w:rsidRDefault="00D62A06" w:rsidP="0037381B">
      <w:pPr>
        <w:pStyle w:val="ListBullet"/>
        <w:keepLines w:val="0"/>
      </w:pPr>
      <w:r>
        <w:t xml:space="preserve">The </w:t>
      </w:r>
      <w:r w:rsidR="00CE66B6">
        <w:t>Department of Education and Training</w:t>
      </w:r>
      <w:r>
        <w:t xml:space="preserve"> provided:</w:t>
      </w:r>
    </w:p>
    <w:p w:rsidR="00CE66B6" w:rsidRDefault="00CE66B6" w:rsidP="0037381B">
      <w:pPr>
        <w:pStyle w:val="ListBullet2"/>
        <w:keepLines w:val="0"/>
        <w:spacing w:after="0"/>
        <w:ind w:left="908" w:hanging="454"/>
      </w:pPr>
      <w:r>
        <w:t>HELP forward estimates model</w:t>
      </w:r>
    </w:p>
    <w:p w:rsidR="00CE66B6" w:rsidRDefault="00CE66B6" w:rsidP="0037381B">
      <w:pPr>
        <w:pStyle w:val="ListBullet2"/>
        <w:keepLines w:val="0"/>
        <w:spacing w:after="0"/>
        <w:ind w:left="908" w:hanging="454"/>
      </w:pPr>
      <w:r>
        <w:t>VET FEE-HELP unit record on borrowings made in 2014.</w:t>
      </w:r>
    </w:p>
    <w:p w:rsidR="004F4C2E" w:rsidRDefault="004F4C2E" w:rsidP="004F4C2E">
      <w:pPr>
        <w:pStyle w:val="BodyText"/>
        <w:sectPr w:rsidR="004F4C2E" w:rsidSect="0082274A">
          <w:headerReference w:type="even" r:id="rId86"/>
          <w:headerReference w:type="default" r:id="rId87"/>
          <w:footerReference w:type="even" r:id="rId88"/>
          <w:footerReference w:type="default" r:id="rId89"/>
          <w:footnotePr>
            <w:numRestart w:val="eachSect"/>
          </w:footnotePr>
          <w:pgSz w:w="11906" w:h="16838" w:code="9"/>
          <w:pgMar w:top="1361" w:right="1797" w:bottom="1474" w:left="1797" w:header="283" w:footer="454" w:gutter="0"/>
          <w:cols w:space="708"/>
          <w:docGrid w:linePitch="360"/>
        </w:sectPr>
      </w:pPr>
    </w:p>
    <w:p w:rsidR="00420CF4" w:rsidRDefault="00CE66B6" w:rsidP="00CE66B6">
      <w:pPr>
        <w:pStyle w:val="Heading6"/>
      </w:pPr>
      <w:r>
        <w:t xml:space="preserve">Attachment </w:t>
      </w:r>
      <w:r w:rsidRPr="00CE66B6">
        <w:t>A: Putting a $8,000 per year cap on VET FEE-HELP loans—financial implications</w:t>
      </w:r>
    </w:p>
    <w:p w:rsidR="00420CF4" w:rsidRDefault="00420CF4" w:rsidP="00420CF4">
      <w:pPr>
        <w:pStyle w:val="Caption"/>
        <w:rPr>
          <w:vertAlign w:val="superscript"/>
        </w:rPr>
      </w:pPr>
      <w:r w:rsidRPr="002B36F1">
        <w:t xml:space="preserve">Table </w:t>
      </w:r>
      <w:r>
        <w:t>A1</w:t>
      </w:r>
      <w:r w:rsidRPr="002B36F1">
        <w:t xml:space="preserve">: </w:t>
      </w:r>
      <w:r w:rsidR="00CE66B6" w:rsidRPr="00CE66B6">
        <w:t>Putting a $8,000 per year cap on VET FEE-HELP loans—Fiscal balance</w:t>
      </w:r>
      <w:r w:rsidRPr="002B36F1">
        <w:rPr>
          <w:vertAlign w:val="superscript"/>
        </w:rPr>
        <w:t>(a)(b)</w:t>
      </w:r>
    </w:p>
    <w:tbl>
      <w:tblPr>
        <w:tblStyle w:val="TableGrid38"/>
        <w:tblW w:w="5109" w:type="pct"/>
        <w:tblInd w:w="-166" w:type="dxa"/>
        <w:tblLayout w:type="fixed"/>
        <w:tblLook w:val="0680" w:firstRow="0" w:lastRow="0" w:firstColumn="1" w:lastColumn="0" w:noHBand="1" w:noVBand="1"/>
      </w:tblPr>
      <w:tblGrid>
        <w:gridCol w:w="2144"/>
        <w:gridCol w:w="874"/>
        <w:gridCol w:w="877"/>
        <w:gridCol w:w="877"/>
        <w:gridCol w:w="878"/>
        <w:gridCol w:w="878"/>
        <w:gridCol w:w="878"/>
        <w:gridCol w:w="875"/>
        <w:gridCol w:w="878"/>
        <w:gridCol w:w="878"/>
        <w:gridCol w:w="878"/>
        <w:gridCol w:w="878"/>
        <w:gridCol w:w="878"/>
        <w:gridCol w:w="872"/>
      </w:tblGrid>
      <w:tr w:rsidR="0073534F" w:rsidRPr="00CE66B6" w:rsidTr="00CE66B6">
        <w:trPr>
          <w:cantSplit/>
          <w:tblHeader/>
        </w:trPr>
        <w:tc>
          <w:tcPr>
            <w:cnfStyle w:val="001000000000" w:firstRow="0" w:lastRow="0" w:firstColumn="1" w:lastColumn="0" w:oddVBand="0" w:evenVBand="0" w:oddHBand="0" w:evenHBand="0" w:firstRowFirstColumn="0" w:firstRowLastColumn="0" w:lastRowFirstColumn="0" w:lastRowLastColumn="0"/>
            <w:tcW w:w="792" w:type="pct"/>
            <w:shd w:val="clear" w:color="auto" w:fill="D7DDE9" w:themeFill="accent3"/>
          </w:tcPr>
          <w:p w:rsidR="00CE66B6" w:rsidRPr="00CE66B6" w:rsidRDefault="00CE66B6" w:rsidP="00CE66B6">
            <w:pPr>
              <w:keepNext/>
              <w:keepLines/>
              <w:spacing w:line="240" w:lineRule="auto"/>
              <w:ind w:left="57" w:right="57"/>
              <w:rPr>
                <w:szCs w:val="20"/>
              </w:rPr>
            </w:pPr>
            <w:r w:rsidRPr="00CE66B6">
              <w:rPr>
                <w:szCs w:val="20"/>
              </w:rPr>
              <w:t>($m)</w:t>
            </w:r>
          </w:p>
        </w:tc>
        <w:tc>
          <w:tcPr>
            <w:tcW w:w="323"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2016–17</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2017–18</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2018–19</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2019–20</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E66B6">
              <w:rPr>
                <w:rFonts w:ascii="Calibri" w:hAnsi="Calibri"/>
                <w:b/>
                <w:sz w:val="20"/>
                <w:szCs w:val="20"/>
              </w:rPr>
              <w:t>Total to 2019–20</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2020–21</w:t>
            </w:r>
          </w:p>
        </w:tc>
        <w:tc>
          <w:tcPr>
            <w:tcW w:w="323"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2021–22</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2022–23</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2023–24</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2024–25</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2025–26</w:t>
            </w:r>
          </w:p>
        </w:tc>
        <w:tc>
          <w:tcPr>
            <w:tcW w:w="324"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CE66B6">
              <w:rPr>
                <w:rFonts w:ascii="Calibri" w:hAnsi="Calibri"/>
                <w:sz w:val="20"/>
                <w:szCs w:val="20"/>
              </w:rPr>
              <w:t>2026–27</w:t>
            </w:r>
          </w:p>
        </w:tc>
        <w:tc>
          <w:tcPr>
            <w:tcW w:w="322" w:type="pct"/>
            <w:shd w:val="clear" w:color="auto" w:fill="D7DDE9" w:themeFill="accent3"/>
          </w:tcPr>
          <w:p w:rsidR="00CE66B6" w:rsidRPr="00CE66B6" w:rsidRDefault="00CE66B6" w:rsidP="00CE66B6">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CE66B6">
              <w:rPr>
                <w:rFonts w:ascii="Calibri" w:hAnsi="Calibri"/>
                <w:b/>
                <w:sz w:val="20"/>
                <w:szCs w:val="20"/>
              </w:rPr>
              <w:t>Total to 2026–27</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hemeFill="accent2" w:themeFillTint="33"/>
          </w:tcPr>
          <w:p w:rsidR="00CE66B6" w:rsidRPr="00CE66B6" w:rsidRDefault="00CE66B6" w:rsidP="00CE66B6">
            <w:pPr>
              <w:keepNext/>
              <w:spacing w:line="240" w:lineRule="auto"/>
              <w:ind w:left="57" w:right="57"/>
              <w:rPr>
                <w:b/>
                <w:i/>
                <w:szCs w:val="20"/>
              </w:rPr>
            </w:pPr>
            <w:r w:rsidRPr="00CE66B6">
              <w:rPr>
                <w:b/>
                <w:szCs w:val="20"/>
              </w:rPr>
              <w:t>Impact on fiscal balance</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i/>
                <w:iCs/>
                <w:color w:val="000000"/>
                <w:szCs w:val="20"/>
              </w:rPr>
            </w:pPr>
            <w:r w:rsidRPr="00CE66B6">
              <w:rPr>
                <w:i/>
                <w:iCs/>
                <w:color w:val="000000"/>
                <w:szCs w:val="20"/>
              </w:rPr>
              <w:t>CLD expense</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110.0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0"/>
                <w:szCs w:val="20"/>
              </w:rPr>
            </w:pPr>
            <w:r w:rsidRPr="002034DB">
              <w:rPr>
                <w:rFonts w:ascii="Calibri" w:hAnsi="Calibri"/>
                <w:b/>
                <w:bCs/>
                <w:iCs/>
                <w:color w:val="000000"/>
                <w:sz w:val="20"/>
                <w:szCs w:val="20"/>
              </w:rPr>
              <w:t>900.0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280.0</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290.0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300.0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310.0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320.0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330.0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340.0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0"/>
                <w:szCs w:val="20"/>
              </w:rPr>
            </w:pPr>
            <w:r w:rsidRPr="002034DB">
              <w:rPr>
                <w:rFonts w:ascii="Calibri" w:hAnsi="Calibri"/>
                <w:b/>
                <w:bCs/>
                <w:iCs/>
                <w:color w:val="000000"/>
                <w:sz w:val="20"/>
                <w:szCs w:val="20"/>
              </w:rPr>
              <w:t>3,060.0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i/>
                <w:iCs/>
                <w:color w:val="000000"/>
                <w:szCs w:val="20"/>
              </w:rPr>
            </w:pPr>
            <w:r w:rsidRPr="00CE66B6">
              <w:rPr>
                <w:i/>
                <w:iCs/>
                <w:color w:val="000000"/>
                <w:szCs w:val="20"/>
              </w:rPr>
              <w:t>CLD unwinding revenue</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-40.0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0"/>
                <w:szCs w:val="20"/>
              </w:rPr>
            </w:pPr>
            <w:r w:rsidRPr="002034DB">
              <w:rPr>
                <w:rFonts w:ascii="Calibri" w:hAnsi="Calibri"/>
                <w:b/>
                <w:bCs/>
                <w:iCs/>
                <w:color w:val="000000"/>
                <w:sz w:val="20"/>
                <w:szCs w:val="20"/>
              </w:rPr>
              <w:t>-60.0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-80.0</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-120.0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-150.0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-180.0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sidRPr="002034DB">
              <w:rPr>
                <w:rFonts w:ascii="Calibri" w:hAnsi="Calibri"/>
                <w:iCs/>
                <w:color w:val="000000"/>
                <w:sz w:val="20"/>
                <w:szCs w:val="20"/>
              </w:rPr>
              <w:t>-250.0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Cs/>
                <w:color w:val="000000"/>
                <w:sz w:val="20"/>
                <w:szCs w:val="20"/>
              </w:rPr>
            </w:pPr>
            <w:r w:rsidRPr="002034DB">
              <w:rPr>
                <w:rFonts w:ascii="Calibri" w:hAnsi="Calibri"/>
                <w:b/>
                <w:bCs/>
                <w:iCs/>
                <w:color w:val="000000"/>
                <w:sz w:val="20"/>
                <w:szCs w:val="20"/>
              </w:rPr>
              <w:t>-1,260.0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color w:val="000000"/>
                <w:szCs w:val="20"/>
              </w:rPr>
            </w:pPr>
            <w:r w:rsidRPr="00CE66B6">
              <w:rPr>
                <w:color w:val="000000"/>
                <w:szCs w:val="20"/>
              </w:rPr>
              <w:t>Net CLD</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260.0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840.0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200.0</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170.0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150.0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90.0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1,800.0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color w:val="000000"/>
                <w:szCs w:val="20"/>
              </w:rPr>
            </w:pPr>
            <w:r w:rsidRPr="00CE66B6">
              <w:rPr>
                <w:color w:val="000000"/>
                <w:szCs w:val="20"/>
              </w:rPr>
              <w:t>Interest revenue accrued</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-70.0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-220.0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-190.0</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-260.0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-330.0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-410.0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-490.0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-580.0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-680.0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-3,170.0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color w:val="000000"/>
                <w:szCs w:val="20"/>
              </w:rPr>
            </w:pPr>
            <w:r w:rsidRPr="00CE66B6">
              <w:rPr>
                <w:color w:val="000000"/>
                <w:szCs w:val="20"/>
              </w:rPr>
              <w:t>Loan writedowns</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50.0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color w:val="000000"/>
                <w:szCs w:val="20"/>
              </w:rPr>
            </w:pPr>
            <w:r w:rsidRPr="00CE66B6">
              <w:rPr>
                <w:color w:val="000000"/>
                <w:szCs w:val="20"/>
              </w:rPr>
              <w:t>Loan fee revenue</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-420.0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-420.0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CE66B6">
            <w:pPr>
              <w:keepNext/>
              <w:spacing w:line="240" w:lineRule="auto"/>
              <w:ind w:left="57" w:right="57"/>
              <w:rPr>
                <w:color w:val="000000"/>
                <w:szCs w:val="20"/>
              </w:rPr>
            </w:pPr>
            <w:r w:rsidRPr="00CE66B6">
              <w:rPr>
                <w:color w:val="000000"/>
                <w:szCs w:val="20"/>
              </w:rPr>
              <w:t>State contributions to CLD</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-30.0</w:t>
            </w:r>
          </w:p>
        </w:tc>
      </w:tr>
      <w:tr w:rsidR="00CE66B6"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tcPr>
          <w:p w:rsidR="00CE66B6" w:rsidRPr="00CE66B6" w:rsidRDefault="00CE66B6" w:rsidP="005B3F90">
            <w:pPr>
              <w:keepNext/>
              <w:spacing w:line="240" w:lineRule="auto"/>
              <w:ind w:left="57" w:right="57" w:firstLineChars="15" w:firstLine="30"/>
              <w:rPr>
                <w:color w:val="000000"/>
                <w:szCs w:val="20"/>
              </w:rPr>
            </w:pPr>
            <w:r w:rsidRPr="00CE66B6">
              <w:rPr>
                <w:color w:val="000000"/>
                <w:szCs w:val="20"/>
              </w:rPr>
              <w:t>PDI</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60.0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430.0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370.0</w:t>
            </w:r>
          </w:p>
        </w:tc>
        <w:tc>
          <w:tcPr>
            <w:tcW w:w="323"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550.0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780.0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1,050.0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1,380.0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1,770.0</w:t>
            </w:r>
          </w:p>
        </w:tc>
        <w:tc>
          <w:tcPr>
            <w:tcW w:w="324"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2034DB">
              <w:rPr>
                <w:rFonts w:ascii="Calibri" w:hAnsi="Calibri"/>
                <w:color w:val="000000"/>
                <w:sz w:val="20"/>
                <w:szCs w:val="20"/>
              </w:rPr>
              <w:t>2,220.0</w:t>
            </w:r>
          </w:p>
        </w:tc>
        <w:tc>
          <w:tcPr>
            <w:tcW w:w="322" w:type="pct"/>
          </w:tcPr>
          <w:p w:rsidR="00CE66B6" w:rsidRPr="002034DB"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2034DB">
              <w:rPr>
                <w:rFonts w:ascii="Calibri" w:hAnsi="Calibri"/>
                <w:b/>
                <w:bCs/>
                <w:color w:val="000000"/>
                <w:sz w:val="20"/>
                <w:szCs w:val="20"/>
              </w:rPr>
              <w:t>8,550.0</w:t>
            </w:r>
          </w:p>
        </w:tc>
      </w:tr>
      <w:tr w:rsidR="0073534F" w:rsidRPr="00CE66B6" w:rsidTr="00CE66B6">
        <w:trPr>
          <w:cantSplit/>
        </w:trPr>
        <w:tc>
          <w:tcPr>
            <w:cnfStyle w:val="001000000000" w:firstRow="0" w:lastRow="0" w:firstColumn="1" w:lastColumn="0" w:oddVBand="0" w:evenVBand="0" w:oddHBand="0" w:evenHBand="0" w:firstRowFirstColumn="0" w:firstRowLastColumn="0" w:lastRowFirstColumn="0" w:lastRowLastColumn="0"/>
            <w:tcW w:w="792" w:type="pct"/>
            <w:shd w:val="clear" w:color="auto" w:fill="D7DDE9" w:themeFill="accent3"/>
          </w:tcPr>
          <w:p w:rsidR="00CE66B6" w:rsidRPr="00CE66B6" w:rsidRDefault="00CE66B6" w:rsidP="00CE66B6">
            <w:pPr>
              <w:keepNext/>
              <w:keepLines/>
              <w:spacing w:line="240" w:lineRule="auto"/>
              <w:ind w:left="57" w:right="57"/>
              <w:rPr>
                <w:b/>
                <w:szCs w:val="20"/>
              </w:rPr>
            </w:pPr>
            <w:r w:rsidRPr="00CE66B6">
              <w:rPr>
                <w:b/>
                <w:szCs w:val="20"/>
              </w:rPr>
              <w:t>Total</w:t>
            </w:r>
          </w:p>
        </w:tc>
        <w:tc>
          <w:tcPr>
            <w:tcW w:w="323"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-90.0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60.0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320.0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330.0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620.0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380.0</w:t>
            </w:r>
          </w:p>
        </w:tc>
        <w:tc>
          <w:tcPr>
            <w:tcW w:w="323"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470.0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600.0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780.0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1,010.0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1,290.0</w:t>
            </w:r>
          </w:p>
        </w:tc>
        <w:tc>
          <w:tcPr>
            <w:tcW w:w="324"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1,640.0</w:t>
            </w:r>
          </w:p>
        </w:tc>
        <w:tc>
          <w:tcPr>
            <w:tcW w:w="322" w:type="pct"/>
            <w:shd w:val="clear" w:color="auto" w:fill="D7DDE9" w:themeFill="accent3"/>
          </w:tcPr>
          <w:p w:rsidR="00CE66B6" w:rsidRPr="00CE66B6" w:rsidRDefault="00CE66B6" w:rsidP="00CE66B6">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CE66B6">
              <w:rPr>
                <w:rFonts w:ascii="Calibri" w:hAnsi="Calibri"/>
                <w:b/>
                <w:bCs/>
                <w:color w:val="000000"/>
                <w:sz w:val="20"/>
                <w:szCs w:val="20"/>
              </w:rPr>
              <w:t>6,780.0</w:t>
            </w:r>
          </w:p>
        </w:tc>
      </w:tr>
    </w:tbl>
    <w:p w:rsidR="00CE66B6" w:rsidRDefault="00CE66B6" w:rsidP="002C43F8">
      <w:pPr>
        <w:pStyle w:val="Footnotes"/>
        <w:numPr>
          <w:ilvl w:val="0"/>
          <w:numId w:val="60"/>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CE66B6" w:rsidRDefault="00CE66B6" w:rsidP="004F4C2E">
      <w:pPr>
        <w:pStyle w:val="Footnotes"/>
        <w:ind w:left="284" w:hanging="284"/>
      </w:pPr>
      <w:r>
        <w:t>Figures may not sum to totals due to rounding.</w:t>
      </w:r>
    </w:p>
    <w:p w:rsidR="00CE66B6" w:rsidRDefault="00CE66B6" w:rsidP="00CE66B6">
      <w:pPr>
        <w:pStyle w:val="Footnotes"/>
        <w:numPr>
          <w:ilvl w:val="0"/>
          <w:numId w:val="0"/>
        </w:numPr>
        <w:ind w:left="284" w:hanging="284"/>
      </w:pPr>
      <w:r>
        <w:t>..</w:t>
      </w:r>
      <w:r>
        <w:tab/>
        <w:t>Not zero but rounded to zero.</w:t>
      </w:r>
    </w:p>
    <w:p w:rsidR="00CE66B6" w:rsidRDefault="00CE66B6" w:rsidP="00CE66B6">
      <w:pPr>
        <w:pStyle w:val="Footnotes"/>
        <w:numPr>
          <w:ilvl w:val="0"/>
          <w:numId w:val="0"/>
        </w:numPr>
        <w:ind w:left="284" w:hanging="284"/>
      </w:pPr>
      <w:r w:rsidRPr="00CE66B6">
        <w:t>-</w:t>
      </w:r>
      <w:r>
        <w:tab/>
        <w:t>Indicates nil.</w:t>
      </w:r>
    </w:p>
    <w:p w:rsidR="00E478E6" w:rsidRDefault="00E478E6" w:rsidP="00E478E6">
      <w:pPr>
        <w:pStyle w:val="Caption"/>
        <w:rPr>
          <w:vertAlign w:val="superscript"/>
        </w:rPr>
      </w:pPr>
      <w:r w:rsidRPr="002B36F1">
        <w:t xml:space="preserve">Table </w:t>
      </w:r>
      <w:r>
        <w:t>A</w:t>
      </w:r>
      <w:r w:rsidR="00B45FF5">
        <w:t>2</w:t>
      </w:r>
      <w:r w:rsidRPr="002B36F1">
        <w:t xml:space="preserve">: </w:t>
      </w:r>
      <w:r w:rsidRPr="00E478E6">
        <w:t>Putting a $8,000 per year cap on VET FEE-HELP loans—Underlying cash balance</w:t>
      </w:r>
      <w:r w:rsidRPr="002B36F1">
        <w:rPr>
          <w:vertAlign w:val="superscript"/>
        </w:rPr>
        <w:t>(a)(b)</w:t>
      </w:r>
    </w:p>
    <w:tbl>
      <w:tblPr>
        <w:tblStyle w:val="TableGrid39"/>
        <w:tblW w:w="5108" w:type="pct"/>
        <w:tblInd w:w="-137" w:type="dxa"/>
        <w:tblLayout w:type="fixed"/>
        <w:tblLook w:val="0680" w:firstRow="0" w:lastRow="0" w:firstColumn="1" w:lastColumn="0" w:noHBand="1" w:noVBand="1"/>
      </w:tblPr>
      <w:tblGrid>
        <w:gridCol w:w="2146"/>
        <w:gridCol w:w="876"/>
        <w:gridCol w:w="878"/>
        <w:gridCol w:w="877"/>
        <w:gridCol w:w="877"/>
        <w:gridCol w:w="877"/>
        <w:gridCol w:w="877"/>
        <w:gridCol w:w="875"/>
        <w:gridCol w:w="877"/>
        <w:gridCol w:w="877"/>
        <w:gridCol w:w="877"/>
        <w:gridCol w:w="877"/>
        <w:gridCol w:w="877"/>
        <w:gridCol w:w="872"/>
      </w:tblGrid>
      <w:tr w:rsidR="0073534F" w:rsidRPr="00E478E6" w:rsidTr="00B45FF5">
        <w:trPr>
          <w:cantSplit/>
          <w:tblHeader/>
        </w:trPr>
        <w:tc>
          <w:tcPr>
            <w:cnfStyle w:val="001000000000" w:firstRow="0" w:lastRow="0" w:firstColumn="1" w:lastColumn="0" w:oddVBand="0" w:evenVBand="0" w:oddHBand="0" w:evenHBand="0" w:firstRowFirstColumn="0" w:firstRowLastColumn="0" w:lastRowFirstColumn="0" w:lastRowLastColumn="0"/>
            <w:tcW w:w="792" w:type="pct"/>
            <w:shd w:val="clear" w:color="auto" w:fill="D7DDE9" w:themeFill="accent3"/>
          </w:tcPr>
          <w:p w:rsidR="00E478E6" w:rsidRPr="00E478E6" w:rsidRDefault="00E478E6" w:rsidP="00E478E6">
            <w:pPr>
              <w:keepNext/>
              <w:keepLines/>
              <w:spacing w:line="240" w:lineRule="auto"/>
              <w:ind w:left="57" w:right="57"/>
              <w:rPr>
                <w:szCs w:val="20"/>
              </w:rPr>
            </w:pPr>
            <w:r w:rsidRPr="00E478E6">
              <w:rPr>
                <w:szCs w:val="20"/>
              </w:rPr>
              <w:t>($m)</w:t>
            </w:r>
          </w:p>
        </w:tc>
        <w:tc>
          <w:tcPr>
            <w:tcW w:w="323"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2016–17</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2017–18</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2018–19</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2019–20</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478E6">
              <w:rPr>
                <w:rFonts w:ascii="Calibri" w:hAnsi="Calibri"/>
                <w:b/>
                <w:sz w:val="20"/>
                <w:szCs w:val="20"/>
              </w:rPr>
              <w:t>Total to 2019–20</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2020–21</w:t>
            </w:r>
          </w:p>
        </w:tc>
        <w:tc>
          <w:tcPr>
            <w:tcW w:w="323"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2021–22</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2022–23</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2023–24</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2024–25</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2025–26</w:t>
            </w:r>
          </w:p>
        </w:tc>
        <w:tc>
          <w:tcPr>
            <w:tcW w:w="324"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E478E6">
              <w:rPr>
                <w:rFonts w:ascii="Calibri" w:hAnsi="Calibri"/>
                <w:sz w:val="20"/>
                <w:szCs w:val="20"/>
              </w:rPr>
              <w:t>2026–27</w:t>
            </w:r>
          </w:p>
        </w:tc>
        <w:tc>
          <w:tcPr>
            <w:tcW w:w="322" w:type="pct"/>
            <w:shd w:val="clear" w:color="auto" w:fill="D7DDE9" w:themeFill="accent3"/>
          </w:tcPr>
          <w:p w:rsidR="00E478E6" w:rsidRPr="00E478E6" w:rsidRDefault="00E478E6" w:rsidP="00B45FF5">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E478E6">
              <w:rPr>
                <w:rFonts w:ascii="Calibri" w:hAnsi="Calibri"/>
                <w:b/>
                <w:sz w:val="20"/>
                <w:szCs w:val="20"/>
              </w:rPr>
              <w:t>Total to 2026–27</w:t>
            </w:r>
          </w:p>
        </w:tc>
      </w:tr>
      <w:tr w:rsidR="00E478E6" w:rsidRPr="00E478E6" w:rsidTr="00B45FF5">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hemeFill="accent2" w:themeFillTint="33"/>
          </w:tcPr>
          <w:p w:rsidR="00E478E6" w:rsidRPr="00E478E6" w:rsidRDefault="00E478E6" w:rsidP="00E478E6">
            <w:pPr>
              <w:spacing w:line="240" w:lineRule="auto"/>
              <w:ind w:left="57" w:right="57"/>
              <w:rPr>
                <w:b/>
                <w:i/>
                <w:szCs w:val="20"/>
              </w:rPr>
            </w:pPr>
            <w:r w:rsidRPr="00E478E6">
              <w:rPr>
                <w:b/>
                <w:szCs w:val="20"/>
              </w:rPr>
              <w:t>Impact on underlying cash balance</w:t>
            </w:r>
          </w:p>
        </w:tc>
      </w:tr>
      <w:tr w:rsidR="00B45FF5" w:rsidRPr="00E478E6" w:rsidTr="00B45FF5">
        <w:trPr>
          <w:cantSplit/>
        </w:trPr>
        <w:tc>
          <w:tcPr>
            <w:cnfStyle w:val="001000000000" w:firstRow="0" w:lastRow="0" w:firstColumn="1" w:lastColumn="0" w:oddVBand="0" w:evenVBand="0" w:oddHBand="0" w:evenHBand="0" w:firstRowFirstColumn="0" w:firstRowLastColumn="0" w:lastRowFirstColumn="0" w:lastRowLastColumn="0"/>
            <w:tcW w:w="792" w:type="pct"/>
          </w:tcPr>
          <w:p w:rsidR="00E478E6" w:rsidRPr="00E478E6" w:rsidRDefault="00E478E6" w:rsidP="00E478E6">
            <w:pPr>
              <w:keepNext/>
              <w:spacing w:line="240" w:lineRule="auto"/>
              <w:ind w:left="57" w:right="57"/>
              <w:rPr>
                <w:color w:val="000000"/>
                <w:szCs w:val="20"/>
              </w:rPr>
            </w:pPr>
            <w:r w:rsidRPr="00E478E6">
              <w:rPr>
                <w:color w:val="000000"/>
                <w:szCs w:val="20"/>
              </w:rPr>
              <w:t>Interest received</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-30.0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-20.0</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-30.0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-40.0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-60.0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-80.0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-100.0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-120.0</w:t>
            </w:r>
          </w:p>
        </w:tc>
        <w:tc>
          <w:tcPr>
            <w:tcW w:w="322"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-480.0</w:t>
            </w:r>
          </w:p>
        </w:tc>
      </w:tr>
      <w:tr w:rsidR="00B45FF5" w:rsidRPr="00E478E6" w:rsidTr="00B45FF5">
        <w:trPr>
          <w:cantSplit/>
        </w:trPr>
        <w:tc>
          <w:tcPr>
            <w:cnfStyle w:val="001000000000" w:firstRow="0" w:lastRow="0" w:firstColumn="1" w:lastColumn="0" w:oddVBand="0" w:evenVBand="0" w:oddHBand="0" w:evenHBand="0" w:firstRowFirstColumn="0" w:firstRowLastColumn="0" w:lastRowFirstColumn="0" w:lastRowLastColumn="0"/>
            <w:tcW w:w="792" w:type="pct"/>
          </w:tcPr>
          <w:p w:rsidR="00E478E6" w:rsidRPr="00E478E6" w:rsidRDefault="00E478E6" w:rsidP="00E478E6">
            <w:pPr>
              <w:keepNext/>
              <w:spacing w:line="240" w:lineRule="auto"/>
              <w:ind w:left="57" w:right="57"/>
              <w:rPr>
                <w:color w:val="000000"/>
                <w:szCs w:val="20"/>
              </w:rPr>
            </w:pPr>
            <w:r w:rsidRPr="00E478E6">
              <w:rPr>
                <w:color w:val="000000"/>
                <w:szCs w:val="20"/>
              </w:rPr>
              <w:t>State contributions to CLD</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-10.0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w:t>
            </w:r>
          </w:p>
        </w:tc>
        <w:tc>
          <w:tcPr>
            <w:tcW w:w="322"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-30.0</w:t>
            </w:r>
          </w:p>
        </w:tc>
      </w:tr>
      <w:tr w:rsidR="00B45FF5" w:rsidRPr="00E478E6" w:rsidTr="00B45FF5">
        <w:trPr>
          <w:cantSplit/>
        </w:trPr>
        <w:tc>
          <w:tcPr>
            <w:cnfStyle w:val="001000000000" w:firstRow="0" w:lastRow="0" w:firstColumn="1" w:lastColumn="0" w:oddVBand="0" w:evenVBand="0" w:oddHBand="0" w:evenHBand="0" w:firstRowFirstColumn="0" w:firstRowLastColumn="0" w:lastRowFirstColumn="0" w:lastRowLastColumn="0"/>
            <w:tcW w:w="792" w:type="pct"/>
          </w:tcPr>
          <w:p w:rsidR="00E478E6" w:rsidRPr="00E478E6" w:rsidRDefault="00E478E6" w:rsidP="005B3F90">
            <w:pPr>
              <w:keepNext/>
              <w:spacing w:line="240" w:lineRule="auto"/>
              <w:ind w:left="57" w:right="57" w:firstLineChars="15" w:firstLine="30"/>
              <w:rPr>
                <w:color w:val="000000"/>
                <w:szCs w:val="20"/>
              </w:rPr>
            </w:pPr>
            <w:r w:rsidRPr="00E478E6">
              <w:rPr>
                <w:color w:val="000000"/>
                <w:szCs w:val="20"/>
              </w:rPr>
              <w:t>PDI</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60.0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130.0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220.0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410.0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360.0</w:t>
            </w:r>
          </w:p>
        </w:tc>
        <w:tc>
          <w:tcPr>
            <w:tcW w:w="323"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540.0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760.0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1,030.0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1,360.0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1,740.0</w:t>
            </w:r>
          </w:p>
        </w:tc>
        <w:tc>
          <w:tcPr>
            <w:tcW w:w="324"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E478E6">
              <w:rPr>
                <w:rFonts w:ascii="Calibri" w:hAnsi="Calibri"/>
                <w:i/>
                <w:color w:val="000000"/>
                <w:sz w:val="20"/>
                <w:szCs w:val="20"/>
              </w:rPr>
              <w:t>2,190.0</w:t>
            </w:r>
          </w:p>
        </w:tc>
        <w:tc>
          <w:tcPr>
            <w:tcW w:w="322" w:type="pct"/>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E478E6">
              <w:rPr>
                <w:rFonts w:ascii="Calibri" w:hAnsi="Calibri"/>
                <w:b/>
                <w:bCs/>
                <w:i/>
                <w:color w:val="000000"/>
                <w:sz w:val="20"/>
                <w:szCs w:val="20"/>
              </w:rPr>
              <w:t>8,400.0</w:t>
            </w:r>
          </w:p>
        </w:tc>
      </w:tr>
      <w:tr w:rsidR="0073534F" w:rsidRPr="00E478E6" w:rsidTr="00B45FF5">
        <w:trPr>
          <w:cantSplit/>
        </w:trPr>
        <w:tc>
          <w:tcPr>
            <w:cnfStyle w:val="001000000000" w:firstRow="0" w:lastRow="0" w:firstColumn="1" w:lastColumn="0" w:oddVBand="0" w:evenVBand="0" w:oddHBand="0" w:evenHBand="0" w:firstRowFirstColumn="0" w:firstRowLastColumn="0" w:lastRowFirstColumn="0" w:lastRowLastColumn="0"/>
            <w:tcW w:w="792" w:type="pct"/>
            <w:shd w:val="clear" w:color="auto" w:fill="D7DDE9" w:themeFill="accent3"/>
          </w:tcPr>
          <w:p w:rsidR="00E478E6" w:rsidRPr="00E478E6" w:rsidRDefault="00E478E6" w:rsidP="00E478E6">
            <w:pPr>
              <w:keepLines/>
              <w:spacing w:line="240" w:lineRule="auto"/>
              <w:ind w:left="57" w:right="57"/>
              <w:rPr>
                <w:b/>
                <w:szCs w:val="20"/>
              </w:rPr>
            </w:pPr>
            <w:r w:rsidRPr="00E478E6">
              <w:rPr>
                <w:b/>
                <w:szCs w:val="20"/>
              </w:rPr>
              <w:t>Total</w:t>
            </w:r>
          </w:p>
        </w:tc>
        <w:tc>
          <w:tcPr>
            <w:tcW w:w="323"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10.0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50.0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110.0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200.0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380.0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340.0</w:t>
            </w:r>
          </w:p>
        </w:tc>
        <w:tc>
          <w:tcPr>
            <w:tcW w:w="323"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510.0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720.0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970.0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1,280.0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1,640.0</w:t>
            </w:r>
          </w:p>
        </w:tc>
        <w:tc>
          <w:tcPr>
            <w:tcW w:w="324"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2,060.0</w:t>
            </w:r>
          </w:p>
        </w:tc>
        <w:tc>
          <w:tcPr>
            <w:tcW w:w="322" w:type="pct"/>
            <w:shd w:val="clear" w:color="auto" w:fill="D7DDE9" w:themeFill="accent3"/>
          </w:tcPr>
          <w:p w:rsidR="00E478E6" w:rsidRPr="00E478E6" w:rsidRDefault="00E478E6" w:rsidP="00B45FF5">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E478E6">
              <w:rPr>
                <w:rFonts w:ascii="Calibri" w:hAnsi="Calibri"/>
                <w:b/>
                <w:bCs/>
                <w:color w:val="000000"/>
                <w:sz w:val="20"/>
                <w:szCs w:val="20"/>
              </w:rPr>
              <w:t>7,890.0</w:t>
            </w:r>
          </w:p>
        </w:tc>
      </w:tr>
    </w:tbl>
    <w:p w:rsidR="00B45FF5" w:rsidRDefault="00B45FF5" w:rsidP="002C43F8">
      <w:pPr>
        <w:pStyle w:val="Footnotes"/>
        <w:numPr>
          <w:ilvl w:val="0"/>
          <w:numId w:val="61"/>
        </w:numPr>
        <w:ind w:left="284" w:hanging="284"/>
      </w:pPr>
      <w:r>
        <w:t xml:space="preserve">A positive number for the underlying cash balance indicates an increase in receipts or a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B45FF5" w:rsidRDefault="00B45FF5" w:rsidP="004F4C2E">
      <w:pPr>
        <w:pStyle w:val="Footnotes"/>
        <w:ind w:left="284" w:hanging="284"/>
      </w:pPr>
      <w:r>
        <w:t>Figures may not sum to totals due to rounding.</w:t>
      </w:r>
    </w:p>
    <w:p w:rsidR="00B45FF5" w:rsidRDefault="00B45FF5" w:rsidP="00B45FF5">
      <w:pPr>
        <w:pStyle w:val="Footnotes"/>
        <w:numPr>
          <w:ilvl w:val="0"/>
          <w:numId w:val="0"/>
        </w:numPr>
        <w:ind w:left="284" w:hanging="284"/>
      </w:pPr>
      <w:r>
        <w:t>..</w:t>
      </w:r>
      <w:r>
        <w:tab/>
        <w:t>Not zero but rounded to zero.</w:t>
      </w:r>
    </w:p>
    <w:p w:rsidR="00CE66B6" w:rsidRPr="00CE66B6" w:rsidRDefault="00B45FF5" w:rsidP="00B45FF5">
      <w:pPr>
        <w:pStyle w:val="Footnotes"/>
        <w:numPr>
          <w:ilvl w:val="0"/>
          <w:numId w:val="0"/>
        </w:numPr>
        <w:ind w:left="284" w:hanging="284"/>
      </w:pPr>
      <w:r w:rsidRPr="00B45FF5">
        <w:t>-</w:t>
      </w:r>
      <w:r>
        <w:tab/>
        <w:t>Indicates nil.</w:t>
      </w:r>
    </w:p>
    <w:p w:rsidR="00B45FF5" w:rsidRDefault="00B45FF5" w:rsidP="002C3AC8">
      <w:pPr>
        <w:pStyle w:val="Caption"/>
        <w:keepLines/>
        <w:rPr>
          <w:vertAlign w:val="superscript"/>
        </w:rPr>
      </w:pPr>
      <w:r w:rsidRPr="002B36F1">
        <w:t xml:space="preserve">Table </w:t>
      </w:r>
      <w:r>
        <w:t>A3</w:t>
      </w:r>
      <w:r w:rsidRPr="002B36F1">
        <w:t xml:space="preserve">: </w:t>
      </w:r>
      <w:r w:rsidRPr="00450A0F">
        <w:t>Putting a $8,000 per year cap on VET FEE-HELP loans</w:t>
      </w:r>
      <w:r>
        <w:t>—Headline cash balance</w:t>
      </w:r>
      <w:r w:rsidRPr="002B36F1">
        <w:rPr>
          <w:vertAlign w:val="superscript"/>
        </w:rPr>
        <w:t>(a)(b)</w:t>
      </w:r>
    </w:p>
    <w:tbl>
      <w:tblPr>
        <w:tblStyle w:val="TableGrid40"/>
        <w:tblW w:w="5109" w:type="pct"/>
        <w:tblInd w:w="-166" w:type="dxa"/>
        <w:tblLayout w:type="fixed"/>
        <w:tblLook w:val="0680" w:firstRow="0" w:lastRow="0" w:firstColumn="1" w:lastColumn="0" w:noHBand="1" w:noVBand="1"/>
      </w:tblPr>
      <w:tblGrid>
        <w:gridCol w:w="2147"/>
        <w:gridCol w:w="874"/>
        <w:gridCol w:w="877"/>
        <w:gridCol w:w="874"/>
        <w:gridCol w:w="878"/>
        <w:gridCol w:w="878"/>
        <w:gridCol w:w="875"/>
        <w:gridCol w:w="878"/>
        <w:gridCol w:w="875"/>
        <w:gridCol w:w="878"/>
        <w:gridCol w:w="878"/>
        <w:gridCol w:w="875"/>
        <w:gridCol w:w="878"/>
        <w:gridCol w:w="878"/>
      </w:tblGrid>
      <w:tr w:rsidR="0073534F" w:rsidRPr="00B45FF5" w:rsidTr="00B45FF5">
        <w:trPr>
          <w:cantSplit/>
          <w:tblHeader/>
        </w:trPr>
        <w:tc>
          <w:tcPr>
            <w:cnfStyle w:val="001000000000" w:firstRow="0" w:lastRow="0" w:firstColumn="1" w:lastColumn="0" w:oddVBand="0" w:evenVBand="0" w:oddHBand="0" w:evenHBand="0" w:firstRowFirstColumn="0" w:firstRowLastColumn="0" w:lastRowFirstColumn="0" w:lastRowLastColumn="0"/>
            <w:tcW w:w="793" w:type="pct"/>
            <w:shd w:val="clear" w:color="auto" w:fill="D7DDE9" w:themeFill="accent3"/>
          </w:tcPr>
          <w:p w:rsidR="00B45FF5" w:rsidRPr="00B45FF5" w:rsidRDefault="00B45FF5" w:rsidP="002C3AC8">
            <w:pPr>
              <w:keepNext/>
              <w:keepLines/>
              <w:spacing w:line="240" w:lineRule="auto"/>
              <w:ind w:left="57" w:right="57"/>
              <w:rPr>
                <w:szCs w:val="20"/>
              </w:rPr>
            </w:pPr>
            <w:r w:rsidRPr="00B45FF5">
              <w:rPr>
                <w:szCs w:val="20"/>
              </w:rPr>
              <w:t>($m)</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2016–17</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2017–18</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2018–19</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2019–20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45FF5">
              <w:rPr>
                <w:rFonts w:ascii="Calibri" w:hAnsi="Calibri"/>
                <w:b/>
                <w:sz w:val="20"/>
                <w:szCs w:val="20"/>
              </w:rPr>
              <w:t>Total to 2019–20</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2020–21</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2021–22</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2022–23</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2023–24</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2024–25</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2025–26</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45FF5">
              <w:rPr>
                <w:rFonts w:ascii="Calibri" w:hAnsi="Calibri"/>
                <w:sz w:val="20"/>
                <w:szCs w:val="20"/>
              </w:rPr>
              <w:t>2026–27</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45FF5">
              <w:rPr>
                <w:rFonts w:ascii="Calibri" w:hAnsi="Calibri"/>
                <w:b/>
                <w:sz w:val="20"/>
                <w:szCs w:val="20"/>
              </w:rPr>
              <w:t>Total to 2026–27</w:t>
            </w:r>
          </w:p>
        </w:tc>
      </w:tr>
      <w:tr w:rsidR="00B45FF5" w:rsidRPr="00B45FF5" w:rsidTr="00B45FF5">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hemeFill="accent2" w:themeFillTint="33"/>
          </w:tcPr>
          <w:p w:rsidR="00B45FF5" w:rsidRPr="00B45FF5" w:rsidRDefault="00B45FF5" w:rsidP="002C3AC8">
            <w:pPr>
              <w:keepNext/>
              <w:keepLines/>
              <w:spacing w:line="240" w:lineRule="auto"/>
              <w:ind w:left="57" w:right="57"/>
              <w:rPr>
                <w:b/>
                <w:i/>
                <w:szCs w:val="20"/>
              </w:rPr>
            </w:pPr>
            <w:r w:rsidRPr="00B45FF5">
              <w:rPr>
                <w:b/>
                <w:szCs w:val="20"/>
              </w:rPr>
              <w:t>Impact on headline cash balance</w:t>
            </w:r>
          </w:p>
        </w:tc>
      </w:tr>
      <w:tr w:rsidR="00B45FF5" w:rsidRPr="00B45FF5" w:rsidTr="00B45FF5">
        <w:trPr>
          <w:cantSplit/>
        </w:trPr>
        <w:tc>
          <w:tcPr>
            <w:cnfStyle w:val="001000000000" w:firstRow="0" w:lastRow="0" w:firstColumn="1" w:lastColumn="0" w:oddVBand="0" w:evenVBand="0" w:oddHBand="0" w:evenHBand="0" w:firstRowFirstColumn="0" w:firstRowLastColumn="0" w:lastRowFirstColumn="0" w:lastRowLastColumn="0"/>
            <w:tcW w:w="793" w:type="pct"/>
          </w:tcPr>
          <w:p w:rsidR="00B45FF5" w:rsidRPr="00B45FF5" w:rsidRDefault="00B45FF5" w:rsidP="002C3AC8">
            <w:pPr>
              <w:keepNext/>
              <w:keepLines/>
              <w:spacing w:line="240" w:lineRule="auto"/>
              <w:ind w:left="57" w:right="57"/>
              <w:rPr>
                <w:color w:val="000000"/>
                <w:szCs w:val="20"/>
              </w:rPr>
            </w:pPr>
            <w:r w:rsidRPr="00B45FF5">
              <w:rPr>
                <w:color w:val="000000"/>
                <w:szCs w:val="20"/>
              </w:rPr>
              <w:t>Loans issued</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1,060.0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2,530.0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2,990.0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3,090.0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9,660.0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3,190.0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3,310.0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3,420.0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3,540.0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3,660.0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3,780.0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3,920.0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34,470.0</w:t>
            </w:r>
          </w:p>
        </w:tc>
      </w:tr>
      <w:tr w:rsidR="00B45FF5" w:rsidRPr="00B45FF5" w:rsidTr="00B45FF5">
        <w:trPr>
          <w:cantSplit/>
        </w:trPr>
        <w:tc>
          <w:tcPr>
            <w:cnfStyle w:val="001000000000" w:firstRow="0" w:lastRow="0" w:firstColumn="1" w:lastColumn="0" w:oddVBand="0" w:evenVBand="0" w:oddHBand="0" w:evenHBand="0" w:firstRowFirstColumn="0" w:firstRowLastColumn="0" w:lastRowFirstColumn="0" w:lastRowLastColumn="0"/>
            <w:tcW w:w="793" w:type="pct"/>
          </w:tcPr>
          <w:p w:rsidR="00B45FF5" w:rsidRPr="00B45FF5" w:rsidRDefault="00B45FF5" w:rsidP="002C3AC8">
            <w:pPr>
              <w:keepNext/>
              <w:keepLines/>
              <w:spacing w:line="240" w:lineRule="auto"/>
              <w:ind w:left="57" w:right="57"/>
              <w:rPr>
                <w:color w:val="000000"/>
                <w:szCs w:val="20"/>
              </w:rPr>
            </w:pPr>
            <w:r w:rsidRPr="00B45FF5">
              <w:rPr>
                <w:color w:val="000000"/>
                <w:szCs w:val="20"/>
              </w:rPr>
              <w:t>Repayments and interest received</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-40.0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-50.0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-100.0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-80.0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-120.0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-170.0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-250.0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-330.0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-440.0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-550.0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-2,050.0</w:t>
            </w:r>
          </w:p>
        </w:tc>
      </w:tr>
      <w:tr w:rsidR="00B45FF5" w:rsidRPr="00B45FF5" w:rsidTr="00B45FF5">
        <w:trPr>
          <w:cantSplit/>
        </w:trPr>
        <w:tc>
          <w:tcPr>
            <w:cnfStyle w:val="001000000000" w:firstRow="0" w:lastRow="0" w:firstColumn="1" w:lastColumn="0" w:oddVBand="0" w:evenVBand="0" w:oddHBand="0" w:evenHBand="0" w:firstRowFirstColumn="0" w:firstRowLastColumn="0" w:lastRowFirstColumn="0" w:lastRowLastColumn="0"/>
            <w:tcW w:w="793" w:type="pct"/>
          </w:tcPr>
          <w:p w:rsidR="00B45FF5" w:rsidRPr="00B45FF5" w:rsidRDefault="00B45FF5" w:rsidP="002C3AC8">
            <w:pPr>
              <w:keepNext/>
              <w:keepLines/>
              <w:spacing w:line="240" w:lineRule="auto"/>
              <w:ind w:left="57" w:right="57"/>
              <w:rPr>
                <w:color w:val="000000"/>
                <w:szCs w:val="20"/>
              </w:rPr>
            </w:pPr>
            <w:r w:rsidRPr="00B45FF5">
              <w:rPr>
                <w:color w:val="000000"/>
                <w:szCs w:val="20"/>
              </w:rPr>
              <w:t>State contributions to CLD</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-10.0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-30.0</w:t>
            </w:r>
          </w:p>
        </w:tc>
      </w:tr>
      <w:tr w:rsidR="00B45FF5" w:rsidRPr="00B45FF5" w:rsidTr="00B45FF5">
        <w:trPr>
          <w:cantSplit/>
        </w:trPr>
        <w:tc>
          <w:tcPr>
            <w:cnfStyle w:val="001000000000" w:firstRow="0" w:lastRow="0" w:firstColumn="1" w:lastColumn="0" w:oddVBand="0" w:evenVBand="0" w:oddHBand="0" w:evenHBand="0" w:firstRowFirstColumn="0" w:firstRowLastColumn="0" w:lastRowFirstColumn="0" w:lastRowLastColumn="0"/>
            <w:tcW w:w="793" w:type="pct"/>
          </w:tcPr>
          <w:p w:rsidR="00B45FF5" w:rsidRPr="00B45FF5" w:rsidRDefault="00B45FF5" w:rsidP="002C3AC8">
            <w:pPr>
              <w:keepNext/>
              <w:keepLines/>
              <w:spacing w:line="240" w:lineRule="auto"/>
              <w:ind w:left="57" w:right="57" w:firstLineChars="15" w:firstLine="30"/>
              <w:rPr>
                <w:color w:val="000000"/>
                <w:szCs w:val="20"/>
              </w:rPr>
            </w:pPr>
            <w:r w:rsidRPr="00B45FF5">
              <w:rPr>
                <w:color w:val="000000"/>
                <w:szCs w:val="20"/>
              </w:rPr>
              <w:t>PDI</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60.0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130.0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220.0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410.0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360.0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540.0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760.0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1,030.0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1,360.0</w:t>
            </w:r>
          </w:p>
        </w:tc>
        <w:tc>
          <w:tcPr>
            <w:tcW w:w="323"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1,740.0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B45FF5">
              <w:rPr>
                <w:rFonts w:ascii="Calibri" w:hAnsi="Calibri"/>
                <w:i/>
                <w:color w:val="000000"/>
                <w:sz w:val="20"/>
                <w:szCs w:val="20"/>
              </w:rPr>
              <w:t>2,190.0</w:t>
            </w:r>
          </w:p>
        </w:tc>
        <w:tc>
          <w:tcPr>
            <w:tcW w:w="324" w:type="pct"/>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B45FF5">
              <w:rPr>
                <w:rFonts w:ascii="Calibri" w:hAnsi="Calibri"/>
                <w:b/>
                <w:bCs/>
                <w:i/>
                <w:color w:val="000000"/>
                <w:sz w:val="20"/>
                <w:szCs w:val="20"/>
              </w:rPr>
              <w:t>8,400.0</w:t>
            </w:r>
          </w:p>
        </w:tc>
      </w:tr>
      <w:tr w:rsidR="0073534F" w:rsidRPr="00B45FF5" w:rsidTr="00B45FF5">
        <w:trPr>
          <w:cantSplit/>
        </w:trPr>
        <w:tc>
          <w:tcPr>
            <w:cnfStyle w:val="001000000000" w:firstRow="0" w:lastRow="0" w:firstColumn="1" w:lastColumn="0" w:oddVBand="0" w:evenVBand="0" w:oddHBand="0" w:evenHBand="0" w:firstRowFirstColumn="0" w:firstRowLastColumn="0" w:lastRowFirstColumn="0" w:lastRowLastColumn="0"/>
            <w:tcW w:w="793" w:type="pct"/>
            <w:shd w:val="clear" w:color="auto" w:fill="D7DDE9" w:themeFill="accent3"/>
          </w:tcPr>
          <w:p w:rsidR="00B45FF5" w:rsidRPr="00B45FF5" w:rsidRDefault="00B45FF5" w:rsidP="002C3AC8">
            <w:pPr>
              <w:keepNext/>
              <w:keepLines/>
              <w:spacing w:line="240" w:lineRule="auto"/>
              <w:ind w:left="57" w:right="57"/>
              <w:rPr>
                <w:color w:val="000000"/>
                <w:szCs w:val="20"/>
              </w:rPr>
            </w:pPr>
            <w:r w:rsidRPr="00B45FF5">
              <w:rPr>
                <w:b/>
                <w:szCs w:val="20"/>
              </w:rPr>
              <w:t>Total</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1,070.0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2,570.0</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3,070.0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3,250.0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9,970.0</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3,470.0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3,720.0</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4,010.0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4,320.0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4,680.0</w:t>
            </w:r>
          </w:p>
        </w:tc>
        <w:tc>
          <w:tcPr>
            <w:tcW w:w="323"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5,080.0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5,550.0</w:t>
            </w:r>
          </w:p>
        </w:tc>
        <w:tc>
          <w:tcPr>
            <w:tcW w:w="324" w:type="pct"/>
            <w:shd w:val="clear" w:color="auto" w:fill="D7DDE9" w:themeFill="accent3"/>
          </w:tcPr>
          <w:p w:rsidR="00B45FF5" w:rsidRPr="00B45FF5" w:rsidRDefault="00B45FF5" w:rsidP="002C3AC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B45FF5">
              <w:rPr>
                <w:rFonts w:ascii="Calibri" w:hAnsi="Calibri"/>
                <w:b/>
                <w:bCs/>
                <w:color w:val="000000"/>
                <w:sz w:val="20"/>
                <w:szCs w:val="20"/>
              </w:rPr>
              <w:t>40,790.0</w:t>
            </w:r>
          </w:p>
        </w:tc>
      </w:tr>
    </w:tbl>
    <w:p w:rsidR="00B45FF5" w:rsidRDefault="00B45FF5" w:rsidP="002C43F8">
      <w:pPr>
        <w:pStyle w:val="Footnotes"/>
        <w:numPr>
          <w:ilvl w:val="0"/>
          <w:numId w:val="62"/>
        </w:numPr>
        <w:ind w:left="284" w:hanging="284"/>
      </w:pPr>
      <w:r>
        <w:t>A positive number in headline cash balance indicates an increase in cashflow.  A negative number in headline cash balance in</w:t>
      </w:r>
      <w:r w:rsidR="00096D7A">
        <w:t>dicates a decrease in cashflow.</w:t>
      </w:r>
    </w:p>
    <w:p w:rsidR="00B45FF5" w:rsidRDefault="00B45FF5" w:rsidP="004F4C2E">
      <w:pPr>
        <w:pStyle w:val="Footnotes"/>
        <w:ind w:left="284" w:hanging="284"/>
      </w:pPr>
      <w:r>
        <w:t>Figures may not sum to totals due to rounding.</w:t>
      </w:r>
    </w:p>
    <w:p w:rsidR="00B45FF5" w:rsidRDefault="00B45FF5" w:rsidP="00B45FF5">
      <w:pPr>
        <w:pStyle w:val="Footnotes"/>
        <w:numPr>
          <w:ilvl w:val="0"/>
          <w:numId w:val="0"/>
        </w:numPr>
        <w:ind w:left="284" w:hanging="284"/>
      </w:pPr>
      <w:r>
        <w:t>..</w:t>
      </w:r>
      <w:r>
        <w:tab/>
        <w:t>Not zero but rounded to zero.</w:t>
      </w:r>
    </w:p>
    <w:p w:rsidR="00420CF4" w:rsidRPr="00951305" w:rsidRDefault="00B45FF5" w:rsidP="00B45FF5">
      <w:pPr>
        <w:pStyle w:val="Footnotes"/>
        <w:numPr>
          <w:ilvl w:val="0"/>
          <w:numId w:val="0"/>
        </w:numPr>
        <w:ind w:left="284" w:hanging="284"/>
      </w:pPr>
      <w:r w:rsidRPr="00B45FF5">
        <w:t>-</w:t>
      </w:r>
      <w:r>
        <w:tab/>
        <w:t>Indicates nil.</w:t>
      </w:r>
    </w:p>
    <w:p w:rsidR="00420CF4" w:rsidRDefault="00420CF4" w:rsidP="00420CF4">
      <w:pPr>
        <w:pStyle w:val="BodyText"/>
        <w:sectPr w:rsidR="00420CF4" w:rsidSect="00096D7A">
          <w:headerReference w:type="even" r:id="rId90"/>
          <w:headerReference w:type="default" r:id="rId91"/>
          <w:footerReference w:type="even" r:id="rId92"/>
          <w:footerReference w:type="default" r:id="rId93"/>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33" w:name="_Toc458081653"/>
      <w:r>
        <w:t>ALP029: Removing rebate for PHI junk policies</w:t>
      </w:r>
      <w:bookmarkEnd w:id="33"/>
    </w:p>
    <w:p w:rsidR="00745988" w:rsidRDefault="00745988" w:rsidP="00745988">
      <w:pPr>
        <w:pStyle w:val="BodyText"/>
      </w:pPr>
      <w:r>
        <w:rPr>
          <w:noProof/>
          <w:lang w:eastAsia="en-AU"/>
        </w:rPr>
        <w:drawing>
          <wp:inline distT="0" distB="0" distL="0" distR="0" wp14:anchorId="225DBB66" wp14:editId="00EB0875">
            <wp:extent cx="2696845" cy="572135"/>
            <wp:effectExtent l="0" t="0" r="8255" b="0"/>
            <wp:docPr id="364" name="Picture 36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063C5B">
            <w:pPr>
              <w:pStyle w:val="PullOutBoxHeading"/>
              <w:rPr>
                <w:b/>
              </w:rPr>
            </w:pPr>
            <w:r w:rsidRPr="00E758BA">
              <w:rPr>
                <w:b/>
              </w:rPr>
              <w:t>Name of proposal:</w:t>
            </w:r>
          </w:p>
        </w:tc>
        <w:tc>
          <w:tcPr>
            <w:tcW w:w="3191" w:type="pct"/>
          </w:tcPr>
          <w:p w:rsidR="00420CF4" w:rsidRPr="00E758BA" w:rsidRDefault="00CE6725" w:rsidP="00063C5B">
            <w:pPr>
              <w:pStyle w:val="PullOutBoxHeading"/>
              <w:rPr>
                <w:b/>
              </w:rPr>
            </w:pPr>
            <w:r w:rsidRPr="00E758BA">
              <w:rPr>
                <w:b/>
              </w:rPr>
              <w:t>Removing rebate for PHI junk policies</w:t>
            </w:r>
          </w:p>
        </w:tc>
      </w:tr>
      <w:tr w:rsidR="00420CF4" w:rsidRPr="00B45F94" w:rsidTr="00967BCD">
        <w:tc>
          <w:tcPr>
            <w:tcW w:w="1809" w:type="pct"/>
          </w:tcPr>
          <w:p w:rsidR="00420CF4" w:rsidRPr="00B45F94" w:rsidRDefault="00420CF4" w:rsidP="00967BCD">
            <w:pPr>
              <w:pStyle w:val="BodyText"/>
            </w:pPr>
            <w:r w:rsidRPr="00B45F94">
              <w:t>Summary of proposal:</w:t>
            </w:r>
          </w:p>
        </w:tc>
        <w:tc>
          <w:tcPr>
            <w:tcW w:w="3191" w:type="pct"/>
          </w:tcPr>
          <w:p w:rsidR="00CE6725" w:rsidRDefault="00CE6725" w:rsidP="00CE6725">
            <w:pPr>
              <w:pStyle w:val="BodyText"/>
            </w:pPr>
            <w:r>
              <w:t>The proposal would remove the private health insurance (PHI) rebate on policies that only cover public hospital treatments (‘junk’ policies).</w:t>
            </w:r>
          </w:p>
          <w:p w:rsidR="00420CF4" w:rsidRPr="00B45F94" w:rsidRDefault="00CE6725" w:rsidP="00CE6725">
            <w:pPr>
              <w:pStyle w:val="BodyText"/>
            </w:pPr>
            <w:r>
              <w:t>The proposal would have effect from1 July 2017.</w:t>
            </w:r>
          </w:p>
        </w:tc>
      </w:tr>
      <w:tr w:rsidR="00420CF4" w:rsidRPr="00B45F94" w:rsidTr="00967BCD">
        <w:tc>
          <w:tcPr>
            <w:tcW w:w="1809" w:type="pct"/>
          </w:tcPr>
          <w:p w:rsidR="00420CF4" w:rsidRPr="00B45F94" w:rsidRDefault="00420CF4" w:rsidP="00967BCD">
            <w:pPr>
              <w:pStyle w:val="BodyText"/>
            </w:pPr>
            <w:r>
              <w:t>Party:</w:t>
            </w:r>
          </w:p>
        </w:tc>
        <w:tc>
          <w:tcPr>
            <w:tcW w:w="3191" w:type="pct"/>
          </w:tcPr>
          <w:p w:rsidR="00420CF4" w:rsidRPr="00B45F94" w:rsidRDefault="00420CF4" w:rsidP="00967BCD">
            <w:pPr>
              <w:pStyle w:val="BodyText"/>
            </w:pPr>
            <w:r>
              <w:t>Australian Labor Party</w:t>
            </w:r>
          </w:p>
        </w:tc>
      </w:tr>
      <w:tr w:rsidR="00420CF4" w:rsidRPr="00B45F94" w:rsidTr="00967BCD">
        <w:tc>
          <w:tcPr>
            <w:tcW w:w="1809" w:type="pct"/>
          </w:tcPr>
          <w:p w:rsidR="00420CF4" w:rsidRPr="00B45F94" w:rsidRDefault="00420CF4" w:rsidP="00967BCD">
            <w:pPr>
              <w:pStyle w:val="BodyText"/>
            </w:pPr>
            <w:r w:rsidRPr="00B45F94">
              <w:t>Expiry date for the costing:</w:t>
            </w:r>
          </w:p>
        </w:tc>
        <w:tc>
          <w:tcPr>
            <w:tcW w:w="3191" w:type="pct"/>
          </w:tcPr>
          <w:p w:rsidR="00420CF4" w:rsidRPr="00B45F94" w:rsidRDefault="00EC102A" w:rsidP="00967BCD">
            <w:pPr>
              <w:pStyle w:val="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CE6725" w:rsidRPr="00CE6725" w:rsidRDefault="00CE6725" w:rsidP="00CE6725">
      <w:pPr>
        <w:pStyle w:val="BodyText"/>
      </w:pPr>
      <w:r w:rsidRPr="00CE6725">
        <w:t>This proposal would be expected to increase the fiscal balance by $147.4 million and increase the underlying cash balance by $135.1 million over the 2016 17 Budget forward estimates period.  This impact is entirely due to a decrease in PHI rebate expenditure.</w:t>
      </w:r>
    </w:p>
    <w:p w:rsidR="00CE6725" w:rsidRPr="00CE6725" w:rsidRDefault="00CE6725" w:rsidP="00CE6725">
      <w:pPr>
        <w:pStyle w:val="BodyText"/>
      </w:pPr>
      <w:r w:rsidRPr="00CE6725">
        <w:t>The proposal would have an ongoing impa</w:t>
      </w:r>
      <w:r>
        <w:t>ct that extends beyond the 2016</w:t>
      </w:r>
      <w:r>
        <w:noBreakHyphen/>
      </w:r>
      <w:r w:rsidRPr="00CE6725">
        <w:t>17 Bu</w:t>
      </w:r>
      <w:r>
        <w:t>dget forward estimates period.</w:t>
      </w:r>
    </w:p>
    <w:p w:rsidR="00CE6725" w:rsidRPr="00CE6725" w:rsidRDefault="00CE6725" w:rsidP="00CE6725">
      <w:pPr>
        <w:pStyle w:val="BodyText"/>
      </w:pPr>
      <w:r w:rsidRPr="00CE6725">
        <w:t>The difference between the fiscal and underlying cash balances is due to the timing of the component of the PHI rebate paid through the Australian Taxation Office, which is paid in the next income year, after indiv</w:t>
      </w:r>
      <w:r>
        <w:t>iduals file their tax returns.</w:t>
      </w:r>
    </w:p>
    <w:p w:rsidR="00CE6725" w:rsidRPr="00CE6725" w:rsidRDefault="00CE6725" w:rsidP="00CE6725">
      <w:pPr>
        <w:pStyle w:val="BodyText"/>
      </w:pPr>
      <w:r w:rsidRPr="00CE6725">
        <w:t>It is not anticipated that the proposal would have a material impact on departmental expenses based on other changes with a similar level of administrative complexity.</w:t>
      </w:r>
    </w:p>
    <w:p w:rsidR="00CE6725" w:rsidRPr="00CE6725" w:rsidRDefault="00CE6725" w:rsidP="00CE6725">
      <w:pPr>
        <w:pStyle w:val="BodyText"/>
      </w:pPr>
      <w:r w:rsidRPr="00CE6725">
        <w:t>This costing is considered to be of high reliability as the level of PHI rebate expenditure on policies that only cover public hospital treatments is very stable.</w:t>
      </w:r>
    </w:p>
    <w:p w:rsidR="00420CF4" w:rsidRDefault="00420CF4" w:rsidP="00420CF4">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4A0" w:firstRow="1" w:lastRow="0" w:firstColumn="1" w:lastColumn="0" w:noHBand="0" w:noVBand="1"/>
      </w:tblPr>
      <w:tblGrid>
        <w:gridCol w:w="2376"/>
        <w:gridCol w:w="1230"/>
        <w:gridCol w:w="1230"/>
        <w:gridCol w:w="1231"/>
        <w:gridCol w:w="1230"/>
        <w:gridCol w:w="1231"/>
      </w:tblGrid>
      <w:tr w:rsidR="00EB587F" w:rsidRPr="00D264E1" w:rsidTr="00EB587F">
        <w:trPr>
          <w:cnfStyle w:val="100000000000" w:firstRow="1" w:lastRow="0" w:firstColumn="0" w:lastColumn="0" w:oddVBand="0" w:evenVBand="0" w:oddHBand="0" w:evenHBand="0" w:firstRowFirstColumn="0" w:firstRowLastColumn="0" w:lastRowFirstColumn="0" w:lastRowLastColumn="0"/>
        </w:trPr>
        <w:tc>
          <w:tcPr>
            <w:tcW w:w="1393" w:type="pct"/>
          </w:tcPr>
          <w:p w:rsidR="00EB587F" w:rsidRPr="00D264E1" w:rsidRDefault="00EB587F" w:rsidP="00E27CD9">
            <w:pPr>
              <w:pStyle w:val="TableHeading"/>
            </w:pPr>
            <w:r>
              <w:t>Impact on ($m)</w:t>
            </w:r>
          </w:p>
        </w:tc>
        <w:tc>
          <w:tcPr>
            <w:tcW w:w="721" w:type="pct"/>
          </w:tcPr>
          <w:p w:rsidR="00EB587F" w:rsidRPr="00FC1F1C" w:rsidRDefault="00EB587F" w:rsidP="00E27CD9">
            <w:pPr>
              <w:pStyle w:val="TableHeadingRight"/>
            </w:pPr>
            <w:r>
              <w:t>2016–17</w:t>
            </w:r>
          </w:p>
        </w:tc>
        <w:tc>
          <w:tcPr>
            <w:tcW w:w="721" w:type="pct"/>
          </w:tcPr>
          <w:p w:rsidR="00EB587F" w:rsidRPr="00FC1F1C" w:rsidRDefault="00EB587F" w:rsidP="00E27CD9">
            <w:pPr>
              <w:pStyle w:val="TableHeadingRight"/>
            </w:pPr>
            <w:r>
              <w:t>2017–18</w:t>
            </w:r>
          </w:p>
        </w:tc>
        <w:tc>
          <w:tcPr>
            <w:tcW w:w="722" w:type="pct"/>
          </w:tcPr>
          <w:p w:rsidR="00EB587F" w:rsidRPr="00FC1F1C" w:rsidRDefault="00EB587F" w:rsidP="00E27CD9">
            <w:pPr>
              <w:pStyle w:val="TableHeadingRight"/>
            </w:pPr>
            <w:r>
              <w:t>2018–19</w:t>
            </w:r>
          </w:p>
        </w:tc>
        <w:tc>
          <w:tcPr>
            <w:tcW w:w="721" w:type="pct"/>
          </w:tcPr>
          <w:p w:rsidR="00EB587F" w:rsidRPr="00FC1F1C" w:rsidRDefault="00EB587F" w:rsidP="00E27CD9">
            <w:pPr>
              <w:pStyle w:val="TableHeadingRight"/>
            </w:pPr>
            <w:r>
              <w:t>2019–20</w:t>
            </w:r>
          </w:p>
        </w:tc>
        <w:tc>
          <w:tcPr>
            <w:tcW w:w="722" w:type="pct"/>
          </w:tcPr>
          <w:p w:rsidR="00EB587F" w:rsidRDefault="00EB587F" w:rsidP="00E27CD9">
            <w:pPr>
              <w:pStyle w:val="TableTextRight"/>
            </w:pPr>
            <w:r>
              <w:t>Total</w:t>
            </w:r>
          </w:p>
        </w:tc>
      </w:tr>
      <w:tr w:rsidR="00CE6725" w:rsidTr="00EB587F">
        <w:tc>
          <w:tcPr>
            <w:tcW w:w="1393" w:type="pct"/>
          </w:tcPr>
          <w:p w:rsidR="00CE6725" w:rsidRDefault="00CE6725" w:rsidP="00E27CD9">
            <w:pPr>
              <w:pStyle w:val="TableText"/>
            </w:pPr>
            <w:r>
              <w:t>Fiscal balance</w:t>
            </w:r>
          </w:p>
        </w:tc>
        <w:tc>
          <w:tcPr>
            <w:tcW w:w="721" w:type="pct"/>
          </w:tcPr>
          <w:p w:rsidR="00CE6725" w:rsidRPr="007A35C5" w:rsidRDefault="00CE6725" w:rsidP="00063C5B">
            <w:pPr>
              <w:pStyle w:val="TableTextRight"/>
            </w:pPr>
            <w:r w:rsidRPr="007A35C5">
              <w:t>36.2</w:t>
            </w:r>
          </w:p>
        </w:tc>
        <w:tc>
          <w:tcPr>
            <w:tcW w:w="721" w:type="pct"/>
          </w:tcPr>
          <w:p w:rsidR="00CE6725" w:rsidRPr="007A35C5" w:rsidRDefault="00CE6725" w:rsidP="00063C5B">
            <w:pPr>
              <w:pStyle w:val="TableTextRight"/>
            </w:pPr>
            <w:r w:rsidRPr="007A35C5">
              <w:t>36.7</w:t>
            </w:r>
          </w:p>
        </w:tc>
        <w:tc>
          <w:tcPr>
            <w:tcW w:w="722" w:type="pct"/>
          </w:tcPr>
          <w:p w:rsidR="00CE6725" w:rsidRPr="007A35C5" w:rsidRDefault="00CE6725" w:rsidP="00063C5B">
            <w:pPr>
              <w:pStyle w:val="TableTextRight"/>
            </w:pPr>
            <w:r w:rsidRPr="007A35C5">
              <w:t>37.0</w:t>
            </w:r>
          </w:p>
        </w:tc>
        <w:tc>
          <w:tcPr>
            <w:tcW w:w="721" w:type="pct"/>
          </w:tcPr>
          <w:p w:rsidR="00CE6725" w:rsidRPr="007A35C5" w:rsidRDefault="00CE6725" w:rsidP="00063C5B">
            <w:pPr>
              <w:pStyle w:val="TableTextRight"/>
            </w:pPr>
            <w:r w:rsidRPr="007A35C5">
              <w:t>37.4</w:t>
            </w:r>
          </w:p>
        </w:tc>
        <w:tc>
          <w:tcPr>
            <w:tcW w:w="722" w:type="pct"/>
          </w:tcPr>
          <w:p w:rsidR="00CE6725" w:rsidRPr="00B81C89" w:rsidRDefault="00CE6725" w:rsidP="00E27CD9">
            <w:pPr>
              <w:pStyle w:val="TableTextRight"/>
              <w:rPr>
                <w:b/>
              </w:rPr>
            </w:pPr>
            <w:r w:rsidRPr="00B81C89">
              <w:rPr>
                <w:b/>
              </w:rPr>
              <w:t>147.4</w:t>
            </w:r>
          </w:p>
        </w:tc>
      </w:tr>
      <w:tr w:rsidR="00CE6725" w:rsidTr="00EB587F">
        <w:tc>
          <w:tcPr>
            <w:tcW w:w="1393" w:type="pct"/>
          </w:tcPr>
          <w:p w:rsidR="00CE6725" w:rsidRDefault="00CE6725" w:rsidP="00E27CD9">
            <w:pPr>
              <w:pStyle w:val="TableText"/>
            </w:pPr>
            <w:r>
              <w:t>Underlying cash balance</w:t>
            </w:r>
          </w:p>
        </w:tc>
        <w:tc>
          <w:tcPr>
            <w:tcW w:w="721" w:type="pct"/>
          </w:tcPr>
          <w:p w:rsidR="00CE6725" w:rsidRPr="007A35C5" w:rsidRDefault="00CE6725" w:rsidP="00063C5B">
            <w:pPr>
              <w:pStyle w:val="TableTextRight"/>
            </w:pPr>
            <w:r w:rsidRPr="007A35C5">
              <w:t>33.2</w:t>
            </w:r>
          </w:p>
        </w:tc>
        <w:tc>
          <w:tcPr>
            <w:tcW w:w="721" w:type="pct"/>
          </w:tcPr>
          <w:p w:rsidR="00CE6725" w:rsidRPr="007A35C5" w:rsidRDefault="00CE6725" w:rsidP="00063C5B">
            <w:pPr>
              <w:pStyle w:val="TableTextRight"/>
            </w:pPr>
            <w:r w:rsidRPr="007A35C5">
              <w:t>33.7</w:t>
            </w:r>
          </w:p>
        </w:tc>
        <w:tc>
          <w:tcPr>
            <w:tcW w:w="722" w:type="pct"/>
          </w:tcPr>
          <w:p w:rsidR="00CE6725" w:rsidRPr="007A35C5" w:rsidRDefault="00CE6725" w:rsidP="00063C5B">
            <w:pPr>
              <w:pStyle w:val="TableTextRight"/>
            </w:pPr>
            <w:r w:rsidRPr="007A35C5">
              <w:t>34.0</w:t>
            </w:r>
          </w:p>
        </w:tc>
        <w:tc>
          <w:tcPr>
            <w:tcW w:w="721" w:type="pct"/>
          </w:tcPr>
          <w:p w:rsidR="00CE6725" w:rsidRPr="007A35C5" w:rsidRDefault="00CE6725" w:rsidP="00063C5B">
            <w:pPr>
              <w:pStyle w:val="TableTextRight"/>
            </w:pPr>
            <w:r w:rsidRPr="007A35C5">
              <w:t>34.3</w:t>
            </w:r>
          </w:p>
        </w:tc>
        <w:tc>
          <w:tcPr>
            <w:tcW w:w="722" w:type="pct"/>
          </w:tcPr>
          <w:p w:rsidR="00CE6725" w:rsidRPr="00B81C89" w:rsidRDefault="00CE6725" w:rsidP="00E27CD9">
            <w:pPr>
              <w:pStyle w:val="TableTextRight"/>
              <w:rPr>
                <w:b/>
              </w:rPr>
            </w:pPr>
            <w:r w:rsidRPr="00B81C89">
              <w:rPr>
                <w:b/>
              </w:rPr>
              <w:t>135.1</w:t>
            </w:r>
          </w:p>
        </w:tc>
      </w:tr>
    </w:tbl>
    <w:p w:rsidR="00420CF4" w:rsidRDefault="00420CF4" w:rsidP="002C43F8">
      <w:pPr>
        <w:pStyle w:val="Footnotes"/>
        <w:numPr>
          <w:ilvl w:val="0"/>
          <w:numId w:val="63"/>
        </w:numPr>
        <w:ind w:left="284" w:hanging="284"/>
      </w:pPr>
      <w:r>
        <w:t xml:space="preserve">A positive </w:t>
      </w:r>
      <w:r w:rsidRPr="00FC1F1C">
        <w:t>number indicates an increase in the relevant budget balance.</w:t>
      </w:r>
    </w:p>
    <w:p w:rsidR="00420CF4" w:rsidRPr="000E063A" w:rsidRDefault="00420CF4" w:rsidP="00921AC6">
      <w:pPr>
        <w:pStyle w:val="Footnotes"/>
        <w:ind w:left="284" w:hanging="284"/>
        <w:rPr>
          <w:rStyle w:val="FootnoteReference"/>
          <w:vertAlign w:val="baseline"/>
        </w:rPr>
      </w:pPr>
      <w:r w:rsidRPr="000E063A">
        <w:t>Figures may not sum to totals due to rounding.</w:t>
      </w:r>
    </w:p>
    <w:p w:rsidR="00420CF4" w:rsidRDefault="00420CF4" w:rsidP="00420CF4">
      <w:pPr>
        <w:pStyle w:val="CostingsH7"/>
      </w:pPr>
      <w:r>
        <w:t>Methodology</w:t>
      </w:r>
    </w:p>
    <w:p w:rsidR="00B437E1" w:rsidRPr="00B437E1" w:rsidRDefault="00B437E1" w:rsidP="00B437E1">
      <w:pPr>
        <w:pStyle w:val="BodyText"/>
      </w:pPr>
      <w:r w:rsidRPr="00B437E1">
        <w:t xml:space="preserve">The decrease in expenditure was calculated by reversing the estimated PHI rebate expenditure for policies that cover public hospital treatments only over </w:t>
      </w:r>
      <w:r>
        <w:t>the period 2016-17 to 2019-20.</w:t>
      </w:r>
    </w:p>
    <w:p w:rsidR="00420CF4" w:rsidRDefault="00420CF4" w:rsidP="00420CF4">
      <w:pPr>
        <w:pStyle w:val="CostingsH7"/>
      </w:pPr>
      <w:r>
        <w:t>Data sources</w:t>
      </w:r>
    </w:p>
    <w:p w:rsidR="00420CF4" w:rsidRDefault="00B437E1" w:rsidP="00420CF4">
      <w:pPr>
        <w:pStyle w:val="BodyText"/>
      </w:pPr>
      <w:r w:rsidRPr="00B437E1">
        <w:t>The Department of Health provided the PHI rebate expenditure estimates for policies that only cover public hospital treatments over the period 2016-17 to 2019-20.</w:t>
      </w:r>
    </w:p>
    <w:p w:rsidR="005103B7" w:rsidRPr="00951305" w:rsidRDefault="005103B7" w:rsidP="00420CF4">
      <w:pPr>
        <w:pStyle w:val="BodyText"/>
      </w:pPr>
    </w:p>
    <w:p w:rsidR="00420CF4" w:rsidRDefault="00420CF4" w:rsidP="00420CF4">
      <w:pPr>
        <w:pStyle w:val="BodyText"/>
        <w:sectPr w:rsidR="00420CF4" w:rsidSect="003D396D">
          <w:headerReference w:type="even" r:id="rId94"/>
          <w:headerReference w:type="default" r:id="rId95"/>
          <w:footerReference w:type="even" r:id="rId96"/>
          <w:footerReference w:type="default" r:id="rId97"/>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34" w:name="_Toc458081654"/>
      <w:r>
        <w:t>ALP030: Capping deductions for managing tax affairs at $5,000</w:t>
      </w:r>
      <w:bookmarkEnd w:id="34"/>
    </w:p>
    <w:p w:rsidR="00745988" w:rsidRDefault="00745988" w:rsidP="00745988">
      <w:pPr>
        <w:pStyle w:val="BodyText"/>
      </w:pPr>
      <w:r>
        <w:rPr>
          <w:noProof/>
          <w:lang w:eastAsia="en-AU"/>
        </w:rPr>
        <w:drawing>
          <wp:inline distT="0" distB="0" distL="0" distR="0" wp14:anchorId="53B02028" wp14:editId="26CE8C74">
            <wp:extent cx="2696845" cy="572135"/>
            <wp:effectExtent l="0" t="0" r="8255" b="0"/>
            <wp:docPr id="363" name="Picture 36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5103B7">
            <w:pPr>
              <w:pStyle w:val="PullOutBoxHeading"/>
              <w:rPr>
                <w:b/>
              </w:rPr>
            </w:pPr>
            <w:r w:rsidRPr="00E758BA">
              <w:rPr>
                <w:b/>
              </w:rPr>
              <w:t>Name of proposal:</w:t>
            </w:r>
          </w:p>
        </w:tc>
        <w:tc>
          <w:tcPr>
            <w:tcW w:w="3191" w:type="pct"/>
          </w:tcPr>
          <w:p w:rsidR="00420CF4" w:rsidRPr="00E758BA" w:rsidRDefault="00C07157" w:rsidP="005103B7">
            <w:pPr>
              <w:pStyle w:val="PullOutBoxHeading"/>
              <w:rPr>
                <w:b/>
              </w:rPr>
            </w:pPr>
            <w:r w:rsidRPr="00E758BA">
              <w:rPr>
                <w:b/>
              </w:rPr>
              <w:t>Capping deductions for managing tax affairs at $5,000</w:t>
            </w:r>
          </w:p>
        </w:tc>
      </w:tr>
      <w:tr w:rsidR="00420CF4" w:rsidRPr="00B45F94" w:rsidTr="00967BCD">
        <w:tc>
          <w:tcPr>
            <w:tcW w:w="1809" w:type="pct"/>
          </w:tcPr>
          <w:p w:rsidR="00420CF4" w:rsidRPr="00B45F94" w:rsidRDefault="00420CF4" w:rsidP="005103B7">
            <w:pPr>
              <w:pStyle w:val="PullOutBoxBodyText"/>
            </w:pPr>
            <w:r w:rsidRPr="00B45F94">
              <w:t>Summary of proposal:</w:t>
            </w:r>
          </w:p>
        </w:tc>
        <w:tc>
          <w:tcPr>
            <w:tcW w:w="3191" w:type="pct"/>
          </w:tcPr>
          <w:p w:rsidR="00C07157" w:rsidRDefault="00C07157" w:rsidP="005103B7">
            <w:pPr>
              <w:pStyle w:val="PullOutBoxBodyText"/>
            </w:pPr>
            <w:r>
              <w:t>The proposal would implement a cap of $5,000 on tax deductions for individual taxpayers related to the cost of managing tax affairs.</w:t>
            </w:r>
          </w:p>
          <w:p w:rsidR="00C07157" w:rsidRDefault="00C07157" w:rsidP="005103B7">
            <w:pPr>
              <w:pStyle w:val="PullOutBoxBodyText"/>
            </w:pPr>
            <w:r>
              <w:t>The cap on the cost of managing tax affairs would not apply to small businesses with positive business income and annual turnover of less than $2 million.</w:t>
            </w:r>
          </w:p>
          <w:p w:rsidR="00C07157" w:rsidRDefault="00C07157" w:rsidP="005103B7">
            <w:pPr>
              <w:pStyle w:val="PullOutBoxBodyText"/>
            </w:pPr>
            <w:r>
              <w:t>The deduction cap would not apply to adjusted taxable income (ATI) for the purposes of calculating eligibility for family and childcare payments.</w:t>
            </w:r>
          </w:p>
          <w:p w:rsidR="00420CF4" w:rsidRPr="00B45F94" w:rsidRDefault="00C07157" w:rsidP="005103B7">
            <w:pPr>
              <w:pStyle w:val="PullOutBoxBodyText"/>
            </w:pPr>
            <w:r>
              <w:t>The proposal would have effect from 1 July 2017.</w:t>
            </w:r>
          </w:p>
        </w:tc>
      </w:tr>
      <w:tr w:rsidR="00420CF4" w:rsidRPr="00B45F94" w:rsidTr="00967BCD">
        <w:tc>
          <w:tcPr>
            <w:tcW w:w="1809" w:type="pct"/>
          </w:tcPr>
          <w:p w:rsidR="00420CF4" w:rsidRPr="00B45F94" w:rsidRDefault="00420CF4" w:rsidP="005103B7">
            <w:pPr>
              <w:pStyle w:val="PullOutBoxBodyText"/>
            </w:pPr>
            <w:r>
              <w:t>Party:</w:t>
            </w:r>
          </w:p>
        </w:tc>
        <w:tc>
          <w:tcPr>
            <w:tcW w:w="3191" w:type="pct"/>
          </w:tcPr>
          <w:p w:rsidR="00420CF4" w:rsidRPr="00B45F94" w:rsidRDefault="00420CF4" w:rsidP="005103B7">
            <w:pPr>
              <w:pStyle w:val="PullOutBoxBodyText"/>
            </w:pPr>
            <w:r>
              <w:t>Australian Labor Party</w:t>
            </w:r>
          </w:p>
        </w:tc>
      </w:tr>
      <w:tr w:rsidR="00420CF4" w:rsidRPr="00B45F94" w:rsidTr="00967BCD">
        <w:tc>
          <w:tcPr>
            <w:tcW w:w="1809" w:type="pct"/>
          </w:tcPr>
          <w:p w:rsidR="00420CF4" w:rsidRPr="00B45F94" w:rsidRDefault="00420CF4" w:rsidP="005103B7">
            <w:pPr>
              <w:pStyle w:val="PullOutBoxBodyText"/>
            </w:pPr>
            <w:r w:rsidRPr="00B45F94">
              <w:t>Expiry date for the costing:</w:t>
            </w:r>
          </w:p>
        </w:tc>
        <w:tc>
          <w:tcPr>
            <w:tcW w:w="3191" w:type="pct"/>
          </w:tcPr>
          <w:p w:rsidR="00420CF4" w:rsidRPr="00B45F94" w:rsidRDefault="00EC102A" w:rsidP="005103B7">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4C2538" w:rsidRDefault="004C2538" w:rsidP="004C2538">
      <w:pPr>
        <w:pStyle w:val="BodyText"/>
      </w:pPr>
      <w:r>
        <w:t>The proposal would be expected to increase the fiscal and underlying cash balances by $295</w:t>
      </w:r>
      <w:r w:rsidR="00232D19">
        <w:t> million over the 2016</w:t>
      </w:r>
      <w:r w:rsidR="00232D19">
        <w:noBreakHyphen/>
      </w:r>
      <w:r>
        <w:t>17 Budget forward estimates period.  This is almost entirely due to an increase in revenue, but also includes $5 million in departmental expenses for the Australian Taxation Office (ATO).</w:t>
      </w:r>
    </w:p>
    <w:p w:rsidR="004C2538" w:rsidRDefault="004C2538" w:rsidP="004C2538">
      <w:pPr>
        <w:pStyle w:val="BodyText"/>
      </w:pPr>
      <w:r>
        <w:t xml:space="preserve">This proposal would have ongoing financial implications beyond the 2016-17 Budget forward estimates period.  As the cap would not be indexed, the proportion of taxpayers affected by the proposal would be expected to increase over time. </w:t>
      </w:r>
    </w:p>
    <w:p w:rsidR="004C2538" w:rsidRDefault="004C2538" w:rsidP="004C2538">
      <w:pPr>
        <w:pStyle w:val="BodyText"/>
      </w:pPr>
      <w:r>
        <w:t>Departmental expenses for the A</w:t>
      </w:r>
      <w:r w:rsidR="00232D19">
        <w:t>TO of around $3 million in 2016</w:t>
      </w:r>
      <w:r w:rsidR="00232D19">
        <w:noBreakHyphen/>
        <w:t>17 and $2 million in 2017</w:t>
      </w:r>
      <w:r w:rsidR="00232D19">
        <w:noBreakHyphen/>
      </w:r>
      <w:r>
        <w:t xml:space="preserve">18 reflect the estimated cost of implementation and administration of the proposal. </w:t>
      </w:r>
    </w:p>
    <w:p w:rsidR="00232D19" w:rsidRDefault="004C2538" w:rsidP="004C2538">
      <w:pPr>
        <w:pStyle w:val="BodyText"/>
      </w:pPr>
      <w:r>
        <w:t>This costing is considered to be of low reliability as the estimates are very sensitive to behavioural responses by individuals affected by the proposal.</w:t>
      </w:r>
    </w:p>
    <w:p w:rsidR="00420CF4" w:rsidRDefault="00420CF4" w:rsidP="00745988">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B587F" w:rsidRPr="00D264E1" w:rsidTr="00E27CD9">
        <w:trPr>
          <w:cnfStyle w:val="100000000000" w:firstRow="1" w:lastRow="0" w:firstColumn="0" w:lastColumn="0" w:oddVBand="0" w:evenVBand="0" w:oddHBand="0" w:evenHBand="0" w:firstRowFirstColumn="0" w:firstRowLastColumn="0" w:lastRowFirstColumn="0" w:lastRowLastColumn="0"/>
        </w:trPr>
        <w:tc>
          <w:tcPr>
            <w:tcW w:w="1393" w:type="pct"/>
          </w:tcPr>
          <w:p w:rsidR="00EB587F" w:rsidRPr="00D264E1" w:rsidRDefault="00EB587F" w:rsidP="00745988">
            <w:pPr>
              <w:pStyle w:val="TableHeading"/>
            </w:pPr>
            <w:r>
              <w:t>Impact on ($m)</w:t>
            </w:r>
          </w:p>
        </w:tc>
        <w:tc>
          <w:tcPr>
            <w:tcW w:w="721" w:type="pct"/>
          </w:tcPr>
          <w:p w:rsidR="00EB587F" w:rsidRPr="00FC1F1C" w:rsidRDefault="00EB587F" w:rsidP="00745988">
            <w:pPr>
              <w:pStyle w:val="TableHeadingRight"/>
            </w:pPr>
            <w:r>
              <w:t>2016–17</w:t>
            </w:r>
          </w:p>
        </w:tc>
        <w:tc>
          <w:tcPr>
            <w:tcW w:w="721" w:type="pct"/>
          </w:tcPr>
          <w:p w:rsidR="00EB587F" w:rsidRPr="00FC1F1C" w:rsidRDefault="00EB587F" w:rsidP="00745988">
            <w:pPr>
              <w:pStyle w:val="TableHeadingRight"/>
            </w:pPr>
            <w:r>
              <w:t>2017–18</w:t>
            </w:r>
          </w:p>
        </w:tc>
        <w:tc>
          <w:tcPr>
            <w:tcW w:w="722" w:type="pct"/>
          </w:tcPr>
          <w:p w:rsidR="00EB587F" w:rsidRPr="00FC1F1C" w:rsidRDefault="00EB587F" w:rsidP="00745988">
            <w:pPr>
              <w:pStyle w:val="TableHeadingRight"/>
            </w:pPr>
            <w:r>
              <w:t>2018–19</w:t>
            </w:r>
          </w:p>
        </w:tc>
        <w:tc>
          <w:tcPr>
            <w:tcW w:w="721" w:type="pct"/>
          </w:tcPr>
          <w:p w:rsidR="00EB587F" w:rsidRPr="00FC1F1C" w:rsidRDefault="00EB587F" w:rsidP="00745988">
            <w:pPr>
              <w:pStyle w:val="TableHeadingRight"/>
            </w:pPr>
            <w:r>
              <w:t>2019–20</w:t>
            </w:r>
          </w:p>
        </w:tc>
        <w:tc>
          <w:tcPr>
            <w:tcW w:w="722" w:type="pct"/>
          </w:tcPr>
          <w:p w:rsidR="00EB587F" w:rsidRDefault="00EB587F" w:rsidP="00745988">
            <w:pPr>
              <w:pStyle w:val="TableTextRight"/>
              <w:keepNext/>
              <w:keepLines/>
            </w:pPr>
            <w:r>
              <w:t>Total</w:t>
            </w:r>
          </w:p>
        </w:tc>
      </w:tr>
      <w:tr w:rsidR="004C2538" w:rsidRPr="006B5FE9" w:rsidTr="00E27CD9">
        <w:tc>
          <w:tcPr>
            <w:tcW w:w="1393" w:type="pct"/>
          </w:tcPr>
          <w:p w:rsidR="004C2538" w:rsidRPr="006B5FE9" w:rsidRDefault="004C2538" w:rsidP="00745988">
            <w:pPr>
              <w:pStyle w:val="TableText"/>
              <w:keepNext/>
              <w:keepLines/>
              <w:rPr>
                <w:szCs w:val="20"/>
              </w:rPr>
            </w:pPr>
            <w:r w:rsidRPr="006B5FE9">
              <w:rPr>
                <w:szCs w:val="20"/>
              </w:rPr>
              <w:t>Fiscal balance</w:t>
            </w:r>
          </w:p>
        </w:tc>
        <w:tc>
          <w:tcPr>
            <w:tcW w:w="721" w:type="pct"/>
          </w:tcPr>
          <w:p w:rsidR="004C2538" w:rsidRPr="006B5FE9" w:rsidRDefault="004C2538" w:rsidP="00745988">
            <w:pPr>
              <w:pStyle w:val="TableTextRight"/>
              <w:keepNext/>
              <w:keepLines/>
              <w:rPr>
                <w:szCs w:val="20"/>
              </w:rPr>
            </w:pPr>
            <w:r w:rsidRPr="006B5FE9">
              <w:rPr>
                <w:szCs w:val="20"/>
              </w:rPr>
              <w:t>-3.0</w:t>
            </w:r>
          </w:p>
        </w:tc>
        <w:tc>
          <w:tcPr>
            <w:tcW w:w="721" w:type="pct"/>
          </w:tcPr>
          <w:p w:rsidR="004C2538" w:rsidRPr="006B5FE9" w:rsidRDefault="004C2538" w:rsidP="00745988">
            <w:pPr>
              <w:pStyle w:val="TableTextRight"/>
              <w:keepNext/>
              <w:keepLines/>
              <w:rPr>
                <w:szCs w:val="20"/>
              </w:rPr>
            </w:pPr>
            <w:r w:rsidRPr="006B5FE9">
              <w:rPr>
                <w:szCs w:val="20"/>
              </w:rPr>
              <w:t>-2.0</w:t>
            </w:r>
          </w:p>
        </w:tc>
        <w:tc>
          <w:tcPr>
            <w:tcW w:w="722" w:type="pct"/>
          </w:tcPr>
          <w:p w:rsidR="004C2538" w:rsidRPr="006B5FE9" w:rsidRDefault="004C2538" w:rsidP="00745988">
            <w:pPr>
              <w:pStyle w:val="TableTextRight"/>
              <w:keepNext/>
              <w:keepLines/>
              <w:rPr>
                <w:szCs w:val="20"/>
              </w:rPr>
            </w:pPr>
            <w:r w:rsidRPr="006B5FE9">
              <w:rPr>
                <w:szCs w:val="20"/>
              </w:rPr>
              <w:t>150.0</w:t>
            </w:r>
          </w:p>
        </w:tc>
        <w:tc>
          <w:tcPr>
            <w:tcW w:w="721" w:type="pct"/>
          </w:tcPr>
          <w:p w:rsidR="004C2538" w:rsidRPr="006B5FE9" w:rsidRDefault="004C2538" w:rsidP="00745988">
            <w:pPr>
              <w:pStyle w:val="TableTextRight"/>
              <w:keepNext/>
              <w:keepLines/>
              <w:rPr>
                <w:szCs w:val="20"/>
              </w:rPr>
            </w:pPr>
            <w:r w:rsidRPr="006B5FE9">
              <w:rPr>
                <w:szCs w:val="20"/>
              </w:rPr>
              <w:t>150.0</w:t>
            </w:r>
          </w:p>
        </w:tc>
        <w:tc>
          <w:tcPr>
            <w:tcW w:w="722" w:type="pct"/>
          </w:tcPr>
          <w:p w:rsidR="004C2538" w:rsidRPr="006B5FE9" w:rsidRDefault="004C2538" w:rsidP="00745988">
            <w:pPr>
              <w:pStyle w:val="TableTextRight"/>
              <w:keepNext/>
              <w:keepLines/>
              <w:rPr>
                <w:b/>
                <w:szCs w:val="20"/>
              </w:rPr>
            </w:pPr>
            <w:r w:rsidRPr="006B5FE9">
              <w:rPr>
                <w:b/>
                <w:szCs w:val="20"/>
              </w:rPr>
              <w:t>295.0</w:t>
            </w:r>
          </w:p>
        </w:tc>
      </w:tr>
      <w:tr w:rsidR="004C2538" w:rsidRPr="006B5FE9" w:rsidTr="00E27CD9">
        <w:tc>
          <w:tcPr>
            <w:tcW w:w="1393" w:type="pct"/>
          </w:tcPr>
          <w:p w:rsidR="004C2538" w:rsidRPr="006B5FE9" w:rsidRDefault="004C2538" w:rsidP="00745988">
            <w:pPr>
              <w:pStyle w:val="TableText"/>
              <w:keepNext/>
              <w:keepLines/>
              <w:rPr>
                <w:szCs w:val="20"/>
              </w:rPr>
            </w:pPr>
            <w:r w:rsidRPr="006B5FE9">
              <w:rPr>
                <w:szCs w:val="20"/>
              </w:rPr>
              <w:t>Underlying cash balance</w:t>
            </w:r>
          </w:p>
        </w:tc>
        <w:tc>
          <w:tcPr>
            <w:tcW w:w="721" w:type="pct"/>
          </w:tcPr>
          <w:p w:rsidR="004C2538" w:rsidRPr="006B5FE9" w:rsidRDefault="004C2538" w:rsidP="00745988">
            <w:pPr>
              <w:pStyle w:val="TableTextRight"/>
              <w:keepNext/>
              <w:keepLines/>
              <w:rPr>
                <w:szCs w:val="20"/>
              </w:rPr>
            </w:pPr>
            <w:r w:rsidRPr="006B5FE9">
              <w:rPr>
                <w:szCs w:val="20"/>
              </w:rPr>
              <w:t>-3.0</w:t>
            </w:r>
          </w:p>
        </w:tc>
        <w:tc>
          <w:tcPr>
            <w:tcW w:w="721" w:type="pct"/>
          </w:tcPr>
          <w:p w:rsidR="004C2538" w:rsidRPr="006B5FE9" w:rsidRDefault="004C2538" w:rsidP="00745988">
            <w:pPr>
              <w:pStyle w:val="TableTextRight"/>
              <w:keepNext/>
              <w:keepLines/>
              <w:rPr>
                <w:szCs w:val="20"/>
              </w:rPr>
            </w:pPr>
            <w:r w:rsidRPr="006B5FE9">
              <w:rPr>
                <w:szCs w:val="20"/>
              </w:rPr>
              <w:t>-2.0</w:t>
            </w:r>
          </w:p>
        </w:tc>
        <w:tc>
          <w:tcPr>
            <w:tcW w:w="722" w:type="pct"/>
          </w:tcPr>
          <w:p w:rsidR="004C2538" w:rsidRPr="006B5FE9" w:rsidRDefault="004C2538" w:rsidP="00745988">
            <w:pPr>
              <w:pStyle w:val="TableTextRight"/>
              <w:keepNext/>
              <w:keepLines/>
              <w:rPr>
                <w:szCs w:val="20"/>
              </w:rPr>
            </w:pPr>
            <w:r w:rsidRPr="006B5FE9">
              <w:rPr>
                <w:szCs w:val="20"/>
              </w:rPr>
              <w:t>150.0</w:t>
            </w:r>
          </w:p>
        </w:tc>
        <w:tc>
          <w:tcPr>
            <w:tcW w:w="721" w:type="pct"/>
          </w:tcPr>
          <w:p w:rsidR="004C2538" w:rsidRPr="006B5FE9" w:rsidRDefault="004C2538" w:rsidP="00745988">
            <w:pPr>
              <w:pStyle w:val="TableTextRight"/>
              <w:keepNext/>
              <w:keepLines/>
              <w:rPr>
                <w:szCs w:val="20"/>
              </w:rPr>
            </w:pPr>
            <w:r w:rsidRPr="006B5FE9">
              <w:rPr>
                <w:szCs w:val="20"/>
              </w:rPr>
              <w:t>150.0</w:t>
            </w:r>
          </w:p>
        </w:tc>
        <w:tc>
          <w:tcPr>
            <w:tcW w:w="722" w:type="pct"/>
          </w:tcPr>
          <w:p w:rsidR="004C2538" w:rsidRPr="006B5FE9" w:rsidRDefault="004C2538" w:rsidP="00745988">
            <w:pPr>
              <w:pStyle w:val="TableTextRight"/>
              <w:keepNext/>
              <w:keepLines/>
              <w:rPr>
                <w:b/>
                <w:szCs w:val="20"/>
              </w:rPr>
            </w:pPr>
            <w:r w:rsidRPr="006B5FE9">
              <w:rPr>
                <w:b/>
                <w:szCs w:val="20"/>
              </w:rPr>
              <w:t>295.0</w:t>
            </w:r>
          </w:p>
        </w:tc>
      </w:tr>
    </w:tbl>
    <w:p w:rsidR="00420CF4" w:rsidRDefault="00420CF4" w:rsidP="00921AC6">
      <w:pPr>
        <w:pStyle w:val="Footnotes"/>
        <w:numPr>
          <w:ilvl w:val="0"/>
          <w:numId w:val="64"/>
        </w:numPr>
        <w:ind w:left="284" w:hanging="284"/>
      </w:pPr>
      <w:r>
        <w:t xml:space="preserve">A positive </w:t>
      </w:r>
      <w:r w:rsidRPr="00FC1F1C">
        <w:t>number indicates an increase in the relevant budget balance, a negative number a decrease.</w:t>
      </w:r>
    </w:p>
    <w:p w:rsidR="00420CF4" w:rsidRPr="000E063A" w:rsidRDefault="00420CF4" w:rsidP="00921AC6">
      <w:pPr>
        <w:pStyle w:val="Footnotes"/>
        <w:ind w:left="284" w:hanging="284"/>
        <w:rPr>
          <w:rStyle w:val="FootnoteReference"/>
          <w:vertAlign w:val="baseline"/>
        </w:rPr>
      </w:pPr>
      <w:r w:rsidRPr="000E063A">
        <w:t>Figures may not sum to totals due to rounding.</w:t>
      </w:r>
    </w:p>
    <w:p w:rsidR="00420CF4" w:rsidRDefault="00420CF4" w:rsidP="00921AC6">
      <w:pPr>
        <w:pStyle w:val="CostingsH7"/>
        <w:ind w:left="284" w:hanging="284"/>
        <w:contextualSpacing/>
      </w:pPr>
      <w:r>
        <w:t>Key assumptions</w:t>
      </w:r>
    </w:p>
    <w:p w:rsidR="004760AF" w:rsidRDefault="004760AF" w:rsidP="004760AF">
      <w:pPr>
        <w:pStyle w:val="ListBullet"/>
      </w:pPr>
      <w:r>
        <w:t>The Parliamentary Budget Office has assumed that there would be limited scope to bring forward costs of managing tax affairs from 2017</w:t>
      </w:r>
      <w:r>
        <w:noBreakHyphen/>
        <w:t>18 to 2016-17.</w:t>
      </w:r>
      <w:r w:rsidRPr="00E53973">
        <w:rPr>
          <w:rStyle w:val="FootnoteReference"/>
        </w:rPr>
        <w:footnoteReference w:id="10"/>
      </w:r>
    </w:p>
    <w:p w:rsidR="004760AF" w:rsidRPr="004760AF" w:rsidRDefault="004760AF" w:rsidP="004760AF">
      <w:pPr>
        <w:pStyle w:val="ListBullet"/>
      </w:pPr>
      <w:r>
        <w:t>The costing includes an assumed behavioural response to the proposal.</w:t>
      </w:r>
    </w:p>
    <w:p w:rsidR="00420CF4" w:rsidRDefault="00420CF4" w:rsidP="00420CF4">
      <w:pPr>
        <w:pStyle w:val="CostingsH7"/>
      </w:pPr>
      <w:r>
        <w:t>Methodology</w:t>
      </w:r>
    </w:p>
    <w:p w:rsidR="004760AF" w:rsidRDefault="004760AF" w:rsidP="004760AF">
      <w:pPr>
        <w:pStyle w:val="ListBullet"/>
      </w:pPr>
      <w:r>
        <w:t>The costing was estimated using de-identified personal income tax and superannuation return data from the ATO.</w:t>
      </w:r>
    </w:p>
    <w:p w:rsidR="004760AF" w:rsidRDefault="004760AF" w:rsidP="004760AF">
      <w:pPr>
        <w:pStyle w:val="ListBullet"/>
      </w:pPr>
      <w:r>
        <w:t>The data was used to estimate the amount by which expenses associated with the cost of managing tax affairs decreased taxable income for affected individuals.</w:t>
      </w:r>
    </w:p>
    <w:p w:rsidR="004760AF" w:rsidRDefault="004760AF" w:rsidP="004760AF">
      <w:pPr>
        <w:pStyle w:val="ListBullet"/>
      </w:pPr>
      <w:r>
        <w:t>The base level taxable income was then adjusted to account for the behavioural response identified above.</w:t>
      </w:r>
    </w:p>
    <w:p w:rsidR="004760AF" w:rsidRDefault="004760AF" w:rsidP="004760AF">
      <w:pPr>
        <w:pStyle w:val="ListBullet"/>
      </w:pPr>
      <w:r>
        <w:t>Financial implications were estimated for each individual in the data under current policy settings and also under the proposed policy.  The difference between current policy and the proposal gives the costing.</w:t>
      </w:r>
    </w:p>
    <w:p w:rsidR="004760AF" w:rsidRDefault="004760AF" w:rsidP="004760AF">
      <w:pPr>
        <w:pStyle w:val="ListBullet"/>
      </w:pPr>
      <w:r>
        <w:t>All estimates were adjusted to reflect the timing of tax collections.</w:t>
      </w:r>
    </w:p>
    <w:p w:rsidR="004760AF" w:rsidRDefault="004760AF" w:rsidP="004760AF">
      <w:pPr>
        <w:pStyle w:val="ListBullet"/>
      </w:pPr>
      <w:r>
        <w:t>Departmental expenses were estimated based on amounts allocated to the ATO for measures with similar administrative complexity.</w:t>
      </w:r>
    </w:p>
    <w:p w:rsidR="004760AF" w:rsidRPr="004760AF" w:rsidRDefault="004760AF" w:rsidP="004760AF">
      <w:pPr>
        <w:pStyle w:val="ListBullet"/>
      </w:pPr>
      <w:r>
        <w:t>Revenue estimates have been rounded to the nearest $50 million.  Departmental expense estimates have been rounded to the nearest $1 million.</w:t>
      </w:r>
    </w:p>
    <w:p w:rsidR="00420CF4" w:rsidRDefault="00420CF4" w:rsidP="00420CF4">
      <w:pPr>
        <w:pStyle w:val="CostingsH7"/>
      </w:pPr>
      <w:r>
        <w:t>Data sources</w:t>
      </w:r>
    </w:p>
    <w:p w:rsidR="00420CF4" w:rsidRDefault="00097567" w:rsidP="00420CF4">
      <w:pPr>
        <w:pStyle w:val="BodyText"/>
      </w:pPr>
      <w:r w:rsidRPr="00097567">
        <w:t>The Australian Taxation Office provided d</w:t>
      </w:r>
      <w:r w:rsidR="004760AF" w:rsidRPr="00097567">
        <w:t>e-identified 16 per cent sample of personal income tax and superannuation returns for 2012</w:t>
      </w:r>
      <w:r w:rsidR="004760AF" w:rsidRPr="00097567">
        <w:noBreakHyphen/>
        <w:t>13.</w:t>
      </w:r>
    </w:p>
    <w:p w:rsidR="005103B7" w:rsidRPr="00951305" w:rsidRDefault="005103B7"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35" w:name="_Toc458081655"/>
      <w:r>
        <w:t>ALP031: A</w:t>
      </w:r>
      <w:r w:rsidR="008E4F88">
        <w:t>pprentice Ready</w:t>
      </w:r>
      <w:bookmarkEnd w:id="35"/>
    </w:p>
    <w:p w:rsidR="00745988" w:rsidRDefault="00745988" w:rsidP="00745988">
      <w:pPr>
        <w:pStyle w:val="BodyText"/>
      </w:pPr>
      <w:r>
        <w:rPr>
          <w:noProof/>
          <w:lang w:eastAsia="en-AU"/>
        </w:rPr>
        <w:drawing>
          <wp:inline distT="0" distB="0" distL="0" distR="0" wp14:anchorId="5CEF0EFD" wp14:editId="5A1ED960">
            <wp:extent cx="2696845" cy="572135"/>
            <wp:effectExtent l="0" t="0" r="8255" b="0"/>
            <wp:docPr id="362" name="Picture 36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758BA"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758BA" w:rsidRDefault="00420CF4" w:rsidP="005103B7">
            <w:pPr>
              <w:pStyle w:val="PullOutBoxHeading"/>
              <w:rPr>
                <w:b/>
              </w:rPr>
            </w:pPr>
            <w:r w:rsidRPr="00E758BA">
              <w:rPr>
                <w:b/>
              </w:rPr>
              <w:t>Name of proposal:</w:t>
            </w:r>
          </w:p>
        </w:tc>
        <w:tc>
          <w:tcPr>
            <w:tcW w:w="3191" w:type="pct"/>
          </w:tcPr>
          <w:p w:rsidR="00420CF4" w:rsidRPr="00E758BA" w:rsidRDefault="007E7832" w:rsidP="005103B7">
            <w:pPr>
              <w:pStyle w:val="PullOutBoxHeading"/>
              <w:rPr>
                <w:b/>
              </w:rPr>
            </w:pPr>
            <w:r w:rsidRPr="00E758BA">
              <w:rPr>
                <w:b/>
              </w:rPr>
              <w:t>Apprentice Ready</w:t>
            </w:r>
          </w:p>
        </w:tc>
      </w:tr>
      <w:tr w:rsidR="00420CF4" w:rsidRPr="005103B7" w:rsidTr="00967BCD">
        <w:tc>
          <w:tcPr>
            <w:tcW w:w="1809" w:type="pct"/>
          </w:tcPr>
          <w:p w:rsidR="00420CF4" w:rsidRPr="005103B7" w:rsidRDefault="00420CF4" w:rsidP="00E51946">
            <w:pPr>
              <w:pStyle w:val="PullOutBoxBodyText"/>
            </w:pPr>
            <w:r w:rsidRPr="005103B7">
              <w:t>Summary of proposal:</w:t>
            </w:r>
          </w:p>
        </w:tc>
        <w:tc>
          <w:tcPr>
            <w:tcW w:w="3191" w:type="pct"/>
          </w:tcPr>
          <w:p w:rsidR="007E7832" w:rsidRPr="005103B7" w:rsidRDefault="007E7832" w:rsidP="00E51946">
            <w:pPr>
              <w:pStyle w:val="PullOutBoxBodyText"/>
            </w:pPr>
            <w:r w:rsidRPr="005103B7">
              <w:t>The proposal would provide funding for 10,000 new Apprentice Ready places over four years.</w:t>
            </w:r>
          </w:p>
          <w:p w:rsidR="007E7832" w:rsidRPr="005103B7" w:rsidRDefault="007E7832" w:rsidP="00E51946">
            <w:pPr>
              <w:pStyle w:val="PullOutBoxBodyText"/>
            </w:pPr>
            <w:r w:rsidRPr="005103B7">
              <w:t>The Apprentice Ready program would offer a 20-week, industry-endorsed pre-apprenticeship course for trades on the National Skills Needs List.  Delivered through local TAFEs, Apprentice Ready would be targeted to young Australians who have been unemployed for six months or more.</w:t>
            </w:r>
          </w:p>
          <w:p w:rsidR="007E7832" w:rsidRPr="005103B7" w:rsidRDefault="007E7832" w:rsidP="00E51946">
            <w:pPr>
              <w:pStyle w:val="PullOutBoxBodyText"/>
            </w:pPr>
            <w:r w:rsidRPr="005103B7">
              <w:t>The proposal would also provide an additional incentive payment of $1,000 to employers who hire Apprentice Ready apprentices.</w:t>
            </w:r>
          </w:p>
          <w:p w:rsidR="00420CF4" w:rsidRPr="005103B7" w:rsidRDefault="007E7832" w:rsidP="00E51946">
            <w:pPr>
              <w:pStyle w:val="PullOutBoxBodyText"/>
            </w:pPr>
            <w:r w:rsidRPr="005103B7">
              <w:t>The proposal would have effect from 1 July 2017.</w:t>
            </w:r>
          </w:p>
        </w:tc>
      </w:tr>
      <w:tr w:rsidR="00420CF4" w:rsidRPr="005103B7" w:rsidTr="00967BCD">
        <w:tc>
          <w:tcPr>
            <w:tcW w:w="1809" w:type="pct"/>
          </w:tcPr>
          <w:p w:rsidR="00420CF4" w:rsidRPr="005103B7" w:rsidRDefault="00420CF4" w:rsidP="00E51946">
            <w:pPr>
              <w:pStyle w:val="PullOutBoxBodyText"/>
            </w:pPr>
            <w:r w:rsidRPr="005103B7">
              <w:t>Party:</w:t>
            </w:r>
          </w:p>
        </w:tc>
        <w:tc>
          <w:tcPr>
            <w:tcW w:w="3191" w:type="pct"/>
          </w:tcPr>
          <w:p w:rsidR="00420CF4" w:rsidRPr="005103B7" w:rsidRDefault="00420CF4" w:rsidP="00E51946">
            <w:pPr>
              <w:pStyle w:val="PullOutBoxBodyText"/>
            </w:pPr>
            <w:r w:rsidRPr="005103B7">
              <w:t>Australian Labor Party</w:t>
            </w:r>
          </w:p>
        </w:tc>
      </w:tr>
      <w:tr w:rsidR="00420CF4" w:rsidRPr="005103B7" w:rsidTr="00967BCD">
        <w:tc>
          <w:tcPr>
            <w:tcW w:w="1809" w:type="pct"/>
          </w:tcPr>
          <w:p w:rsidR="00420CF4" w:rsidRPr="005103B7" w:rsidRDefault="00420CF4" w:rsidP="00E51946">
            <w:pPr>
              <w:pStyle w:val="PullOutBoxBodyText"/>
            </w:pPr>
            <w:r w:rsidRPr="005103B7">
              <w:t>Expiry date for the costing:</w:t>
            </w:r>
          </w:p>
        </w:tc>
        <w:tc>
          <w:tcPr>
            <w:tcW w:w="3191" w:type="pct"/>
          </w:tcPr>
          <w:p w:rsidR="00420CF4" w:rsidRPr="005103B7" w:rsidRDefault="00EC102A" w:rsidP="00E51946">
            <w:pPr>
              <w:pStyle w:val="PullOutBoxBodyText"/>
            </w:pPr>
            <w:r w:rsidRPr="005103B7">
              <w:t>Release of the next economic and fiscal update</w:t>
            </w:r>
          </w:p>
        </w:tc>
      </w:tr>
    </w:tbl>
    <w:p w:rsidR="00420CF4" w:rsidRDefault="00420CF4" w:rsidP="00420CF4">
      <w:pPr>
        <w:pStyle w:val="CostingsH7"/>
      </w:pPr>
      <w:r w:rsidRPr="00BF1EE6">
        <w:t>Costing overview</w:t>
      </w:r>
    </w:p>
    <w:p w:rsidR="007E7832" w:rsidRPr="007E7832" w:rsidRDefault="007E7832" w:rsidP="007E7832">
      <w:pPr>
        <w:pStyle w:val="BodyText"/>
      </w:pPr>
      <w:r w:rsidRPr="007E7832">
        <w:t>This proposal would be expected to decrease the fiscal and underlying cash balances by $37.5</w:t>
      </w:r>
      <w:r>
        <w:t> </w:t>
      </w:r>
      <w:r w:rsidRPr="007E7832">
        <w:t>million over the 2016-17 Budget forward estimates period.  This reflects an increase in administered expenses of $36.0 million and an increase in departmental expenses of $1.5</w:t>
      </w:r>
      <w:r>
        <w:t> </w:t>
      </w:r>
      <w:r w:rsidRPr="007E7832">
        <w:t>million over this period.  A breakdown of the finan</w:t>
      </w:r>
      <w:r>
        <w:t>cial implications over the 2016</w:t>
      </w:r>
      <w:r>
        <w:noBreakHyphen/>
      </w:r>
      <w:r w:rsidRPr="007E7832">
        <w:t xml:space="preserve">17 Budget forward estimates period is at </w:t>
      </w:r>
      <w:r w:rsidRPr="007E7832">
        <w:rPr>
          <w:u w:val="single"/>
        </w:rPr>
        <w:t>Attachment A</w:t>
      </w:r>
      <w:r w:rsidRPr="007E7832">
        <w:t>.</w:t>
      </w:r>
    </w:p>
    <w:p w:rsidR="007E7832" w:rsidRPr="007E7832" w:rsidRDefault="007E7832" w:rsidP="007E7832">
      <w:pPr>
        <w:pStyle w:val="BodyText"/>
      </w:pPr>
      <w:r w:rsidRPr="007E7832">
        <w:t>This proposal would be expected to have an impact of $12.5 million in 2020-21 with funding for the proposal terminating on 30 June 2021.</w:t>
      </w:r>
    </w:p>
    <w:p w:rsidR="007E7832" w:rsidRDefault="007E7832" w:rsidP="007E7832">
      <w:pPr>
        <w:pStyle w:val="BodyText"/>
      </w:pPr>
      <w:r w:rsidRPr="007E7832">
        <w:t>The costing is considered to be of high reliability as it is based on providing specified amounts of funding to a specified number of apprentices, and departmental costs are based on like programs.</w:t>
      </w:r>
    </w:p>
    <w:p w:rsidR="00420CF4" w:rsidRDefault="00420CF4" w:rsidP="00745988">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745988">
            <w:pPr>
              <w:pStyle w:val="TableHeading"/>
            </w:pPr>
            <w:r>
              <w:t>Impact on</w:t>
            </w:r>
            <w:r w:rsidR="007E7832">
              <w:t xml:space="preserve"> ($m)</w:t>
            </w:r>
          </w:p>
        </w:tc>
        <w:tc>
          <w:tcPr>
            <w:tcW w:w="721" w:type="pct"/>
          </w:tcPr>
          <w:p w:rsidR="00420CF4" w:rsidRPr="00FC1F1C" w:rsidRDefault="00420CF4" w:rsidP="00745988">
            <w:pPr>
              <w:pStyle w:val="TableHeadingRight"/>
            </w:pPr>
            <w:r>
              <w:t>2016–17</w:t>
            </w:r>
          </w:p>
        </w:tc>
        <w:tc>
          <w:tcPr>
            <w:tcW w:w="721" w:type="pct"/>
          </w:tcPr>
          <w:p w:rsidR="00420CF4" w:rsidRPr="00FC1F1C" w:rsidRDefault="00420CF4" w:rsidP="00745988">
            <w:pPr>
              <w:pStyle w:val="TableHeadingRight"/>
            </w:pPr>
            <w:r>
              <w:t>2017–18</w:t>
            </w:r>
          </w:p>
        </w:tc>
        <w:tc>
          <w:tcPr>
            <w:tcW w:w="722" w:type="pct"/>
          </w:tcPr>
          <w:p w:rsidR="00420CF4" w:rsidRPr="00FC1F1C" w:rsidRDefault="00420CF4" w:rsidP="00745988">
            <w:pPr>
              <w:pStyle w:val="TableHeadingRight"/>
            </w:pPr>
            <w:r>
              <w:t>2018–19</w:t>
            </w:r>
          </w:p>
        </w:tc>
        <w:tc>
          <w:tcPr>
            <w:tcW w:w="721" w:type="pct"/>
          </w:tcPr>
          <w:p w:rsidR="00420CF4" w:rsidRPr="00FC1F1C" w:rsidRDefault="00420CF4" w:rsidP="00745988">
            <w:pPr>
              <w:pStyle w:val="TableHeadingRight"/>
            </w:pPr>
            <w:r>
              <w:t>2019–20</w:t>
            </w:r>
          </w:p>
        </w:tc>
        <w:tc>
          <w:tcPr>
            <w:tcW w:w="722" w:type="pct"/>
          </w:tcPr>
          <w:p w:rsidR="00420CF4" w:rsidRDefault="00420CF4" w:rsidP="00745988">
            <w:pPr>
              <w:pStyle w:val="TableTextRight"/>
              <w:keepNext/>
              <w:keepLines/>
            </w:pPr>
            <w:r>
              <w:t>Total</w:t>
            </w:r>
          </w:p>
        </w:tc>
      </w:tr>
      <w:tr w:rsidR="007E7832" w:rsidTr="00967BCD">
        <w:tc>
          <w:tcPr>
            <w:tcW w:w="1393" w:type="pct"/>
          </w:tcPr>
          <w:p w:rsidR="007E7832" w:rsidRDefault="007E7832" w:rsidP="00745988">
            <w:pPr>
              <w:pStyle w:val="TableText"/>
              <w:keepNext/>
              <w:keepLines/>
            </w:pPr>
            <w:r>
              <w:t>Fiscal balance</w:t>
            </w:r>
          </w:p>
        </w:tc>
        <w:tc>
          <w:tcPr>
            <w:tcW w:w="721" w:type="pct"/>
          </w:tcPr>
          <w:p w:rsidR="007E7832" w:rsidRPr="003A3459" w:rsidRDefault="007E7832" w:rsidP="00745988">
            <w:pPr>
              <w:pStyle w:val="TableTextRight"/>
              <w:keepNext/>
              <w:keepLines/>
            </w:pPr>
            <w:r>
              <w:t>-</w:t>
            </w:r>
          </w:p>
        </w:tc>
        <w:tc>
          <w:tcPr>
            <w:tcW w:w="721" w:type="pct"/>
          </w:tcPr>
          <w:p w:rsidR="007E7832" w:rsidRPr="003A3459" w:rsidRDefault="007E7832" w:rsidP="00745988">
            <w:pPr>
              <w:pStyle w:val="TableTextRight"/>
              <w:keepNext/>
              <w:keepLines/>
            </w:pPr>
            <w:r>
              <w:t>-12.5</w:t>
            </w:r>
          </w:p>
        </w:tc>
        <w:tc>
          <w:tcPr>
            <w:tcW w:w="722" w:type="pct"/>
          </w:tcPr>
          <w:p w:rsidR="007E7832" w:rsidRPr="003A3459" w:rsidRDefault="007E7832" w:rsidP="00745988">
            <w:pPr>
              <w:pStyle w:val="TableTextRight"/>
              <w:keepNext/>
              <w:keepLines/>
            </w:pPr>
            <w:r>
              <w:t>-12.5</w:t>
            </w:r>
          </w:p>
        </w:tc>
        <w:tc>
          <w:tcPr>
            <w:tcW w:w="721" w:type="pct"/>
          </w:tcPr>
          <w:p w:rsidR="007E7832" w:rsidRPr="003A3459" w:rsidRDefault="007E7832" w:rsidP="00745988">
            <w:pPr>
              <w:pStyle w:val="TableTextRight"/>
              <w:keepNext/>
              <w:keepLines/>
            </w:pPr>
            <w:r>
              <w:t>-12.5</w:t>
            </w:r>
          </w:p>
        </w:tc>
        <w:tc>
          <w:tcPr>
            <w:tcW w:w="722" w:type="pct"/>
          </w:tcPr>
          <w:p w:rsidR="007E7832" w:rsidRPr="00C363AE" w:rsidRDefault="007E7832" w:rsidP="00745988">
            <w:pPr>
              <w:pStyle w:val="TableTextRight"/>
              <w:keepNext/>
              <w:keepLines/>
              <w:rPr>
                <w:b/>
              </w:rPr>
            </w:pPr>
            <w:r>
              <w:rPr>
                <w:b/>
              </w:rPr>
              <w:t>-37.5</w:t>
            </w:r>
          </w:p>
        </w:tc>
      </w:tr>
      <w:tr w:rsidR="007E7832" w:rsidTr="00967BCD">
        <w:tc>
          <w:tcPr>
            <w:tcW w:w="1393" w:type="pct"/>
          </w:tcPr>
          <w:p w:rsidR="007E7832" w:rsidRDefault="007E7832" w:rsidP="00745988">
            <w:pPr>
              <w:pStyle w:val="TableText"/>
              <w:keepNext/>
              <w:keepLines/>
            </w:pPr>
            <w:r>
              <w:t>Underlying cash balance</w:t>
            </w:r>
          </w:p>
        </w:tc>
        <w:tc>
          <w:tcPr>
            <w:tcW w:w="721" w:type="pct"/>
          </w:tcPr>
          <w:p w:rsidR="007E7832" w:rsidRPr="003A3459" w:rsidRDefault="007E7832" w:rsidP="00745988">
            <w:pPr>
              <w:pStyle w:val="TableTextRight"/>
              <w:keepNext/>
              <w:keepLines/>
            </w:pPr>
            <w:r>
              <w:t>-</w:t>
            </w:r>
          </w:p>
        </w:tc>
        <w:tc>
          <w:tcPr>
            <w:tcW w:w="721" w:type="pct"/>
          </w:tcPr>
          <w:p w:rsidR="007E7832" w:rsidRPr="003A3459" w:rsidRDefault="007E7832" w:rsidP="00745988">
            <w:pPr>
              <w:pStyle w:val="TableTextRight"/>
              <w:keepNext/>
              <w:keepLines/>
            </w:pPr>
            <w:r>
              <w:t>-12.5</w:t>
            </w:r>
          </w:p>
        </w:tc>
        <w:tc>
          <w:tcPr>
            <w:tcW w:w="722" w:type="pct"/>
          </w:tcPr>
          <w:p w:rsidR="007E7832" w:rsidRPr="003A3459" w:rsidRDefault="007E7832" w:rsidP="00745988">
            <w:pPr>
              <w:pStyle w:val="TableTextRight"/>
              <w:keepNext/>
              <w:keepLines/>
            </w:pPr>
            <w:r>
              <w:t>-12.5</w:t>
            </w:r>
          </w:p>
        </w:tc>
        <w:tc>
          <w:tcPr>
            <w:tcW w:w="721" w:type="pct"/>
          </w:tcPr>
          <w:p w:rsidR="007E7832" w:rsidRPr="003A3459" w:rsidRDefault="007E7832" w:rsidP="00745988">
            <w:pPr>
              <w:pStyle w:val="TableTextRight"/>
              <w:keepNext/>
              <w:keepLines/>
            </w:pPr>
            <w:r>
              <w:t>-12.5</w:t>
            </w:r>
          </w:p>
        </w:tc>
        <w:tc>
          <w:tcPr>
            <w:tcW w:w="722" w:type="pct"/>
          </w:tcPr>
          <w:p w:rsidR="007E7832" w:rsidRPr="00C363AE" w:rsidRDefault="007E7832" w:rsidP="00745988">
            <w:pPr>
              <w:pStyle w:val="TableTextRight"/>
              <w:keepNext/>
              <w:keepLines/>
              <w:rPr>
                <w:b/>
              </w:rPr>
            </w:pPr>
            <w:r>
              <w:rPr>
                <w:b/>
              </w:rPr>
              <w:t>-37.5</w:t>
            </w:r>
          </w:p>
        </w:tc>
      </w:tr>
    </w:tbl>
    <w:p w:rsidR="0056643E" w:rsidRPr="0056643E" w:rsidRDefault="0056643E" w:rsidP="002C43F8">
      <w:pPr>
        <w:pStyle w:val="Footnotes"/>
        <w:numPr>
          <w:ilvl w:val="0"/>
          <w:numId w:val="100"/>
        </w:numPr>
        <w:ind w:left="284" w:hanging="284"/>
      </w:pPr>
      <w:r w:rsidRPr="0056643E">
        <w:t>A positive number indicates an increase in the relevant budget balance, a negative number represents a decrease.</w:t>
      </w:r>
    </w:p>
    <w:p w:rsidR="00420CF4" w:rsidRPr="007E7832" w:rsidRDefault="00420CF4" w:rsidP="005103B7">
      <w:pPr>
        <w:pStyle w:val="Footnotes"/>
        <w:ind w:left="284" w:hanging="284"/>
        <w:rPr>
          <w:rStyle w:val="FootnoteReference"/>
          <w:vertAlign w:val="baseline"/>
        </w:rPr>
      </w:pPr>
      <w:r w:rsidRPr="007E7832">
        <w:t>Figures may not sum to totals due to rounding.</w:t>
      </w:r>
    </w:p>
    <w:p w:rsidR="00420CF4" w:rsidRDefault="00420CF4" w:rsidP="00420CF4">
      <w:pPr>
        <w:pStyle w:val="CostingsH7"/>
      </w:pPr>
      <w:r>
        <w:t>Key assumptions</w:t>
      </w:r>
    </w:p>
    <w:p w:rsidR="007E7832" w:rsidRPr="007E7832" w:rsidRDefault="007E7832" w:rsidP="007E7832">
      <w:pPr>
        <w:pStyle w:val="BodyText"/>
      </w:pPr>
      <w:r w:rsidRPr="007E7832">
        <w:t>It is assumed that the Apprentice Ready places would be fully subscribed and apprentices would meet all of the requirements to complete the program.</w:t>
      </w:r>
    </w:p>
    <w:p w:rsidR="00420CF4" w:rsidRDefault="00420CF4" w:rsidP="00420CF4">
      <w:pPr>
        <w:pStyle w:val="CostingsH7"/>
      </w:pPr>
      <w:r>
        <w:t>Methodology</w:t>
      </w:r>
    </w:p>
    <w:p w:rsidR="007E7832" w:rsidRDefault="007E7832" w:rsidP="007E7832">
      <w:pPr>
        <w:pStyle w:val="BodyText"/>
      </w:pPr>
      <w:r w:rsidRPr="007E7832">
        <w:t>The financial impact of this proposal was estimated by multiplying the 2,500 Apprentice Ready places provided each year by $5,000 (including departmental funding as part of the per place cost, informed by the cost of administering similar programs).</w:t>
      </w:r>
    </w:p>
    <w:p w:rsidR="00921AC6" w:rsidRDefault="00921AC6" w:rsidP="007E7832">
      <w:pPr>
        <w:pStyle w:val="BodyText"/>
      </w:pPr>
    </w:p>
    <w:p w:rsidR="00921AC6" w:rsidRDefault="00921AC6" w:rsidP="007E7832">
      <w:pPr>
        <w:pStyle w:val="BodyText"/>
        <w:sectPr w:rsidR="00921AC6" w:rsidSect="00967BCD">
          <w:footnotePr>
            <w:numRestart w:val="eachSect"/>
          </w:footnotePr>
          <w:pgSz w:w="11906" w:h="16838" w:code="9"/>
          <w:pgMar w:top="1361" w:right="1797" w:bottom="1474" w:left="1797" w:header="283" w:footer="454" w:gutter="0"/>
          <w:cols w:space="708"/>
          <w:docGrid w:linePitch="360"/>
        </w:sectPr>
      </w:pPr>
    </w:p>
    <w:p w:rsidR="00420CF4" w:rsidRDefault="007E7832" w:rsidP="005103B7">
      <w:pPr>
        <w:pStyle w:val="Heading6"/>
        <w:spacing w:before="480"/>
      </w:pPr>
      <w:r>
        <w:t xml:space="preserve">Attachment </w:t>
      </w:r>
      <w:r w:rsidRPr="007E7832">
        <w:t>A: Apprentice Ready—financial implications</w:t>
      </w:r>
    </w:p>
    <w:p w:rsidR="00420CF4" w:rsidRDefault="00420CF4" w:rsidP="00420CF4">
      <w:pPr>
        <w:pStyle w:val="Caption"/>
      </w:pPr>
      <w:r w:rsidRPr="002B36F1">
        <w:t xml:space="preserve">Table </w:t>
      </w:r>
      <w:r>
        <w:t>A1</w:t>
      </w:r>
      <w:r w:rsidRPr="002B36F1">
        <w:t xml:space="preserve">: </w:t>
      </w:r>
      <w:r w:rsidR="007E7832">
        <w:t>Apprentice Ready—Financial implications (outturn prices)</w:t>
      </w:r>
      <w:r w:rsidR="007E7832">
        <w:rPr>
          <w:vertAlign w:val="superscript"/>
        </w:rPr>
        <w:t>(</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967BCD">
        <w:trPr>
          <w:cnfStyle w:val="100000000000" w:firstRow="1" w:lastRow="0" w:firstColumn="0" w:lastColumn="0" w:oddVBand="0" w:evenVBand="0" w:oddHBand="0" w:evenHBand="0" w:firstRowFirstColumn="0" w:firstRowLastColumn="0" w:lastRowFirstColumn="0" w:lastRowLastColumn="0"/>
        </w:trPr>
        <w:tc>
          <w:tcPr>
            <w:tcW w:w="1554" w:type="pct"/>
          </w:tcPr>
          <w:p w:rsidR="00420CF4" w:rsidRPr="007C2713" w:rsidRDefault="00420CF4" w:rsidP="00967BCD">
            <w:pPr>
              <w:pStyle w:val="TableText"/>
              <w:rPr>
                <w:b w:val="0"/>
              </w:rPr>
            </w:pPr>
            <w:r>
              <w:t>($</w:t>
            </w:r>
            <w:r w:rsidR="007E7832">
              <w:t>m</w:t>
            </w:r>
            <w:r>
              <w:t>)</w:t>
            </w:r>
          </w:p>
        </w:tc>
        <w:tc>
          <w:tcPr>
            <w:tcW w:w="689" w:type="pct"/>
          </w:tcPr>
          <w:p w:rsidR="00420CF4" w:rsidRDefault="00420CF4" w:rsidP="00967BCD">
            <w:pPr>
              <w:pStyle w:val="TableTextRight"/>
              <w:rPr>
                <w:b w:val="0"/>
              </w:rPr>
            </w:pPr>
            <w:r>
              <w:t>2016–17</w:t>
            </w:r>
          </w:p>
        </w:tc>
        <w:tc>
          <w:tcPr>
            <w:tcW w:w="689" w:type="pct"/>
          </w:tcPr>
          <w:p w:rsidR="00420CF4" w:rsidRDefault="00420CF4" w:rsidP="00967BCD">
            <w:pPr>
              <w:pStyle w:val="TableTextRight"/>
              <w:rPr>
                <w:b w:val="0"/>
              </w:rPr>
            </w:pPr>
            <w:r>
              <w:t>2017–18</w:t>
            </w:r>
          </w:p>
        </w:tc>
        <w:tc>
          <w:tcPr>
            <w:tcW w:w="689" w:type="pct"/>
          </w:tcPr>
          <w:p w:rsidR="00420CF4" w:rsidRDefault="00420CF4" w:rsidP="00967BCD">
            <w:pPr>
              <w:pStyle w:val="TableTextRight"/>
              <w:rPr>
                <w:b w:val="0"/>
              </w:rPr>
            </w:pPr>
            <w:r>
              <w:t>2018–19</w:t>
            </w:r>
          </w:p>
        </w:tc>
        <w:tc>
          <w:tcPr>
            <w:tcW w:w="689" w:type="pct"/>
          </w:tcPr>
          <w:p w:rsidR="00420CF4" w:rsidRDefault="00420CF4" w:rsidP="00967BCD">
            <w:pPr>
              <w:pStyle w:val="TableTextRight"/>
              <w:rPr>
                <w:b w:val="0"/>
              </w:rPr>
            </w:pPr>
            <w:r>
              <w:t>2019–20</w:t>
            </w:r>
          </w:p>
        </w:tc>
        <w:tc>
          <w:tcPr>
            <w:tcW w:w="690" w:type="pct"/>
          </w:tcPr>
          <w:p w:rsidR="00420CF4" w:rsidRDefault="00420CF4" w:rsidP="00967BCD">
            <w:pPr>
              <w:pStyle w:val="TableTextRight"/>
            </w:pPr>
            <w:r>
              <w:t>Total</w:t>
            </w:r>
            <w:r w:rsidR="007E7832">
              <w:t xml:space="preserve"> to 2019–20</w:t>
            </w:r>
          </w:p>
        </w:tc>
      </w:tr>
      <w:tr w:rsidR="007E7832" w:rsidTr="007E7832">
        <w:tc>
          <w:tcPr>
            <w:tcW w:w="5000" w:type="pct"/>
            <w:gridSpan w:val="6"/>
            <w:shd w:val="clear" w:color="auto" w:fill="E9ECF3" w:themeFill="accent2" w:themeFillTint="33"/>
          </w:tcPr>
          <w:p w:rsidR="007E7832" w:rsidRDefault="007E7832" w:rsidP="007E7832">
            <w:pPr>
              <w:pStyle w:val="TableTextRight"/>
              <w:jc w:val="left"/>
            </w:pPr>
            <w:r>
              <w:rPr>
                <w:b/>
              </w:rPr>
              <w:t>Impact on f</w:t>
            </w:r>
            <w:r w:rsidRPr="00C363AE">
              <w:rPr>
                <w:b/>
              </w:rPr>
              <w:t>iscal and underlying cash balances</w:t>
            </w:r>
          </w:p>
        </w:tc>
      </w:tr>
      <w:tr w:rsidR="007E7832" w:rsidTr="00967BCD">
        <w:tc>
          <w:tcPr>
            <w:tcW w:w="1554" w:type="pct"/>
          </w:tcPr>
          <w:p w:rsidR="007E7832" w:rsidRPr="00027340" w:rsidRDefault="007E7832" w:rsidP="009830EF">
            <w:pPr>
              <w:pStyle w:val="TableTextCentred"/>
              <w:keepNext/>
              <w:keepLines/>
              <w:spacing w:line="240" w:lineRule="auto"/>
              <w:jc w:val="left"/>
              <w:rPr>
                <w:szCs w:val="20"/>
              </w:rPr>
            </w:pPr>
            <w:r>
              <w:rPr>
                <w:szCs w:val="20"/>
              </w:rPr>
              <w:t xml:space="preserve">Administered </w:t>
            </w:r>
          </w:p>
        </w:tc>
        <w:tc>
          <w:tcPr>
            <w:tcW w:w="689" w:type="pct"/>
          </w:tcPr>
          <w:p w:rsidR="007E7832" w:rsidRPr="003741C6" w:rsidRDefault="007E7832" w:rsidP="009830EF">
            <w:pPr>
              <w:pStyle w:val="TableTextRight"/>
              <w:spacing w:line="240" w:lineRule="auto"/>
              <w:rPr>
                <w:i/>
              </w:rPr>
            </w:pPr>
            <w:r>
              <w:rPr>
                <w:i/>
              </w:rPr>
              <w:t>-</w:t>
            </w:r>
          </w:p>
        </w:tc>
        <w:tc>
          <w:tcPr>
            <w:tcW w:w="689" w:type="pct"/>
          </w:tcPr>
          <w:p w:rsidR="007E7832" w:rsidRPr="003741C6" w:rsidRDefault="007E7832" w:rsidP="009830EF">
            <w:pPr>
              <w:pStyle w:val="TableTextRight"/>
              <w:spacing w:line="240" w:lineRule="auto"/>
              <w:rPr>
                <w:i/>
              </w:rPr>
            </w:pPr>
            <w:r>
              <w:rPr>
                <w:i/>
              </w:rPr>
              <w:t>-12.0</w:t>
            </w:r>
          </w:p>
        </w:tc>
        <w:tc>
          <w:tcPr>
            <w:tcW w:w="689" w:type="pct"/>
          </w:tcPr>
          <w:p w:rsidR="007E7832" w:rsidRPr="003741C6" w:rsidRDefault="007E7832" w:rsidP="009830EF">
            <w:pPr>
              <w:pStyle w:val="TableTextRight"/>
              <w:spacing w:line="240" w:lineRule="auto"/>
              <w:rPr>
                <w:i/>
              </w:rPr>
            </w:pPr>
            <w:r>
              <w:rPr>
                <w:i/>
              </w:rPr>
              <w:t>12.0</w:t>
            </w:r>
          </w:p>
        </w:tc>
        <w:tc>
          <w:tcPr>
            <w:tcW w:w="689" w:type="pct"/>
          </w:tcPr>
          <w:p w:rsidR="007E7832" w:rsidRPr="003741C6" w:rsidRDefault="007E7832" w:rsidP="009830EF">
            <w:pPr>
              <w:pStyle w:val="TableTextRight"/>
              <w:spacing w:line="240" w:lineRule="auto"/>
              <w:rPr>
                <w:i/>
              </w:rPr>
            </w:pPr>
            <w:r>
              <w:rPr>
                <w:i/>
              </w:rPr>
              <w:t>-12.0</w:t>
            </w:r>
          </w:p>
        </w:tc>
        <w:tc>
          <w:tcPr>
            <w:tcW w:w="690" w:type="pct"/>
          </w:tcPr>
          <w:p w:rsidR="007E7832" w:rsidRPr="00C363AE" w:rsidRDefault="007E7832" w:rsidP="009830EF">
            <w:pPr>
              <w:pStyle w:val="TableTextRight"/>
              <w:spacing w:line="240" w:lineRule="auto"/>
              <w:rPr>
                <w:b/>
                <w:i/>
              </w:rPr>
            </w:pPr>
            <w:r>
              <w:rPr>
                <w:b/>
                <w:i/>
              </w:rPr>
              <w:t>-36.0</w:t>
            </w:r>
          </w:p>
        </w:tc>
      </w:tr>
      <w:tr w:rsidR="007E7832" w:rsidTr="00967BCD">
        <w:tc>
          <w:tcPr>
            <w:tcW w:w="1554" w:type="pct"/>
          </w:tcPr>
          <w:p w:rsidR="007E7832" w:rsidRPr="00027340" w:rsidRDefault="007E7832" w:rsidP="009830EF">
            <w:pPr>
              <w:pStyle w:val="TableTextCentred"/>
              <w:keepNext/>
              <w:keepLines/>
              <w:spacing w:line="240" w:lineRule="auto"/>
              <w:jc w:val="left"/>
              <w:rPr>
                <w:szCs w:val="20"/>
              </w:rPr>
            </w:pPr>
            <w:r>
              <w:rPr>
                <w:szCs w:val="20"/>
              </w:rPr>
              <w:t>Departmental</w:t>
            </w:r>
          </w:p>
        </w:tc>
        <w:tc>
          <w:tcPr>
            <w:tcW w:w="689" w:type="pct"/>
          </w:tcPr>
          <w:p w:rsidR="007E7832" w:rsidRPr="003741C6" w:rsidRDefault="007E7832" w:rsidP="009830EF">
            <w:pPr>
              <w:pStyle w:val="TableTextRight"/>
              <w:spacing w:line="240" w:lineRule="auto"/>
              <w:rPr>
                <w:i/>
              </w:rPr>
            </w:pPr>
            <w:r>
              <w:rPr>
                <w:i/>
              </w:rPr>
              <w:t>-</w:t>
            </w:r>
          </w:p>
        </w:tc>
        <w:tc>
          <w:tcPr>
            <w:tcW w:w="689" w:type="pct"/>
          </w:tcPr>
          <w:p w:rsidR="007E7832" w:rsidRPr="003741C6" w:rsidRDefault="007E7832" w:rsidP="009830EF">
            <w:pPr>
              <w:pStyle w:val="TableTextRight"/>
              <w:spacing w:line="240" w:lineRule="auto"/>
              <w:rPr>
                <w:i/>
              </w:rPr>
            </w:pPr>
            <w:r>
              <w:rPr>
                <w:i/>
              </w:rPr>
              <w:t>-0.5</w:t>
            </w:r>
          </w:p>
        </w:tc>
        <w:tc>
          <w:tcPr>
            <w:tcW w:w="689" w:type="pct"/>
          </w:tcPr>
          <w:p w:rsidR="007E7832" w:rsidRPr="003741C6" w:rsidRDefault="007E7832" w:rsidP="009830EF">
            <w:pPr>
              <w:pStyle w:val="TableTextRight"/>
              <w:spacing w:line="240" w:lineRule="auto"/>
              <w:rPr>
                <w:i/>
              </w:rPr>
            </w:pPr>
            <w:r>
              <w:rPr>
                <w:i/>
              </w:rPr>
              <w:t>-0.5</w:t>
            </w:r>
          </w:p>
        </w:tc>
        <w:tc>
          <w:tcPr>
            <w:tcW w:w="689" w:type="pct"/>
          </w:tcPr>
          <w:p w:rsidR="007E7832" w:rsidRPr="003741C6" w:rsidRDefault="007E7832" w:rsidP="009830EF">
            <w:pPr>
              <w:pStyle w:val="TableTextRight"/>
              <w:spacing w:line="240" w:lineRule="auto"/>
              <w:rPr>
                <w:i/>
              </w:rPr>
            </w:pPr>
            <w:r>
              <w:rPr>
                <w:i/>
              </w:rPr>
              <w:t>-0.5</w:t>
            </w:r>
          </w:p>
        </w:tc>
        <w:tc>
          <w:tcPr>
            <w:tcW w:w="690" w:type="pct"/>
          </w:tcPr>
          <w:p w:rsidR="007E7832" w:rsidRPr="00C363AE" w:rsidRDefault="007E7832" w:rsidP="009830EF">
            <w:pPr>
              <w:pStyle w:val="TableTextRight"/>
              <w:spacing w:line="240" w:lineRule="auto"/>
              <w:rPr>
                <w:b/>
                <w:i/>
              </w:rPr>
            </w:pPr>
            <w:r>
              <w:rPr>
                <w:b/>
                <w:i/>
              </w:rPr>
              <w:t>-1.5</w:t>
            </w:r>
          </w:p>
        </w:tc>
      </w:tr>
      <w:tr w:rsidR="007E7832" w:rsidRPr="007C2713" w:rsidTr="00967BCD">
        <w:tc>
          <w:tcPr>
            <w:tcW w:w="1554" w:type="pct"/>
            <w:shd w:val="clear" w:color="auto" w:fill="D7DDE9" w:themeFill="accent3"/>
          </w:tcPr>
          <w:p w:rsidR="007E7832" w:rsidRPr="007C2713" w:rsidRDefault="007E7832" w:rsidP="00967BCD">
            <w:pPr>
              <w:pStyle w:val="TableText"/>
              <w:rPr>
                <w:b/>
              </w:rPr>
            </w:pPr>
            <w:r w:rsidRPr="007C2713">
              <w:rPr>
                <w:b/>
              </w:rPr>
              <w:t>Total</w:t>
            </w:r>
          </w:p>
        </w:tc>
        <w:tc>
          <w:tcPr>
            <w:tcW w:w="689" w:type="pct"/>
            <w:shd w:val="clear" w:color="auto" w:fill="D7DDE9" w:themeFill="accent3"/>
          </w:tcPr>
          <w:p w:rsidR="007E7832" w:rsidRPr="0055406D" w:rsidRDefault="007E7832" w:rsidP="009830EF">
            <w:pPr>
              <w:pStyle w:val="TableTextRight"/>
              <w:spacing w:line="240" w:lineRule="auto"/>
              <w:rPr>
                <w:b/>
                <w:i/>
              </w:rPr>
            </w:pPr>
            <w:r>
              <w:rPr>
                <w:b/>
                <w:i/>
              </w:rPr>
              <w:t>-</w:t>
            </w:r>
          </w:p>
        </w:tc>
        <w:tc>
          <w:tcPr>
            <w:tcW w:w="689" w:type="pct"/>
            <w:shd w:val="clear" w:color="auto" w:fill="D7DDE9" w:themeFill="accent3"/>
          </w:tcPr>
          <w:p w:rsidR="007E7832" w:rsidRPr="00D269D4" w:rsidRDefault="007E7832" w:rsidP="009830EF">
            <w:pPr>
              <w:pStyle w:val="TableTextRight"/>
              <w:spacing w:line="240" w:lineRule="auto"/>
              <w:rPr>
                <w:b/>
              </w:rPr>
            </w:pPr>
            <w:r w:rsidRPr="00D269D4">
              <w:rPr>
                <w:b/>
              </w:rPr>
              <w:t>-12.5</w:t>
            </w:r>
          </w:p>
        </w:tc>
        <w:tc>
          <w:tcPr>
            <w:tcW w:w="689" w:type="pct"/>
            <w:shd w:val="clear" w:color="auto" w:fill="D7DDE9" w:themeFill="accent3"/>
          </w:tcPr>
          <w:p w:rsidR="007E7832" w:rsidRPr="00D269D4" w:rsidRDefault="007E7832" w:rsidP="009830EF">
            <w:pPr>
              <w:pStyle w:val="TableTextRight"/>
              <w:spacing w:line="240" w:lineRule="auto"/>
              <w:rPr>
                <w:b/>
              </w:rPr>
            </w:pPr>
            <w:r w:rsidRPr="00D269D4">
              <w:rPr>
                <w:b/>
              </w:rPr>
              <w:t>-12.5</w:t>
            </w:r>
          </w:p>
        </w:tc>
        <w:tc>
          <w:tcPr>
            <w:tcW w:w="689" w:type="pct"/>
            <w:shd w:val="clear" w:color="auto" w:fill="D7DDE9" w:themeFill="accent3"/>
          </w:tcPr>
          <w:p w:rsidR="007E7832" w:rsidRPr="00D269D4" w:rsidRDefault="007E7832" w:rsidP="009830EF">
            <w:pPr>
              <w:pStyle w:val="TableTextRight"/>
              <w:spacing w:line="240" w:lineRule="auto"/>
              <w:rPr>
                <w:b/>
              </w:rPr>
            </w:pPr>
            <w:r w:rsidRPr="00D269D4">
              <w:rPr>
                <w:b/>
              </w:rPr>
              <w:t>-12.5</w:t>
            </w:r>
          </w:p>
        </w:tc>
        <w:tc>
          <w:tcPr>
            <w:tcW w:w="690" w:type="pct"/>
            <w:shd w:val="clear" w:color="auto" w:fill="D7DDE9" w:themeFill="accent3"/>
          </w:tcPr>
          <w:p w:rsidR="007E7832" w:rsidRPr="00D269D4" w:rsidRDefault="007E7832" w:rsidP="009830EF">
            <w:pPr>
              <w:pStyle w:val="TableTextRight"/>
              <w:spacing w:line="240" w:lineRule="auto"/>
              <w:rPr>
                <w:b/>
              </w:rPr>
            </w:pPr>
            <w:r w:rsidRPr="00D269D4">
              <w:rPr>
                <w:b/>
              </w:rPr>
              <w:t>-37.5</w:t>
            </w:r>
          </w:p>
        </w:tc>
      </w:tr>
    </w:tbl>
    <w:p w:rsidR="007E7832" w:rsidRDefault="007E7832" w:rsidP="002C43F8">
      <w:pPr>
        <w:pStyle w:val="Footnotes"/>
        <w:numPr>
          <w:ilvl w:val="0"/>
          <w:numId w:val="101"/>
        </w:numPr>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7E7832" w:rsidRDefault="007E7832" w:rsidP="007E7832">
      <w:pPr>
        <w:pStyle w:val="Footnotes"/>
      </w:pPr>
      <w:r>
        <w:t>Figures may not sum to totals due to rounding.</w:t>
      </w:r>
    </w:p>
    <w:p w:rsidR="007E7832" w:rsidRDefault="007E7832" w:rsidP="007E7832">
      <w:pPr>
        <w:pStyle w:val="Footnotes"/>
        <w:numPr>
          <w:ilvl w:val="0"/>
          <w:numId w:val="0"/>
        </w:numPr>
        <w:ind w:left="284" w:hanging="284"/>
      </w:pPr>
      <w:r>
        <w:t>-</w:t>
      </w:r>
      <w:r>
        <w:tab/>
        <w:t>Indicates nil.</w:t>
      </w:r>
    </w:p>
    <w:p w:rsidR="005103B7" w:rsidRDefault="005103B7" w:rsidP="005103B7">
      <w:pPr>
        <w:pStyle w:val="BodyText"/>
      </w:pPr>
    </w:p>
    <w:p w:rsidR="007E7832" w:rsidRDefault="007E7832" w:rsidP="00420CF4">
      <w:pPr>
        <w:pStyle w:val="BodyText"/>
        <w:sectPr w:rsidR="007E7832" w:rsidSect="00967BCD">
          <w:footnotePr>
            <w:numRestart w:val="eachSect"/>
          </w:footnotePr>
          <w:pgSz w:w="11906" w:h="16838" w:code="9"/>
          <w:pgMar w:top="1361" w:right="1797" w:bottom="1474" w:left="1797" w:header="283" w:footer="454" w:gutter="0"/>
          <w:cols w:space="708"/>
          <w:docGrid w:linePitch="360"/>
        </w:sectPr>
      </w:pPr>
    </w:p>
    <w:p w:rsidR="008E4F88" w:rsidRDefault="00C203DD" w:rsidP="008E4F88">
      <w:pPr>
        <w:pStyle w:val="Heading5"/>
        <w:ind w:left="1080" w:hanging="1080"/>
      </w:pPr>
      <w:bookmarkStart w:id="36" w:name="_Toc458081656"/>
      <w:r>
        <w:t>ALP032</w:t>
      </w:r>
      <w:r w:rsidR="008E4F88">
        <w:t xml:space="preserve">: </w:t>
      </w:r>
      <w:r>
        <w:t>Asian Language Scholarships</w:t>
      </w:r>
      <w:bookmarkEnd w:id="36"/>
    </w:p>
    <w:p w:rsidR="00745988" w:rsidRDefault="00745988" w:rsidP="00745988">
      <w:pPr>
        <w:pStyle w:val="BodyText"/>
      </w:pPr>
      <w:r>
        <w:rPr>
          <w:noProof/>
          <w:lang w:eastAsia="en-AU"/>
        </w:rPr>
        <w:drawing>
          <wp:inline distT="0" distB="0" distL="0" distR="0" wp14:anchorId="6C860D11" wp14:editId="6DB0332B">
            <wp:extent cx="2696845" cy="572135"/>
            <wp:effectExtent l="0" t="0" r="8255" b="0"/>
            <wp:docPr id="361" name="Picture 36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8E4F88" w:rsidRDefault="008E4F88" w:rsidP="008E4F88">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8E4F88" w:rsidRPr="00E51946" w:rsidTr="009830EF">
        <w:trPr>
          <w:cnfStyle w:val="100000000000" w:firstRow="1" w:lastRow="0" w:firstColumn="0" w:lastColumn="0" w:oddVBand="0" w:evenVBand="0" w:oddHBand="0" w:evenHBand="0" w:firstRowFirstColumn="0" w:firstRowLastColumn="0" w:lastRowFirstColumn="0" w:lastRowLastColumn="0"/>
        </w:trPr>
        <w:tc>
          <w:tcPr>
            <w:tcW w:w="1809" w:type="pct"/>
          </w:tcPr>
          <w:p w:rsidR="008E4F88" w:rsidRPr="00E51946" w:rsidRDefault="008E4F88" w:rsidP="006347B8">
            <w:pPr>
              <w:pStyle w:val="PullOutBoxHeading"/>
              <w:rPr>
                <w:b/>
              </w:rPr>
            </w:pPr>
            <w:r w:rsidRPr="00E51946">
              <w:rPr>
                <w:b/>
              </w:rPr>
              <w:t>Name of proposal:</w:t>
            </w:r>
          </w:p>
        </w:tc>
        <w:tc>
          <w:tcPr>
            <w:tcW w:w="3191" w:type="pct"/>
          </w:tcPr>
          <w:p w:rsidR="008E4F88" w:rsidRPr="00E51946" w:rsidRDefault="004B48EA" w:rsidP="006347B8">
            <w:pPr>
              <w:pStyle w:val="PullOutBoxHeading"/>
              <w:rPr>
                <w:b/>
              </w:rPr>
            </w:pPr>
            <w:r w:rsidRPr="00E51946">
              <w:rPr>
                <w:b/>
              </w:rPr>
              <w:t>Asian language scholarships</w:t>
            </w:r>
          </w:p>
        </w:tc>
      </w:tr>
      <w:tr w:rsidR="008E4F88" w:rsidRPr="00B45F94" w:rsidTr="009830EF">
        <w:tc>
          <w:tcPr>
            <w:tcW w:w="1809" w:type="pct"/>
          </w:tcPr>
          <w:p w:rsidR="008E4F88" w:rsidRPr="00B45F94" w:rsidRDefault="008E4F88" w:rsidP="006347B8">
            <w:pPr>
              <w:pStyle w:val="PullOutBoxBodyText"/>
            </w:pPr>
            <w:r w:rsidRPr="00B45F94">
              <w:t>Summary of proposal:</w:t>
            </w:r>
          </w:p>
        </w:tc>
        <w:tc>
          <w:tcPr>
            <w:tcW w:w="3191" w:type="pct"/>
          </w:tcPr>
          <w:p w:rsidR="004B48EA" w:rsidRDefault="004B48EA" w:rsidP="006347B8">
            <w:pPr>
              <w:pStyle w:val="PullOutBoxBodyText"/>
            </w:pPr>
            <w:r>
              <w:t>This proposal would provide 100 scholarships each year to Australian school teachers to further develop their Asian language skills.</w:t>
            </w:r>
          </w:p>
          <w:p w:rsidR="004B48EA" w:rsidRDefault="004B48EA" w:rsidP="006347B8">
            <w:pPr>
              <w:pStyle w:val="PullOutBoxBodyText"/>
            </w:pPr>
            <w:r>
              <w:t>Scholarships would be valued up to $20,000 each and would be used for opportunities such as intensive Asian language courses or teaching in Asian schools.</w:t>
            </w:r>
          </w:p>
          <w:p w:rsidR="008E4F88" w:rsidRPr="00B45F94" w:rsidRDefault="004B48EA" w:rsidP="006347B8">
            <w:pPr>
              <w:pStyle w:val="PullOutBoxBodyText"/>
            </w:pPr>
            <w:r>
              <w:t>This proposal would start from 1 January 2017.</w:t>
            </w:r>
          </w:p>
        </w:tc>
      </w:tr>
      <w:tr w:rsidR="008E4F88" w:rsidRPr="00B45F94" w:rsidTr="009830EF">
        <w:tc>
          <w:tcPr>
            <w:tcW w:w="1809" w:type="pct"/>
          </w:tcPr>
          <w:p w:rsidR="008E4F88" w:rsidRPr="00B45F94" w:rsidRDefault="008E4F88" w:rsidP="006347B8">
            <w:pPr>
              <w:pStyle w:val="PullOutBoxBodyText"/>
            </w:pPr>
            <w:r>
              <w:t>Party:</w:t>
            </w:r>
          </w:p>
        </w:tc>
        <w:tc>
          <w:tcPr>
            <w:tcW w:w="3191" w:type="pct"/>
          </w:tcPr>
          <w:p w:rsidR="008E4F88" w:rsidRPr="00B45F94" w:rsidRDefault="008E4F88" w:rsidP="006347B8">
            <w:pPr>
              <w:pStyle w:val="PullOutBoxBodyText"/>
            </w:pPr>
            <w:r>
              <w:t>Australian Labor Party</w:t>
            </w:r>
          </w:p>
        </w:tc>
      </w:tr>
      <w:tr w:rsidR="008E4F88" w:rsidRPr="00B45F94" w:rsidTr="009830EF">
        <w:tc>
          <w:tcPr>
            <w:tcW w:w="1809" w:type="pct"/>
          </w:tcPr>
          <w:p w:rsidR="008E4F88" w:rsidRPr="00B45F94" w:rsidRDefault="008E4F88" w:rsidP="006347B8">
            <w:pPr>
              <w:pStyle w:val="PullOutBoxBodyText"/>
            </w:pPr>
            <w:r w:rsidRPr="00B45F94">
              <w:t>Expiry date for the costing:</w:t>
            </w:r>
          </w:p>
        </w:tc>
        <w:tc>
          <w:tcPr>
            <w:tcW w:w="3191" w:type="pct"/>
          </w:tcPr>
          <w:p w:rsidR="008E4F88" w:rsidRPr="00B45F94" w:rsidRDefault="008E4F88" w:rsidP="006347B8">
            <w:pPr>
              <w:pStyle w:val="PullOutBoxBodyText"/>
            </w:pPr>
            <w:r>
              <w:t>R</w:t>
            </w:r>
            <w:r w:rsidRPr="0064604B">
              <w:t xml:space="preserve">elease of the </w:t>
            </w:r>
            <w:r>
              <w:t>next economic and fiscal update</w:t>
            </w:r>
          </w:p>
        </w:tc>
      </w:tr>
    </w:tbl>
    <w:p w:rsidR="008E4F88" w:rsidRDefault="008E4F88" w:rsidP="008E4F88">
      <w:pPr>
        <w:pStyle w:val="CostingsH7"/>
      </w:pPr>
      <w:r w:rsidRPr="00BF1EE6">
        <w:t>Costing overview</w:t>
      </w:r>
    </w:p>
    <w:p w:rsidR="00B24392" w:rsidRDefault="00B24392" w:rsidP="00B24392">
      <w:pPr>
        <w:pStyle w:val="BodyText"/>
      </w:pPr>
      <w:r>
        <w:t>This proposal would be expected to decrease the fiscal and underlying cash balances by $7.7 million over the 2016</w:t>
      </w:r>
      <w:r>
        <w:noBreakHyphen/>
        <w:t>17 Budget forward estimates period.  This reflects an increase in administered expenses of $7 million and an increase in departmental expenses of $0.7 million over this period.</w:t>
      </w:r>
    </w:p>
    <w:p w:rsidR="00B24392" w:rsidRDefault="00B24392" w:rsidP="00B24392">
      <w:pPr>
        <w:pStyle w:val="BodyText"/>
      </w:pPr>
      <w:r>
        <w:t>This proposal would have an ongoing impact beyond the 2016-17 Budget forward estimates period.</w:t>
      </w:r>
    </w:p>
    <w:p w:rsidR="004B48EA" w:rsidRPr="004B48EA" w:rsidRDefault="00B24392" w:rsidP="00B24392">
      <w:pPr>
        <w:pStyle w:val="BodyText"/>
      </w:pPr>
      <w:r>
        <w:t>The costing is considered to be of high reliability as it is based on providing specified amounts of funding to a specified number of recipients and departmental costs based on like initiatives.</w:t>
      </w:r>
    </w:p>
    <w:p w:rsidR="008E4F88" w:rsidRDefault="008E4F88" w:rsidP="008E4F88">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8E4F88" w:rsidRPr="00D264E1" w:rsidTr="009830EF">
        <w:trPr>
          <w:cnfStyle w:val="100000000000" w:firstRow="1" w:lastRow="0" w:firstColumn="0" w:lastColumn="0" w:oddVBand="0" w:evenVBand="0" w:oddHBand="0" w:evenHBand="0" w:firstRowFirstColumn="0" w:firstRowLastColumn="0" w:lastRowFirstColumn="0" w:lastRowLastColumn="0"/>
        </w:trPr>
        <w:tc>
          <w:tcPr>
            <w:tcW w:w="1393" w:type="pct"/>
          </w:tcPr>
          <w:p w:rsidR="008E4F88" w:rsidRPr="00D264E1" w:rsidRDefault="008E4F88" w:rsidP="009830EF">
            <w:pPr>
              <w:pStyle w:val="TableHeading"/>
            </w:pPr>
            <w:r>
              <w:t>Impact on</w:t>
            </w:r>
            <w:r w:rsidR="00B24392">
              <w:t xml:space="preserve"> ($m)</w:t>
            </w:r>
          </w:p>
        </w:tc>
        <w:tc>
          <w:tcPr>
            <w:tcW w:w="721" w:type="pct"/>
          </w:tcPr>
          <w:p w:rsidR="008E4F88" w:rsidRPr="00FC1F1C" w:rsidRDefault="008E4F88" w:rsidP="009830EF">
            <w:pPr>
              <w:pStyle w:val="TableHeadingRight"/>
            </w:pPr>
            <w:r>
              <w:t>2016–17</w:t>
            </w:r>
          </w:p>
        </w:tc>
        <w:tc>
          <w:tcPr>
            <w:tcW w:w="721" w:type="pct"/>
          </w:tcPr>
          <w:p w:rsidR="008E4F88" w:rsidRPr="00FC1F1C" w:rsidRDefault="008E4F88" w:rsidP="009830EF">
            <w:pPr>
              <w:pStyle w:val="TableHeadingRight"/>
            </w:pPr>
            <w:r>
              <w:t>2017–18</w:t>
            </w:r>
          </w:p>
        </w:tc>
        <w:tc>
          <w:tcPr>
            <w:tcW w:w="722" w:type="pct"/>
          </w:tcPr>
          <w:p w:rsidR="008E4F88" w:rsidRPr="00FC1F1C" w:rsidRDefault="008E4F88" w:rsidP="009830EF">
            <w:pPr>
              <w:pStyle w:val="TableHeadingRight"/>
            </w:pPr>
            <w:r>
              <w:t>2018–19</w:t>
            </w:r>
          </w:p>
        </w:tc>
        <w:tc>
          <w:tcPr>
            <w:tcW w:w="721" w:type="pct"/>
          </w:tcPr>
          <w:p w:rsidR="008E4F88" w:rsidRPr="00FC1F1C" w:rsidRDefault="008E4F88" w:rsidP="009830EF">
            <w:pPr>
              <w:pStyle w:val="TableHeadingRight"/>
            </w:pPr>
            <w:r>
              <w:t>2019–20</w:t>
            </w:r>
          </w:p>
        </w:tc>
        <w:tc>
          <w:tcPr>
            <w:tcW w:w="722" w:type="pct"/>
          </w:tcPr>
          <w:p w:rsidR="008E4F88" w:rsidRDefault="008E4F88" w:rsidP="00B24392">
            <w:pPr>
              <w:pStyle w:val="TableTextRight"/>
            </w:pPr>
            <w:r>
              <w:t>Total</w:t>
            </w:r>
          </w:p>
        </w:tc>
      </w:tr>
      <w:tr w:rsidR="00B24392" w:rsidTr="009830EF">
        <w:tc>
          <w:tcPr>
            <w:tcW w:w="1393" w:type="pct"/>
          </w:tcPr>
          <w:p w:rsidR="00B24392" w:rsidRDefault="00B24392" w:rsidP="009830EF">
            <w:pPr>
              <w:pStyle w:val="TableText"/>
            </w:pPr>
            <w:r>
              <w:t>Fiscal balance</w:t>
            </w:r>
          </w:p>
        </w:tc>
        <w:tc>
          <w:tcPr>
            <w:tcW w:w="721" w:type="pct"/>
            <w:vAlign w:val="bottom"/>
          </w:tcPr>
          <w:p w:rsidR="00B24392" w:rsidRDefault="00B24392" w:rsidP="00B24392">
            <w:pPr>
              <w:pStyle w:val="TableTextRight"/>
            </w:pPr>
            <w:r>
              <w:t>-1.1</w:t>
            </w:r>
          </w:p>
        </w:tc>
        <w:tc>
          <w:tcPr>
            <w:tcW w:w="721" w:type="pct"/>
            <w:vAlign w:val="bottom"/>
          </w:tcPr>
          <w:p w:rsidR="00B24392" w:rsidRDefault="00B24392" w:rsidP="00B24392">
            <w:pPr>
              <w:pStyle w:val="TableTextRight"/>
            </w:pPr>
            <w:r>
              <w:t>-2.2</w:t>
            </w:r>
          </w:p>
        </w:tc>
        <w:tc>
          <w:tcPr>
            <w:tcW w:w="722" w:type="pct"/>
            <w:vAlign w:val="bottom"/>
          </w:tcPr>
          <w:p w:rsidR="00B24392" w:rsidRDefault="00B24392" w:rsidP="00B24392">
            <w:pPr>
              <w:pStyle w:val="TableTextRight"/>
            </w:pPr>
            <w:r>
              <w:t>-2.2</w:t>
            </w:r>
          </w:p>
        </w:tc>
        <w:tc>
          <w:tcPr>
            <w:tcW w:w="721" w:type="pct"/>
            <w:vAlign w:val="bottom"/>
          </w:tcPr>
          <w:p w:rsidR="00B24392" w:rsidRDefault="00B24392" w:rsidP="00B24392">
            <w:pPr>
              <w:pStyle w:val="TableTextRight"/>
            </w:pPr>
            <w:r>
              <w:t>-2.2</w:t>
            </w:r>
          </w:p>
        </w:tc>
        <w:tc>
          <w:tcPr>
            <w:tcW w:w="722" w:type="pct"/>
            <w:vAlign w:val="bottom"/>
          </w:tcPr>
          <w:p w:rsidR="00B24392" w:rsidRDefault="00B24392" w:rsidP="00B24392">
            <w:pPr>
              <w:pStyle w:val="TableTextRight"/>
              <w:rPr>
                <w:b/>
                <w:bCs/>
              </w:rPr>
            </w:pPr>
            <w:r>
              <w:rPr>
                <w:b/>
                <w:bCs/>
              </w:rPr>
              <w:t>-7.7</w:t>
            </w:r>
          </w:p>
        </w:tc>
      </w:tr>
      <w:tr w:rsidR="00B24392" w:rsidTr="009830EF">
        <w:tc>
          <w:tcPr>
            <w:tcW w:w="1393" w:type="pct"/>
          </w:tcPr>
          <w:p w:rsidR="00B24392" w:rsidRDefault="00B24392" w:rsidP="009830EF">
            <w:pPr>
              <w:pStyle w:val="TableText"/>
            </w:pPr>
            <w:r>
              <w:t>Underlying cash balance</w:t>
            </w:r>
          </w:p>
        </w:tc>
        <w:tc>
          <w:tcPr>
            <w:tcW w:w="721" w:type="pct"/>
            <w:vAlign w:val="bottom"/>
          </w:tcPr>
          <w:p w:rsidR="00B24392" w:rsidRDefault="00B24392" w:rsidP="00B24392">
            <w:pPr>
              <w:pStyle w:val="TableTextRight"/>
            </w:pPr>
            <w:r>
              <w:t>-1.1</w:t>
            </w:r>
          </w:p>
        </w:tc>
        <w:tc>
          <w:tcPr>
            <w:tcW w:w="721" w:type="pct"/>
            <w:vAlign w:val="bottom"/>
          </w:tcPr>
          <w:p w:rsidR="00B24392" w:rsidRDefault="00B24392" w:rsidP="00B24392">
            <w:pPr>
              <w:pStyle w:val="TableTextRight"/>
            </w:pPr>
            <w:r>
              <w:t>-2.2</w:t>
            </w:r>
          </w:p>
        </w:tc>
        <w:tc>
          <w:tcPr>
            <w:tcW w:w="722" w:type="pct"/>
            <w:vAlign w:val="bottom"/>
          </w:tcPr>
          <w:p w:rsidR="00B24392" w:rsidRDefault="00B24392" w:rsidP="00B24392">
            <w:pPr>
              <w:pStyle w:val="TableTextRight"/>
            </w:pPr>
            <w:r>
              <w:t>-2.2</w:t>
            </w:r>
          </w:p>
        </w:tc>
        <w:tc>
          <w:tcPr>
            <w:tcW w:w="721" w:type="pct"/>
            <w:vAlign w:val="bottom"/>
          </w:tcPr>
          <w:p w:rsidR="00B24392" w:rsidRDefault="00B24392" w:rsidP="00B24392">
            <w:pPr>
              <w:pStyle w:val="TableTextRight"/>
            </w:pPr>
            <w:r>
              <w:t>-2.2</w:t>
            </w:r>
          </w:p>
        </w:tc>
        <w:tc>
          <w:tcPr>
            <w:tcW w:w="722" w:type="pct"/>
            <w:vAlign w:val="bottom"/>
          </w:tcPr>
          <w:p w:rsidR="00B24392" w:rsidRDefault="00B24392" w:rsidP="00B24392">
            <w:pPr>
              <w:pStyle w:val="TableTextRight"/>
              <w:rPr>
                <w:b/>
                <w:bCs/>
              </w:rPr>
            </w:pPr>
            <w:r>
              <w:rPr>
                <w:b/>
                <w:bCs/>
              </w:rPr>
              <w:t>-7.7</w:t>
            </w:r>
          </w:p>
        </w:tc>
      </w:tr>
    </w:tbl>
    <w:p w:rsidR="00B24392" w:rsidRDefault="00B24392" w:rsidP="00675DFF">
      <w:pPr>
        <w:pStyle w:val="Footnotes"/>
        <w:numPr>
          <w:ilvl w:val="0"/>
          <w:numId w:val="102"/>
        </w:numPr>
        <w:spacing w:before="113"/>
        <w:ind w:left="284" w:hanging="284"/>
      </w:pPr>
      <w:r>
        <w:t>A positive number indicates an increase in the relevant budget balance, a negative number represents a decrease.</w:t>
      </w:r>
    </w:p>
    <w:p w:rsidR="008E4F88" w:rsidRPr="000E063A" w:rsidRDefault="008E4F88" w:rsidP="00675DFF">
      <w:pPr>
        <w:pStyle w:val="Footnotes"/>
        <w:ind w:left="284" w:hanging="284"/>
        <w:rPr>
          <w:rStyle w:val="FootnoteReference"/>
          <w:vertAlign w:val="baseline"/>
        </w:rPr>
      </w:pPr>
      <w:r w:rsidRPr="000E063A">
        <w:t>Figures may not sum to totals due to rounding.</w:t>
      </w:r>
    </w:p>
    <w:p w:rsidR="008E4F88" w:rsidRDefault="008E4F88" w:rsidP="008E4F88">
      <w:pPr>
        <w:pStyle w:val="CostingsH7"/>
      </w:pPr>
      <w:r>
        <w:t>Key assumptions</w:t>
      </w:r>
    </w:p>
    <w:p w:rsidR="009830EF" w:rsidRPr="009830EF" w:rsidRDefault="009830EF" w:rsidP="009830EF">
      <w:pPr>
        <w:pStyle w:val="BodyText"/>
      </w:pPr>
      <w:r w:rsidRPr="009830EF">
        <w:t>It is assumed that the scholarship program would be fully subscribed and students receiving scholarships would complete all requirements associated with receiving the scholarships.</w:t>
      </w:r>
    </w:p>
    <w:p w:rsidR="008E4F88" w:rsidRDefault="008E4F88" w:rsidP="008E4F88">
      <w:pPr>
        <w:pStyle w:val="CostingsH7"/>
      </w:pPr>
      <w:r>
        <w:t>Methodology</w:t>
      </w:r>
    </w:p>
    <w:p w:rsidR="009830EF" w:rsidRDefault="009830EF" w:rsidP="009830EF">
      <w:pPr>
        <w:pStyle w:val="BodyText"/>
      </w:pPr>
      <w:r>
        <w:t>The financial impact of this proposal was estimated by multiplying the 100 scholarships provided each year by $20,000 per annum.  Estimates for 2016-17 reflect the start date of 1 January 2017.</w:t>
      </w:r>
    </w:p>
    <w:p w:rsidR="009830EF" w:rsidRDefault="009830EF" w:rsidP="009830EF">
      <w:pPr>
        <w:pStyle w:val="BodyText"/>
      </w:pPr>
      <w:r>
        <w:t>Departmental expenses are based on similar programs.</w:t>
      </w:r>
    </w:p>
    <w:p w:rsidR="00675DFF" w:rsidRDefault="00675DFF" w:rsidP="009830EF">
      <w:pPr>
        <w:pStyle w:val="BodyText"/>
      </w:pPr>
    </w:p>
    <w:p w:rsidR="00675DFF" w:rsidRDefault="00675DFF" w:rsidP="009830EF">
      <w:pPr>
        <w:pStyle w:val="BodyText"/>
        <w:sectPr w:rsidR="00675DFF" w:rsidSect="00967BCD">
          <w:footnotePr>
            <w:numRestart w:val="eachSect"/>
          </w:footnotePr>
          <w:pgSz w:w="11906" w:h="16838" w:code="9"/>
          <w:pgMar w:top="1361" w:right="1797" w:bottom="1474" w:left="1797" w:header="283" w:footer="454" w:gutter="0"/>
          <w:cols w:space="708"/>
          <w:docGrid w:linePitch="360"/>
        </w:sectPr>
      </w:pPr>
    </w:p>
    <w:p w:rsidR="008E4F88" w:rsidRDefault="009830EF" w:rsidP="006347B8">
      <w:pPr>
        <w:pStyle w:val="Heading6"/>
        <w:spacing w:before="480"/>
      </w:pPr>
      <w:r>
        <w:t xml:space="preserve">Attachment </w:t>
      </w:r>
      <w:r w:rsidRPr="009830EF">
        <w:t>A: Asian Language Scholarships—financial</w:t>
      </w:r>
      <w:r w:rsidR="00F24DEA">
        <w:t> </w:t>
      </w:r>
      <w:r w:rsidRPr="009830EF">
        <w:t>implications</w:t>
      </w:r>
    </w:p>
    <w:p w:rsidR="008E4F88" w:rsidRDefault="008E4F88" w:rsidP="008E4F88">
      <w:pPr>
        <w:pStyle w:val="Caption"/>
      </w:pPr>
      <w:r w:rsidRPr="002B36F1">
        <w:t xml:space="preserve">Table </w:t>
      </w:r>
      <w:r>
        <w:t>A1</w:t>
      </w:r>
      <w:r w:rsidRPr="002B36F1">
        <w:t xml:space="preserve">: </w:t>
      </w:r>
      <w:r w:rsidR="009830EF">
        <w:t>Asian Language Scholarships—Financial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8E4F88" w:rsidTr="009830EF">
        <w:trPr>
          <w:cnfStyle w:val="100000000000" w:firstRow="1" w:lastRow="0" w:firstColumn="0" w:lastColumn="0" w:oddVBand="0" w:evenVBand="0" w:oddHBand="0" w:evenHBand="0" w:firstRowFirstColumn="0" w:firstRowLastColumn="0" w:lastRowFirstColumn="0" w:lastRowLastColumn="0"/>
        </w:trPr>
        <w:tc>
          <w:tcPr>
            <w:tcW w:w="1554" w:type="pct"/>
          </w:tcPr>
          <w:p w:rsidR="008E4F88" w:rsidRPr="007C2713" w:rsidRDefault="008E4F88" w:rsidP="009830EF">
            <w:pPr>
              <w:pStyle w:val="TableText"/>
              <w:rPr>
                <w:b w:val="0"/>
              </w:rPr>
            </w:pPr>
            <w:r>
              <w:t>($</w:t>
            </w:r>
            <w:r w:rsidR="00324024">
              <w:t>m</w:t>
            </w:r>
            <w:r>
              <w:t>)</w:t>
            </w:r>
          </w:p>
        </w:tc>
        <w:tc>
          <w:tcPr>
            <w:tcW w:w="689" w:type="pct"/>
          </w:tcPr>
          <w:p w:rsidR="008E4F88" w:rsidRDefault="008E4F88" w:rsidP="009830EF">
            <w:pPr>
              <w:pStyle w:val="TableTextRight"/>
              <w:rPr>
                <w:b w:val="0"/>
              </w:rPr>
            </w:pPr>
            <w:r>
              <w:t>2016–17</w:t>
            </w:r>
          </w:p>
        </w:tc>
        <w:tc>
          <w:tcPr>
            <w:tcW w:w="689" w:type="pct"/>
          </w:tcPr>
          <w:p w:rsidR="008E4F88" w:rsidRDefault="008E4F88" w:rsidP="009830EF">
            <w:pPr>
              <w:pStyle w:val="TableTextRight"/>
              <w:rPr>
                <w:b w:val="0"/>
              </w:rPr>
            </w:pPr>
            <w:r>
              <w:t>2017–18</w:t>
            </w:r>
          </w:p>
        </w:tc>
        <w:tc>
          <w:tcPr>
            <w:tcW w:w="689" w:type="pct"/>
          </w:tcPr>
          <w:p w:rsidR="008E4F88" w:rsidRDefault="008E4F88" w:rsidP="009830EF">
            <w:pPr>
              <w:pStyle w:val="TableTextRight"/>
              <w:rPr>
                <w:b w:val="0"/>
              </w:rPr>
            </w:pPr>
            <w:r>
              <w:t>2018–19</w:t>
            </w:r>
          </w:p>
        </w:tc>
        <w:tc>
          <w:tcPr>
            <w:tcW w:w="689" w:type="pct"/>
          </w:tcPr>
          <w:p w:rsidR="008E4F88" w:rsidRDefault="008E4F88" w:rsidP="009830EF">
            <w:pPr>
              <w:pStyle w:val="TableTextRight"/>
              <w:rPr>
                <w:b w:val="0"/>
              </w:rPr>
            </w:pPr>
            <w:r>
              <w:t>2019–20</w:t>
            </w:r>
          </w:p>
        </w:tc>
        <w:tc>
          <w:tcPr>
            <w:tcW w:w="690" w:type="pct"/>
          </w:tcPr>
          <w:p w:rsidR="008E4F88" w:rsidRDefault="008E4F88" w:rsidP="009830EF">
            <w:pPr>
              <w:pStyle w:val="TableTextRight"/>
            </w:pPr>
            <w:r>
              <w:t>Total</w:t>
            </w:r>
            <w:r w:rsidR="00324024">
              <w:t xml:space="preserve"> to 2019–20</w:t>
            </w:r>
          </w:p>
        </w:tc>
      </w:tr>
      <w:tr w:rsidR="00324024" w:rsidTr="00324024">
        <w:tc>
          <w:tcPr>
            <w:tcW w:w="5000" w:type="pct"/>
            <w:gridSpan w:val="6"/>
            <w:shd w:val="clear" w:color="auto" w:fill="E9ECF3" w:themeFill="accent2" w:themeFillTint="33"/>
          </w:tcPr>
          <w:p w:rsidR="00324024" w:rsidRDefault="00324024" w:rsidP="00324024">
            <w:pPr>
              <w:pStyle w:val="TableTextRight"/>
              <w:jc w:val="left"/>
            </w:pPr>
            <w:r>
              <w:rPr>
                <w:b/>
              </w:rPr>
              <w:t>Impact on f</w:t>
            </w:r>
            <w:r w:rsidRPr="00C363AE">
              <w:rPr>
                <w:b/>
              </w:rPr>
              <w:t>iscal and underlying cash balances</w:t>
            </w:r>
          </w:p>
        </w:tc>
      </w:tr>
      <w:tr w:rsidR="009830EF" w:rsidTr="009830EF">
        <w:tc>
          <w:tcPr>
            <w:tcW w:w="1554" w:type="pct"/>
          </w:tcPr>
          <w:p w:rsidR="009830EF" w:rsidRPr="00027340" w:rsidRDefault="009830EF" w:rsidP="009830EF">
            <w:pPr>
              <w:pStyle w:val="TableTextCentred"/>
              <w:keepNext/>
              <w:keepLines/>
              <w:spacing w:line="240" w:lineRule="auto"/>
              <w:jc w:val="left"/>
              <w:rPr>
                <w:szCs w:val="20"/>
              </w:rPr>
            </w:pPr>
            <w:r>
              <w:rPr>
                <w:szCs w:val="20"/>
              </w:rPr>
              <w:t>Administered</w:t>
            </w:r>
          </w:p>
        </w:tc>
        <w:tc>
          <w:tcPr>
            <w:tcW w:w="689" w:type="pct"/>
          </w:tcPr>
          <w:p w:rsidR="009830EF" w:rsidRPr="00016166" w:rsidRDefault="009830EF" w:rsidP="00016166">
            <w:pPr>
              <w:pStyle w:val="TableTextRight"/>
              <w:rPr>
                <w:i/>
              </w:rPr>
            </w:pPr>
            <w:r w:rsidRPr="00016166">
              <w:rPr>
                <w:i/>
              </w:rPr>
              <w:t xml:space="preserve"> -1.0 </w:t>
            </w:r>
          </w:p>
        </w:tc>
        <w:tc>
          <w:tcPr>
            <w:tcW w:w="689" w:type="pct"/>
          </w:tcPr>
          <w:p w:rsidR="009830EF" w:rsidRPr="00016166" w:rsidRDefault="009830EF" w:rsidP="00016166">
            <w:pPr>
              <w:pStyle w:val="TableTextRight"/>
              <w:rPr>
                <w:i/>
              </w:rPr>
            </w:pPr>
            <w:r w:rsidRPr="00016166">
              <w:rPr>
                <w:i/>
              </w:rPr>
              <w:t xml:space="preserve">-2.0 </w:t>
            </w:r>
          </w:p>
        </w:tc>
        <w:tc>
          <w:tcPr>
            <w:tcW w:w="689" w:type="pct"/>
          </w:tcPr>
          <w:p w:rsidR="009830EF" w:rsidRPr="00016166" w:rsidRDefault="009830EF" w:rsidP="00016166">
            <w:pPr>
              <w:pStyle w:val="TableTextRight"/>
              <w:rPr>
                <w:i/>
              </w:rPr>
            </w:pPr>
            <w:r w:rsidRPr="00016166">
              <w:rPr>
                <w:i/>
              </w:rPr>
              <w:t xml:space="preserve"> -2.0 </w:t>
            </w:r>
          </w:p>
        </w:tc>
        <w:tc>
          <w:tcPr>
            <w:tcW w:w="689" w:type="pct"/>
          </w:tcPr>
          <w:p w:rsidR="009830EF" w:rsidRPr="00016166" w:rsidRDefault="009830EF" w:rsidP="00016166">
            <w:pPr>
              <w:pStyle w:val="TableTextRight"/>
              <w:rPr>
                <w:i/>
              </w:rPr>
            </w:pPr>
            <w:r w:rsidRPr="00016166">
              <w:rPr>
                <w:i/>
              </w:rPr>
              <w:t xml:space="preserve"> -2.0 </w:t>
            </w:r>
          </w:p>
        </w:tc>
        <w:tc>
          <w:tcPr>
            <w:tcW w:w="690" w:type="pct"/>
          </w:tcPr>
          <w:p w:rsidR="009830EF" w:rsidRPr="00016166" w:rsidRDefault="009830EF" w:rsidP="00016166">
            <w:pPr>
              <w:pStyle w:val="TableTextRight"/>
              <w:rPr>
                <w:b/>
                <w:i/>
              </w:rPr>
            </w:pPr>
            <w:r w:rsidRPr="00016166">
              <w:rPr>
                <w:b/>
                <w:i/>
              </w:rPr>
              <w:t xml:space="preserve">-7.0 </w:t>
            </w:r>
          </w:p>
        </w:tc>
      </w:tr>
      <w:tr w:rsidR="009830EF" w:rsidTr="009830EF">
        <w:tc>
          <w:tcPr>
            <w:tcW w:w="1554" w:type="pct"/>
          </w:tcPr>
          <w:p w:rsidR="009830EF" w:rsidRPr="00027340" w:rsidRDefault="009830EF" w:rsidP="009830EF">
            <w:pPr>
              <w:pStyle w:val="TableTextCentred"/>
              <w:keepNext/>
              <w:keepLines/>
              <w:spacing w:line="240" w:lineRule="auto"/>
              <w:jc w:val="left"/>
              <w:rPr>
                <w:szCs w:val="20"/>
              </w:rPr>
            </w:pPr>
            <w:r>
              <w:rPr>
                <w:szCs w:val="20"/>
              </w:rPr>
              <w:t>Departmental</w:t>
            </w:r>
          </w:p>
        </w:tc>
        <w:tc>
          <w:tcPr>
            <w:tcW w:w="689" w:type="pct"/>
          </w:tcPr>
          <w:p w:rsidR="009830EF" w:rsidRPr="00016166" w:rsidRDefault="009830EF" w:rsidP="00016166">
            <w:pPr>
              <w:pStyle w:val="TableTextRight"/>
              <w:rPr>
                <w:i/>
              </w:rPr>
            </w:pPr>
            <w:r w:rsidRPr="00016166">
              <w:rPr>
                <w:i/>
              </w:rPr>
              <w:t xml:space="preserve"> -0.1 </w:t>
            </w:r>
          </w:p>
        </w:tc>
        <w:tc>
          <w:tcPr>
            <w:tcW w:w="689" w:type="pct"/>
          </w:tcPr>
          <w:p w:rsidR="009830EF" w:rsidRPr="00016166" w:rsidRDefault="009830EF" w:rsidP="00016166">
            <w:pPr>
              <w:pStyle w:val="TableTextRight"/>
              <w:rPr>
                <w:i/>
              </w:rPr>
            </w:pPr>
            <w:r w:rsidRPr="00016166">
              <w:rPr>
                <w:i/>
              </w:rPr>
              <w:t xml:space="preserve"> -0.2 </w:t>
            </w:r>
          </w:p>
        </w:tc>
        <w:tc>
          <w:tcPr>
            <w:tcW w:w="689" w:type="pct"/>
          </w:tcPr>
          <w:p w:rsidR="009830EF" w:rsidRPr="00016166" w:rsidRDefault="009830EF" w:rsidP="00016166">
            <w:pPr>
              <w:pStyle w:val="TableTextRight"/>
              <w:rPr>
                <w:i/>
              </w:rPr>
            </w:pPr>
            <w:r w:rsidRPr="00016166">
              <w:rPr>
                <w:i/>
              </w:rPr>
              <w:t xml:space="preserve">-0.2 </w:t>
            </w:r>
          </w:p>
        </w:tc>
        <w:tc>
          <w:tcPr>
            <w:tcW w:w="689" w:type="pct"/>
          </w:tcPr>
          <w:p w:rsidR="009830EF" w:rsidRPr="00016166" w:rsidRDefault="009830EF" w:rsidP="00016166">
            <w:pPr>
              <w:pStyle w:val="TableTextRight"/>
              <w:rPr>
                <w:i/>
              </w:rPr>
            </w:pPr>
            <w:r w:rsidRPr="00016166">
              <w:rPr>
                <w:i/>
              </w:rPr>
              <w:t xml:space="preserve"> -0.2 </w:t>
            </w:r>
          </w:p>
        </w:tc>
        <w:tc>
          <w:tcPr>
            <w:tcW w:w="690" w:type="pct"/>
          </w:tcPr>
          <w:p w:rsidR="009830EF" w:rsidRPr="00016166" w:rsidRDefault="009830EF" w:rsidP="00016166">
            <w:pPr>
              <w:pStyle w:val="TableTextRight"/>
              <w:rPr>
                <w:b/>
                <w:i/>
              </w:rPr>
            </w:pPr>
            <w:r w:rsidRPr="00016166">
              <w:rPr>
                <w:b/>
                <w:i/>
              </w:rPr>
              <w:t xml:space="preserve">-0.7 </w:t>
            </w:r>
          </w:p>
        </w:tc>
      </w:tr>
      <w:tr w:rsidR="009830EF" w:rsidRPr="007C2713" w:rsidTr="009830EF">
        <w:tc>
          <w:tcPr>
            <w:tcW w:w="1554" w:type="pct"/>
            <w:shd w:val="clear" w:color="auto" w:fill="D7DDE9" w:themeFill="accent3"/>
          </w:tcPr>
          <w:p w:rsidR="009830EF" w:rsidRPr="0055406D" w:rsidRDefault="009830EF" w:rsidP="009830EF">
            <w:pPr>
              <w:pStyle w:val="TableTextCentred"/>
              <w:keepNext/>
              <w:keepLines/>
              <w:spacing w:line="240" w:lineRule="auto"/>
              <w:jc w:val="left"/>
              <w:rPr>
                <w:b/>
                <w:szCs w:val="20"/>
              </w:rPr>
            </w:pPr>
            <w:r w:rsidRPr="0055406D">
              <w:rPr>
                <w:b/>
                <w:szCs w:val="20"/>
              </w:rPr>
              <w:t>Total</w:t>
            </w:r>
          </w:p>
        </w:tc>
        <w:tc>
          <w:tcPr>
            <w:tcW w:w="689" w:type="pct"/>
            <w:shd w:val="clear" w:color="auto" w:fill="D7DDE9" w:themeFill="accent3"/>
          </w:tcPr>
          <w:p w:rsidR="009830EF" w:rsidRPr="00016166" w:rsidRDefault="009830EF" w:rsidP="00016166">
            <w:pPr>
              <w:pStyle w:val="TableTextRight"/>
              <w:rPr>
                <w:b/>
              </w:rPr>
            </w:pPr>
            <w:r w:rsidRPr="00016166">
              <w:rPr>
                <w:b/>
              </w:rPr>
              <w:t xml:space="preserve"> -1.1 </w:t>
            </w:r>
          </w:p>
        </w:tc>
        <w:tc>
          <w:tcPr>
            <w:tcW w:w="689" w:type="pct"/>
            <w:shd w:val="clear" w:color="auto" w:fill="D7DDE9" w:themeFill="accent3"/>
          </w:tcPr>
          <w:p w:rsidR="009830EF" w:rsidRPr="00016166" w:rsidRDefault="009830EF" w:rsidP="00016166">
            <w:pPr>
              <w:pStyle w:val="TableTextRight"/>
              <w:rPr>
                <w:b/>
              </w:rPr>
            </w:pPr>
            <w:r w:rsidRPr="00016166">
              <w:rPr>
                <w:b/>
              </w:rPr>
              <w:t xml:space="preserve"> -2.2 </w:t>
            </w:r>
          </w:p>
        </w:tc>
        <w:tc>
          <w:tcPr>
            <w:tcW w:w="689" w:type="pct"/>
            <w:shd w:val="clear" w:color="auto" w:fill="D7DDE9" w:themeFill="accent3"/>
          </w:tcPr>
          <w:p w:rsidR="009830EF" w:rsidRPr="00016166" w:rsidRDefault="009830EF" w:rsidP="00016166">
            <w:pPr>
              <w:pStyle w:val="TableTextRight"/>
              <w:rPr>
                <w:b/>
              </w:rPr>
            </w:pPr>
            <w:r w:rsidRPr="00016166">
              <w:rPr>
                <w:b/>
              </w:rPr>
              <w:t xml:space="preserve"> -2.2 </w:t>
            </w:r>
          </w:p>
        </w:tc>
        <w:tc>
          <w:tcPr>
            <w:tcW w:w="689" w:type="pct"/>
            <w:shd w:val="clear" w:color="auto" w:fill="D7DDE9" w:themeFill="accent3"/>
          </w:tcPr>
          <w:p w:rsidR="009830EF" w:rsidRPr="00016166" w:rsidRDefault="009830EF" w:rsidP="00016166">
            <w:pPr>
              <w:pStyle w:val="TableTextRight"/>
              <w:rPr>
                <w:b/>
              </w:rPr>
            </w:pPr>
            <w:r w:rsidRPr="00016166">
              <w:rPr>
                <w:b/>
              </w:rPr>
              <w:t xml:space="preserve"> -2.2 </w:t>
            </w:r>
          </w:p>
        </w:tc>
        <w:tc>
          <w:tcPr>
            <w:tcW w:w="690" w:type="pct"/>
            <w:shd w:val="clear" w:color="auto" w:fill="D7DDE9" w:themeFill="accent3"/>
          </w:tcPr>
          <w:p w:rsidR="009830EF" w:rsidRPr="00016166" w:rsidRDefault="009830EF" w:rsidP="00016166">
            <w:pPr>
              <w:pStyle w:val="TableTextRight"/>
              <w:rPr>
                <w:b/>
              </w:rPr>
            </w:pPr>
            <w:r w:rsidRPr="00016166">
              <w:rPr>
                <w:b/>
              </w:rPr>
              <w:t xml:space="preserve"> -7.7 </w:t>
            </w:r>
          </w:p>
        </w:tc>
      </w:tr>
    </w:tbl>
    <w:p w:rsidR="001A53DA" w:rsidRPr="001A53DA" w:rsidRDefault="001A53DA" w:rsidP="002C43F8">
      <w:pPr>
        <w:pStyle w:val="Footnotes"/>
        <w:numPr>
          <w:ilvl w:val="0"/>
          <w:numId w:val="103"/>
        </w:numPr>
        <w:ind w:left="180"/>
      </w:pPr>
      <w:r w:rsidRPr="001A53DA">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8E4F88" w:rsidRDefault="001A53DA" w:rsidP="00430AA9">
      <w:pPr>
        <w:pStyle w:val="Footnotes"/>
        <w:ind w:left="180"/>
      </w:pPr>
      <w:r w:rsidRPr="001A53DA">
        <w:t>Figures may not sum to totals due to rounding.</w:t>
      </w:r>
    </w:p>
    <w:p w:rsidR="006347B8" w:rsidRPr="00951305" w:rsidRDefault="006347B8" w:rsidP="006347B8">
      <w:pPr>
        <w:pStyle w:val="BodyText"/>
      </w:pPr>
    </w:p>
    <w:p w:rsidR="008E4F88" w:rsidRDefault="008E4F88" w:rsidP="006347B8">
      <w:pPr>
        <w:pStyle w:val="BodyText"/>
        <w:sectPr w:rsidR="008E4F88"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37" w:name="_Toc458081657"/>
      <w:r>
        <w:t>ALP03</w:t>
      </w:r>
      <w:r w:rsidR="00C21EBE">
        <w:t>3</w:t>
      </w:r>
      <w:r>
        <w:t>: HECS Free STEM Degrees</w:t>
      </w:r>
      <w:bookmarkEnd w:id="37"/>
    </w:p>
    <w:p w:rsidR="00745988" w:rsidRDefault="00745988" w:rsidP="00745988">
      <w:pPr>
        <w:pStyle w:val="BodyText"/>
      </w:pPr>
      <w:r>
        <w:rPr>
          <w:noProof/>
          <w:lang w:eastAsia="en-AU"/>
        </w:rPr>
        <w:drawing>
          <wp:inline distT="0" distB="0" distL="0" distR="0" wp14:anchorId="1BA7EB57" wp14:editId="13FC1FAE">
            <wp:extent cx="2696845" cy="572135"/>
            <wp:effectExtent l="0" t="0" r="8255" b="0"/>
            <wp:docPr id="358" name="Picture 35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E11E5F" w:rsidRPr="00E51946" w:rsidTr="00E11E5F">
        <w:trPr>
          <w:cnfStyle w:val="100000000000" w:firstRow="1" w:lastRow="0" w:firstColumn="0" w:lastColumn="0" w:oddVBand="0" w:evenVBand="0" w:oddHBand="0" w:evenHBand="0" w:firstRowFirstColumn="0" w:firstRowLastColumn="0" w:lastRowFirstColumn="0" w:lastRowLastColumn="0"/>
        </w:trPr>
        <w:tc>
          <w:tcPr>
            <w:tcW w:w="1809" w:type="pct"/>
          </w:tcPr>
          <w:p w:rsidR="00E11E5F" w:rsidRPr="00E51946" w:rsidRDefault="00E11E5F" w:rsidP="006347B8">
            <w:pPr>
              <w:pStyle w:val="PullOutBoxHeading"/>
              <w:rPr>
                <w:b/>
              </w:rPr>
            </w:pPr>
            <w:r w:rsidRPr="00E51946">
              <w:rPr>
                <w:b/>
              </w:rPr>
              <w:t>Name of proposal:</w:t>
            </w:r>
          </w:p>
        </w:tc>
        <w:tc>
          <w:tcPr>
            <w:tcW w:w="3191" w:type="pct"/>
          </w:tcPr>
          <w:p w:rsidR="00E11E5F" w:rsidRPr="00E51946" w:rsidRDefault="006927EA" w:rsidP="006347B8">
            <w:pPr>
              <w:pStyle w:val="PullOutBoxHeading"/>
              <w:rPr>
                <w:b/>
              </w:rPr>
            </w:pPr>
            <w:r w:rsidRPr="00E51946">
              <w:rPr>
                <w:b/>
              </w:rPr>
              <w:t>HECS Free STEM Degrees</w:t>
            </w:r>
          </w:p>
        </w:tc>
      </w:tr>
      <w:tr w:rsidR="00E11E5F" w:rsidRPr="00B45F94" w:rsidTr="00E11E5F">
        <w:tc>
          <w:tcPr>
            <w:tcW w:w="1809" w:type="pct"/>
          </w:tcPr>
          <w:p w:rsidR="00E11E5F" w:rsidRPr="00B45F94" w:rsidRDefault="00E11E5F" w:rsidP="006347B8">
            <w:pPr>
              <w:pStyle w:val="PullOutBoxBodyText"/>
            </w:pPr>
            <w:r w:rsidRPr="00B45F94">
              <w:t>Summary of proposal:</w:t>
            </w:r>
          </w:p>
        </w:tc>
        <w:tc>
          <w:tcPr>
            <w:tcW w:w="3191" w:type="pct"/>
          </w:tcPr>
          <w:p w:rsidR="006927EA" w:rsidRDefault="006927EA" w:rsidP="006347B8">
            <w:pPr>
              <w:pStyle w:val="PullOutBoxBodyText"/>
            </w:pPr>
            <w:r>
              <w:t>The proposal would provide 20,000 Science, Technology, Engineering and Mathematics (STEM) Award Degrees per year for five years.</w:t>
            </w:r>
          </w:p>
          <w:p w:rsidR="006927EA" w:rsidRDefault="006927EA" w:rsidP="006347B8">
            <w:pPr>
              <w:pStyle w:val="PullOutBoxBodyText"/>
            </w:pPr>
            <w:r>
              <w:t>The STEM Award Degrees would entitle students who successfully graduate to have their entire Higher Education Loan Program (HELP) debt incurred in studying the degree written off at the time of graduation.</w:t>
            </w:r>
          </w:p>
          <w:p w:rsidR="00E11E5F" w:rsidRPr="00B45F94" w:rsidRDefault="006927EA" w:rsidP="006347B8">
            <w:pPr>
              <w:pStyle w:val="PullOutBoxBodyText"/>
            </w:pPr>
            <w:r>
              <w:t>The proposal would have effect from 1 January 2017.</w:t>
            </w:r>
          </w:p>
        </w:tc>
      </w:tr>
      <w:tr w:rsidR="00E11E5F" w:rsidRPr="00B45F94" w:rsidTr="00E11E5F">
        <w:tc>
          <w:tcPr>
            <w:tcW w:w="1809" w:type="pct"/>
          </w:tcPr>
          <w:p w:rsidR="00E11E5F" w:rsidRPr="00B45F94" w:rsidRDefault="00E11E5F" w:rsidP="006347B8">
            <w:pPr>
              <w:pStyle w:val="PullOutBoxBodyText"/>
            </w:pPr>
            <w:r>
              <w:t>Party:</w:t>
            </w:r>
          </w:p>
        </w:tc>
        <w:tc>
          <w:tcPr>
            <w:tcW w:w="3191" w:type="pct"/>
          </w:tcPr>
          <w:p w:rsidR="00E11E5F" w:rsidRPr="00B45F94" w:rsidRDefault="00E11E5F" w:rsidP="006347B8">
            <w:pPr>
              <w:pStyle w:val="PullOutBoxBodyText"/>
            </w:pPr>
            <w:r>
              <w:t>Australian Labor Party</w:t>
            </w:r>
          </w:p>
        </w:tc>
      </w:tr>
      <w:tr w:rsidR="00E11E5F" w:rsidRPr="00B45F94" w:rsidTr="00E11E5F">
        <w:tc>
          <w:tcPr>
            <w:tcW w:w="1809" w:type="pct"/>
          </w:tcPr>
          <w:p w:rsidR="00E11E5F" w:rsidRPr="00B45F94" w:rsidRDefault="00E11E5F" w:rsidP="006347B8">
            <w:pPr>
              <w:pStyle w:val="PullOutBoxBodyText"/>
            </w:pPr>
            <w:r w:rsidRPr="00B45F94">
              <w:t>Expiry date for the costing:</w:t>
            </w:r>
          </w:p>
        </w:tc>
        <w:tc>
          <w:tcPr>
            <w:tcW w:w="3191" w:type="pct"/>
          </w:tcPr>
          <w:p w:rsidR="00E11E5F" w:rsidRPr="00B45F94" w:rsidRDefault="00E11E5F" w:rsidP="006347B8">
            <w:pPr>
              <w:pStyle w:val="PullOutBoxBodyText"/>
            </w:pPr>
            <w:r>
              <w:t>R</w:t>
            </w:r>
            <w:r w:rsidRPr="0064604B">
              <w:t xml:space="preserve">elease of the </w:t>
            </w:r>
            <w:r>
              <w:t>next economic and fiscal update</w:t>
            </w:r>
          </w:p>
        </w:tc>
      </w:tr>
    </w:tbl>
    <w:p w:rsidR="00E11E5F" w:rsidRDefault="00E11E5F" w:rsidP="00E11E5F">
      <w:pPr>
        <w:pStyle w:val="CostingsH7"/>
      </w:pPr>
      <w:r w:rsidRPr="00BF1EE6">
        <w:t>Costing overview</w:t>
      </w:r>
    </w:p>
    <w:p w:rsidR="006927EA" w:rsidRPr="006927EA" w:rsidRDefault="006927EA" w:rsidP="006927EA">
      <w:pPr>
        <w:pStyle w:val="BodyText"/>
      </w:pPr>
      <w:r w:rsidRPr="006927EA">
        <w:t>This proposal would be expected to decrease the fiscal balance by $350 million, decrease the underlying cash balance by $2 million and decrease the headline cash bala</w:t>
      </w:r>
      <w:r>
        <w:t>nce by $2 million over the 2016</w:t>
      </w:r>
      <w:r>
        <w:noBreakHyphen/>
      </w:r>
      <w:r w:rsidRPr="006927EA">
        <w:t>17 Budget forward estimates period.</w:t>
      </w:r>
    </w:p>
    <w:p w:rsidR="006927EA" w:rsidRPr="006927EA" w:rsidRDefault="006927EA" w:rsidP="006927EA">
      <w:pPr>
        <w:pStyle w:val="BodyText"/>
      </w:pPr>
      <w:r w:rsidRPr="006927EA">
        <w:t>The proposal would have an ongoing financial impa</w:t>
      </w:r>
      <w:r>
        <w:t>ct that extends beyond the 2016</w:t>
      </w:r>
      <w:r>
        <w:noBreakHyphen/>
      </w:r>
      <w:r w:rsidRPr="006927EA">
        <w:t>17 Budget forward estimates period.  The disaggregated financial impacts of th</w:t>
      </w:r>
      <w:r>
        <w:t>e proposal over the period 2016</w:t>
      </w:r>
      <w:r>
        <w:noBreakHyphen/>
        <w:t>17 to 2026</w:t>
      </w:r>
      <w:r>
        <w:noBreakHyphen/>
      </w:r>
      <w:r w:rsidRPr="006927EA">
        <w:t xml:space="preserve">27 are included at </w:t>
      </w:r>
      <w:r w:rsidRPr="006927EA">
        <w:rPr>
          <w:u w:val="single"/>
        </w:rPr>
        <w:t>Attachment A</w:t>
      </w:r>
      <w:r w:rsidRPr="006927EA">
        <w:t>.</w:t>
      </w:r>
    </w:p>
    <w:p w:rsidR="006927EA" w:rsidRPr="006927EA" w:rsidRDefault="006927EA" w:rsidP="006927EA">
      <w:pPr>
        <w:pStyle w:val="BodyText"/>
      </w:pPr>
      <w:r w:rsidRPr="006927EA">
        <w:t>Additional departmental funding of $2 million over the 2016</w:t>
      </w:r>
      <w:r>
        <w:noBreakHyphen/>
      </w:r>
      <w:r w:rsidRPr="006927EA">
        <w:t>17 Budget forward estimates period has been included.</w:t>
      </w:r>
    </w:p>
    <w:p w:rsidR="006927EA" w:rsidRPr="006927EA" w:rsidRDefault="006927EA" w:rsidP="006927EA">
      <w:pPr>
        <w:pStyle w:val="BodyText"/>
      </w:pPr>
      <w:r w:rsidRPr="006927EA">
        <w:t xml:space="preserve">The </w:t>
      </w:r>
      <w:r w:rsidRPr="00E84183">
        <w:rPr>
          <w:i/>
        </w:rPr>
        <w:t>Methodology</w:t>
      </w:r>
      <w:r w:rsidRPr="006927EA">
        <w:t xml:space="preserve"> section outlines how impacts on each budget balance are estimated.  As the proposal involves the transaction of financial assets in the form of additional HELP loan issuance, the Public Debt Interest (PDI) impact of the proposal has been included in the overall fina</w:t>
      </w:r>
      <w:r w:rsidR="00E84183">
        <w:t>ncial impacts of the proposal.</w:t>
      </w:r>
    </w:p>
    <w:p w:rsidR="000832F7" w:rsidRDefault="006927EA" w:rsidP="006927EA">
      <w:pPr>
        <w:pStyle w:val="BodyText"/>
      </w:pPr>
      <w:r w:rsidRPr="006927EA">
        <w:t>This costing is considered to be of medium reliability as it is sensitive to the graduation rate of scholarship recipients.</w:t>
      </w:r>
    </w:p>
    <w:p w:rsidR="00E11E5F" w:rsidRDefault="00E11E5F" w:rsidP="00F738E9">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11E5F" w:rsidRPr="00D264E1" w:rsidTr="00E11E5F">
        <w:trPr>
          <w:cnfStyle w:val="100000000000" w:firstRow="1" w:lastRow="0" w:firstColumn="0" w:lastColumn="0" w:oddVBand="0" w:evenVBand="0" w:oddHBand="0" w:evenHBand="0" w:firstRowFirstColumn="0" w:firstRowLastColumn="0" w:lastRowFirstColumn="0" w:lastRowLastColumn="0"/>
        </w:trPr>
        <w:tc>
          <w:tcPr>
            <w:tcW w:w="1393" w:type="pct"/>
          </w:tcPr>
          <w:p w:rsidR="00E11E5F" w:rsidRPr="00D264E1" w:rsidRDefault="00E11E5F" w:rsidP="00F738E9">
            <w:pPr>
              <w:pStyle w:val="TableHeading"/>
            </w:pPr>
            <w:r>
              <w:t>Impact on</w:t>
            </w:r>
            <w:r w:rsidR="000832F7">
              <w:t xml:space="preserve"> ($m)</w:t>
            </w:r>
          </w:p>
        </w:tc>
        <w:tc>
          <w:tcPr>
            <w:tcW w:w="721" w:type="pct"/>
          </w:tcPr>
          <w:p w:rsidR="00E11E5F" w:rsidRPr="00FC1F1C" w:rsidRDefault="00E11E5F" w:rsidP="00F738E9">
            <w:pPr>
              <w:pStyle w:val="TableHeadingRight"/>
            </w:pPr>
            <w:r>
              <w:t>2016–17</w:t>
            </w:r>
          </w:p>
        </w:tc>
        <w:tc>
          <w:tcPr>
            <w:tcW w:w="721" w:type="pct"/>
          </w:tcPr>
          <w:p w:rsidR="00E11E5F" w:rsidRPr="00FC1F1C" w:rsidRDefault="00E11E5F" w:rsidP="00F738E9">
            <w:pPr>
              <w:pStyle w:val="TableHeadingRight"/>
            </w:pPr>
            <w:r>
              <w:t>2017–18</w:t>
            </w:r>
          </w:p>
        </w:tc>
        <w:tc>
          <w:tcPr>
            <w:tcW w:w="722" w:type="pct"/>
          </w:tcPr>
          <w:p w:rsidR="00E11E5F" w:rsidRPr="00FC1F1C" w:rsidRDefault="00E11E5F" w:rsidP="00F738E9">
            <w:pPr>
              <w:pStyle w:val="TableHeadingRight"/>
            </w:pPr>
            <w:r>
              <w:t>2018–19</w:t>
            </w:r>
          </w:p>
        </w:tc>
        <w:tc>
          <w:tcPr>
            <w:tcW w:w="721" w:type="pct"/>
          </w:tcPr>
          <w:p w:rsidR="00E11E5F" w:rsidRPr="00FC1F1C" w:rsidRDefault="00E11E5F" w:rsidP="00F738E9">
            <w:pPr>
              <w:pStyle w:val="TableHeadingRight"/>
            </w:pPr>
            <w:r>
              <w:t>2019–20</w:t>
            </w:r>
          </w:p>
        </w:tc>
        <w:tc>
          <w:tcPr>
            <w:tcW w:w="722" w:type="pct"/>
          </w:tcPr>
          <w:p w:rsidR="00E11E5F" w:rsidRDefault="00E11E5F" w:rsidP="00F738E9">
            <w:pPr>
              <w:pStyle w:val="TableTextRight"/>
              <w:keepNext/>
              <w:keepLines/>
            </w:pPr>
            <w:r>
              <w:t>Total</w:t>
            </w:r>
          </w:p>
        </w:tc>
      </w:tr>
      <w:tr w:rsidR="000832F7" w:rsidTr="00E11E5F">
        <w:tc>
          <w:tcPr>
            <w:tcW w:w="1393" w:type="pct"/>
          </w:tcPr>
          <w:p w:rsidR="000832F7" w:rsidRDefault="000832F7" w:rsidP="00F738E9">
            <w:pPr>
              <w:pStyle w:val="TableText"/>
              <w:keepNext/>
              <w:keepLines/>
            </w:pPr>
            <w:r>
              <w:t>Fiscal balance</w:t>
            </w:r>
          </w:p>
        </w:tc>
        <w:tc>
          <w:tcPr>
            <w:tcW w:w="721" w:type="pct"/>
          </w:tcPr>
          <w:p w:rsidR="000832F7" w:rsidRPr="009F71E1" w:rsidRDefault="000832F7" w:rsidP="00F738E9">
            <w:pPr>
              <w:pStyle w:val="TableTextRight"/>
              <w:keepNext/>
              <w:keepLines/>
            </w:pPr>
            <w:r w:rsidRPr="009F71E1">
              <w:t>-1</w:t>
            </w:r>
            <w:r>
              <w:t>.0</w:t>
            </w:r>
          </w:p>
        </w:tc>
        <w:tc>
          <w:tcPr>
            <w:tcW w:w="721" w:type="pct"/>
          </w:tcPr>
          <w:p w:rsidR="000832F7" w:rsidRPr="009F71E1" w:rsidRDefault="000832F7" w:rsidP="00F738E9">
            <w:pPr>
              <w:pStyle w:val="TableTextRight"/>
              <w:keepNext/>
              <w:keepLines/>
            </w:pPr>
            <w:r>
              <w:t>..</w:t>
            </w:r>
          </w:p>
        </w:tc>
        <w:tc>
          <w:tcPr>
            <w:tcW w:w="722" w:type="pct"/>
          </w:tcPr>
          <w:p w:rsidR="000832F7" w:rsidRPr="009F71E1" w:rsidRDefault="000832F7" w:rsidP="00F738E9">
            <w:pPr>
              <w:pStyle w:val="TableTextRight"/>
              <w:keepNext/>
              <w:keepLines/>
            </w:pPr>
            <w:r>
              <w:t>..</w:t>
            </w:r>
          </w:p>
        </w:tc>
        <w:tc>
          <w:tcPr>
            <w:tcW w:w="721" w:type="pct"/>
          </w:tcPr>
          <w:p w:rsidR="000832F7" w:rsidRPr="009F71E1" w:rsidRDefault="000832F7" w:rsidP="00F738E9">
            <w:pPr>
              <w:pStyle w:val="TableTextRight"/>
              <w:keepNext/>
              <w:keepLines/>
            </w:pPr>
            <w:r>
              <w:t>-349.0</w:t>
            </w:r>
          </w:p>
        </w:tc>
        <w:tc>
          <w:tcPr>
            <w:tcW w:w="722" w:type="pct"/>
          </w:tcPr>
          <w:p w:rsidR="000832F7" w:rsidRPr="009F71E1" w:rsidRDefault="000832F7" w:rsidP="00F738E9">
            <w:pPr>
              <w:pStyle w:val="TableTextRight"/>
              <w:keepNext/>
              <w:keepLines/>
              <w:rPr>
                <w:b/>
              </w:rPr>
            </w:pPr>
            <w:r w:rsidRPr="009F71E1">
              <w:rPr>
                <w:b/>
              </w:rPr>
              <w:t>-3</w:t>
            </w:r>
            <w:r>
              <w:rPr>
                <w:b/>
              </w:rPr>
              <w:t>50</w:t>
            </w:r>
            <w:r w:rsidRPr="009F71E1">
              <w:rPr>
                <w:b/>
              </w:rPr>
              <w:t>.0</w:t>
            </w:r>
          </w:p>
        </w:tc>
      </w:tr>
      <w:tr w:rsidR="000832F7" w:rsidTr="00E11E5F">
        <w:tc>
          <w:tcPr>
            <w:tcW w:w="1393" w:type="pct"/>
          </w:tcPr>
          <w:p w:rsidR="000832F7" w:rsidRDefault="000832F7" w:rsidP="00F738E9">
            <w:pPr>
              <w:pStyle w:val="TableText"/>
              <w:keepNext/>
              <w:keepLines/>
            </w:pPr>
            <w:r>
              <w:t>Underlying cash balance</w:t>
            </w:r>
          </w:p>
        </w:tc>
        <w:tc>
          <w:tcPr>
            <w:tcW w:w="721" w:type="pct"/>
          </w:tcPr>
          <w:p w:rsidR="000832F7" w:rsidRPr="009F71E1" w:rsidRDefault="000832F7" w:rsidP="00F738E9">
            <w:pPr>
              <w:pStyle w:val="TableTextRight"/>
              <w:keepNext/>
              <w:keepLines/>
            </w:pPr>
            <w:r w:rsidRPr="009F71E1">
              <w:t>-1</w:t>
            </w:r>
            <w:r>
              <w:t>.0</w:t>
            </w:r>
          </w:p>
        </w:tc>
        <w:tc>
          <w:tcPr>
            <w:tcW w:w="721" w:type="pct"/>
          </w:tcPr>
          <w:p w:rsidR="000832F7" w:rsidRPr="009F71E1" w:rsidRDefault="000832F7" w:rsidP="00F738E9">
            <w:pPr>
              <w:pStyle w:val="TableTextRight"/>
              <w:keepNext/>
              <w:keepLines/>
            </w:pPr>
            <w:r>
              <w:t>..</w:t>
            </w:r>
          </w:p>
        </w:tc>
        <w:tc>
          <w:tcPr>
            <w:tcW w:w="722" w:type="pct"/>
          </w:tcPr>
          <w:p w:rsidR="000832F7" w:rsidRPr="009F71E1" w:rsidRDefault="000832F7" w:rsidP="00F738E9">
            <w:pPr>
              <w:pStyle w:val="TableTextRight"/>
              <w:keepNext/>
              <w:keepLines/>
            </w:pPr>
            <w:r>
              <w:t>..</w:t>
            </w:r>
          </w:p>
        </w:tc>
        <w:tc>
          <w:tcPr>
            <w:tcW w:w="721" w:type="pct"/>
          </w:tcPr>
          <w:p w:rsidR="000832F7" w:rsidRPr="009F71E1" w:rsidRDefault="000832F7" w:rsidP="00F738E9">
            <w:pPr>
              <w:pStyle w:val="TableTextRight"/>
              <w:keepNext/>
              <w:keepLines/>
            </w:pPr>
            <w:r w:rsidRPr="009F71E1">
              <w:t>-1</w:t>
            </w:r>
            <w:r>
              <w:t>.0</w:t>
            </w:r>
          </w:p>
        </w:tc>
        <w:tc>
          <w:tcPr>
            <w:tcW w:w="722" w:type="pct"/>
          </w:tcPr>
          <w:p w:rsidR="000832F7" w:rsidRPr="009F71E1" w:rsidRDefault="000832F7" w:rsidP="00F738E9">
            <w:pPr>
              <w:pStyle w:val="TableTextRight"/>
              <w:keepNext/>
              <w:keepLines/>
              <w:rPr>
                <w:b/>
              </w:rPr>
            </w:pPr>
            <w:r>
              <w:rPr>
                <w:b/>
              </w:rPr>
              <w:t>-2</w:t>
            </w:r>
            <w:r w:rsidRPr="009F71E1">
              <w:rPr>
                <w:b/>
              </w:rPr>
              <w:t>.0</w:t>
            </w:r>
          </w:p>
        </w:tc>
      </w:tr>
      <w:tr w:rsidR="000832F7" w:rsidTr="00E11E5F">
        <w:tc>
          <w:tcPr>
            <w:tcW w:w="1393" w:type="pct"/>
          </w:tcPr>
          <w:p w:rsidR="000832F7" w:rsidRDefault="000832F7" w:rsidP="00F738E9">
            <w:pPr>
              <w:pStyle w:val="TableText"/>
              <w:keepNext/>
              <w:keepLines/>
            </w:pPr>
            <w:r>
              <w:rPr>
                <w:szCs w:val="20"/>
              </w:rPr>
              <w:t>Headline cash balance</w:t>
            </w:r>
          </w:p>
        </w:tc>
        <w:tc>
          <w:tcPr>
            <w:tcW w:w="721" w:type="pct"/>
          </w:tcPr>
          <w:p w:rsidR="000832F7" w:rsidRPr="009F71E1" w:rsidRDefault="000832F7" w:rsidP="00F738E9">
            <w:pPr>
              <w:pStyle w:val="TableTextRight"/>
              <w:keepNext/>
              <w:keepLines/>
            </w:pPr>
            <w:r w:rsidRPr="009F71E1">
              <w:t>-1</w:t>
            </w:r>
            <w:r>
              <w:t>.0</w:t>
            </w:r>
          </w:p>
        </w:tc>
        <w:tc>
          <w:tcPr>
            <w:tcW w:w="721" w:type="pct"/>
          </w:tcPr>
          <w:p w:rsidR="000832F7" w:rsidRPr="009F71E1" w:rsidRDefault="000832F7" w:rsidP="00F738E9">
            <w:pPr>
              <w:pStyle w:val="TableTextRight"/>
              <w:keepNext/>
              <w:keepLines/>
            </w:pPr>
            <w:r>
              <w:t>..</w:t>
            </w:r>
          </w:p>
        </w:tc>
        <w:tc>
          <w:tcPr>
            <w:tcW w:w="722" w:type="pct"/>
          </w:tcPr>
          <w:p w:rsidR="000832F7" w:rsidRPr="009F71E1" w:rsidRDefault="000832F7" w:rsidP="00F738E9">
            <w:pPr>
              <w:pStyle w:val="TableTextRight"/>
              <w:keepNext/>
              <w:keepLines/>
            </w:pPr>
            <w:r>
              <w:t>..</w:t>
            </w:r>
          </w:p>
        </w:tc>
        <w:tc>
          <w:tcPr>
            <w:tcW w:w="721" w:type="pct"/>
          </w:tcPr>
          <w:p w:rsidR="000832F7" w:rsidRPr="009F71E1" w:rsidRDefault="000832F7" w:rsidP="00F738E9">
            <w:pPr>
              <w:pStyle w:val="TableTextRight"/>
              <w:keepNext/>
              <w:keepLines/>
            </w:pPr>
            <w:r w:rsidRPr="009F71E1">
              <w:t>-1</w:t>
            </w:r>
            <w:r>
              <w:t>.0</w:t>
            </w:r>
          </w:p>
        </w:tc>
        <w:tc>
          <w:tcPr>
            <w:tcW w:w="722" w:type="pct"/>
          </w:tcPr>
          <w:p w:rsidR="000832F7" w:rsidRPr="009F71E1" w:rsidRDefault="000832F7" w:rsidP="00F738E9">
            <w:pPr>
              <w:pStyle w:val="TableTextRight"/>
              <w:keepNext/>
              <w:keepLines/>
              <w:rPr>
                <w:b/>
              </w:rPr>
            </w:pPr>
            <w:r>
              <w:rPr>
                <w:b/>
              </w:rPr>
              <w:t>-2</w:t>
            </w:r>
            <w:r w:rsidRPr="009F71E1">
              <w:rPr>
                <w:b/>
              </w:rPr>
              <w:t>.0</w:t>
            </w:r>
          </w:p>
        </w:tc>
      </w:tr>
    </w:tbl>
    <w:p w:rsidR="00E11E5F" w:rsidRPr="000832F7" w:rsidRDefault="00E11E5F" w:rsidP="00F738E9">
      <w:pPr>
        <w:pStyle w:val="Footnotes"/>
        <w:keepNext/>
        <w:keepLines/>
        <w:numPr>
          <w:ilvl w:val="0"/>
          <w:numId w:val="92"/>
        </w:numPr>
        <w:ind w:left="284" w:hanging="284"/>
      </w:pPr>
      <w:r w:rsidRPr="000832F7">
        <w:t>A positive number indicates an increase in the relevant budget balance, a negative number a decrease.</w:t>
      </w:r>
    </w:p>
    <w:p w:rsidR="00E11E5F" w:rsidRPr="000832F7" w:rsidRDefault="00E11E5F" w:rsidP="00F738E9">
      <w:pPr>
        <w:pStyle w:val="Footnotes"/>
        <w:keepNext/>
        <w:keepLines/>
        <w:ind w:left="284" w:hanging="284"/>
      </w:pPr>
      <w:r w:rsidRPr="000832F7">
        <w:t>Figures may not sum to totals due to rounding.</w:t>
      </w:r>
    </w:p>
    <w:p w:rsidR="000832F7" w:rsidRPr="000832F7" w:rsidRDefault="000832F7" w:rsidP="000832F7">
      <w:pPr>
        <w:pStyle w:val="Footnotes"/>
        <w:numPr>
          <w:ilvl w:val="0"/>
          <w:numId w:val="0"/>
        </w:numPr>
        <w:ind w:left="284" w:hanging="284"/>
      </w:pPr>
      <w:r w:rsidRPr="000832F7">
        <w:t>..</w:t>
      </w:r>
      <w:r w:rsidRPr="000832F7">
        <w:tab/>
        <w:t>Not zero but rounded to zero.</w:t>
      </w:r>
    </w:p>
    <w:p w:rsidR="00E11E5F" w:rsidRDefault="00E11E5F" w:rsidP="00E11E5F">
      <w:pPr>
        <w:pStyle w:val="CostingsH7"/>
      </w:pPr>
      <w:r>
        <w:t>Key assumptions</w:t>
      </w:r>
    </w:p>
    <w:p w:rsidR="000832F7" w:rsidRPr="000832F7" w:rsidRDefault="000832F7" w:rsidP="000832F7">
      <w:pPr>
        <w:pStyle w:val="BodyText"/>
      </w:pPr>
      <w:r w:rsidRPr="000832F7">
        <w:t>In costing the proposal, the following assumptions have been made:</w:t>
      </w:r>
    </w:p>
    <w:p w:rsidR="000832F7" w:rsidRDefault="000832F7" w:rsidP="000832F7">
      <w:pPr>
        <w:pStyle w:val="ListBullet"/>
      </w:pPr>
      <w:r>
        <w:t>The time to complete a degree in:</w:t>
      </w:r>
    </w:p>
    <w:p w:rsidR="000832F7" w:rsidRDefault="000832F7" w:rsidP="000832F7">
      <w:pPr>
        <w:pStyle w:val="ListBullet2"/>
      </w:pPr>
      <w:r>
        <w:t>natural and physical sciences or information technology would be three years</w:t>
      </w:r>
    </w:p>
    <w:p w:rsidR="000832F7" w:rsidRDefault="000832F7" w:rsidP="000832F7">
      <w:pPr>
        <w:pStyle w:val="ListBullet2"/>
      </w:pPr>
      <w:r>
        <w:t>engineering and related technologies would be four years.</w:t>
      </w:r>
    </w:p>
    <w:p w:rsidR="000832F7" w:rsidRDefault="000832F7" w:rsidP="000832F7">
      <w:pPr>
        <w:pStyle w:val="ListBullet"/>
      </w:pPr>
      <w:r>
        <w:t xml:space="preserve">The proposal would not increase the overall demand for </w:t>
      </w:r>
      <w:r w:rsidR="0090719D">
        <w:t xml:space="preserve">tertiary education places or the average level of Commonwealth funding per place. </w:t>
      </w:r>
      <w:r w:rsidR="00B07683">
        <w:t xml:space="preserve"> </w:t>
      </w:r>
      <w:r>
        <w:t>All scholarships offered under the proposal would be taken up.</w:t>
      </w:r>
    </w:p>
    <w:p w:rsidR="000832F7" w:rsidRDefault="000832F7" w:rsidP="000832F7">
      <w:pPr>
        <w:pStyle w:val="ListBullet"/>
      </w:pPr>
      <w:r>
        <w:t>The graduation rates of scholarship recipients would be 10 per cent above current graduation rates of students studying STEM degrees, which are</w:t>
      </w:r>
    </w:p>
    <w:p w:rsidR="000832F7" w:rsidRDefault="000832F7" w:rsidP="000832F7">
      <w:pPr>
        <w:pStyle w:val="ListBullet2"/>
      </w:pPr>
      <w:r>
        <w:t>77 per cent for natural and physical sciences</w:t>
      </w:r>
    </w:p>
    <w:p w:rsidR="000832F7" w:rsidRDefault="000832F7" w:rsidP="000832F7">
      <w:pPr>
        <w:pStyle w:val="ListBullet2"/>
      </w:pPr>
      <w:r>
        <w:t>62 per cent for information technology</w:t>
      </w:r>
    </w:p>
    <w:p w:rsidR="000832F7" w:rsidRPr="000832F7" w:rsidRDefault="000832F7" w:rsidP="000832F7">
      <w:pPr>
        <w:pStyle w:val="ListBullet2"/>
      </w:pPr>
      <w:r>
        <w:t>69 per cent for engineering and related technologies.</w:t>
      </w:r>
    </w:p>
    <w:p w:rsidR="00E11E5F" w:rsidRDefault="00E11E5F" w:rsidP="00E11E5F">
      <w:pPr>
        <w:pStyle w:val="CostingsH7"/>
      </w:pPr>
      <w:r>
        <w:t>Methodology</w:t>
      </w:r>
    </w:p>
    <w:p w:rsidR="000832F7" w:rsidRPr="000832F7" w:rsidRDefault="000832F7" w:rsidP="000832F7">
      <w:pPr>
        <w:pStyle w:val="BodyText"/>
      </w:pPr>
      <w:r w:rsidRPr="000832F7">
        <w:t>The costing is derived by applying the assumed graduation rates to the number of scholarships offered, taking into account the time required to complete the respective STEM degree.  This is then multiplied by the amount of HELP liability that has been incurred related to the STEM degree, taking into account the interest accrued over this period.  The result represents the face value of HELP debt being written down.</w:t>
      </w:r>
    </w:p>
    <w:p w:rsidR="000832F7" w:rsidRDefault="000832F7" w:rsidP="000832F7">
      <w:pPr>
        <w:pStyle w:val="BodyText"/>
      </w:pPr>
      <w:r w:rsidRPr="000832F7">
        <w:t>The writedown of HELP debt has the following impacts:</w:t>
      </w:r>
    </w:p>
    <w:p w:rsidR="000832F7" w:rsidRDefault="000832F7" w:rsidP="00F738E9">
      <w:pPr>
        <w:pStyle w:val="CostingsH8"/>
      </w:pPr>
      <w:r>
        <w:t>Fiscal balance impact – components</w:t>
      </w:r>
    </w:p>
    <w:p w:rsidR="000832F7" w:rsidRDefault="000832F7" w:rsidP="00F738E9">
      <w:pPr>
        <w:pStyle w:val="ListBullet"/>
        <w:keepNext/>
      </w:pPr>
      <w:r>
        <w:t>Writedowns of HELP debt of graduates have a negative impact on the fiscal balance.</w:t>
      </w:r>
    </w:p>
    <w:p w:rsidR="000832F7" w:rsidRDefault="000832F7" w:rsidP="00F738E9">
      <w:pPr>
        <w:pStyle w:val="ListBullet"/>
        <w:keepNext/>
      </w:pPr>
      <w:r>
        <w:t>Decreased interest revenue has a negative impact on the fiscal balance.</w:t>
      </w:r>
    </w:p>
    <w:p w:rsidR="000832F7" w:rsidRDefault="000832F7" w:rsidP="000832F7">
      <w:pPr>
        <w:pStyle w:val="ListBullet"/>
      </w:pPr>
      <w:r>
        <w:t>Increased concessional loan discount (CLD) unwinding revenue at the time of HELP debt being written down has a positive impact on the fiscal balance.  This increase in unwinding revenue is to balance the concessional loan discount expensed at the time of issuance for these loans, recognising that these loans are settled.</w:t>
      </w:r>
    </w:p>
    <w:p w:rsidR="000832F7" w:rsidRDefault="000832F7" w:rsidP="000832F7">
      <w:pPr>
        <w:pStyle w:val="ListBullet"/>
      </w:pPr>
      <w:r>
        <w:t>Increased departmental expenses have a negative impact on the fiscal balance.</w:t>
      </w:r>
    </w:p>
    <w:p w:rsidR="000832F7" w:rsidRDefault="000832F7" w:rsidP="000832F7">
      <w:pPr>
        <w:pStyle w:val="ListBullet"/>
      </w:pPr>
      <w:r>
        <w:t>Increased PDI expenses have a negative impact on the fiscal balance.</w:t>
      </w:r>
    </w:p>
    <w:p w:rsidR="000832F7" w:rsidRDefault="000832F7" w:rsidP="000832F7">
      <w:pPr>
        <w:pStyle w:val="CostingsH8"/>
      </w:pPr>
      <w:r>
        <w:t>Underlying cash balance impact – components</w:t>
      </w:r>
    </w:p>
    <w:p w:rsidR="000832F7" w:rsidRDefault="000832F7" w:rsidP="000832F7">
      <w:pPr>
        <w:pStyle w:val="ListBullet"/>
      </w:pPr>
      <w:r>
        <w:t>Decreased interest receipts from graduates (interest was estimated as a fixed proportion of repayments) have a negative impact on the underlying cash balance.</w:t>
      </w:r>
    </w:p>
    <w:p w:rsidR="000832F7" w:rsidRDefault="000832F7" w:rsidP="000832F7">
      <w:pPr>
        <w:pStyle w:val="ListBullet"/>
      </w:pPr>
      <w:r>
        <w:t>Increased departmental payments have a negative impact on the underlying cash balance.</w:t>
      </w:r>
    </w:p>
    <w:p w:rsidR="000832F7" w:rsidRDefault="000832F7" w:rsidP="000832F7">
      <w:pPr>
        <w:pStyle w:val="ListBullet"/>
      </w:pPr>
      <w:r>
        <w:t>Increased PDI payments have a negative impact on the underlying cash balance.</w:t>
      </w:r>
    </w:p>
    <w:p w:rsidR="000832F7" w:rsidRDefault="000832F7" w:rsidP="000832F7">
      <w:pPr>
        <w:pStyle w:val="CostingsH8"/>
      </w:pPr>
      <w:r>
        <w:t>Headline cash balance impact – components</w:t>
      </w:r>
    </w:p>
    <w:p w:rsidR="000832F7" w:rsidRDefault="000832F7" w:rsidP="000832F7">
      <w:pPr>
        <w:pStyle w:val="ListBullet"/>
      </w:pPr>
      <w:r>
        <w:t>Decreased principal repayments by graduates have a negative impact on the headline cash balance.</w:t>
      </w:r>
    </w:p>
    <w:p w:rsidR="000832F7" w:rsidRDefault="000832F7" w:rsidP="000832F7">
      <w:pPr>
        <w:pStyle w:val="ListBullet"/>
      </w:pPr>
      <w:r>
        <w:t>Decreased interest receipts from graduates (interest was estimated as a fixed proportion of repayments) have a negative impact on the headline cash balance.</w:t>
      </w:r>
    </w:p>
    <w:p w:rsidR="000832F7" w:rsidRDefault="000832F7" w:rsidP="000832F7">
      <w:pPr>
        <w:pStyle w:val="ListBullet"/>
      </w:pPr>
      <w:r>
        <w:t>Increased departmental payments have a negative impact on the headline cash balance.</w:t>
      </w:r>
    </w:p>
    <w:p w:rsidR="000832F7" w:rsidRDefault="000832F7" w:rsidP="000832F7">
      <w:pPr>
        <w:pStyle w:val="ListBullet"/>
      </w:pPr>
      <w:r>
        <w:t>Increased PDI payments have a negative impact on the headline cash balance.</w:t>
      </w:r>
    </w:p>
    <w:p w:rsidR="000832F7" w:rsidRDefault="000832F7" w:rsidP="000832F7">
      <w:pPr>
        <w:pStyle w:val="CostingsH8"/>
      </w:pPr>
      <w:r>
        <w:t>General</w:t>
      </w:r>
    </w:p>
    <w:p w:rsidR="000832F7" w:rsidRDefault="000832F7" w:rsidP="000832F7">
      <w:pPr>
        <w:pStyle w:val="BodyText"/>
      </w:pPr>
      <w:r>
        <w:t>Departmental costs reflect the upfront costs of changes to information technology systems and ongoing costs to manage the proposal.  The departmental cos</w:t>
      </w:r>
      <w:r w:rsidR="00D254A1">
        <w:t>t estimate is based on the 2013</w:t>
      </w:r>
      <w:r w:rsidR="00D254A1">
        <w:noBreakHyphen/>
      </w:r>
      <w:r>
        <w:t xml:space="preserve">14 Budget measure, </w:t>
      </w:r>
      <w:r w:rsidRPr="00D254A1">
        <w:rPr>
          <w:i/>
        </w:rPr>
        <w:t>HECS-HELP Discount and Voluntary HELP Repayment Bonus - ending discounting</w:t>
      </w:r>
      <w:r>
        <w:t xml:space="preserve">.  </w:t>
      </w:r>
    </w:p>
    <w:p w:rsidR="000832F7" w:rsidRPr="000832F7" w:rsidRDefault="000832F7" w:rsidP="000832F7">
      <w:pPr>
        <w:pStyle w:val="BodyText"/>
      </w:pPr>
      <w:r>
        <w:t>All estimates have been rounded to the nearest $1 million.</w:t>
      </w:r>
    </w:p>
    <w:p w:rsidR="00E11E5F" w:rsidRDefault="00E11E5F" w:rsidP="00E11E5F">
      <w:pPr>
        <w:pStyle w:val="CostingsH7"/>
      </w:pPr>
      <w:r>
        <w:t>Data sources</w:t>
      </w:r>
    </w:p>
    <w:p w:rsidR="00D254A1" w:rsidRDefault="00D62A06" w:rsidP="00D254A1">
      <w:pPr>
        <w:pStyle w:val="BodyText"/>
      </w:pPr>
      <w:r>
        <w:t xml:space="preserve">The </w:t>
      </w:r>
      <w:r w:rsidR="00D254A1">
        <w:t>Department of Education and Training</w:t>
      </w:r>
      <w:r>
        <w:t xml:space="preserve"> provided:</w:t>
      </w:r>
    </w:p>
    <w:p w:rsidR="00D254A1" w:rsidRDefault="00D254A1" w:rsidP="00D254A1">
      <w:pPr>
        <w:pStyle w:val="ListBullet"/>
      </w:pPr>
      <w:r>
        <w:t>Completion rates of domestic bachelor students 2005-2013: A cohort analysis</w:t>
      </w:r>
    </w:p>
    <w:p w:rsidR="001D69EB" w:rsidRDefault="00D254A1" w:rsidP="00D254A1">
      <w:pPr>
        <w:pStyle w:val="ListBullet"/>
      </w:pPr>
      <w:r>
        <w:t>HELP forward estimates model.</w:t>
      </w:r>
    </w:p>
    <w:p w:rsidR="00D44CAE" w:rsidRDefault="00D44CAE" w:rsidP="00D44CAE">
      <w:pPr>
        <w:pStyle w:val="BodyText"/>
      </w:pPr>
    </w:p>
    <w:p w:rsidR="00D44CAE" w:rsidRDefault="00D44CAE" w:rsidP="00D44CAE">
      <w:pPr>
        <w:pStyle w:val="ListBullet"/>
        <w:numPr>
          <w:ilvl w:val="0"/>
          <w:numId w:val="0"/>
        </w:numPr>
        <w:sectPr w:rsidR="00D44CAE" w:rsidSect="00E11E5F">
          <w:footnotePr>
            <w:numRestart w:val="eachSect"/>
          </w:footnotePr>
          <w:pgSz w:w="11906" w:h="16838" w:code="9"/>
          <w:pgMar w:top="1361" w:right="1797" w:bottom="1474" w:left="1797" w:header="283" w:footer="454" w:gutter="0"/>
          <w:cols w:space="708"/>
          <w:docGrid w:linePitch="360"/>
        </w:sectPr>
      </w:pPr>
    </w:p>
    <w:p w:rsidR="00E11E5F" w:rsidRDefault="001D69EB" w:rsidP="001D69EB">
      <w:pPr>
        <w:pStyle w:val="Heading6"/>
      </w:pPr>
      <w:r>
        <w:t xml:space="preserve">Attachment </w:t>
      </w:r>
      <w:r w:rsidRPr="001D69EB">
        <w:t>A: HECS Free STEM Degrees—financial implications</w:t>
      </w:r>
    </w:p>
    <w:p w:rsidR="00E11E5F" w:rsidRDefault="00E11E5F" w:rsidP="00E11E5F">
      <w:pPr>
        <w:pStyle w:val="Caption"/>
        <w:rPr>
          <w:vertAlign w:val="superscript"/>
        </w:rPr>
      </w:pPr>
      <w:r w:rsidRPr="002B36F1">
        <w:t xml:space="preserve">Table </w:t>
      </w:r>
      <w:r>
        <w:t>A1</w:t>
      </w:r>
      <w:r w:rsidRPr="002B36F1">
        <w:t xml:space="preserve">: </w:t>
      </w:r>
      <w:r w:rsidR="001D69EB">
        <w:t>HECS Free STEM Degrees—Fiscal balance</w:t>
      </w:r>
      <w:r w:rsidRPr="002B36F1">
        <w:rPr>
          <w:vertAlign w:val="superscript"/>
        </w:rPr>
        <w:t>(a)(b)</w:t>
      </w:r>
    </w:p>
    <w:tbl>
      <w:tblPr>
        <w:tblStyle w:val="TableGrid44"/>
        <w:tblW w:w="5159" w:type="pct"/>
        <w:tblInd w:w="-137" w:type="dxa"/>
        <w:tblLayout w:type="fixed"/>
        <w:tblLook w:val="0680" w:firstRow="0" w:lastRow="0" w:firstColumn="1" w:lastColumn="0" w:noHBand="1" w:noVBand="1"/>
      </w:tblPr>
      <w:tblGrid>
        <w:gridCol w:w="2547"/>
        <w:gridCol w:w="846"/>
        <w:gridCol w:w="846"/>
        <w:gridCol w:w="846"/>
        <w:gridCol w:w="845"/>
        <w:gridCol w:w="845"/>
        <w:gridCol w:w="845"/>
        <w:gridCol w:w="848"/>
        <w:gridCol w:w="845"/>
        <w:gridCol w:w="845"/>
        <w:gridCol w:w="845"/>
        <w:gridCol w:w="845"/>
        <w:gridCol w:w="845"/>
        <w:gridCol w:w="982"/>
      </w:tblGrid>
      <w:tr w:rsidR="0073534F" w:rsidRPr="001D69EB" w:rsidTr="001D69EB">
        <w:trPr>
          <w:cantSplit/>
          <w:tblHeader/>
        </w:trPr>
        <w:tc>
          <w:tcPr>
            <w:cnfStyle w:val="001000000000" w:firstRow="0" w:lastRow="0" w:firstColumn="1" w:lastColumn="0" w:oddVBand="0" w:evenVBand="0" w:oddHBand="0" w:evenHBand="0" w:firstRowFirstColumn="0" w:firstRowLastColumn="0" w:lastRowFirstColumn="0" w:lastRowLastColumn="0"/>
            <w:tcW w:w="931" w:type="pct"/>
            <w:shd w:val="clear" w:color="auto" w:fill="D7DDE9" w:themeFill="accent3"/>
          </w:tcPr>
          <w:p w:rsidR="001D69EB" w:rsidRPr="001D69EB" w:rsidRDefault="001D69EB" w:rsidP="001D69EB">
            <w:pPr>
              <w:keepNext/>
              <w:keepLines/>
              <w:spacing w:line="240" w:lineRule="auto"/>
              <w:ind w:left="57" w:right="57"/>
              <w:rPr>
                <w:szCs w:val="20"/>
              </w:rPr>
            </w:pPr>
            <w:r w:rsidRPr="001D69EB">
              <w:rPr>
                <w:szCs w:val="20"/>
              </w:rPr>
              <w:t>($m)</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2016–17</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2017–18</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2018–19</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2019–20</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1D69EB">
              <w:rPr>
                <w:rFonts w:ascii="Calibri" w:hAnsi="Calibri"/>
                <w:b/>
                <w:sz w:val="20"/>
                <w:szCs w:val="20"/>
              </w:rPr>
              <w:t>Total to 2019–20</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2020–21</w:t>
            </w:r>
          </w:p>
        </w:tc>
        <w:tc>
          <w:tcPr>
            <w:tcW w:w="310"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2021–22</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2022–23</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2023–24</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2024–25</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2025–26</w:t>
            </w:r>
          </w:p>
        </w:tc>
        <w:tc>
          <w:tcPr>
            <w:tcW w:w="30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D69EB">
              <w:rPr>
                <w:rFonts w:ascii="Calibri" w:hAnsi="Calibri"/>
                <w:sz w:val="20"/>
                <w:szCs w:val="20"/>
              </w:rPr>
              <w:t>2026–27</w:t>
            </w:r>
          </w:p>
        </w:tc>
        <w:tc>
          <w:tcPr>
            <w:tcW w:w="359" w:type="pct"/>
            <w:shd w:val="clear" w:color="auto" w:fill="D7DDE9" w:themeFill="accent3"/>
          </w:tcPr>
          <w:p w:rsidR="001D69EB" w:rsidRPr="001D69EB" w:rsidRDefault="001D69EB" w:rsidP="001D69EB">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1D69EB">
              <w:rPr>
                <w:rFonts w:ascii="Calibri" w:hAnsi="Calibri"/>
                <w:b/>
                <w:sz w:val="20"/>
                <w:szCs w:val="20"/>
              </w:rPr>
              <w:t>Total to 2026–27</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rPr>
                <w:i/>
              </w:rPr>
            </w:pPr>
            <w:r w:rsidRPr="001D69EB">
              <w:rPr>
                <w:i/>
              </w:rPr>
              <w:t>CLD expense</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rPr>
                <w:i/>
              </w:rPr>
            </w:pPr>
            <w:r w:rsidRPr="001D69EB">
              <w:rPr>
                <w:i/>
              </w:rPr>
              <w:t>CLD unwinding revenue</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25.0</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18.0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16.0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-9.0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-16.0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-15.0</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63.0</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pPr>
            <w:r w:rsidRPr="001D69EB">
              <w:t>Net CLD</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25.0</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22.0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18.0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16.0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-9.0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-16.0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-15.0</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63.0</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pPr>
            <w:r w:rsidRPr="001D69EB">
              <w:t>Interest revenue accrued</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-6.0</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-15.0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-25.0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-35.0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-46.0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-50.0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-53.0</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-230.0</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pPr>
            <w:r w:rsidRPr="001D69EB">
              <w:t>Loan writedowns</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-370.0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-370.0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-504.0</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-517.0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-529.0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-542.0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-138.0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1.0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1.0</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-2,599.0</w:t>
            </w:r>
          </w:p>
        </w:tc>
      </w:tr>
      <w:tr w:rsidR="001D69EB" w:rsidRPr="001D69EB" w:rsidTr="001E7B9A">
        <w:trPr>
          <w:cantSplit/>
          <w:trHeight w:val="70"/>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pPr>
            <w:r w:rsidRPr="001D69EB">
              <w:t>Departmental</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-1.0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rPr>
            </w:pPr>
            <w:r w:rsidRPr="001E7B9A">
              <w:rPr>
                <w:i/>
              </w:rPr>
              <w:t>-</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i/>
              </w:rPr>
            </w:pPr>
            <w:r w:rsidRPr="001E7B9A">
              <w:rPr>
                <w:b/>
                <w:i/>
              </w:rPr>
              <w:t>-3.0</w:t>
            </w:r>
          </w:p>
        </w:tc>
      </w:tr>
      <w:tr w:rsidR="001D69EB"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tcPr>
          <w:p w:rsidR="001D69EB" w:rsidRPr="001D69EB" w:rsidRDefault="001D69EB" w:rsidP="001D69EB">
            <w:pPr>
              <w:pStyle w:val="TableTextCentred"/>
              <w:jc w:val="left"/>
            </w:pPr>
            <w:r w:rsidRPr="001D69EB">
              <w:t>PDI</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10"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-1.0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-2.0</w:t>
            </w:r>
          </w:p>
        </w:tc>
        <w:tc>
          <w:tcPr>
            <w:tcW w:w="30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i/>
                <w:color w:val="000000"/>
              </w:rPr>
            </w:pPr>
            <w:r w:rsidRPr="001E7B9A">
              <w:rPr>
                <w:i/>
                <w:color w:val="000000"/>
              </w:rPr>
              <w:t>-3.0</w:t>
            </w:r>
          </w:p>
        </w:tc>
        <w:tc>
          <w:tcPr>
            <w:tcW w:w="359" w:type="pct"/>
          </w:tcPr>
          <w:p w:rsidR="001D69EB" w:rsidRPr="001E7B9A"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i/>
                <w:color w:val="000000"/>
              </w:rPr>
            </w:pPr>
            <w:r w:rsidRPr="001E7B9A">
              <w:rPr>
                <w:b/>
                <w:bCs/>
                <w:i/>
                <w:color w:val="000000"/>
              </w:rPr>
              <w:t>-7.0</w:t>
            </w:r>
          </w:p>
        </w:tc>
      </w:tr>
      <w:tr w:rsidR="0073534F" w:rsidRPr="001D69EB" w:rsidTr="001D69EB">
        <w:trPr>
          <w:cantSplit/>
        </w:trPr>
        <w:tc>
          <w:tcPr>
            <w:cnfStyle w:val="001000000000" w:firstRow="0" w:lastRow="0" w:firstColumn="1" w:lastColumn="0" w:oddVBand="0" w:evenVBand="0" w:oddHBand="0" w:evenHBand="0" w:firstRowFirstColumn="0" w:firstRowLastColumn="0" w:lastRowFirstColumn="0" w:lastRowLastColumn="0"/>
            <w:tcW w:w="931" w:type="pct"/>
            <w:shd w:val="clear" w:color="auto" w:fill="D7DDE9" w:themeFill="accent3"/>
          </w:tcPr>
          <w:p w:rsidR="001D69EB" w:rsidRPr="001D69EB" w:rsidRDefault="001D69EB" w:rsidP="001D69EB">
            <w:pPr>
              <w:pStyle w:val="TableTextCentred"/>
              <w:jc w:val="left"/>
              <w:rPr>
                <w:b/>
              </w:rPr>
            </w:pPr>
            <w:r w:rsidRPr="001D69EB">
              <w:rPr>
                <w:b/>
              </w:rPr>
              <w:t>Total</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-1.0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-349.0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-350.0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bCs/>
                <w:color w:val="000000"/>
              </w:rPr>
            </w:pPr>
            <w:r w:rsidRPr="001D69EB">
              <w:rPr>
                <w:b/>
              </w:rPr>
              <w:t>-486.0</w:t>
            </w:r>
          </w:p>
        </w:tc>
        <w:tc>
          <w:tcPr>
            <w:tcW w:w="310"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-511.0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-536.0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-562.0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-194.0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-61.0</w:t>
            </w:r>
          </w:p>
        </w:tc>
        <w:tc>
          <w:tcPr>
            <w:tcW w:w="30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-70.0</w:t>
            </w:r>
          </w:p>
        </w:tc>
        <w:tc>
          <w:tcPr>
            <w:tcW w:w="359" w:type="pct"/>
            <w:shd w:val="clear" w:color="auto" w:fill="D7DDE9" w:themeFill="accent3"/>
          </w:tcPr>
          <w:p w:rsidR="001D69EB" w:rsidRPr="001D69EB" w:rsidRDefault="001D69EB" w:rsidP="001D69EB">
            <w:pPr>
              <w:pStyle w:val="TableTextRight"/>
              <w:cnfStyle w:val="000000000000" w:firstRow="0" w:lastRow="0" w:firstColumn="0" w:lastColumn="0" w:oddVBand="0" w:evenVBand="0" w:oddHBand="0" w:evenHBand="0" w:firstRowFirstColumn="0" w:firstRowLastColumn="0" w:lastRowFirstColumn="0" w:lastRowLastColumn="0"/>
              <w:rPr>
                <w:b/>
              </w:rPr>
            </w:pPr>
            <w:r w:rsidRPr="001D69EB">
              <w:rPr>
                <w:b/>
              </w:rPr>
              <w:t>-2,775.0</w:t>
            </w:r>
          </w:p>
        </w:tc>
      </w:tr>
    </w:tbl>
    <w:p w:rsidR="001D69EB" w:rsidRPr="00D139D7" w:rsidRDefault="001D69EB" w:rsidP="00A70F88">
      <w:pPr>
        <w:pStyle w:val="Footnotes"/>
        <w:numPr>
          <w:ilvl w:val="0"/>
          <w:numId w:val="93"/>
        </w:numPr>
        <w:ind w:left="284" w:hanging="284"/>
      </w:pPr>
      <w:r w:rsidRPr="00D139D7">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1D69EB" w:rsidRPr="00D139D7" w:rsidRDefault="001D69EB" w:rsidP="00A70F88">
      <w:pPr>
        <w:pStyle w:val="Footnotes"/>
        <w:ind w:left="284" w:hanging="284"/>
      </w:pPr>
      <w:r w:rsidRPr="00D139D7">
        <w:t>Figures may not sum to totals due to rounding.</w:t>
      </w:r>
    </w:p>
    <w:p w:rsidR="001D69EB" w:rsidRPr="00D139D7" w:rsidRDefault="001D69EB" w:rsidP="00A70F88">
      <w:pPr>
        <w:pStyle w:val="Footnotes"/>
        <w:numPr>
          <w:ilvl w:val="0"/>
          <w:numId w:val="0"/>
        </w:numPr>
        <w:ind w:left="284" w:hanging="284"/>
      </w:pPr>
      <w:r w:rsidRPr="00D139D7">
        <w:t>..</w:t>
      </w:r>
      <w:r w:rsidRPr="00D139D7">
        <w:tab/>
        <w:t>Not zero but rounded to zero.</w:t>
      </w:r>
    </w:p>
    <w:p w:rsidR="00420CF4" w:rsidRDefault="001D69EB" w:rsidP="00A70F88">
      <w:pPr>
        <w:pStyle w:val="Footnotes"/>
        <w:numPr>
          <w:ilvl w:val="0"/>
          <w:numId w:val="0"/>
        </w:numPr>
        <w:ind w:left="284" w:hanging="284"/>
      </w:pPr>
      <w:r w:rsidRPr="001D69EB">
        <w:t>-</w:t>
      </w:r>
      <w:r>
        <w:tab/>
      </w:r>
      <w:r w:rsidRPr="000B16A0">
        <w:t>Indicates nil.</w:t>
      </w:r>
    </w:p>
    <w:p w:rsidR="00D379BD" w:rsidRPr="00D379BD" w:rsidRDefault="00D379BD" w:rsidP="00D379BD">
      <w:pPr>
        <w:pStyle w:val="Caption"/>
        <w:spacing w:before="0"/>
      </w:pPr>
      <w:r w:rsidRPr="00D379BD">
        <w:t>Table A2: HECS Free STEM Degrees—Underlying cash balance</w:t>
      </w:r>
      <w:r w:rsidRPr="00D379BD">
        <w:rPr>
          <w:vertAlign w:val="superscript"/>
        </w:rPr>
        <w:t>(a)(b)</w:t>
      </w:r>
    </w:p>
    <w:tbl>
      <w:tblPr>
        <w:tblStyle w:val="TableGrid45"/>
        <w:tblW w:w="5169" w:type="pct"/>
        <w:tblInd w:w="-166" w:type="dxa"/>
        <w:tblLayout w:type="fixed"/>
        <w:tblLook w:val="0680" w:firstRow="0" w:lastRow="0" w:firstColumn="1" w:lastColumn="0" w:noHBand="1" w:noVBand="1"/>
      </w:tblPr>
      <w:tblGrid>
        <w:gridCol w:w="2572"/>
        <w:gridCol w:w="843"/>
        <w:gridCol w:w="844"/>
        <w:gridCol w:w="847"/>
        <w:gridCol w:w="847"/>
        <w:gridCol w:w="847"/>
        <w:gridCol w:w="847"/>
        <w:gridCol w:w="847"/>
        <w:gridCol w:w="847"/>
        <w:gridCol w:w="847"/>
        <w:gridCol w:w="847"/>
        <w:gridCol w:w="847"/>
        <w:gridCol w:w="847"/>
        <w:gridCol w:w="973"/>
      </w:tblGrid>
      <w:tr w:rsidR="0073534F" w:rsidRPr="00D379BD" w:rsidTr="00D379BD">
        <w:trPr>
          <w:cantSplit/>
          <w:tblHeader/>
        </w:trPr>
        <w:tc>
          <w:tcPr>
            <w:cnfStyle w:val="001000000000" w:firstRow="0" w:lastRow="0" w:firstColumn="1" w:lastColumn="0" w:oddVBand="0" w:evenVBand="0" w:oddHBand="0" w:evenHBand="0" w:firstRowFirstColumn="0" w:firstRowLastColumn="0" w:lastRowFirstColumn="0" w:lastRowLastColumn="0"/>
            <w:tcW w:w="939" w:type="pct"/>
            <w:shd w:val="clear" w:color="auto" w:fill="D7DDE9"/>
          </w:tcPr>
          <w:p w:rsidR="00D379BD" w:rsidRPr="00D379BD" w:rsidRDefault="00D379BD" w:rsidP="00D379BD">
            <w:pPr>
              <w:keepNext/>
              <w:keepLines/>
              <w:spacing w:line="240" w:lineRule="auto"/>
              <w:ind w:left="57" w:right="57"/>
              <w:rPr>
                <w:szCs w:val="20"/>
              </w:rPr>
            </w:pPr>
            <w:r w:rsidRPr="00D379BD">
              <w:rPr>
                <w:szCs w:val="20"/>
              </w:rPr>
              <w:t>($m)</w:t>
            </w:r>
          </w:p>
        </w:tc>
        <w:tc>
          <w:tcPr>
            <w:tcW w:w="30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2016–17</w:t>
            </w:r>
          </w:p>
        </w:tc>
        <w:tc>
          <w:tcPr>
            <w:tcW w:w="30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2017–18</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2018–19</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2019–20</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379BD">
              <w:rPr>
                <w:rFonts w:ascii="Calibri" w:hAnsi="Calibri"/>
                <w:b/>
                <w:sz w:val="20"/>
                <w:szCs w:val="20"/>
              </w:rPr>
              <w:t>Total to 2019–20</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2020–21</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2021–22</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2022–23</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2023–24</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2024–25</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2025–26</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2026–27</w:t>
            </w:r>
          </w:p>
        </w:tc>
        <w:tc>
          <w:tcPr>
            <w:tcW w:w="35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379BD">
              <w:rPr>
                <w:rFonts w:ascii="Calibri" w:hAnsi="Calibri"/>
                <w:b/>
                <w:sz w:val="20"/>
                <w:szCs w:val="20"/>
              </w:rPr>
              <w:t>Total to 2026–27</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i/>
                <w:iCs/>
                <w:color w:val="000000"/>
                <w:szCs w:val="20"/>
              </w:rPr>
            </w:pPr>
            <w:r w:rsidRPr="00D379BD">
              <w:rPr>
                <w:color w:val="000000"/>
                <w:szCs w:val="20"/>
              </w:rPr>
              <w:t>Interest received</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iCs/>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iCs/>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iCs/>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D379BD">
              <w:rPr>
                <w:rFonts w:ascii="Calibri" w:hAnsi="Calibri"/>
                <w:b/>
                <w:bCs/>
                <w:i/>
                <w:iCs/>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iCs/>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-4.0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D379BD">
              <w:rPr>
                <w:rFonts w:ascii="Calibri" w:hAnsi="Calibri"/>
                <w:i/>
                <w:sz w:val="20"/>
                <w:szCs w:val="20"/>
              </w:rPr>
              <w:t>-6.0</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D379BD">
              <w:rPr>
                <w:rFonts w:ascii="Calibri" w:hAnsi="Calibri"/>
                <w:b/>
                <w:i/>
                <w:sz w:val="20"/>
                <w:szCs w:val="20"/>
              </w:rPr>
              <w:t>-15.0</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color w:val="000000"/>
                <w:szCs w:val="20"/>
              </w:rPr>
            </w:pPr>
            <w:r w:rsidRPr="00D379BD">
              <w:rPr>
                <w:color w:val="000000"/>
                <w:szCs w:val="20"/>
              </w:rPr>
              <w:t>Departmental</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-1.0</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379BD">
              <w:rPr>
                <w:rFonts w:ascii="Calibri" w:hAnsi="Calibri"/>
                <w:b/>
                <w:i/>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D379BD">
              <w:rPr>
                <w:rFonts w:ascii="Calibri" w:hAnsi="Calibri"/>
                <w:i/>
                <w:sz w:val="20"/>
                <w:szCs w:val="20"/>
              </w:rPr>
              <w:t>-</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D379BD">
              <w:rPr>
                <w:rFonts w:ascii="Calibri" w:hAnsi="Calibri"/>
                <w:b/>
                <w:i/>
                <w:sz w:val="20"/>
                <w:szCs w:val="20"/>
              </w:rPr>
              <w:t>-3.0</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color w:val="000000"/>
                <w:szCs w:val="20"/>
              </w:rPr>
            </w:pPr>
            <w:r w:rsidRPr="00D379BD">
              <w:rPr>
                <w:color w:val="000000"/>
                <w:szCs w:val="20"/>
              </w:rPr>
              <w:t>PDI</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D379BD">
              <w:rPr>
                <w:rFonts w:ascii="Calibri" w:hAnsi="Calibri"/>
                <w:b/>
                <w:bCs/>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D379BD">
              <w:rPr>
                <w:rFonts w:ascii="Calibri" w:hAnsi="Calibri"/>
                <w:i/>
                <w:color w:val="000000"/>
                <w:sz w:val="20"/>
                <w:szCs w:val="20"/>
              </w:rPr>
              <w:t>-3.0</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D379BD">
              <w:rPr>
                <w:rFonts w:ascii="Calibri" w:hAnsi="Calibri"/>
                <w:b/>
                <w:bCs/>
                <w:i/>
                <w:color w:val="000000"/>
                <w:sz w:val="20"/>
                <w:szCs w:val="20"/>
              </w:rPr>
              <w:t>-7.0</w:t>
            </w:r>
          </w:p>
        </w:tc>
      </w:tr>
      <w:tr w:rsidR="0073534F"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shd w:val="clear" w:color="auto" w:fill="D7DDE9"/>
          </w:tcPr>
          <w:p w:rsidR="00D379BD" w:rsidRPr="00D379BD" w:rsidRDefault="00D379BD" w:rsidP="00D379BD">
            <w:pPr>
              <w:keepNext/>
              <w:keepLines/>
              <w:spacing w:line="240" w:lineRule="auto"/>
              <w:ind w:left="57" w:right="57"/>
              <w:rPr>
                <w:b/>
                <w:szCs w:val="20"/>
              </w:rPr>
            </w:pPr>
            <w:r w:rsidRPr="00D379BD">
              <w:rPr>
                <w:b/>
                <w:szCs w:val="20"/>
              </w:rPr>
              <w:t>Total</w:t>
            </w:r>
          </w:p>
        </w:tc>
        <w:tc>
          <w:tcPr>
            <w:tcW w:w="30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-1.0</w:t>
            </w:r>
          </w:p>
        </w:tc>
        <w:tc>
          <w:tcPr>
            <w:tcW w:w="30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-2.0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-2.0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-3.0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-6.0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-9.0</w:t>
            </w:r>
          </w:p>
        </w:tc>
        <w:tc>
          <w:tcPr>
            <w:tcW w:w="35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D379BD">
              <w:rPr>
                <w:rFonts w:ascii="Calibri" w:hAnsi="Calibri"/>
                <w:b/>
                <w:sz w:val="20"/>
                <w:szCs w:val="20"/>
              </w:rPr>
              <w:t>-25.0</w:t>
            </w:r>
          </w:p>
        </w:tc>
      </w:tr>
    </w:tbl>
    <w:p w:rsidR="00D379BD" w:rsidRPr="00D379BD" w:rsidRDefault="00D379BD" w:rsidP="00A70F88">
      <w:pPr>
        <w:pStyle w:val="Footnotes"/>
        <w:numPr>
          <w:ilvl w:val="0"/>
          <w:numId w:val="94"/>
        </w:numPr>
        <w:ind w:left="284" w:hanging="284"/>
      </w:pPr>
      <w:r w:rsidRPr="00D379BD">
        <w:t xml:space="preserve">A positive number for the underlying cash balance indicates an increase in receipts or a decrease in </w:t>
      </w:r>
      <w:r w:rsidR="0080154C">
        <w:t>payments</w:t>
      </w:r>
      <w:r w:rsidRPr="00D379BD">
        <w:t xml:space="preserve"> or net capital investment in cash terms.  A negative number for the underlying cash balance indicates a decrease in receipts or an increase in </w:t>
      </w:r>
      <w:r w:rsidR="0080154C">
        <w:t>payments</w:t>
      </w:r>
      <w:r w:rsidRPr="00D379BD">
        <w:t xml:space="preserve"> or net capital investment in cash terms.</w:t>
      </w:r>
    </w:p>
    <w:p w:rsidR="00D379BD" w:rsidRPr="00D379BD" w:rsidRDefault="00D379BD" w:rsidP="00A70F88">
      <w:pPr>
        <w:pStyle w:val="Footnotes"/>
        <w:ind w:left="284" w:hanging="284"/>
      </w:pPr>
      <w:r w:rsidRPr="00D379BD">
        <w:t>Figures may not sum to totals due to rounding.</w:t>
      </w:r>
    </w:p>
    <w:p w:rsidR="00D379BD" w:rsidRPr="00D379BD" w:rsidRDefault="00D379BD" w:rsidP="00A70F88">
      <w:pPr>
        <w:pStyle w:val="Footnotes"/>
        <w:numPr>
          <w:ilvl w:val="0"/>
          <w:numId w:val="0"/>
        </w:numPr>
        <w:ind w:left="284" w:hanging="284"/>
      </w:pPr>
      <w:r w:rsidRPr="00D379BD">
        <w:t>..</w:t>
      </w:r>
      <w:r w:rsidRPr="00D379BD">
        <w:tab/>
        <w:t>Not zero but rounded to zero.</w:t>
      </w:r>
    </w:p>
    <w:p w:rsidR="00D379BD" w:rsidRPr="00D379BD" w:rsidRDefault="00D379BD" w:rsidP="00A70F88">
      <w:pPr>
        <w:pStyle w:val="Footnotes"/>
        <w:numPr>
          <w:ilvl w:val="0"/>
          <w:numId w:val="0"/>
        </w:numPr>
        <w:ind w:left="284" w:hanging="284"/>
      </w:pPr>
      <w:r w:rsidRPr="00D379BD">
        <w:t>-</w:t>
      </w:r>
      <w:r w:rsidRPr="00D379BD">
        <w:tab/>
        <w:t>Indicates nil.</w:t>
      </w:r>
    </w:p>
    <w:p w:rsidR="00D379BD" w:rsidRPr="00D379BD" w:rsidRDefault="00D379BD" w:rsidP="00D379BD">
      <w:pPr>
        <w:pStyle w:val="Caption"/>
        <w:spacing w:before="120"/>
      </w:pPr>
      <w:r w:rsidRPr="00D379BD">
        <w:t>Table A3: HECS Free STEM Degrees—Headline cash balance</w:t>
      </w:r>
      <w:r w:rsidRPr="00D379BD">
        <w:rPr>
          <w:vertAlign w:val="superscript"/>
        </w:rPr>
        <w:t>(a)(b)</w:t>
      </w:r>
    </w:p>
    <w:tbl>
      <w:tblPr>
        <w:tblStyle w:val="TableGrid46"/>
        <w:tblW w:w="5169" w:type="pct"/>
        <w:tblInd w:w="-166" w:type="dxa"/>
        <w:tblLayout w:type="fixed"/>
        <w:tblLook w:val="0680" w:firstRow="0" w:lastRow="0" w:firstColumn="1" w:lastColumn="0" w:noHBand="1" w:noVBand="1"/>
      </w:tblPr>
      <w:tblGrid>
        <w:gridCol w:w="2572"/>
        <w:gridCol w:w="843"/>
        <w:gridCol w:w="844"/>
        <w:gridCol w:w="847"/>
        <w:gridCol w:w="847"/>
        <w:gridCol w:w="847"/>
        <w:gridCol w:w="847"/>
        <w:gridCol w:w="847"/>
        <w:gridCol w:w="847"/>
        <w:gridCol w:w="847"/>
        <w:gridCol w:w="847"/>
        <w:gridCol w:w="847"/>
        <w:gridCol w:w="847"/>
        <w:gridCol w:w="973"/>
      </w:tblGrid>
      <w:tr w:rsidR="0073534F" w:rsidRPr="00D379BD" w:rsidTr="00D379BD">
        <w:trPr>
          <w:cantSplit/>
          <w:tblHeader/>
        </w:trPr>
        <w:tc>
          <w:tcPr>
            <w:cnfStyle w:val="001000000000" w:firstRow="0" w:lastRow="0" w:firstColumn="1" w:lastColumn="0" w:oddVBand="0" w:evenVBand="0" w:oddHBand="0" w:evenHBand="0" w:firstRowFirstColumn="0" w:firstRowLastColumn="0" w:lastRowFirstColumn="0" w:lastRowLastColumn="0"/>
            <w:tcW w:w="939" w:type="pct"/>
            <w:shd w:val="clear" w:color="auto" w:fill="D7DDE9"/>
          </w:tcPr>
          <w:p w:rsidR="00D379BD" w:rsidRPr="00D379BD" w:rsidRDefault="00D379BD" w:rsidP="00D379BD">
            <w:pPr>
              <w:keepNext/>
              <w:keepLines/>
              <w:spacing w:line="240" w:lineRule="auto"/>
              <w:ind w:left="57" w:right="57"/>
              <w:rPr>
                <w:rFonts w:eastAsia="Calibri"/>
                <w:szCs w:val="20"/>
              </w:rPr>
            </w:pPr>
            <w:r w:rsidRPr="00D379BD">
              <w:rPr>
                <w:rFonts w:eastAsia="Calibri"/>
                <w:szCs w:val="20"/>
              </w:rPr>
              <w:t>($m)</w:t>
            </w:r>
          </w:p>
        </w:tc>
        <w:tc>
          <w:tcPr>
            <w:tcW w:w="30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2016–17</w:t>
            </w:r>
          </w:p>
        </w:tc>
        <w:tc>
          <w:tcPr>
            <w:tcW w:w="30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2017–18</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2018–19</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2019–20</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379BD">
              <w:rPr>
                <w:rFonts w:ascii="Calibri" w:hAnsi="Calibri"/>
                <w:b/>
                <w:sz w:val="20"/>
                <w:szCs w:val="20"/>
              </w:rPr>
              <w:t>Total to 2019–20</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2020–21</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2021–22</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2022–23</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2023–24</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2024–25</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2025–26</w:t>
            </w:r>
          </w:p>
        </w:tc>
        <w:tc>
          <w:tcPr>
            <w:tcW w:w="309"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79BD">
              <w:rPr>
                <w:rFonts w:ascii="Calibri" w:hAnsi="Calibri"/>
                <w:sz w:val="20"/>
                <w:szCs w:val="20"/>
              </w:rPr>
              <w:t>2026–27</w:t>
            </w:r>
          </w:p>
        </w:tc>
        <w:tc>
          <w:tcPr>
            <w:tcW w:w="358" w:type="pct"/>
            <w:shd w:val="clear" w:color="auto" w:fill="D7DDE9"/>
          </w:tcPr>
          <w:p w:rsidR="00D379BD" w:rsidRPr="00D379BD" w:rsidRDefault="00D379BD" w:rsidP="00D379BD">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D379BD">
              <w:rPr>
                <w:rFonts w:ascii="Calibri" w:hAnsi="Calibri"/>
                <w:b/>
                <w:sz w:val="20"/>
                <w:szCs w:val="20"/>
              </w:rPr>
              <w:t>Total to 2026–27</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rFonts w:eastAsia="Calibri"/>
                <w:color w:val="000000"/>
                <w:szCs w:val="20"/>
              </w:rPr>
            </w:pPr>
            <w:r w:rsidRPr="00D379BD">
              <w:rPr>
                <w:rFonts w:eastAsia="Calibri"/>
                <w:color w:val="000000"/>
                <w:szCs w:val="20"/>
              </w:rPr>
              <w:t>Repayments and interest received</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i/>
                <w:color w:val="000000"/>
                <w:sz w:val="20"/>
                <w:szCs w:val="20"/>
              </w:rPr>
            </w:pPr>
            <w:r w:rsidRPr="00D379BD">
              <w:rPr>
                <w:rFonts w:ascii="Calibri" w:eastAsia="Calibri" w:hAnsi="Calibri"/>
                <w:b/>
                <w:bCs/>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-5.0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-11.0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-19.0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-28.0</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i/>
                <w:color w:val="000000"/>
                <w:sz w:val="20"/>
                <w:szCs w:val="20"/>
              </w:rPr>
            </w:pPr>
            <w:r w:rsidRPr="00D379BD">
              <w:rPr>
                <w:rFonts w:ascii="Calibri" w:eastAsia="Calibri" w:hAnsi="Calibri"/>
                <w:b/>
                <w:bCs/>
                <w:i/>
                <w:color w:val="000000"/>
                <w:sz w:val="20"/>
                <w:szCs w:val="20"/>
              </w:rPr>
              <w:t>-66.0</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rFonts w:eastAsia="Calibri"/>
                <w:color w:val="000000"/>
                <w:szCs w:val="20"/>
              </w:rPr>
            </w:pPr>
            <w:r w:rsidRPr="00D379BD">
              <w:rPr>
                <w:rFonts w:eastAsia="Calibri"/>
                <w:color w:val="000000"/>
                <w:szCs w:val="20"/>
              </w:rPr>
              <w:t>Departmental</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-1.0</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i/>
                <w:sz w:val="20"/>
                <w:szCs w:val="20"/>
              </w:rPr>
            </w:pPr>
            <w:r w:rsidRPr="00D379BD">
              <w:rPr>
                <w:rFonts w:ascii="Calibri" w:eastAsia="Calibri" w:hAnsi="Calibri"/>
                <w:b/>
                <w:i/>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sz w:val="20"/>
                <w:szCs w:val="20"/>
              </w:rPr>
            </w:pPr>
            <w:r w:rsidRPr="00D379BD">
              <w:rPr>
                <w:rFonts w:ascii="Calibri" w:eastAsia="Calibri" w:hAnsi="Calibri"/>
                <w:i/>
                <w:sz w:val="20"/>
                <w:szCs w:val="20"/>
              </w:rPr>
              <w:t>-</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i/>
                <w:sz w:val="20"/>
                <w:szCs w:val="20"/>
              </w:rPr>
            </w:pPr>
            <w:r w:rsidRPr="00D379BD">
              <w:rPr>
                <w:rFonts w:ascii="Calibri" w:eastAsia="Calibri" w:hAnsi="Calibri"/>
                <w:b/>
                <w:i/>
                <w:sz w:val="20"/>
                <w:szCs w:val="20"/>
              </w:rPr>
              <w:t>-3.0</w:t>
            </w:r>
          </w:p>
        </w:tc>
      </w:tr>
      <w:tr w:rsidR="00D379BD"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tcPr>
          <w:p w:rsidR="00D379BD" w:rsidRPr="00D379BD" w:rsidRDefault="00D379BD" w:rsidP="00D379BD">
            <w:pPr>
              <w:keepNext/>
              <w:spacing w:line="240" w:lineRule="auto"/>
              <w:ind w:left="57" w:right="57"/>
              <w:rPr>
                <w:rFonts w:eastAsia="Calibri"/>
                <w:color w:val="000000"/>
                <w:szCs w:val="20"/>
              </w:rPr>
            </w:pPr>
            <w:r w:rsidRPr="00D379BD">
              <w:rPr>
                <w:rFonts w:eastAsia="Calibri"/>
                <w:color w:val="000000"/>
                <w:szCs w:val="20"/>
              </w:rPr>
              <w:t>PDI</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i/>
                <w:color w:val="000000"/>
                <w:sz w:val="20"/>
                <w:szCs w:val="20"/>
              </w:rPr>
            </w:pPr>
            <w:r w:rsidRPr="00D379BD">
              <w:rPr>
                <w:rFonts w:ascii="Calibri" w:eastAsia="Calibri" w:hAnsi="Calibri"/>
                <w:b/>
                <w:bCs/>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-1.0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-2.0</w:t>
            </w:r>
          </w:p>
        </w:tc>
        <w:tc>
          <w:tcPr>
            <w:tcW w:w="309"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szCs w:val="20"/>
              </w:rPr>
            </w:pPr>
            <w:r w:rsidRPr="00D379BD">
              <w:rPr>
                <w:rFonts w:ascii="Calibri" w:eastAsia="Calibri" w:hAnsi="Calibri"/>
                <w:i/>
                <w:color w:val="000000"/>
                <w:sz w:val="20"/>
                <w:szCs w:val="20"/>
              </w:rPr>
              <w:t>-3.0</w:t>
            </w:r>
          </w:p>
        </w:tc>
        <w:tc>
          <w:tcPr>
            <w:tcW w:w="358" w:type="pct"/>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i/>
                <w:color w:val="000000"/>
                <w:sz w:val="20"/>
                <w:szCs w:val="20"/>
              </w:rPr>
            </w:pPr>
            <w:r w:rsidRPr="00D379BD">
              <w:rPr>
                <w:rFonts w:ascii="Calibri" w:eastAsia="Calibri" w:hAnsi="Calibri"/>
                <w:b/>
                <w:bCs/>
                <w:i/>
                <w:color w:val="000000"/>
                <w:sz w:val="20"/>
                <w:szCs w:val="20"/>
              </w:rPr>
              <w:t>-7.0</w:t>
            </w:r>
          </w:p>
        </w:tc>
      </w:tr>
      <w:tr w:rsidR="0073534F" w:rsidRPr="00D379BD" w:rsidTr="00D379BD">
        <w:trPr>
          <w:cantSplit/>
        </w:trPr>
        <w:tc>
          <w:tcPr>
            <w:cnfStyle w:val="001000000000" w:firstRow="0" w:lastRow="0" w:firstColumn="1" w:lastColumn="0" w:oddVBand="0" w:evenVBand="0" w:oddHBand="0" w:evenHBand="0" w:firstRowFirstColumn="0" w:firstRowLastColumn="0" w:lastRowFirstColumn="0" w:lastRowLastColumn="0"/>
            <w:tcW w:w="939" w:type="pct"/>
            <w:shd w:val="clear" w:color="auto" w:fill="D7DDE9"/>
          </w:tcPr>
          <w:p w:rsidR="00D379BD" w:rsidRPr="00D379BD" w:rsidRDefault="00D379BD" w:rsidP="00D379BD">
            <w:pPr>
              <w:keepNext/>
              <w:keepLines/>
              <w:spacing w:line="240" w:lineRule="auto"/>
              <w:ind w:left="57" w:right="57"/>
              <w:rPr>
                <w:rFonts w:eastAsia="Calibri"/>
                <w:b/>
                <w:szCs w:val="20"/>
              </w:rPr>
            </w:pPr>
            <w:r w:rsidRPr="00D379BD">
              <w:rPr>
                <w:rFonts w:eastAsia="Calibri"/>
                <w:b/>
                <w:szCs w:val="20"/>
              </w:rPr>
              <w:t>Total</w:t>
            </w:r>
          </w:p>
        </w:tc>
        <w:tc>
          <w:tcPr>
            <w:tcW w:w="30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-1.0</w:t>
            </w:r>
          </w:p>
        </w:tc>
        <w:tc>
          <w:tcPr>
            <w:tcW w:w="30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-2.0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-1.0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-3.0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-6.0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-12.0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-20.0</w:t>
            </w:r>
          </w:p>
        </w:tc>
        <w:tc>
          <w:tcPr>
            <w:tcW w:w="309"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-31.0</w:t>
            </w:r>
          </w:p>
        </w:tc>
        <w:tc>
          <w:tcPr>
            <w:tcW w:w="358" w:type="pct"/>
            <w:shd w:val="clear" w:color="auto" w:fill="D7DDE9"/>
          </w:tcPr>
          <w:p w:rsidR="00D379BD" w:rsidRPr="00D379BD" w:rsidRDefault="00D379BD" w:rsidP="00D379BD">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eastAsia="Calibri" w:hAnsi="Calibri"/>
                <w:b/>
                <w:bCs/>
                <w:color w:val="000000"/>
                <w:sz w:val="20"/>
                <w:szCs w:val="20"/>
              </w:rPr>
            </w:pPr>
            <w:r w:rsidRPr="00D379BD">
              <w:rPr>
                <w:rFonts w:ascii="Calibri" w:eastAsia="Calibri" w:hAnsi="Calibri"/>
                <w:b/>
                <w:sz w:val="20"/>
                <w:szCs w:val="20"/>
              </w:rPr>
              <w:t>-75.0</w:t>
            </w:r>
          </w:p>
        </w:tc>
      </w:tr>
    </w:tbl>
    <w:p w:rsidR="00D379BD" w:rsidRPr="00D379BD" w:rsidRDefault="00D379BD" w:rsidP="00A70F88">
      <w:pPr>
        <w:pStyle w:val="Footnotes"/>
        <w:numPr>
          <w:ilvl w:val="0"/>
          <w:numId w:val="95"/>
        </w:numPr>
        <w:ind w:left="284" w:hanging="284"/>
      </w:pPr>
      <w:r w:rsidRPr="00D379BD">
        <w:t xml:space="preserve">A positive number in headline cash balance indicates an increase in cashflow.  A negative number in headline cash balance indicates a decrease in cashflow. </w:t>
      </w:r>
    </w:p>
    <w:p w:rsidR="00D379BD" w:rsidRPr="00D379BD" w:rsidRDefault="00D379BD" w:rsidP="00A70F88">
      <w:pPr>
        <w:pStyle w:val="Footnotes"/>
        <w:ind w:left="284" w:hanging="284"/>
      </w:pPr>
      <w:r w:rsidRPr="00D379BD">
        <w:t>Figures may not sum to totals due to rounding.</w:t>
      </w:r>
    </w:p>
    <w:p w:rsidR="00D379BD" w:rsidRPr="00D379BD" w:rsidRDefault="00D379BD" w:rsidP="00A70F88">
      <w:pPr>
        <w:pStyle w:val="Footnotes"/>
        <w:numPr>
          <w:ilvl w:val="0"/>
          <w:numId w:val="0"/>
        </w:numPr>
        <w:spacing w:before="0"/>
        <w:ind w:left="284" w:hanging="284"/>
      </w:pPr>
      <w:r w:rsidRPr="00D379BD">
        <w:t>..</w:t>
      </w:r>
      <w:r w:rsidRPr="00D379BD">
        <w:tab/>
        <w:t>Not zero but rounded to zero.</w:t>
      </w:r>
    </w:p>
    <w:p w:rsidR="00D379BD" w:rsidRDefault="00D379BD" w:rsidP="00A70F88">
      <w:pPr>
        <w:pStyle w:val="Footnotes"/>
        <w:numPr>
          <w:ilvl w:val="0"/>
          <w:numId w:val="0"/>
        </w:numPr>
        <w:spacing w:before="0"/>
        <w:ind w:left="284" w:hanging="284"/>
      </w:pPr>
      <w:r w:rsidRPr="00D379BD">
        <w:t>-</w:t>
      </w:r>
      <w:r>
        <w:tab/>
      </w:r>
      <w:r w:rsidRPr="00D379BD">
        <w:t>Indicates nil.</w:t>
      </w:r>
    </w:p>
    <w:p w:rsidR="00D379BD" w:rsidRDefault="00D379BD" w:rsidP="00D379BD">
      <w:pPr>
        <w:pStyle w:val="BodyText"/>
        <w:spacing w:after="0"/>
        <w:sectPr w:rsidR="00D379BD" w:rsidSect="00A70F88">
          <w:headerReference w:type="even" r:id="rId98"/>
          <w:headerReference w:type="default" r:id="rId99"/>
          <w:footerReference w:type="even" r:id="rId100"/>
          <w:footerReference w:type="default" r:id="rId101"/>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38" w:name="_Toc458081658"/>
      <w:r>
        <w:t>ALP03</w:t>
      </w:r>
      <w:r w:rsidR="00C21EBE">
        <w:t>4</w:t>
      </w:r>
      <w:r>
        <w:t>: Higher Education Package</w:t>
      </w:r>
      <w:bookmarkEnd w:id="38"/>
    </w:p>
    <w:p w:rsidR="00745988" w:rsidRDefault="00745988" w:rsidP="00745988">
      <w:pPr>
        <w:pStyle w:val="BodyText"/>
      </w:pPr>
      <w:r>
        <w:rPr>
          <w:noProof/>
          <w:lang w:eastAsia="en-AU"/>
        </w:rPr>
        <w:drawing>
          <wp:inline distT="0" distB="0" distL="0" distR="0" wp14:anchorId="4A581D18" wp14:editId="3160F51D">
            <wp:extent cx="2696845" cy="572135"/>
            <wp:effectExtent l="0" t="0" r="8255" b="0"/>
            <wp:docPr id="357" name="Picture 35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D44CAE">
            <w:pPr>
              <w:pStyle w:val="PullOutBoxHeading"/>
              <w:rPr>
                <w:b/>
              </w:rPr>
            </w:pPr>
            <w:r w:rsidRPr="00E51946">
              <w:rPr>
                <w:b/>
              </w:rPr>
              <w:t>Name of proposal:</w:t>
            </w:r>
          </w:p>
        </w:tc>
        <w:tc>
          <w:tcPr>
            <w:tcW w:w="3191" w:type="pct"/>
          </w:tcPr>
          <w:p w:rsidR="00420CF4" w:rsidRPr="00E51946" w:rsidRDefault="005E48E9" w:rsidP="00D44CAE">
            <w:pPr>
              <w:pStyle w:val="PullOutBoxHeading"/>
              <w:rPr>
                <w:b/>
              </w:rPr>
            </w:pPr>
            <w:r w:rsidRPr="00E51946">
              <w:rPr>
                <w:b/>
              </w:rPr>
              <w:t>Higher Education Package</w:t>
            </w:r>
          </w:p>
        </w:tc>
      </w:tr>
      <w:tr w:rsidR="00420CF4" w:rsidRPr="00B45F94" w:rsidTr="00967BCD">
        <w:tc>
          <w:tcPr>
            <w:tcW w:w="1809" w:type="pct"/>
          </w:tcPr>
          <w:p w:rsidR="00420CF4" w:rsidRPr="00B45F94" w:rsidRDefault="00420CF4" w:rsidP="00D44CAE">
            <w:pPr>
              <w:pStyle w:val="PullOutBoxBodyText"/>
            </w:pPr>
            <w:r w:rsidRPr="00B45F94">
              <w:t>Summary of proposal:</w:t>
            </w:r>
          </w:p>
        </w:tc>
        <w:tc>
          <w:tcPr>
            <w:tcW w:w="3191" w:type="pct"/>
          </w:tcPr>
          <w:p w:rsidR="005E48E9" w:rsidRPr="005E48E9" w:rsidRDefault="005E48E9" w:rsidP="00D44CAE">
            <w:pPr>
              <w:pStyle w:val="PullOutBoxBodyText"/>
            </w:pPr>
            <w:r w:rsidRPr="005E48E9">
              <w:t>The proposal would reverse four higher education budget measures from their intended date of implementation and increase funding to universities.</w:t>
            </w:r>
          </w:p>
          <w:p w:rsidR="005E48E9" w:rsidRPr="005E48E9" w:rsidRDefault="005E48E9" w:rsidP="00D44CAE">
            <w:pPr>
              <w:pStyle w:val="PullOutBoxBodyText"/>
            </w:pPr>
            <w:r w:rsidRPr="005E48E9">
              <w:t>The measures being reversed are as follows:</w:t>
            </w:r>
          </w:p>
          <w:p w:rsidR="005E48E9" w:rsidRDefault="005E48E9" w:rsidP="005E48E9">
            <w:pPr>
              <w:pStyle w:val="PullOutBoxBullet"/>
            </w:pPr>
            <w:r>
              <w:t>The 2014</w:t>
            </w:r>
            <w:r>
              <w:noBreakHyphen/>
              <w:t xml:space="preserve">15 Budget measure, </w:t>
            </w:r>
            <w:r w:rsidRPr="005E48E9">
              <w:rPr>
                <w:i/>
              </w:rPr>
              <w:t>Expanding Opportunity – expansion of the demand driven system and sharing the cost fairly</w:t>
            </w:r>
            <w:r>
              <w:t>.</w:t>
            </w:r>
          </w:p>
          <w:p w:rsidR="005E48E9" w:rsidRDefault="005E48E9" w:rsidP="005E48E9">
            <w:pPr>
              <w:pStyle w:val="PullOutBoxBullet"/>
            </w:pPr>
            <w:r>
              <w:t>The 2014</w:t>
            </w:r>
            <w:r>
              <w:noBreakHyphen/>
              <w:t xml:space="preserve">15 Budget measure, </w:t>
            </w:r>
            <w:r w:rsidRPr="005E48E9">
              <w:rPr>
                <w:i/>
              </w:rPr>
              <w:t>Expanding Opportunity – FEE-HELP and VET FEE-HELP loan fee – cessation</w:t>
            </w:r>
            <w:r>
              <w:t>.</w:t>
            </w:r>
          </w:p>
          <w:p w:rsidR="005E48E9" w:rsidRDefault="005E48E9" w:rsidP="005E48E9">
            <w:pPr>
              <w:pStyle w:val="PullOutBoxBullet"/>
            </w:pPr>
            <w:r>
              <w:t>The 2014</w:t>
            </w:r>
            <w:r>
              <w:noBreakHyphen/>
              <w:t xml:space="preserve">15 Mid-year Economic and Fiscal Outlook (MYEFO) measure, </w:t>
            </w:r>
            <w:r w:rsidRPr="005E48E9">
              <w:rPr>
                <w:i/>
              </w:rPr>
              <w:t>Higher Education – Structural Adjustment Fund – establishment</w:t>
            </w:r>
            <w:r>
              <w:t>.</w:t>
            </w:r>
          </w:p>
          <w:p w:rsidR="005E48E9" w:rsidRDefault="005E48E9" w:rsidP="005E48E9">
            <w:pPr>
              <w:pStyle w:val="PullOutBoxBullet"/>
            </w:pPr>
            <w:r>
              <w:t xml:space="preserve">The </w:t>
            </w:r>
            <w:r w:rsidRPr="005E48E9">
              <w:rPr>
                <w:i/>
              </w:rPr>
              <w:t>pausing indexation on Higher Education Loan Program (HELP) debts for people who earn below the minimum HELP repayment threshold and have primary care of a child under five years of age</w:t>
            </w:r>
            <w:r>
              <w:t xml:space="preserve"> component of the 2014</w:t>
            </w:r>
            <w:r>
              <w:noBreakHyphen/>
              <w:t xml:space="preserve">15 MYEFO measure, </w:t>
            </w:r>
            <w:r w:rsidRPr="005E48E9">
              <w:rPr>
                <w:i/>
              </w:rPr>
              <w:t>Higher</w:t>
            </w:r>
            <w:r>
              <w:rPr>
                <w:i/>
              </w:rPr>
              <w:t> </w:t>
            </w:r>
            <w:r w:rsidRPr="005E48E9">
              <w:rPr>
                <w:i/>
              </w:rPr>
              <w:t>Education Reforms — amendments</w:t>
            </w:r>
            <w:r>
              <w:t>.</w:t>
            </w:r>
          </w:p>
          <w:p w:rsidR="005E48E9" w:rsidRPr="005E48E9" w:rsidRDefault="005E48E9" w:rsidP="00D44CAE">
            <w:pPr>
              <w:pStyle w:val="PullOutBoxBodyText"/>
            </w:pPr>
            <w:r w:rsidRPr="005E48E9">
              <w:t xml:space="preserve">The proposal would also fund Commonwealth supported places (CSPs) at an average of $10,800 (2014 dollars) per Equivalent Full Time Student Load (EFTSL) per year and index funding per CSP by the Consumer Price Index (CPI).  </w:t>
            </w:r>
          </w:p>
          <w:p w:rsidR="00420CF4" w:rsidRPr="00B45F94" w:rsidRDefault="005E48E9" w:rsidP="00D44CAE">
            <w:pPr>
              <w:pStyle w:val="PullOutBoxBodyText"/>
            </w:pPr>
            <w:r w:rsidRPr="005E48E9">
              <w:t>The proposal would have effect from the start of the 2018 academic year.</w:t>
            </w:r>
          </w:p>
        </w:tc>
      </w:tr>
      <w:tr w:rsidR="00420CF4" w:rsidRPr="00B45F94" w:rsidTr="00967BCD">
        <w:tc>
          <w:tcPr>
            <w:tcW w:w="1809" w:type="pct"/>
          </w:tcPr>
          <w:p w:rsidR="00420CF4" w:rsidRPr="00B45F94" w:rsidRDefault="00420CF4" w:rsidP="00D44CAE">
            <w:pPr>
              <w:pStyle w:val="PullOutBoxBodyText"/>
            </w:pPr>
            <w:r>
              <w:t>Party:</w:t>
            </w:r>
          </w:p>
        </w:tc>
        <w:tc>
          <w:tcPr>
            <w:tcW w:w="3191" w:type="pct"/>
          </w:tcPr>
          <w:p w:rsidR="00420CF4" w:rsidRPr="00B45F94" w:rsidRDefault="00420CF4" w:rsidP="00D44CAE">
            <w:pPr>
              <w:pStyle w:val="PullOutBoxBodyText"/>
            </w:pPr>
            <w:r>
              <w:t>Australian Labor Party</w:t>
            </w:r>
          </w:p>
        </w:tc>
      </w:tr>
      <w:tr w:rsidR="00420CF4" w:rsidRPr="00B45F94" w:rsidTr="00967BCD">
        <w:tc>
          <w:tcPr>
            <w:tcW w:w="1809" w:type="pct"/>
          </w:tcPr>
          <w:p w:rsidR="00420CF4" w:rsidRPr="00B45F94" w:rsidRDefault="00420CF4" w:rsidP="00D44CAE">
            <w:pPr>
              <w:pStyle w:val="PullOutBoxBodyText"/>
            </w:pPr>
            <w:r w:rsidRPr="00B45F94">
              <w:t>Expiry date for the costing:</w:t>
            </w:r>
          </w:p>
        </w:tc>
        <w:tc>
          <w:tcPr>
            <w:tcW w:w="3191" w:type="pct"/>
          </w:tcPr>
          <w:p w:rsidR="00420CF4" w:rsidRPr="00B45F94" w:rsidRDefault="00EC102A" w:rsidP="00D44CA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7940F9" w:rsidRPr="007940F9" w:rsidRDefault="007940F9" w:rsidP="007940F9">
      <w:pPr>
        <w:pStyle w:val="BodyText"/>
      </w:pPr>
      <w:r w:rsidRPr="007940F9">
        <w:t xml:space="preserve">This proposal would be expected to decrease the fiscal balance by $1,780 million, decrease the underlying cash balance by $2,440 million and decrease the headline cash balance </w:t>
      </w:r>
      <w:r>
        <w:t>by $2,370 million over the 2016</w:t>
      </w:r>
      <w:r>
        <w:noBreakHyphen/>
      </w:r>
      <w:r w:rsidRPr="007940F9">
        <w:t>17 Budget forward estimates period.</w:t>
      </w:r>
    </w:p>
    <w:p w:rsidR="007940F9" w:rsidRPr="007940F9" w:rsidRDefault="007940F9" w:rsidP="007940F9">
      <w:pPr>
        <w:pStyle w:val="BodyText"/>
      </w:pPr>
      <w:r w:rsidRPr="007940F9">
        <w:t>The proposal would have an ongoing financial impact that extends beyond the 2016-17 Budget forward estimates period.  The disaggregated financial impacts of th</w:t>
      </w:r>
      <w:r>
        <w:t>e proposal over the period 2016</w:t>
      </w:r>
      <w:r>
        <w:noBreakHyphen/>
        <w:t>17 to 2026</w:t>
      </w:r>
      <w:r>
        <w:noBreakHyphen/>
      </w:r>
      <w:r w:rsidRPr="007940F9">
        <w:t xml:space="preserve">27 are included at </w:t>
      </w:r>
      <w:r w:rsidRPr="007940F9">
        <w:rPr>
          <w:u w:val="single"/>
        </w:rPr>
        <w:t>Attachment A</w:t>
      </w:r>
      <w:r w:rsidRPr="007940F9">
        <w:t>.</w:t>
      </w:r>
    </w:p>
    <w:p w:rsidR="007940F9" w:rsidRPr="007940F9" w:rsidRDefault="007940F9" w:rsidP="007940F9">
      <w:pPr>
        <w:pStyle w:val="BodyText"/>
      </w:pPr>
      <w:r w:rsidRPr="007940F9">
        <w:t>The proposal would not be expected to result in additional departmental expenditure because the administration of CSPs and HELP would remain largely unchanged.</w:t>
      </w:r>
    </w:p>
    <w:p w:rsidR="007940F9" w:rsidRPr="007940F9" w:rsidRDefault="007940F9" w:rsidP="007940F9">
      <w:pPr>
        <w:pStyle w:val="BodyText"/>
      </w:pPr>
      <w:r w:rsidRPr="007940F9">
        <w:t xml:space="preserve">The </w:t>
      </w:r>
      <w:r w:rsidRPr="003F06DD">
        <w:rPr>
          <w:i/>
        </w:rPr>
        <w:t>Methodology</w:t>
      </w:r>
      <w:r w:rsidRPr="007940F9">
        <w:t xml:space="preserve"> section outlines how impacts on each budget balance are estimated.  As the proposal involves the transaction of financial assets in the form of additional HELP loan issuance, the Public Debt Interest (PDI) impact of the proposal has been included in the overall fina</w:t>
      </w:r>
      <w:r w:rsidR="003F06DD">
        <w:t>ncial impacts of the proposal.</w:t>
      </w:r>
    </w:p>
    <w:p w:rsidR="007940F9" w:rsidRPr="007940F9" w:rsidRDefault="007940F9" w:rsidP="007940F9">
      <w:pPr>
        <w:pStyle w:val="BodyText"/>
      </w:pPr>
      <w:r w:rsidRPr="007940F9">
        <w:t>This costing is considered to be of low reliability due to the uncertainty surrounding the behavioural responses of higher education institutions in offering CSPs with increased funding in response to this proposal.</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3F06DD">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3F06DD">
            <w:pPr>
              <w:pStyle w:val="TableTextRight"/>
            </w:pPr>
            <w:r>
              <w:t>Total</w:t>
            </w:r>
          </w:p>
        </w:tc>
      </w:tr>
      <w:tr w:rsidR="003F06DD" w:rsidTr="00967BCD">
        <w:tc>
          <w:tcPr>
            <w:tcW w:w="1393" w:type="pct"/>
          </w:tcPr>
          <w:p w:rsidR="003F06DD" w:rsidRDefault="003F06DD" w:rsidP="00967BCD">
            <w:pPr>
              <w:pStyle w:val="TableText"/>
            </w:pPr>
            <w:r>
              <w:t>Fiscal balance</w:t>
            </w:r>
          </w:p>
        </w:tc>
        <w:tc>
          <w:tcPr>
            <w:tcW w:w="721" w:type="pct"/>
          </w:tcPr>
          <w:p w:rsidR="003F06DD" w:rsidRPr="00A85CB0" w:rsidRDefault="003F06DD" w:rsidP="003F06DD">
            <w:pPr>
              <w:pStyle w:val="TableTextRight"/>
            </w:pPr>
            <w:r w:rsidRPr="00A85CB0">
              <w:t>30.0</w:t>
            </w:r>
          </w:p>
        </w:tc>
        <w:tc>
          <w:tcPr>
            <w:tcW w:w="721" w:type="pct"/>
          </w:tcPr>
          <w:p w:rsidR="003F06DD" w:rsidRPr="00A85CB0" w:rsidRDefault="003F06DD" w:rsidP="003F06DD">
            <w:pPr>
              <w:pStyle w:val="TableTextRight"/>
            </w:pPr>
            <w:r w:rsidRPr="00A85CB0">
              <w:t>-270.0</w:t>
            </w:r>
          </w:p>
        </w:tc>
        <w:tc>
          <w:tcPr>
            <w:tcW w:w="722" w:type="pct"/>
          </w:tcPr>
          <w:p w:rsidR="003F06DD" w:rsidRPr="00A85CB0" w:rsidRDefault="003F06DD" w:rsidP="003F06DD">
            <w:pPr>
              <w:pStyle w:val="TableTextRight"/>
            </w:pPr>
            <w:r w:rsidRPr="00A85CB0">
              <w:t>-690.0</w:t>
            </w:r>
          </w:p>
        </w:tc>
        <w:tc>
          <w:tcPr>
            <w:tcW w:w="721" w:type="pct"/>
          </w:tcPr>
          <w:p w:rsidR="003F06DD" w:rsidRPr="00A85CB0" w:rsidRDefault="003F06DD" w:rsidP="003F06DD">
            <w:pPr>
              <w:pStyle w:val="TableTextRight"/>
            </w:pPr>
            <w:r w:rsidRPr="00A85CB0">
              <w:t>-850.0</w:t>
            </w:r>
          </w:p>
        </w:tc>
        <w:tc>
          <w:tcPr>
            <w:tcW w:w="722" w:type="pct"/>
          </w:tcPr>
          <w:p w:rsidR="003F06DD" w:rsidRPr="00A85CB0" w:rsidRDefault="003F06DD" w:rsidP="003F06DD">
            <w:pPr>
              <w:pStyle w:val="TableTextRight"/>
              <w:rPr>
                <w:b/>
              </w:rPr>
            </w:pPr>
            <w:r w:rsidRPr="00A85CB0">
              <w:rPr>
                <w:b/>
              </w:rPr>
              <w:t>-1,780.0</w:t>
            </w:r>
          </w:p>
        </w:tc>
      </w:tr>
      <w:tr w:rsidR="003F06DD" w:rsidTr="00967BCD">
        <w:tc>
          <w:tcPr>
            <w:tcW w:w="1393" w:type="pct"/>
          </w:tcPr>
          <w:p w:rsidR="003F06DD" w:rsidRDefault="003F06DD" w:rsidP="00967BCD">
            <w:pPr>
              <w:pStyle w:val="TableText"/>
            </w:pPr>
            <w:r>
              <w:t>Underlying cash balance</w:t>
            </w:r>
          </w:p>
        </w:tc>
        <w:tc>
          <w:tcPr>
            <w:tcW w:w="721" w:type="pct"/>
          </w:tcPr>
          <w:p w:rsidR="003F06DD" w:rsidRPr="00A85CB0" w:rsidRDefault="003F06DD" w:rsidP="003F06DD">
            <w:pPr>
              <w:pStyle w:val="TableTextRight"/>
            </w:pPr>
            <w:r w:rsidRPr="00A85CB0">
              <w:t>..</w:t>
            </w:r>
          </w:p>
        </w:tc>
        <w:tc>
          <w:tcPr>
            <w:tcW w:w="721" w:type="pct"/>
          </w:tcPr>
          <w:p w:rsidR="003F06DD" w:rsidRPr="00A85CB0" w:rsidRDefault="003F06DD" w:rsidP="003F06DD">
            <w:pPr>
              <w:pStyle w:val="TableTextRight"/>
            </w:pPr>
            <w:r w:rsidRPr="00A85CB0">
              <w:t>-420.0</w:t>
            </w:r>
          </w:p>
        </w:tc>
        <w:tc>
          <w:tcPr>
            <w:tcW w:w="722" w:type="pct"/>
          </w:tcPr>
          <w:p w:rsidR="003F06DD" w:rsidRPr="00A85CB0" w:rsidRDefault="003F06DD" w:rsidP="003F06DD">
            <w:pPr>
              <w:pStyle w:val="TableTextRight"/>
            </w:pPr>
            <w:r w:rsidRPr="00A85CB0">
              <w:t>-930.0</w:t>
            </w:r>
          </w:p>
        </w:tc>
        <w:tc>
          <w:tcPr>
            <w:tcW w:w="721" w:type="pct"/>
          </w:tcPr>
          <w:p w:rsidR="003F06DD" w:rsidRPr="00A85CB0" w:rsidRDefault="003F06DD" w:rsidP="003F06DD">
            <w:pPr>
              <w:pStyle w:val="TableTextRight"/>
            </w:pPr>
            <w:r w:rsidRPr="00A85CB0">
              <w:t>-1,100.0</w:t>
            </w:r>
          </w:p>
        </w:tc>
        <w:tc>
          <w:tcPr>
            <w:tcW w:w="722" w:type="pct"/>
          </w:tcPr>
          <w:p w:rsidR="003F06DD" w:rsidRPr="00A85CB0" w:rsidRDefault="003F06DD" w:rsidP="003F06DD">
            <w:pPr>
              <w:pStyle w:val="TableTextRight"/>
              <w:rPr>
                <w:b/>
              </w:rPr>
            </w:pPr>
            <w:r w:rsidRPr="00A85CB0">
              <w:rPr>
                <w:b/>
              </w:rPr>
              <w:t>-2,440.0</w:t>
            </w:r>
          </w:p>
        </w:tc>
      </w:tr>
      <w:tr w:rsidR="003F06DD" w:rsidTr="00967BCD">
        <w:tc>
          <w:tcPr>
            <w:tcW w:w="1393" w:type="pct"/>
          </w:tcPr>
          <w:p w:rsidR="003F06DD" w:rsidRDefault="003F06DD" w:rsidP="00967BCD">
            <w:pPr>
              <w:pStyle w:val="TableText"/>
            </w:pPr>
            <w:r>
              <w:rPr>
                <w:szCs w:val="20"/>
              </w:rPr>
              <w:t>Headline cash balance</w:t>
            </w:r>
          </w:p>
        </w:tc>
        <w:tc>
          <w:tcPr>
            <w:tcW w:w="721" w:type="pct"/>
          </w:tcPr>
          <w:p w:rsidR="003F06DD" w:rsidRPr="00A85CB0" w:rsidRDefault="003F06DD" w:rsidP="003F06DD">
            <w:pPr>
              <w:pStyle w:val="TableTextRight"/>
            </w:pPr>
            <w:r w:rsidRPr="00A85CB0">
              <w:t>..</w:t>
            </w:r>
          </w:p>
        </w:tc>
        <w:tc>
          <w:tcPr>
            <w:tcW w:w="721" w:type="pct"/>
          </w:tcPr>
          <w:p w:rsidR="003F06DD" w:rsidRPr="00A85CB0" w:rsidRDefault="003F06DD" w:rsidP="003F06DD">
            <w:pPr>
              <w:pStyle w:val="TableTextRight"/>
            </w:pPr>
            <w:r w:rsidRPr="00A85CB0">
              <w:t>-420.0</w:t>
            </w:r>
          </w:p>
        </w:tc>
        <w:tc>
          <w:tcPr>
            <w:tcW w:w="722" w:type="pct"/>
          </w:tcPr>
          <w:p w:rsidR="003F06DD" w:rsidRPr="00A85CB0" w:rsidRDefault="003F06DD" w:rsidP="003F06DD">
            <w:pPr>
              <w:pStyle w:val="TableTextRight"/>
            </w:pPr>
            <w:r w:rsidRPr="00A85CB0">
              <w:t>-910.0</w:t>
            </w:r>
          </w:p>
        </w:tc>
        <w:tc>
          <w:tcPr>
            <w:tcW w:w="721" w:type="pct"/>
          </w:tcPr>
          <w:p w:rsidR="003F06DD" w:rsidRPr="00A85CB0" w:rsidRDefault="003F06DD" w:rsidP="003F06DD">
            <w:pPr>
              <w:pStyle w:val="TableTextRight"/>
            </w:pPr>
            <w:r w:rsidRPr="00A85CB0">
              <w:t>-1,030.0</w:t>
            </w:r>
          </w:p>
        </w:tc>
        <w:tc>
          <w:tcPr>
            <w:tcW w:w="722" w:type="pct"/>
          </w:tcPr>
          <w:p w:rsidR="003F06DD" w:rsidRPr="00A85CB0" w:rsidRDefault="003F06DD" w:rsidP="003F06DD">
            <w:pPr>
              <w:pStyle w:val="TableTextRight"/>
              <w:rPr>
                <w:b/>
              </w:rPr>
            </w:pPr>
            <w:r w:rsidRPr="00A85CB0">
              <w:rPr>
                <w:b/>
              </w:rPr>
              <w:t>-2,370.0</w:t>
            </w:r>
          </w:p>
        </w:tc>
      </w:tr>
    </w:tbl>
    <w:p w:rsidR="00420CF4" w:rsidRPr="003F06DD" w:rsidRDefault="00420CF4" w:rsidP="002C43F8">
      <w:pPr>
        <w:pStyle w:val="Footnotes"/>
        <w:numPr>
          <w:ilvl w:val="0"/>
          <w:numId w:val="96"/>
        </w:numPr>
        <w:ind w:left="284" w:hanging="284"/>
      </w:pPr>
      <w:r w:rsidRPr="003F06DD">
        <w:t>A positive number indicates an increase in the relevant budget balance, a negative number a decrease.</w:t>
      </w:r>
    </w:p>
    <w:p w:rsidR="00420CF4" w:rsidRPr="003F06DD" w:rsidRDefault="00420CF4" w:rsidP="00D44CAE">
      <w:pPr>
        <w:pStyle w:val="Footnotes"/>
        <w:ind w:left="284" w:hanging="284"/>
      </w:pPr>
      <w:r w:rsidRPr="003F06DD">
        <w:t>Figures may not sum to totals due to rounding.</w:t>
      </w:r>
    </w:p>
    <w:p w:rsidR="003F06DD" w:rsidRPr="003F06DD" w:rsidRDefault="003F06DD" w:rsidP="003F06DD">
      <w:pPr>
        <w:pStyle w:val="Footnotes"/>
        <w:numPr>
          <w:ilvl w:val="0"/>
          <w:numId w:val="0"/>
        </w:numPr>
        <w:ind w:left="284" w:hanging="284"/>
        <w:rPr>
          <w:rStyle w:val="FootnoteReference"/>
          <w:vertAlign w:val="baseline"/>
        </w:rPr>
      </w:pPr>
      <w:r w:rsidRPr="003F06DD">
        <w:t>..</w:t>
      </w:r>
      <w:r w:rsidRPr="003F06DD">
        <w:tab/>
        <w:t>Not zero but rounded to zero.</w:t>
      </w:r>
    </w:p>
    <w:p w:rsidR="00420CF4" w:rsidRDefault="00420CF4" w:rsidP="00420CF4">
      <w:pPr>
        <w:pStyle w:val="CostingsH7"/>
      </w:pPr>
      <w:r>
        <w:t>Key assumptions</w:t>
      </w:r>
    </w:p>
    <w:p w:rsidR="000210C8" w:rsidRPr="000210C8" w:rsidRDefault="000210C8" w:rsidP="000210C8">
      <w:pPr>
        <w:pStyle w:val="BodyText"/>
      </w:pPr>
      <w:r w:rsidRPr="000210C8">
        <w:t>In costing the proposal, the following assumptions have been made:</w:t>
      </w:r>
    </w:p>
    <w:p w:rsidR="000210C8" w:rsidRDefault="000210C8" w:rsidP="000210C8">
      <w:pPr>
        <w:pStyle w:val="ListBullet"/>
      </w:pPr>
      <w:r>
        <w:t>In estimating the additional revenue that could be gained from reversing the 2014</w:t>
      </w:r>
      <w:r>
        <w:noBreakHyphen/>
        <w:t xml:space="preserve">15 Budget measure, </w:t>
      </w:r>
      <w:r w:rsidRPr="000210C8">
        <w:rPr>
          <w:i/>
        </w:rPr>
        <w:t>Expanding Opportunity – FEE-HELP and VET FEE-HELP loan fee – cessation</w:t>
      </w:r>
      <w:r>
        <w:t xml:space="preserve">, demand for Vocation Education and Training (VET) FEE-HELP loans has been lowered as a result of the related proposal, </w:t>
      </w:r>
      <w:r w:rsidRPr="000210C8">
        <w:rPr>
          <w:i/>
        </w:rPr>
        <w:t>Putting a $8,000 per year cap on VET FEE-HELP loans</w:t>
      </w:r>
      <w:r>
        <w:t>.</w:t>
      </w:r>
      <w:r w:rsidRPr="00E53973">
        <w:rPr>
          <w:rStyle w:val="FootnoteReference"/>
        </w:rPr>
        <w:footnoteReference w:id="11"/>
      </w:r>
    </w:p>
    <w:p w:rsidR="000210C8" w:rsidRDefault="000210C8" w:rsidP="000210C8">
      <w:pPr>
        <w:pStyle w:val="ListBullet2"/>
      </w:pPr>
      <w:r>
        <w:t>This in effect recognises that by implementing both proposals, loan fee revenue would be lower as a result of capping the annual borrowing of VET FEE-HELP loans.</w:t>
      </w:r>
    </w:p>
    <w:p w:rsidR="000210C8" w:rsidRDefault="000210C8" w:rsidP="000210C8">
      <w:pPr>
        <w:pStyle w:val="ListBullet"/>
      </w:pPr>
      <w:r>
        <w:t>The course mix of CSPs would be distributed in the same way that they currently are.</w:t>
      </w:r>
    </w:p>
    <w:p w:rsidR="00F80D87" w:rsidRDefault="000210C8" w:rsidP="000210C8">
      <w:pPr>
        <w:pStyle w:val="ListBullet"/>
      </w:pPr>
      <w:r>
        <w:t>Higher education providers would not use the additional funding per CSP to reduce fees to students and continue to charge them at the capped amount.</w:t>
      </w:r>
    </w:p>
    <w:p w:rsidR="00420CF4" w:rsidRDefault="00420CF4" w:rsidP="00D44CAE">
      <w:pPr>
        <w:pStyle w:val="CostingsH7"/>
      </w:pPr>
      <w:r>
        <w:t>Methodology</w:t>
      </w:r>
    </w:p>
    <w:p w:rsidR="00F80D87" w:rsidRPr="00F80D87" w:rsidRDefault="00F80D87" w:rsidP="00D44CAE">
      <w:pPr>
        <w:pStyle w:val="BodyText"/>
        <w:keepNext/>
        <w:keepLines/>
      </w:pPr>
      <w:r w:rsidRPr="00F80D87">
        <w:t>The measure reversal component is estimated based on the costing and forward estimates models underpinning relevant measure o</w:t>
      </w:r>
      <w:r>
        <w:t>r program estimates in the 2016</w:t>
      </w:r>
      <w:r>
        <w:noBreakHyphen/>
      </w:r>
      <w:r w:rsidRPr="00F80D87">
        <w:t>17 Budget.</w:t>
      </w:r>
    </w:p>
    <w:p w:rsidR="00F80D87" w:rsidRPr="00F80D87" w:rsidRDefault="00F80D87" w:rsidP="00D44CAE">
      <w:pPr>
        <w:pStyle w:val="BodyText"/>
        <w:keepNext/>
        <w:keepLines/>
      </w:pPr>
      <w:r w:rsidRPr="00F80D87">
        <w:t>The increase to CSP funding is estimated by comparing the proposed average CSP funding amount per EFTSL with the average funding amount forecast as at the 2016</w:t>
      </w:r>
      <w:r>
        <w:noBreakHyphen/>
      </w:r>
      <w:r w:rsidRPr="00F80D87">
        <w:t>17 Budget, adjusted for changes in course mix over the forward estimates and measures reversed as part of the proposal.  The difference between these projections is then multiplied by the forecast number of CSPs, also adjusted for measures rev</w:t>
      </w:r>
      <w:r>
        <w:t>ersed as part of the proposal.</w:t>
      </w:r>
    </w:p>
    <w:p w:rsidR="00F80D87" w:rsidRPr="00F80D87" w:rsidRDefault="00F80D87" w:rsidP="00F80D87">
      <w:pPr>
        <w:pStyle w:val="BodyText"/>
      </w:pPr>
      <w:r w:rsidRPr="00F80D87">
        <w:t>There is no change in student borrowings through HELP other than those already accounted for by the measures reversed.</w:t>
      </w:r>
    </w:p>
    <w:p w:rsidR="00F80D87" w:rsidRPr="00F80D87" w:rsidRDefault="00F80D87" w:rsidP="00F80D87">
      <w:pPr>
        <w:pStyle w:val="BodyText"/>
      </w:pPr>
      <w:r w:rsidRPr="00F80D87">
        <w:t>The total financial implication of the proposal includes the financial impact of reversing the measures.</w:t>
      </w:r>
    </w:p>
    <w:p w:rsidR="00F80D87" w:rsidRPr="00F80D87" w:rsidRDefault="00F80D87" w:rsidP="00F80D87">
      <w:pPr>
        <w:pStyle w:val="BodyText"/>
      </w:pPr>
      <w:r w:rsidRPr="00F80D87">
        <w:t>All estimates, other than PDI impacts, are rounded to the nearest $10 million.  PDI impacts are rounded to the nearest $1 million.</w:t>
      </w:r>
    </w:p>
    <w:p w:rsidR="00420CF4" w:rsidRDefault="00420CF4" w:rsidP="00420CF4">
      <w:pPr>
        <w:pStyle w:val="CostingsH7"/>
      </w:pPr>
      <w:r>
        <w:t>Data sources</w:t>
      </w:r>
    </w:p>
    <w:p w:rsidR="00F80D87" w:rsidRDefault="00017F5D" w:rsidP="00F80D87">
      <w:pPr>
        <w:pStyle w:val="BodyText"/>
      </w:pPr>
      <w:r>
        <w:t xml:space="preserve">The </w:t>
      </w:r>
      <w:r w:rsidR="00F80D87">
        <w:t>Department of Education and Training</w:t>
      </w:r>
      <w:r>
        <w:t xml:space="preserve"> provided:</w:t>
      </w:r>
    </w:p>
    <w:p w:rsidR="00F80D87" w:rsidRDefault="00F80D87" w:rsidP="00F80D87">
      <w:pPr>
        <w:pStyle w:val="ListBullet"/>
      </w:pPr>
      <w:r>
        <w:t>HELP forward estimates model</w:t>
      </w:r>
    </w:p>
    <w:p w:rsidR="00F80D87" w:rsidRDefault="00F80D87" w:rsidP="00F80D87">
      <w:pPr>
        <w:pStyle w:val="ListBullet"/>
      </w:pPr>
      <w:r>
        <w:t>Commonwealth Grant Scheme forward estimates model</w:t>
      </w:r>
    </w:p>
    <w:p w:rsidR="00F80D87" w:rsidRDefault="00F80D87" w:rsidP="00F80D87">
      <w:pPr>
        <w:pStyle w:val="ListBullet"/>
      </w:pPr>
      <w:r>
        <w:t>2016-17 Portfolio Budget Statement.</w:t>
      </w:r>
    </w:p>
    <w:p w:rsidR="00D44CAE" w:rsidRDefault="00D44CAE" w:rsidP="00D44CAE">
      <w:pPr>
        <w:pStyle w:val="BodyText"/>
      </w:pPr>
    </w:p>
    <w:p w:rsidR="00D44CAE" w:rsidRDefault="00D44CAE" w:rsidP="00D44CAE">
      <w:pPr>
        <w:pStyle w:val="BodyText"/>
        <w:sectPr w:rsidR="00D44CAE" w:rsidSect="004C3B63">
          <w:headerReference w:type="even" r:id="rId102"/>
          <w:headerReference w:type="default" r:id="rId103"/>
          <w:footerReference w:type="even" r:id="rId104"/>
          <w:footerReference w:type="default" r:id="rId105"/>
          <w:footnotePr>
            <w:numRestart w:val="eachSect"/>
          </w:footnotePr>
          <w:pgSz w:w="11906" w:h="16838" w:code="9"/>
          <w:pgMar w:top="1361" w:right="1797" w:bottom="1474" w:left="1797" w:header="283" w:footer="454" w:gutter="0"/>
          <w:cols w:space="708"/>
          <w:docGrid w:linePitch="360"/>
        </w:sectPr>
      </w:pPr>
    </w:p>
    <w:p w:rsidR="00420CF4" w:rsidRDefault="00F80D87" w:rsidP="00F80D87">
      <w:pPr>
        <w:pStyle w:val="Heading6"/>
      </w:pPr>
      <w:r>
        <w:t xml:space="preserve">Attachment </w:t>
      </w:r>
      <w:r w:rsidRPr="00F80D87">
        <w:t>A: Higher Education Package—financial implications</w:t>
      </w:r>
    </w:p>
    <w:p w:rsidR="00420CF4" w:rsidRDefault="00420CF4" w:rsidP="00420CF4">
      <w:pPr>
        <w:pStyle w:val="Caption"/>
        <w:rPr>
          <w:vertAlign w:val="superscript"/>
        </w:rPr>
      </w:pPr>
      <w:r w:rsidRPr="002B36F1">
        <w:t xml:space="preserve">Table </w:t>
      </w:r>
      <w:r>
        <w:t>A1</w:t>
      </w:r>
      <w:r w:rsidRPr="002B36F1">
        <w:t xml:space="preserve">: </w:t>
      </w:r>
      <w:r w:rsidR="00F80D87" w:rsidRPr="0075065D">
        <w:t>Higher Education Package</w:t>
      </w:r>
      <w:r w:rsidR="00F80D87">
        <w:t>—Fiscal balance</w:t>
      </w:r>
      <w:r w:rsidRPr="002B36F1">
        <w:rPr>
          <w:vertAlign w:val="superscript"/>
        </w:rPr>
        <w:t>(a)(b)</w:t>
      </w:r>
    </w:p>
    <w:tbl>
      <w:tblPr>
        <w:tblW w:w="14135" w:type="dxa"/>
        <w:tblInd w:w="-24" w:type="dxa"/>
        <w:tblLayout w:type="fixed"/>
        <w:tblCellMar>
          <w:left w:w="0" w:type="dxa"/>
          <w:right w:w="0" w:type="dxa"/>
        </w:tblCellMar>
        <w:tblLook w:val="04A0" w:firstRow="1" w:lastRow="0" w:firstColumn="1" w:lastColumn="0" w:noHBand="0" w:noVBand="1"/>
      </w:tblPr>
      <w:tblGrid>
        <w:gridCol w:w="2264"/>
        <w:gridCol w:w="890"/>
        <w:gridCol w:w="889"/>
        <w:gridCol w:w="889"/>
        <w:gridCol w:w="889"/>
        <w:gridCol w:w="923"/>
        <w:gridCol w:w="889"/>
        <w:gridCol w:w="923"/>
        <w:gridCol w:w="923"/>
        <w:gridCol w:w="923"/>
        <w:gridCol w:w="923"/>
        <w:gridCol w:w="923"/>
        <w:gridCol w:w="923"/>
        <w:gridCol w:w="964"/>
      </w:tblGrid>
      <w:tr w:rsidR="00F80D87" w:rsidRPr="006A5D33" w:rsidTr="00F80D87">
        <w:trPr>
          <w:trHeight w:val="570"/>
        </w:trPr>
        <w:tc>
          <w:tcPr>
            <w:tcW w:w="2264" w:type="dxa"/>
            <w:tcBorders>
              <w:top w:val="single" w:sz="4" w:space="0" w:color="788182"/>
              <w:left w:val="single" w:sz="4" w:space="0" w:color="788182"/>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rPr>
                <w:rFonts w:eastAsia="Times New Roman" w:cs="Times New Roman"/>
                <w:bCs/>
                <w:color w:val="000000"/>
                <w:sz w:val="20"/>
                <w:szCs w:val="20"/>
                <w:lang w:eastAsia="en-AU"/>
              </w:rPr>
            </w:pPr>
            <w:r w:rsidRPr="00C729FC">
              <w:rPr>
                <w:rFonts w:eastAsia="Times New Roman" w:cs="Times New Roman"/>
                <w:bCs/>
                <w:color w:val="000000"/>
                <w:sz w:val="20"/>
                <w:szCs w:val="20"/>
                <w:lang w:eastAsia="en-AU"/>
              </w:rPr>
              <w:t>($m)</w:t>
            </w:r>
          </w:p>
        </w:tc>
        <w:tc>
          <w:tcPr>
            <w:tcW w:w="890"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2016–17</w:t>
            </w:r>
          </w:p>
        </w:tc>
        <w:tc>
          <w:tcPr>
            <w:tcW w:w="889"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2017–18</w:t>
            </w:r>
          </w:p>
        </w:tc>
        <w:tc>
          <w:tcPr>
            <w:tcW w:w="889"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2018–19</w:t>
            </w:r>
          </w:p>
        </w:tc>
        <w:tc>
          <w:tcPr>
            <w:tcW w:w="889"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2019–20</w:t>
            </w:r>
          </w:p>
        </w:tc>
        <w:tc>
          <w:tcPr>
            <w:tcW w:w="923" w:type="dxa"/>
            <w:tcBorders>
              <w:top w:val="single" w:sz="4" w:space="0" w:color="788182"/>
              <w:left w:val="nil"/>
              <w:bottom w:val="single" w:sz="4" w:space="0" w:color="788182"/>
              <w:right w:val="single" w:sz="4" w:space="0" w:color="788182"/>
            </w:tcBorders>
            <w:shd w:val="clear" w:color="000000" w:fill="D7DDE9"/>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Total to 2019–20</w:t>
            </w:r>
          </w:p>
        </w:tc>
        <w:tc>
          <w:tcPr>
            <w:tcW w:w="889"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2020–21</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2021–22</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2022–23</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2023–24</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2024–25</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2025–26</w:t>
            </w:r>
          </w:p>
        </w:tc>
        <w:tc>
          <w:tcPr>
            <w:tcW w:w="923"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color w:val="000000"/>
                <w:sz w:val="20"/>
                <w:szCs w:val="20"/>
                <w:lang w:eastAsia="en-AU"/>
              </w:rPr>
            </w:pPr>
            <w:r w:rsidRPr="00C729FC">
              <w:rPr>
                <w:rFonts w:eastAsia="Times New Roman" w:cs="Times New Roman"/>
                <w:color w:val="000000"/>
                <w:sz w:val="20"/>
                <w:szCs w:val="20"/>
                <w:lang w:eastAsia="en-AU"/>
              </w:rPr>
              <w:t>2026–27</w:t>
            </w:r>
          </w:p>
        </w:tc>
        <w:tc>
          <w:tcPr>
            <w:tcW w:w="964" w:type="dxa"/>
            <w:tcBorders>
              <w:top w:val="single" w:sz="4" w:space="0" w:color="788182"/>
              <w:left w:val="nil"/>
              <w:bottom w:val="single" w:sz="4" w:space="0" w:color="788182"/>
              <w:right w:val="single" w:sz="4" w:space="0" w:color="788182"/>
            </w:tcBorders>
            <w:shd w:val="clear" w:color="000000" w:fill="D7DDE9"/>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Total to 2026–27</w:t>
            </w:r>
          </w:p>
        </w:tc>
      </w:tr>
      <w:tr w:rsidR="00F80D87" w:rsidRPr="006A5D33" w:rsidTr="00F80D87">
        <w:trPr>
          <w:trHeight w:val="300"/>
        </w:trPr>
        <w:tc>
          <w:tcPr>
            <w:tcW w:w="14135" w:type="dxa"/>
            <w:gridSpan w:val="14"/>
            <w:tcBorders>
              <w:top w:val="nil"/>
              <w:left w:val="single" w:sz="4" w:space="0" w:color="788182"/>
              <w:bottom w:val="single" w:sz="4" w:space="0" w:color="788182"/>
              <w:right w:val="single" w:sz="4" w:space="0" w:color="788182"/>
            </w:tcBorders>
            <w:shd w:val="clear" w:color="000000" w:fill="E9ECF3"/>
            <w:noWrap/>
            <w:vAlign w:val="center"/>
            <w:hideMark/>
          </w:tcPr>
          <w:p w:rsidR="00F80D87" w:rsidRPr="00C729FC" w:rsidRDefault="00F80D87" w:rsidP="00F80D87">
            <w:pPr>
              <w:spacing w:before="70" w:after="70" w:line="240" w:lineRule="auto"/>
              <w:ind w:left="57" w:right="57"/>
              <w:rPr>
                <w:rFonts w:eastAsia="Times New Roman" w:cs="Times New Roman"/>
                <w:color w:val="000000"/>
                <w:sz w:val="20"/>
                <w:szCs w:val="20"/>
                <w:lang w:eastAsia="en-AU"/>
              </w:rPr>
            </w:pPr>
            <w:r w:rsidRPr="00C729FC">
              <w:rPr>
                <w:rFonts w:eastAsia="Times New Roman" w:cs="Times New Roman"/>
                <w:b/>
                <w:color w:val="000000"/>
                <w:sz w:val="20"/>
                <w:szCs w:val="20"/>
                <w:lang w:eastAsia="en-AU"/>
              </w:rPr>
              <w:t>Impact on fiscal balance</w:t>
            </w:r>
          </w:p>
        </w:tc>
      </w:tr>
      <w:tr w:rsidR="00F80D87" w:rsidRPr="006A5D33" w:rsidTr="00F80D87">
        <w:trPr>
          <w:trHeight w:val="300"/>
        </w:trPr>
        <w:tc>
          <w:tcPr>
            <w:tcW w:w="2264" w:type="dxa"/>
            <w:tcBorders>
              <w:top w:val="nil"/>
              <w:left w:val="single" w:sz="4" w:space="0" w:color="788182"/>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rPr>
                <w:rFonts w:eastAsia="Times New Roman" w:cs="Times New Roman"/>
                <w:color w:val="000000"/>
                <w:sz w:val="20"/>
                <w:szCs w:val="20"/>
                <w:lang w:eastAsia="en-AU"/>
              </w:rPr>
            </w:pPr>
            <w:r w:rsidRPr="00C729FC">
              <w:rPr>
                <w:rFonts w:eastAsia="Times New Roman" w:cs="Times New Roman"/>
                <w:color w:val="000000"/>
                <w:sz w:val="20"/>
                <w:szCs w:val="20"/>
                <w:lang w:eastAsia="en-AU"/>
              </w:rPr>
              <w:t>Reversal of measures</w:t>
            </w:r>
            <w:r w:rsidRPr="00C729FC">
              <w:rPr>
                <w:rFonts w:eastAsia="Times New Roman" w:cs="Times New Roman"/>
                <w:color w:val="000000"/>
                <w:sz w:val="20"/>
                <w:szCs w:val="20"/>
                <w:vertAlign w:val="superscript"/>
                <w:lang w:eastAsia="en-AU"/>
              </w:rPr>
              <w:t>(c)</w:t>
            </w:r>
          </w:p>
        </w:tc>
        <w:tc>
          <w:tcPr>
            <w:tcW w:w="890"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30.0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-250.0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-640.0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-790.0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-1,650.0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-890.0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-990.0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-1,100.0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-1,220.0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-1,350.0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-1,480.0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-1,630.0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-10,310.0</w:t>
            </w:r>
          </w:p>
        </w:tc>
      </w:tr>
      <w:tr w:rsidR="00F80D87" w:rsidRPr="006A5D33" w:rsidTr="00F80D87">
        <w:trPr>
          <w:trHeight w:val="510"/>
        </w:trPr>
        <w:tc>
          <w:tcPr>
            <w:tcW w:w="2264" w:type="dxa"/>
            <w:tcBorders>
              <w:top w:val="nil"/>
              <w:left w:val="single" w:sz="4" w:space="0" w:color="788182"/>
              <w:bottom w:val="single" w:sz="4" w:space="0" w:color="788182"/>
              <w:right w:val="single" w:sz="4" w:space="0" w:color="788182"/>
            </w:tcBorders>
            <w:shd w:val="clear" w:color="auto" w:fill="auto"/>
            <w:vAlign w:val="center"/>
            <w:hideMark/>
          </w:tcPr>
          <w:p w:rsidR="00F80D87" w:rsidRPr="00C729FC" w:rsidRDefault="00F80D87" w:rsidP="00F80D87">
            <w:pPr>
              <w:spacing w:before="70" w:after="70" w:line="240" w:lineRule="auto"/>
              <w:ind w:left="57" w:right="57"/>
              <w:rPr>
                <w:rFonts w:eastAsia="Times New Roman" w:cs="Times New Roman"/>
                <w:color w:val="000000"/>
                <w:sz w:val="20"/>
                <w:szCs w:val="20"/>
                <w:lang w:eastAsia="en-AU"/>
              </w:rPr>
            </w:pPr>
            <w:r w:rsidRPr="00C729FC">
              <w:rPr>
                <w:rFonts w:eastAsia="Times New Roman" w:cs="Times New Roman"/>
                <w:color w:val="000000"/>
                <w:sz w:val="20"/>
                <w:szCs w:val="20"/>
                <w:lang w:eastAsia="en-AU"/>
              </w:rPr>
              <w:t>Additional funding for universities</w:t>
            </w:r>
          </w:p>
        </w:tc>
        <w:tc>
          <w:tcPr>
            <w:tcW w:w="890"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-20.0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-50.0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-60.0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-120.0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-60.0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-70.0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-70.0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-70.0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-70.0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-80.0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-80.0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-620.0</w:t>
            </w:r>
          </w:p>
        </w:tc>
      </w:tr>
      <w:tr w:rsidR="00F80D87" w:rsidRPr="006A5D33" w:rsidTr="00F80D87">
        <w:trPr>
          <w:trHeight w:val="300"/>
        </w:trPr>
        <w:tc>
          <w:tcPr>
            <w:tcW w:w="2264" w:type="dxa"/>
            <w:tcBorders>
              <w:top w:val="nil"/>
              <w:left w:val="single" w:sz="4" w:space="0" w:color="788182"/>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rPr>
                <w:rFonts w:eastAsia="Times New Roman" w:cs="Times New Roman"/>
                <w:color w:val="000000"/>
                <w:sz w:val="20"/>
                <w:szCs w:val="20"/>
                <w:lang w:eastAsia="en-AU"/>
              </w:rPr>
            </w:pPr>
            <w:r w:rsidRPr="00C729FC">
              <w:rPr>
                <w:rFonts w:eastAsia="Times New Roman" w:cs="Times New Roman"/>
                <w:color w:val="000000"/>
                <w:sz w:val="20"/>
                <w:szCs w:val="20"/>
                <w:lang w:eastAsia="en-AU"/>
              </w:rPr>
              <w:t>PDI</w:t>
            </w:r>
          </w:p>
        </w:tc>
        <w:tc>
          <w:tcPr>
            <w:tcW w:w="890"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-2.0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-3.0</w:t>
            </w:r>
          </w:p>
        </w:tc>
        <w:tc>
          <w:tcPr>
            <w:tcW w:w="889"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-5.0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-9.0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-14.0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-19.0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-25.0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-31.0</w:t>
            </w:r>
          </w:p>
        </w:tc>
        <w:tc>
          <w:tcPr>
            <w:tcW w:w="923"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i/>
                <w:iCs/>
                <w:color w:val="000000"/>
                <w:sz w:val="20"/>
                <w:szCs w:val="20"/>
                <w:lang w:eastAsia="en-AU"/>
              </w:rPr>
            </w:pPr>
            <w:r w:rsidRPr="00C729FC">
              <w:rPr>
                <w:rFonts w:eastAsia="Times New Roman" w:cs="Times New Roman"/>
                <w:i/>
                <w:iCs/>
                <w:color w:val="000000"/>
                <w:sz w:val="20"/>
                <w:szCs w:val="20"/>
                <w:lang w:eastAsia="en-AU"/>
              </w:rPr>
              <w:t>-38.0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C729FC" w:rsidRDefault="00F80D87" w:rsidP="00F80D87">
            <w:pPr>
              <w:spacing w:before="70" w:after="70" w:line="240" w:lineRule="auto"/>
              <w:ind w:left="57" w:right="57"/>
              <w:jc w:val="right"/>
              <w:rPr>
                <w:rFonts w:eastAsia="Times New Roman" w:cs="Times New Roman"/>
                <w:b/>
                <w:bCs/>
                <w:i/>
                <w:iCs/>
                <w:color w:val="000000"/>
                <w:sz w:val="20"/>
                <w:szCs w:val="20"/>
                <w:lang w:eastAsia="en-AU"/>
              </w:rPr>
            </w:pPr>
            <w:r w:rsidRPr="00C729FC">
              <w:rPr>
                <w:rFonts w:eastAsia="Times New Roman" w:cs="Times New Roman"/>
                <w:b/>
                <w:bCs/>
                <w:i/>
                <w:iCs/>
                <w:color w:val="000000"/>
                <w:sz w:val="20"/>
                <w:szCs w:val="20"/>
                <w:lang w:eastAsia="en-AU"/>
              </w:rPr>
              <w:t>-144.0</w:t>
            </w:r>
          </w:p>
        </w:tc>
      </w:tr>
      <w:tr w:rsidR="00F80D87" w:rsidRPr="006A5D33" w:rsidTr="00F80D87">
        <w:trPr>
          <w:trHeight w:val="300"/>
        </w:trPr>
        <w:tc>
          <w:tcPr>
            <w:tcW w:w="2264" w:type="dxa"/>
            <w:tcBorders>
              <w:top w:val="nil"/>
              <w:left w:val="single" w:sz="4" w:space="0" w:color="788182"/>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Total</w:t>
            </w:r>
          </w:p>
        </w:tc>
        <w:tc>
          <w:tcPr>
            <w:tcW w:w="890"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30.0</w:t>
            </w:r>
          </w:p>
        </w:tc>
        <w:tc>
          <w:tcPr>
            <w:tcW w:w="889"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-270.0</w:t>
            </w:r>
          </w:p>
        </w:tc>
        <w:tc>
          <w:tcPr>
            <w:tcW w:w="889"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-690.0</w:t>
            </w:r>
          </w:p>
        </w:tc>
        <w:tc>
          <w:tcPr>
            <w:tcW w:w="889"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-850.0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-1,780.0</w:t>
            </w:r>
          </w:p>
        </w:tc>
        <w:tc>
          <w:tcPr>
            <w:tcW w:w="889"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-950.0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-1,070.0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-1,180.0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-1,310.0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-1,450.0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-1,590.0</w:t>
            </w:r>
          </w:p>
        </w:tc>
        <w:tc>
          <w:tcPr>
            <w:tcW w:w="923"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-1,750.0</w:t>
            </w:r>
          </w:p>
        </w:tc>
        <w:tc>
          <w:tcPr>
            <w:tcW w:w="964" w:type="dxa"/>
            <w:tcBorders>
              <w:top w:val="nil"/>
              <w:left w:val="nil"/>
              <w:bottom w:val="single" w:sz="4" w:space="0" w:color="788182"/>
              <w:right w:val="single" w:sz="4" w:space="0" w:color="788182"/>
            </w:tcBorders>
            <w:shd w:val="clear" w:color="000000" w:fill="D7DDE9"/>
            <w:noWrap/>
            <w:vAlign w:val="center"/>
            <w:hideMark/>
          </w:tcPr>
          <w:p w:rsidR="00F80D87" w:rsidRPr="00C729FC" w:rsidRDefault="00F80D87" w:rsidP="00F80D87">
            <w:pPr>
              <w:spacing w:before="70" w:after="70" w:line="240" w:lineRule="auto"/>
              <w:ind w:left="57" w:right="57"/>
              <w:jc w:val="right"/>
              <w:rPr>
                <w:rFonts w:eastAsia="Times New Roman" w:cs="Times New Roman"/>
                <w:b/>
                <w:bCs/>
                <w:color w:val="000000"/>
                <w:sz w:val="20"/>
                <w:szCs w:val="20"/>
                <w:lang w:eastAsia="en-AU"/>
              </w:rPr>
            </w:pPr>
            <w:r w:rsidRPr="00C729FC">
              <w:rPr>
                <w:rFonts w:eastAsia="Times New Roman" w:cs="Times New Roman"/>
                <w:b/>
                <w:bCs/>
                <w:color w:val="000000"/>
                <w:sz w:val="20"/>
                <w:szCs w:val="20"/>
                <w:lang w:eastAsia="en-AU"/>
              </w:rPr>
              <w:t>-11,070.0</w:t>
            </w:r>
          </w:p>
        </w:tc>
      </w:tr>
    </w:tbl>
    <w:p w:rsidR="00F80D87" w:rsidRPr="006A5D33" w:rsidRDefault="00F80D87" w:rsidP="004C3B63">
      <w:pPr>
        <w:pStyle w:val="Footnotes"/>
        <w:numPr>
          <w:ilvl w:val="0"/>
          <w:numId w:val="97"/>
        </w:numPr>
        <w:ind w:left="284" w:hanging="284"/>
      </w:pPr>
      <w:r w:rsidRPr="006A5D33">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F80D87" w:rsidRPr="006A5D33" w:rsidRDefault="00F80D87" w:rsidP="004C3B63">
      <w:pPr>
        <w:pStyle w:val="Footnotes"/>
        <w:ind w:left="284" w:hanging="284"/>
      </w:pPr>
      <w:r w:rsidRPr="006A5D33">
        <w:t>Figures may not sum to totals due to rounding.</w:t>
      </w:r>
    </w:p>
    <w:p w:rsidR="00F80D87" w:rsidRPr="006A5D33" w:rsidRDefault="00F80D87" w:rsidP="004C3B63">
      <w:pPr>
        <w:pStyle w:val="Footnotes"/>
        <w:ind w:left="284" w:hanging="284"/>
      </w:pPr>
      <w:r w:rsidRPr="006A5D33">
        <w:t>PDI impacts from the reversal of measures are included in this line.</w:t>
      </w:r>
    </w:p>
    <w:p w:rsidR="00F80D87" w:rsidRPr="006A5D33" w:rsidRDefault="00F80D87" w:rsidP="004C3B63">
      <w:pPr>
        <w:pStyle w:val="Footnotes"/>
        <w:numPr>
          <w:ilvl w:val="0"/>
          <w:numId w:val="0"/>
        </w:numPr>
        <w:ind w:left="284" w:hanging="284"/>
      </w:pPr>
      <w:r w:rsidRPr="006A5D33">
        <w:t>..</w:t>
      </w:r>
      <w:r w:rsidRPr="006A5D33">
        <w:tab/>
        <w:t>Not zero but rounded to zero.</w:t>
      </w:r>
    </w:p>
    <w:p w:rsidR="00F80D87" w:rsidRDefault="00F80D87" w:rsidP="004C3B63">
      <w:pPr>
        <w:pStyle w:val="Footnotes"/>
        <w:numPr>
          <w:ilvl w:val="0"/>
          <w:numId w:val="0"/>
        </w:numPr>
        <w:ind w:left="284" w:hanging="284"/>
      </w:pPr>
      <w:r w:rsidRPr="00F80D87">
        <w:t>-</w:t>
      </w:r>
      <w:r>
        <w:tab/>
      </w:r>
      <w:r w:rsidRPr="00C729FC">
        <w:t>Indicates nil.</w:t>
      </w:r>
    </w:p>
    <w:p w:rsidR="00F80D87" w:rsidRDefault="00F80D87" w:rsidP="00745988">
      <w:pPr>
        <w:pStyle w:val="Caption"/>
        <w:keepLines/>
      </w:pPr>
      <w:r w:rsidRPr="00F80D87">
        <w:t>Table A2: Higher Education Package—Underlying cash balance</w:t>
      </w:r>
      <w:r w:rsidRPr="00F80D87">
        <w:rPr>
          <w:vertAlign w:val="superscript"/>
        </w:rPr>
        <w:t>(a)(b)</w:t>
      </w:r>
    </w:p>
    <w:tbl>
      <w:tblPr>
        <w:tblW w:w="14090" w:type="dxa"/>
        <w:tblInd w:w="5" w:type="dxa"/>
        <w:tblLayout w:type="fixed"/>
        <w:tblCellMar>
          <w:left w:w="0" w:type="dxa"/>
          <w:right w:w="0" w:type="dxa"/>
        </w:tblCellMar>
        <w:tblLook w:val="04A0" w:firstRow="1" w:lastRow="0" w:firstColumn="1" w:lastColumn="0" w:noHBand="0" w:noVBand="1"/>
      </w:tblPr>
      <w:tblGrid>
        <w:gridCol w:w="2235"/>
        <w:gridCol w:w="907"/>
        <w:gridCol w:w="907"/>
        <w:gridCol w:w="907"/>
        <w:gridCol w:w="907"/>
        <w:gridCol w:w="907"/>
        <w:gridCol w:w="907"/>
        <w:gridCol w:w="907"/>
        <w:gridCol w:w="907"/>
        <w:gridCol w:w="907"/>
        <w:gridCol w:w="907"/>
        <w:gridCol w:w="907"/>
        <w:gridCol w:w="907"/>
        <w:gridCol w:w="964"/>
        <w:gridCol w:w="7"/>
      </w:tblGrid>
      <w:tr w:rsidR="00F80D87" w:rsidRPr="0075065D" w:rsidTr="00466245">
        <w:trPr>
          <w:gridAfter w:val="1"/>
          <w:wAfter w:w="7" w:type="dxa"/>
          <w:trHeight w:val="510"/>
        </w:trPr>
        <w:tc>
          <w:tcPr>
            <w:tcW w:w="2235" w:type="dxa"/>
            <w:tcBorders>
              <w:top w:val="single" w:sz="4" w:space="0" w:color="788182"/>
              <w:left w:val="single" w:sz="4" w:space="0" w:color="788182"/>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($m)</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2016–17</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2017–18</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2018–19</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2019–20</w:t>
            </w:r>
          </w:p>
        </w:tc>
        <w:tc>
          <w:tcPr>
            <w:tcW w:w="907" w:type="dxa"/>
            <w:tcBorders>
              <w:top w:val="single" w:sz="4" w:space="0" w:color="788182"/>
              <w:left w:val="nil"/>
              <w:bottom w:val="single" w:sz="4" w:space="0" w:color="788182"/>
              <w:right w:val="single" w:sz="4" w:space="0" w:color="788182"/>
            </w:tcBorders>
            <w:shd w:val="clear" w:color="000000" w:fill="D7DDE9"/>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 to 2019–20</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2020–21</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2021–22</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2022–23</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2023–24</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2024–25</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2025–26</w:t>
            </w:r>
          </w:p>
        </w:tc>
        <w:tc>
          <w:tcPr>
            <w:tcW w:w="907" w:type="dxa"/>
            <w:tcBorders>
              <w:top w:val="single" w:sz="4" w:space="0" w:color="788182"/>
              <w:left w:val="nil"/>
              <w:bottom w:val="single" w:sz="4" w:space="0" w:color="788182"/>
              <w:right w:val="single" w:sz="4" w:space="0" w:color="788182"/>
            </w:tcBorders>
            <w:shd w:val="clear" w:color="000000" w:fill="D7DDE9"/>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2026–27</w:t>
            </w:r>
          </w:p>
        </w:tc>
        <w:tc>
          <w:tcPr>
            <w:tcW w:w="964" w:type="dxa"/>
            <w:tcBorders>
              <w:top w:val="single" w:sz="4" w:space="0" w:color="788182"/>
              <w:left w:val="nil"/>
              <w:bottom w:val="single" w:sz="4" w:space="0" w:color="788182"/>
              <w:right w:val="single" w:sz="4" w:space="0" w:color="788182"/>
            </w:tcBorders>
            <w:shd w:val="clear" w:color="000000" w:fill="D7DDE9"/>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 to 2026–27</w:t>
            </w:r>
          </w:p>
        </w:tc>
      </w:tr>
      <w:tr w:rsidR="00F80D87" w:rsidRPr="0075065D" w:rsidTr="00466245">
        <w:trPr>
          <w:trHeight w:val="300"/>
        </w:trPr>
        <w:tc>
          <w:tcPr>
            <w:tcW w:w="14090" w:type="dxa"/>
            <w:gridSpan w:val="15"/>
            <w:tcBorders>
              <w:top w:val="single" w:sz="4" w:space="0" w:color="788182"/>
              <w:left w:val="single" w:sz="4" w:space="0" w:color="788182"/>
              <w:bottom w:val="single" w:sz="4" w:space="0" w:color="788182"/>
              <w:right w:val="single" w:sz="4" w:space="0" w:color="788182"/>
            </w:tcBorders>
            <w:shd w:val="clear" w:color="000000" w:fill="E9ECF3"/>
            <w:noWrap/>
            <w:vAlign w:val="center"/>
            <w:hideMark/>
          </w:tcPr>
          <w:p w:rsidR="00F80D87" w:rsidRPr="0075065D" w:rsidRDefault="00F80D87"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b/>
                <w:bCs/>
                <w:color w:val="000000"/>
                <w:sz w:val="20"/>
                <w:szCs w:val="20"/>
                <w:lang w:eastAsia="en-AU"/>
              </w:rPr>
              <w:t>Impact on underlying cash balance</w:t>
            </w:r>
          </w:p>
        </w:tc>
      </w:tr>
      <w:tr w:rsidR="00F80D87" w:rsidRPr="0075065D" w:rsidTr="00466245">
        <w:trPr>
          <w:gridAfter w:val="1"/>
          <w:wAfter w:w="7" w:type="dxa"/>
          <w:trHeight w:val="300"/>
        </w:trPr>
        <w:tc>
          <w:tcPr>
            <w:tcW w:w="2235" w:type="dxa"/>
            <w:tcBorders>
              <w:top w:val="nil"/>
              <w:left w:val="single" w:sz="4" w:space="0" w:color="788182"/>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Reversal of measures</w:t>
            </w:r>
            <w:r w:rsidRPr="00681471">
              <w:rPr>
                <w:rFonts w:ascii="Calibri" w:eastAsia="Times New Roman" w:hAnsi="Calibri" w:cs="Times New Roman"/>
                <w:color w:val="000000"/>
                <w:sz w:val="20"/>
                <w:szCs w:val="20"/>
                <w:vertAlign w:val="superscript"/>
                <w:lang w:eastAsia="en-AU"/>
              </w:rPr>
              <w:t>(c)</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-400.0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-880.0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-1,030.0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-2,320.0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-1,120.0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-1,210.0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-1,290.0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-1,380.0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-1,470.0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-1,540.0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-1,660.0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-11,990.0</w:t>
            </w:r>
          </w:p>
        </w:tc>
      </w:tr>
      <w:tr w:rsidR="00F80D87" w:rsidRPr="0075065D" w:rsidTr="00466245">
        <w:trPr>
          <w:gridAfter w:val="1"/>
          <w:wAfter w:w="7" w:type="dxa"/>
          <w:trHeight w:val="510"/>
        </w:trPr>
        <w:tc>
          <w:tcPr>
            <w:tcW w:w="2235" w:type="dxa"/>
            <w:tcBorders>
              <w:top w:val="nil"/>
              <w:left w:val="single" w:sz="4" w:space="0" w:color="788182"/>
              <w:bottom w:val="single" w:sz="4" w:space="0" w:color="788182"/>
              <w:right w:val="single" w:sz="4" w:space="0" w:color="788182"/>
            </w:tcBorders>
            <w:shd w:val="clear" w:color="auto" w:fill="auto"/>
            <w:vAlign w:val="center"/>
            <w:hideMark/>
          </w:tcPr>
          <w:p w:rsidR="00F80D87" w:rsidRPr="0075065D" w:rsidRDefault="00F80D87"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Additional funding for universities</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-50.0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-60.0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-120.0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-60.0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-80.0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-80.0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-620.0</w:t>
            </w:r>
          </w:p>
        </w:tc>
      </w:tr>
      <w:tr w:rsidR="00F80D87" w:rsidRPr="0075065D" w:rsidTr="00466245">
        <w:trPr>
          <w:gridAfter w:val="1"/>
          <w:wAfter w:w="7" w:type="dxa"/>
          <w:trHeight w:val="300"/>
        </w:trPr>
        <w:tc>
          <w:tcPr>
            <w:tcW w:w="2235" w:type="dxa"/>
            <w:tcBorders>
              <w:top w:val="nil"/>
              <w:left w:val="single" w:sz="4" w:space="0" w:color="788182"/>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PDI</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-3.0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-5.0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-9.0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-13.0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-19.0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-24.0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-31.0</w:t>
            </w:r>
          </w:p>
        </w:tc>
        <w:tc>
          <w:tcPr>
            <w:tcW w:w="907"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-38.0</w:t>
            </w:r>
          </w:p>
        </w:tc>
        <w:tc>
          <w:tcPr>
            <w:tcW w:w="964" w:type="dxa"/>
            <w:tcBorders>
              <w:top w:val="nil"/>
              <w:left w:val="nil"/>
              <w:bottom w:val="single" w:sz="4" w:space="0" w:color="788182"/>
              <w:right w:val="single" w:sz="4" w:space="0" w:color="788182"/>
            </w:tcBorders>
            <w:shd w:val="clear" w:color="auto" w:fill="auto"/>
            <w:noWrap/>
            <w:vAlign w:val="center"/>
            <w:hideMark/>
          </w:tcPr>
          <w:p w:rsidR="00F80D87" w:rsidRPr="0075065D" w:rsidRDefault="00F80D87"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-142.0</w:t>
            </w:r>
          </w:p>
        </w:tc>
      </w:tr>
      <w:tr w:rsidR="00F80D87" w:rsidRPr="0075065D" w:rsidTr="00466245">
        <w:trPr>
          <w:gridAfter w:val="1"/>
          <w:wAfter w:w="7" w:type="dxa"/>
          <w:trHeight w:val="300"/>
        </w:trPr>
        <w:tc>
          <w:tcPr>
            <w:tcW w:w="2235" w:type="dxa"/>
            <w:tcBorders>
              <w:top w:val="nil"/>
              <w:left w:val="single" w:sz="4" w:space="0" w:color="788182"/>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-420.0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-930.0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-1,100.0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-2,440.0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-1,190.0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-1,290.0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-1,380.0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-1,460.0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-1,560.0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-1,650.0</w:t>
            </w:r>
          </w:p>
        </w:tc>
        <w:tc>
          <w:tcPr>
            <w:tcW w:w="907"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-1,780.0</w:t>
            </w:r>
          </w:p>
        </w:tc>
        <w:tc>
          <w:tcPr>
            <w:tcW w:w="964" w:type="dxa"/>
            <w:tcBorders>
              <w:top w:val="nil"/>
              <w:left w:val="nil"/>
              <w:bottom w:val="single" w:sz="4" w:space="0" w:color="788182"/>
              <w:right w:val="single" w:sz="4" w:space="0" w:color="788182"/>
            </w:tcBorders>
            <w:shd w:val="clear" w:color="000000" w:fill="D7DDE9"/>
            <w:noWrap/>
            <w:vAlign w:val="center"/>
            <w:hideMark/>
          </w:tcPr>
          <w:p w:rsidR="00F80D87" w:rsidRPr="0075065D" w:rsidRDefault="00F80D87" w:rsidP="00F80D87">
            <w:pPr>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-12,750.0</w:t>
            </w:r>
          </w:p>
        </w:tc>
      </w:tr>
    </w:tbl>
    <w:p w:rsidR="00466245" w:rsidRDefault="00466245" w:rsidP="004C3B63">
      <w:pPr>
        <w:pStyle w:val="Footnotes"/>
        <w:numPr>
          <w:ilvl w:val="0"/>
          <w:numId w:val="98"/>
        </w:numPr>
        <w:ind w:left="284" w:hanging="284"/>
      </w:pPr>
      <w:r>
        <w:t xml:space="preserve">A positive number for the underlying cash balance indicates an increase in receipts or a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466245" w:rsidRDefault="00466245" w:rsidP="004C3B63">
      <w:pPr>
        <w:pStyle w:val="Footnotes"/>
        <w:ind w:left="284" w:hanging="284"/>
      </w:pPr>
      <w:r>
        <w:t>Figures may not sum to totals due to rounding.</w:t>
      </w:r>
    </w:p>
    <w:p w:rsidR="00466245" w:rsidRDefault="00466245" w:rsidP="004C3B63">
      <w:pPr>
        <w:pStyle w:val="Footnotes"/>
        <w:ind w:left="284" w:hanging="284"/>
      </w:pPr>
      <w:r>
        <w:t>PDI impacts from the reversal of measures are included in this line.</w:t>
      </w:r>
    </w:p>
    <w:p w:rsidR="00466245" w:rsidRDefault="00466245" w:rsidP="004C3B63">
      <w:pPr>
        <w:pStyle w:val="Footnotes"/>
        <w:numPr>
          <w:ilvl w:val="0"/>
          <w:numId w:val="0"/>
        </w:numPr>
        <w:ind w:left="284" w:hanging="284"/>
      </w:pPr>
      <w:r>
        <w:t>..</w:t>
      </w:r>
      <w:r>
        <w:tab/>
        <w:t>Not zero but rounded to zero.</w:t>
      </w:r>
    </w:p>
    <w:p w:rsidR="00466245" w:rsidRDefault="00466245" w:rsidP="004C3B63">
      <w:pPr>
        <w:pStyle w:val="Footnotes"/>
        <w:numPr>
          <w:ilvl w:val="0"/>
          <w:numId w:val="0"/>
        </w:numPr>
        <w:ind w:left="284" w:hanging="284"/>
      </w:pPr>
      <w:r>
        <w:t>-</w:t>
      </w:r>
      <w:r>
        <w:tab/>
        <w:t>Indicates nil.</w:t>
      </w:r>
    </w:p>
    <w:p w:rsidR="00F80D87" w:rsidRPr="00F80D87" w:rsidRDefault="00466245" w:rsidP="00745988">
      <w:pPr>
        <w:pStyle w:val="Caption"/>
        <w:keepLines/>
      </w:pPr>
      <w:r w:rsidRPr="00466245">
        <w:t>Table A3: Higher Education Package—Headline cash balance</w:t>
      </w:r>
      <w:r w:rsidRPr="00466245">
        <w:rPr>
          <w:vertAlign w:val="superscript"/>
        </w:rPr>
        <w:t>(a)(b)</w:t>
      </w:r>
    </w:p>
    <w:tbl>
      <w:tblPr>
        <w:tblW w:w="14152" w:type="dxa"/>
        <w:tblLayout w:type="fixed"/>
        <w:tblCellMar>
          <w:left w:w="0" w:type="dxa"/>
          <w:right w:w="0" w:type="dxa"/>
        </w:tblCellMar>
        <w:tblLook w:val="04A0" w:firstRow="1" w:lastRow="0" w:firstColumn="1" w:lastColumn="0" w:noHBand="0" w:noVBand="1"/>
      </w:tblPr>
      <w:tblGrid>
        <w:gridCol w:w="2245"/>
        <w:gridCol w:w="915"/>
        <w:gridCol w:w="916"/>
        <w:gridCol w:w="916"/>
        <w:gridCol w:w="916"/>
        <w:gridCol w:w="916"/>
        <w:gridCol w:w="916"/>
        <w:gridCol w:w="916"/>
        <w:gridCol w:w="916"/>
        <w:gridCol w:w="916"/>
        <w:gridCol w:w="916"/>
        <w:gridCol w:w="916"/>
        <w:gridCol w:w="916"/>
        <w:gridCol w:w="916"/>
      </w:tblGrid>
      <w:tr w:rsidR="00E26735" w:rsidRPr="0075065D" w:rsidTr="00E26735">
        <w:trPr>
          <w:trHeight w:val="510"/>
        </w:trPr>
        <w:tc>
          <w:tcPr>
            <w:tcW w:w="2245" w:type="dxa"/>
            <w:tcBorders>
              <w:top w:val="single" w:sz="4" w:space="0" w:color="788182"/>
              <w:left w:val="single" w:sz="4" w:space="0" w:color="788182"/>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($m)</w:t>
            </w:r>
          </w:p>
        </w:tc>
        <w:tc>
          <w:tcPr>
            <w:tcW w:w="915"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2016–17</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2017–18</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2018–19</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2019–20</w:t>
            </w:r>
          </w:p>
        </w:tc>
        <w:tc>
          <w:tcPr>
            <w:tcW w:w="916" w:type="dxa"/>
            <w:tcBorders>
              <w:top w:val="single" w:sz="4" w:space="0" w:color="788182"/>
              <w:left w:val="nil"/>
              <w:bottom w:val="single" w:sz="4" w:space="0" w:color="788182"/>
              <w:right w:val="single" w:sz="4" w:space="0" w:color="788182"/>
            </w:tcBorders>
            <w:shd w:val="clear" w:color="000000" w:fill="D7DDE9"/>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 to 2019–20</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2020–21</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2021–22</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2022–23</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2023–24</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2024–25</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2025–26</w:t>
            </w:r>
          </w:p>
        </w:tc>
        <w:tc>
          <w:tcPr>
            <w:tcW w:w="916" w:type="dxa"/>
            <w:tcBorders>
              <w:top w:val="single" w:sz="4" w:space="0" w:color="788182"/>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2026–27</w:t>
            </w:r>
          </w:p>
        </w:tc>
        <w:tc>
          <w:tcPr>
            <w:tcW w:w="916" w:type="dxa"/>
            <w:tcBorders>
              <w:top w:val="single" w:sz="4" w:space="0" w:color="788182"/>
              <w:left w:val="nil"/>
              <w:bottom w:val="single" w:sz="4" w:space="0" w:color="788182"/>
              <w:right w:val="single" w:sz="4" w:space="0" w:color="788182"/>
            </w:tcBorders>
            <w:shd w:val="clear" w:color="000000" w:fill="D7DDE9"/>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 to 2026–27</w:t>
            </w:r>
          </w:p>
        </w:tc>
      </w:tr>
      <w:tr w:rsidR="00466245" w:rsidRPr="0075065D" w:rsidTr="00E26735">
        <w:trPr>
          <w:trHeight w:val="300"/>
        </w:trPr>
        <w:tc>
          <w:tcPr>
            <w:tcW w:w="14152" w:type="dxa"/>
            <w:gridSpan w:val="14"/>
            <w:tcBorders>
              <w:top w:val="single" w:sz="4" w:space="0" w:color="788182"/>
              <w:left w:val="single" w:sz="4" w:space="0" w:color="788182"/>
              <w:bottom w:val="single" w:sz="4" w:space="0" w:color="788182"/>
              <w:right w:val="single" w:sz="4" w:space="0" w:color="788182"/>
            </w:tcBorders>
            <w:shd w:val="clear" w:color="000000" w:fill="E9ECF3"/>
            <w:noWrap/>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b/>
                <w:bCs/>
                <w:color w:val="000000"/>
                <w:sz w:val="20"/>
                <w:szCs w:val="20"/>
                <w:lang w:eastAsia="en-AU"/>
              </w:rPr>
              <w:t>Impact on headline cash balance</w:t>
            </w:r>
          </w:p>
        </w:tc>
      </w:tr>
      <w:tr w:rsidR="00466245" w:rsidRPr="0075065D" w:rsidTr="00E26735">
        <w:trPr>
          <w:trHeight w:val="300"/>
        </w:trPr>
        <w:tc>
          <w:tcPr>
            <w:tcW w:w="2245" w:type="dxa"/>
            <w:tcBorders>
              <w:top w:val="nil"/>
              <w:left w:val="single" w:sz="4" w:space="0" w:color="788182"/>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Reversal of measures</w:t>
            </w:r>
            <w:r w:rsidRPr="00681471">
              <w:rPr>
                <w:rFonts w:ascii="Calibri" w:eastAsia="Times New Roman" w:hAnsi="Calibri" w:cs="Times New Roman"/>
                <w:color w:val="000000"/>
                <w:sz w:val="20"/>
                <w:szCs w:val="20"/>
                <w:vertAlign w:val="superscript"/>
                <w:lang w:eastAsia="en-AU"/>
              </w:rPr>
              <w:t>(c)</w:t>
            </w:r>
          </w:p>
        </w:tc>
        <w:tc>
          <w:tcPr>
            <w:tcW w:w="915"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-410.0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-970.0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-2,240.0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-1,020.0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-1,100.0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-1,200.0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-1,310.0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-1,440.0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-1,570.0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-1,720.0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-11,610.0</w:t>
            </w:r>
          </w:p>
        </w:tc>
      </w:tr>
      <w:tr w:rsidR="00466245" w:rsidRPr="0075065D" w:rsidTr="00E26735">
        <w:trPr>
          <w:trHeight w:val="510"/>
        </w:trPr>
        <w:tc>
          <w:tcPr>
            <w:tcW w:w="2245" w:type="dxa"/>
            <w:tcBorders>
              <w:top w:val="nil"/>
              <w:left w:val="single" w:sz="4" w:space="0" w:color="788182"/>
              <w:bottom w:val="single" w:sz="4" w:space="0" w:color="788182"/>
              <w:right w:val="single" w:sz="4" w:space="0" w:color="788182"/>
            </w:tcBorders>
            <w:shd w:val="clear" w:color="auto" w:fill="auto"/>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Additional funding for universities</w:t>
            </w:r>
          </w:p>
        </w:tc>
        <w:tc>
          <w:tcPr>
            <w:tcW w:w="915"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-50.0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-60.0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-120.0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-60.0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-70.0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-80.0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-620.0</w:t>
            </w:r>
          </w:p>
        </w:tc>
      </w:tr>
      <w:tr w:rsidR="00466245" w:rsidRPr="0075065D" w:rsidTr="00E26735">
        <w:trPr>
          <w:trHeight w:val="300"/>
        </w:trPr>
        <w:tc>
          <w:tcPr>
            <w:tcW w:w="2245" w:type="dxa"/>
            <w:tcBorders>
              <w:top w:val="nil"/>
              <w:left w:val="single" w:sz="4" w:space="0" w:color="788182"/>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color w:val="000000"/>
                <w:sz w:val="20"/>
                <w:szCs w:val="20"/>
                <w:lang w:eastAsia="en-AU"/>
              </w:rPr>
            </w:pPr>
            <w:r w:rsidRPr="0075065D">
              <w:rPr>
                <w:rFonts w:ascii="Calibri" w:eastAsia="Times New Roman" w:hAnsi="Calibri" w:cs="Times New Roman"/>
                <w:color w:val="000000"/>
                <w:sz w:val="20"/>
                <w:szCs w:val="20"/>
                <w:lang w:eastAsia="en-AU"/>
              </w:rPr>
              <w:t>PDI</w:t>
            </w:r>
          </w:p>
        </w:tc>
        <w:tc>
          <w:tcPr>
            <w:tcW w:w="915"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-3.0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-5.0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-9.0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-13.0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-19.0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-24.0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-31.0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i/>
                <w:iCs/>
                <w:color w:val="000000"/>
                <w:sz w:val="20"/>
                <w:szCs w:val="20"/>
                <w:lang w:eastAsia="en-AU"/>
              </w:rPr>
            </w:pPr>
            <w:r w:rsidRPr="0075065D">
              <w:rPr>
                <w:rFonts w:ascii="Calibri" w:eastAsia="Times New Roman" w:hAnsi="Calibri" w:cs="Times New Roman"/>
                <w:i/>
                <w:iCs/>
                <w:color w:val="000000"/>
                <w:sz w:val="20"/>
                <w:szCs w:val="20"/>
                <w:lang w:eastAsia="en-AU"/>
              </w:rPr>
              <w:t>-38.0</w:t>
            </w:r>
          </w:p>
        </w:tc>
        <w:tc>
          <w:tcPr>
            <w:tcW w:w="916" w:type="dxa"/>
            <w:tcBorders>
              <w:top w:val="nil"/>
              <w:left w:val="nil"/>
              <w:bottom w:val="single" w:sz="4" w:space="0" w:color="788182"/>
              <w:right w:val="single" w:sz="4" w:space="0" w:color="788182"/>
            </w:tcBorders>
            <w:shd w:val="clear" w:color="auto" w:fill="auto"/>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i/>
                <w:iCs/>
                <w:color w:val="000000"/>
                <w:sz w:val="20"/>
                <w:szCs w:val="20"/>
                <w:lang w:eastAsia="en-AU"/>
              </w:rPr>
            </w:pPr>
            <w:r w:rsidRPr="0075065D">
              <w:rPr>
                <w:rFonts w:ascii="Calibri" w:eastAsia="Times New Roman" w:hAnsi="Calibri" w:cs="Times New Roman"/>
                <w:b/>
                <w:bCs/>
                <w:i/>
                <w:iCs/>
                <w:color w:val="000000"/>
                <w:sz w:val="20"/>
                <w:szCs w:val="20"/>
                <w:lang w:eastAsia="en-AU"/>
              </w:rPr>
              <w:t>-142.0</w:t>
            </w:r>
          </w:p>
        </w:tc>
      </w:tr>
      <w:tr w:rsidR="00E26735" w:rsidRPr="0075065D" w:rsidTr="00E26735">
        <w:trPr>
          <w:trHeight w:val="300"/>
        </w:trPr>
        <w:tc>
          <w:tcPr>
            <w:tcW w:w="2245" w:type="dxa"/>
            <w:tcBorders>
              <w:top w:val="nil"/>
              <w:left w:val="single" w:sz="4" w:space="0" w:color="788182"/>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Total</w:t>
            </w:r>
          </w:p>
        </w:tc>
        <w:tc>
          <w:tcPr>
            <w:tcW w:w="915"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-420.0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-910.0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-1,030.0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-2,370.0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-1,080.0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-1,170.0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-1,280.0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-1,400.0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-1,540.0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-1,680.0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-1,840.0</w:t>
            </w:r>
          </w:p>
        </w:tc>
        <w:tc>
          <w:tcPr>
            <w:tcW w:w="916" w:type="dxa"/>
            <w:tcBorders>
              <w:top w:val="nil"/>
              <w:left w:val="nil"/>
              <w:bottom w:val="single" w:sz="4" w:space="0" w:color="788182"/>
              <w:right w:val="single" w:sz="4" w:space="0" w:color="788182"/>
            </w:tcBorders>
            <w:shd w:val="clear" w:color="000000" w:fill="D7DDE9"/>
            <w:noWrap/>
            <w:vAlign w:val="center"/>
            <w:hideMark/>
          </w:tcPr>
          <w:p w:rsidR="00466245" w:rsidRPr="0075065D" w:rsidRDefault="00466245" w:rsidP="00745988">
            <w:pPr>
              <w:keepNext/>
              <w:keepLines/>
              <w:spacing w:before="70" w:after="70" w:line="240" w:lineRule="auto"/>
              <w:ind w:left="57" w:right="57"/>
              <w:jc w:val="right"/>
              <w:rPr>
                <w:rFonts w:ascii="Calibri" w:eastAsia="Times New Roman" w:hAnsi="Calibri" w:cs="Times New Roman"/>
                <w:b/>
                <w:bCs/>
                <w:color w:val="000000"/>
                <w:sz w:val="20"/>
                <w:szCs w:val="20"/>
                <w:lang w:eastAsia="en-AU"/>
              </w:rPr>
            </w:pPr>
            <w:r w:rsidRPr="0075065D">
              <w:rPr>
                <w:rFonts w:ascii="Calibri" w:eastAsia="Times New Roman" w:hAnsi="Calibri" w:cs="Times New Roman"/>
                <w:b/>
                <w:bCs/>
                <w:color w:val="000000"/>
                <w:sz w:val="20"/>
                <w:szCs w:val="20"/>
                <w:lang w:eastAsia="en-AU"/>
              </w:rPr>
              <w:t>-12,370.0</w:t>
            </w:r>
          </w:p>
        </w:tc>
      </w:tr>
    </w:tbl>
    <w:p w:rsidR="00466245" w:rsidRDefault="00466245" w:rsidP="004C3B63">
      <w:pPr>
        <w:pStyle w:val="Footnotes"/>
        <w:keepNext/>
        <w:keepLines/>
        <w:numPr>
          <w:ilvl w:val="0"/>
          <w:numId w:val="99"/>
        </w:numPr>
        <w:ind w:left="284" w:hanging="284"/>
      </w:pPr>
      <w:r>
        <w:t>A positive number in headline cash balance indicates an increase in cashflow.  A negative number in headline cash balance indicates a decrease in cashflow.</w:t>
      </w:r>
    </w:p>
    <w:p w:rsidR="00466245" w:rsidRDefault="00466245" w:rsidP="004C3B63">
      <w:pPr>
        <w:pStyle w:val="Footnotes"/>
        <w:ind w:left="284" w:hanging="284"/>
      </w:pPr>
      <w:r>
        <w:t>Figures may not sum to totals due to rounding.</w:t>
      </w:r>
    </w:p>
    <w:p w:rsidR="00466245" w:rsidRDefault="00466245" w:rsidP="004C3B63">
      <w:pPr>
        <w:pStyle w:val="Footnotes"/>
        <w:ind w:left="284" w:hanging="284"/>
      </w:pPr>
      <w:r>
        <w:t>PDI impacts from the reversal of measures are included in this line.</w:t>
      </w:r>
    </w:p>
    <w:p w:rsidR="00466245" w:rsidRDefault="00466245" w:rsidP="004C3B63">
      <w:pPr>
        <w:pStyle w:val="Footnotes"/>
        <w:numPr>
          <w:ilvl w:val="0"/>
          <w:numId w:val="0"/>
        </w:numPr>
        <w:ind w:left="284" w:hanging="284"/>
      </w:pPr>
      <w:r>
        <w:t>..</w:t>
      </w:r>
      <w:r>
        <w:tab/>
        <w:t>Not zero but rounded to zero.</w:t>
      </w:r>
    </w:p>
    <w:p w:rsidR="00420CF4" w:rsidRPr="00951305" w:rsidRDefault="00466245" w:rsidP="004C3B63">
      <w:pPr>
        <w:pStyle w:val="Footnotes"/>
        <w:numPr>
          <w:ilvl w:val="0"/>
          <w:numId w:val="0"/>
        </w:numPr>
        <w:ind w:left="284" w:hanging="284"/>
      </w:pPr>
      <w:r>
        <w:t>-</w:t>
      </w:r>
      <w:r>
        <w:tab/>
        <w:t>Indicates nil.</w:t>
      </w:r>
    </w:p>
    <w:p w:rsidR="00420CF4" w:rsidRDefault="00420CF4" w:rsidP="00420CF4">
      <w:pPr>
        <w:pStyle w:val="BodyText"/>
        <w:sectPr w:rsidR="00420CF4" w:rsidSect="004C3B63">
          <w:headerReference w:type="even" r:id="rId106"/>
          <w:headerReference w:type="default" r:id="rId107"/>
          <w:footerReference w:type="even" r:id="rId108"/>
          <w:footerReference w:type="default" r:id="rId109"/>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39" w:name="_Toc458081659"/>
      <w:r>
        <w:t>ALP03</w:t>
      </w:r>
      <w:r w:rsidR="00C21EBE">
        <w:t>5</w:t>
      </w:r>
      <w:r>
        <w:t>: Not proceeding with changes to the Research Training Scheme - student contributions</w:t>
      </w:r>
      <w:bookmarkEnd w:id="39"/>
    </w:p>
    <w:p w:rsidR="00745988" w:rsidRDefault="00745988" w:rsidP="00745988">
      <w:pPr>
        <w:pStyle w:val="BodyText"/>
      </w:pPr>
      <w:r>
        <w:rPr>
          <w:noProof/>
          <w:lang w:eastAsia="en-AU"/>
        </w:rPr>
        <w:drawing>
          <wp:inline distT="0" distB="0" distL="0" distR="0" wp14:anchorId="6FA839BE" wp14:editId="23BC108E">
            <wp:extent cx="2696845" cy="572135"/>
            <wp:effectExtent l="0" t="0" r="8255" b="0"/>
            <wp:docPr id="355" name="Picture 35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D44CAE">
            <w:pPr>
              <w:pStyle w:val="PullOutBoxHeading"/>
              <w:rPr>
                <w:b/>
              </w:rPr>
            </w:pPr>
            <w:r w:rsidRPr="00E51946">
              <w:rPr>
                <w:b/>
              </w:rPr>
              <w:t>Name of proposal:</w:t>
            </w:r>
          </w:p>
        </w:tc>
        <w:tc>
          <w:tcPr>
            <w:tcW w:w="3191" w:type="pct"/>
          </w:tcPr>
          <w:p w:rsidR="00420CF4" w:rsidRPr="00E51946" w:rsidRDefault="008040A4" w:rsidP="00D44CAE">
            <w:pPr>
              <w:pStyle w:val="PullOutBoxHeading"/>
              <w:rPr>
                <w:b/>
              </w:rPr>
            </w:pPr>
            <w:r w:rsidRPr="00E51946">
              <w:rPr>
                <w:b/>
              </w:rPr>
              <w:t>Not proceeding with changes to the Research Training Scheme - student contributions</w:t>
            </w:r>
          </w:p>
        </w:tc>
      </w:tr>
      <w:tr w:rsidR="00420CF4" w:rsidRPr="00B45F94" w:rsidTr="00967BCD">
        <w:tc>
          <w:tcPr>
            <w:tcW w:w="1809" w:type="pct"/>
          </w:tcPr>
          <w:p w:rsidR="00420CF4" w:rsidRPr="00B45F94" w:rsidRDefault="00420CF4" w:rsidP="00D44CAE">
            <w:pPr>
              <w:pStyle w:val="PullOutBoxBodyText"/>
            </w:pPr>
            <w:r w:rsidRPr="00B45F94">
              <w:t>Summary of proposal:</w:t>
            </w:r>
          </w:p>
        </w:tc>
        <w:tc>
          <w:tcPr>
            <w:tcW w:w="3191" w:type="pct"/>
          </w:tcPr>
          <w:p w:rsidR="008040A4" w:rsidRDefault="008040A4" w:rsidP="00D44CAE">
            <w:pPr>
              <w:pStyle w:val="PullOutBoxBodyText"/>
            </w:pPr>
            <w:r>
              <w:t xml:space="preserve">The proposal would reverse the 2014-15 Budget measure, </w:t>
            </w:r>
            <w:r w:rsidRPr="008040A4">
              <w:rPr>
                <w:i/>
              </w:rPr>
              <w:t>A sustainable Higher Education System – Research Training Scheme – student contributions</w:t>
            </w:r>
            <w:r>
              <w:t>.</w:t>
            </w:r>
          </w:p>
          <w:p w:rsidR="00420CF4" w:rsidRPr="00B45F94" w:rsidRDefault="008040A4" w:rsidP="00D44CAE">
            <w:pPr>
              <w:pStyle w:val="PullOutBoxBodyText"/>
            </w:pPr>
            <w:r>
              <w:t>The proposal would have effect from 1 January 2018.</w:t>
            </w:r>
          </w:p>
        </w:tc>
      </w:tr>
      <w:tr w:rsidR="00420CF4" w:rsidRPr="00B45F94" w:rsidTr="00967BCD">
        <w:tc>
          <w:tcPr>
            <w:tcW w:w="1809" w:type="pct"/>
          </w:tcPr>
          <w:p w:rsidR="00420CF4" w:rsidRPr="00B45F94" w:rsidRDefault="00420CF4" w:rsidP="00D44CAE">
            <w:pPr>
              <w:pStyle w:val="PullOutBoxBodyText"/>
            </w:pPr>
            <w:r>
              <w:t>Party:</w:t>
            </w:r>
          </w:p>
        </w:tc>
        <w:tc>
          <w:tcPr>
            <w:tcW w:w="3191" w:type="pct"/>
          </w:tcPr>
          <w:p w:rsidR="00420CF4" w:rsidRPr="00B45F94" w:rsidRDefault="00420CF4" w:rsidP="00D44CAE">
            <w:pPr>
              <w:pStyle w:val="PullOutBoxBodyText"/>
            </w:pPr>
            <w:r>
              <w:t>Australian Labor Party</w:t>
            </w:r>
          </w:p>
        </w:tc>
      </w:tr>
      <w:tr w:rsidR="00420CF4" w:rsidRPr="00B45F94" w:rsidTr="00967BCD">
        <w:tc>
          <w:tcPr>
            <w:tcW w:w="1809" w:type="pct"/>
          </w:tcPr>
          <w:p w:rsidR="00420CF4" w:rsidRPr="00B45F94" w:rsidRDefault="00420CF4" w:rsidP="00D44CAE">
            <w:pPr>
              <w:pStyle w:val="PullOutBoxBodyText"/>
            </w:pPr>
            <w:r w:rsidRPr="00B45F94">
              <w:t>Expiry date for the costing:</w:t>
            </w:r>
          </w:p>
        </w:tc>
        <w:tc>
          <w:tcPr>
            <w:tcW w:w="3191" w:type="pct"/>
          </w:tcPr>
          <w:p w:rsidR="00420CF4" w:rsidRPr="00B45F94" w:rsidRDefault="00EC102A" w:rsidP="00D44CAE">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8040A4" w:rsidRDefault="008040A4" w:rsidP="008040A4">
      <w:pPr>
        <w:pStyle w:val="BodyText"/>
      </w:pPr>
      <w:r>
        <w:t xml:space="preserve">The proposal would reverse the 2014-15 Budget measure, </w:t>
      </w:r>
      <w:r w:rsidRPr="008040A4">
        <w:rPr>
          <w:i/>
        </w:rPr>
        <w:t>A sustainable Higher Education System – Research Training Scheme – student contributions</w:t>
      </w:r>
      <w:r>
        <w:t xml:space="preserve"> (the measure).</w:t>
      </w:r>
    </w:p>
    <w:p w:rsidR="008040A4" w:rsidRDefault="008040A4" w:rsidP="008040A4">
      <w:pPr>
        <w:pStyle w:val="BodyText"/>
      </w:pPr>
      <w:r>
        <w:t>The measure that would be reversed under this proposal will reduce grant funding for the Research Training Program (RTP) (which now includes the Research Training Scheme) and allow higher education providers to introduce student contributions, with eligible students being able to access loans under the Higher Education Loan Program (HELP) to defer the payments of their student contributions.  The implementation of this measure has been delayed and the current Budget baseline assumes an implementation date of 1 January 2018.</w:t>
      </w:r>
    </w:p>
    <w:p w:rsidR="008040A4" w:rsidRDefault="008040A4" w:rsidP="008040A4">
      <w:pPr>
        <w:pStyle w:val="BodyText"/>
      </w:pPr>
      <w:r>
        <w:t>This proposal would be expected to decrease the fiscal balance by $163.3 million, decrease the underlying cash balance by $182.5 million and increase the headline cash balance by $3.9 million over the 2016</w:t>
      </w:r>
      <w:r>
        <w:noBreakHyphen/>
        <w:t>17 Budget forward estimates period.</w:t>
      </w:r>
    </w:p>
    <w:p w:rsidR="008040A4" w:rsidRDefault="008040A4" w:rsidP="008040A4">
      <w:pPr>
        <w:pStyle w:val="BodyText"/>
      </w:pPr>
      <w:r>
        <w:t>This proposal would have an ongoing impact that extends beyond the 2016-17 Budget forward estimates period.</w:t>
      </w:r>
    </w:p>
    <w:p w:rsidR="008040A4" w:rsidRDefault="008040A4" w:rsidP="008040A4">
      <w:pPr>
        <w:pStyle w:val="BodyText"/>
      </w:pPr>
      <w:r>
        <w:t>The proposal would not be expected to require additional departmental expenditure, consistent with the original measure which did not reduce departmental expenditure.</w:t>
      </w:r>
    </w:p>
    <w:p w:rsidR="008040A4" w:rsidRDefault="008040A4" w:rsidP="008040A4">
      <w:pPr>
        <w:pStyle w:val="BodyText"/>
      </w:pPr>
      <w:r>
        <w:t xml:space="preserve">The </w:t>
      </w:r>
      <w:r w:rsidRPr="008040A4">
        <w:rPr>
          <w:i/>
        </w:rPr>
        <w:t>Methodology</w:t>
      </w:r>
      <w:r>
        <w:t xml:space="preserve"> section outlines how impacts on each budget balance are estimated.  As the proposal involves the transaction of financial assets in the form of reduced HELP loan issuance, the Public Debt Interest (PDI) impact of the proposal has been included in the overall financial impacts of the proposal.</w:t>
      </w:r>
    </w:p>
    <w:p w:rsidR="008040A4" w:rsidRPr="008040A4" w:rsidRDefault="008040A4" w:rsidP="008040A4">
      <w:pPr>
        <w:pStyle w:val="BodyText"/>
      </w:pPr>
      <w:r>
        <w:t>This costing is considered to be of medium reliability due to the uncertainty surrounding the HELP repayments foregone.</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925B8C">
              <w:t xml:space="preserve"> </w:t>
            </w:r>
            <w:r w:rsidR="008040A4">
              <w:t>($m)</w:t>
            </w:r>
          </w:p>
        </w:tc>
        <w:tc>
          <w:tcPr>
            <w:tcW w:w="721" w:type="pct"/>
          </w:tcPr>
          <w:p w:rsidR="00420CF4" w:rsidRPr="008C7879" w:rsidRDefault="00420CF4" w:rsidP="008C7879">
            <w:pPr>
              <w:pStyle w:val="TableTextRight"/>
              <w:rPr>
                <w:b w:val="0"/>
              </w:rPr>
            </w:pPr>
            <w:r w:rsidRPr="008C7879">
              <w:t>2016–17</w:t>
            </w:r>
          </w:p>
        </w:tc>
        <w:tc>
          <w:tcPr>
            <w:tcW w:w="721" w:type="pct"/>
          </w:tcPr>
          <w:p w:rsidR="00420CF4" w:rsidRPr="008C7879" w:rsidRDefault="00420CF4" w:rsidP="008C7879">
            <w:pPr>
              <w:pStyle w:val="TableTextRight"/>
              <w:rPr>
                <w:b w:val="0"/>
              </w:rPr>
            </w:pPr>
            <w:r w:rsidRPr="008C7879">
              <w:t>2017–18</w:t>
            </w:r>
          </w:p>
        </w:tc>
        <w:tc>
          <w:tcPr>
            <w:tcW w:w="722" w:type="pct"/>
          </w:tcPr>
          <w:p w:rsidR="00420CF4" w:rsidRPr="008C7879" w:rsidRDefault="00420CF4" w:rsidP="008C7879">
            <w:pPr>
              <w:pStyle w:val="TableTextRight"/>
              <w:rPr>
                <w:b w:val="0"/>
              </w:rPr>
            </w:pPr>
            <w:r w:rsidRPr="008C7879">
              <w:t>2018–19</w:t>
            </w:r>
          </w:p>
        </w:tc>
        <w:tc>
          <w:tcPr>
            <w:tcW w:w="721" w:type="pct"/>
          </w:tcPr>
          <w:p w:rsidR="00420CF4" w:rsidRPr="008C7879" w:rsidRDefault="00420CF4" w:rsidP="008C7879">
            <w:pPr>
              <w:pStyle w:val="TableTextRight"/>
              <w:rPr>
                <w:b w:val="0"/>
              </w:rPr>
            </w:pPr>
            <w:r w:rsidRPr="008C7879">
              <w:t>2019–20</w:t>
            </w:r>
          </w:p>
        </w:tc>
        <w:tc>
          <w:tcPr>
            <w:tcW w:w="722" w:type="pct"/>
          </w:tcPr>
          <w:p w:rsidR="00420CF4" w:rsidRDefault="00420CF4" w:rsidP="008C7879">
            <w:pPr>
              <w:pStyle w:val="TableTextRight"/>
            </w:pPr>
            <w:r>
              <w:t>Total</w:t>
            </w:r>
          </w:p>
        </w:tc>
      </w:tr>
      <w:tr w:rsidR="008040A4" w:rsidTr="00967BCD">
        <w:tc>
          <w:tcPr>
            <w:tcW w:w="1393" w:type="pct"/>
          </w:tcPr>
          <w:p w:rsidR="008040A4" w:rsidRDefault="008040A4" w:rsidP="00967BCD">
            <w:pPr>
              <w:pStyle w:val="TableText"/>
            </w:pPr>
            <w:r>
              <w:t>Fiscal balance</w:t>
            </w:r>
          </w:p>
        </w:tc>
        <w:tc>
          <w:tcPr>
            <w:tcW w:w="721" w:type="pct"/>
          </w:tcPr>
          <w:p w:rsidR="008040A4" w:rsidRPr="00A23985" w:rsidRDefault="008040A4" w:rsidP="008C7879">
            <w:pPr>
              <w:pStyle w:val="TableTextRight"/>
              <w:rPr>
                <w:noProof/>
              </w:rPr>
            </w:pPr>
            <w:r w:rsidRPr="00A23985">
              <w:rPr>
                <w:noProof/>
              </w:rPr>
              <w:t>-</w:t>
            </w:r>
          </w:p>
        </w:tc>
        <w:tc>
          <w:tcPr>
            <w:tcW w:w="721" w:type="pct"/>
          </w:tcPr>
          <w:p w:rsidR="008040A4" w:rsidRPr="00A23985" w:rsidRDefault="008040A4" w:rsidP="008C7879">
            <w:pPr>
              <w:pStyle w:val="TableTextRight"/>
              <w:rPr>
                <w:noProof/>
              </w:rPr>
            </w:pPr>
            <w:r w:rsidRPr="00A23985">
              <w:rPr>
                <w:noProof/>
              </w:rPr>
              <w:t>-31.8</w:t>
            </w:r>
          </w:p>
        </w:tc>
        <w:tc>
          <w:tcPr>
            <w:tcW w:w="722" w:type="pct"/>
          </w:tcPr>
          <w:p w:rsidR="008040A4" w:rsidRPr="00A23985" w:rsidRDefault="008040A4" w:rsidP="008C7879">
            <w:pPr>
              <w:pStyle w:val="TableTextRight"/>
              <w:rPr>
                <w:noProof/>
              </w:rPr>
            </w:pPr>
            <w:r w:rsidRPr="00A23985">
              <w:rPr>
                <w:noProof/>
              </w:rPr>
              <w:t>-64.3</w:t>
            </w:r>
          </w:p>
        </w:tc>
        <w:tc>
          <w:tcPr>
            <w:tcW w:w="721" w:type="pct"/>
          </w:tcPr>
          <w:p w:rsidR="008040A4" w:rsidRPr="00A23985" w:rsidRDefault="008040A4" w:rsidP="008C7879">
            <w:pPr>
              <w:pStyle w:val="TableTextRight"/>
              <w:rPr>
                <w:noProof/>
              </w:rPr>
            </w:pPr>
            <w:r w:rsidRPr="00A23985">
              <w:rPr>
                <w:noProof/>
              </w:rPr>
              <w:t>-67.2</w:t>
            </w:r>
          </w:p>
        </w:tc>
        <w:tc>
          <w:tcPr>
            <w:tcW w:w="722" w:type="pct"/>
          </w:tcPr>
          <w:p w:rsidR="008040A4" w:rsidRPr="008C7879" w:rsidRDefault="008040A4" w:rsidP="008C7879">
            <w:pPr>
              <w:pStyle w:val="TableTextRight"/>
              <w:rPr>
                <w:b/>
                <w:noProof/>
              </w:rPr>
            </w:pPr>
            <w:r w:rsidRPr="008C7879">
              <w:rPr>
                <w:b/>
                <w:noProof/>
              </w:rPr>
              <w:t>-163.3</w:t>
            </w:r>
          </w:p>
        </w:tc>
      </w:tr>
      <w:tr w:rsidR="008040A4" w:rsidTr="00967BCD">
        <w:tc>
          <w:tcPr>
            <w:tcW w:w="1393" w:type="pct"/>
          </w:tcPr>
          <w:p w:rsidR="008040A4" w:rsidRDefault="008040A4" w:rsidP="00967BCD">
            <w:pPr>
              <w:pStyle w:val="TableText"/>
            </w:pPr>
            <w:r>
              <w:t>Underlying cash balance</w:t>
            </w:r>
          </w:p>
        </w:tc>
        <w:tc>
          <w:tcPr>
            <w:tcW w:w="721" w:type="pct"/>
          </w:tcPr>
          <w:p w:rsidR="008040A4" w:rsidRPr="00A23985" w:rsidRDefault="008040A4" w:rsidP="008C7879">
            <w:pPr>
              <w:pStyle w:val="TableTextRight"/>
              <w:rPr>
                <w:noProof/>
              </w:rPr>
            </w:pPr>
            <w:r w:rsidRPr="00A23985">
              <w:rPr>
                <w:noProof/>
              </w:rPr>
              <w:t>-</w:t>
            </w:r>
          </w:p>
        </w:tc>
        <w:tc>
          <w:tcPr>
            <w:tcW w:w="721" w:type="pct"/>
          </w:tcPr>
          <w:p w:rsidR="008040A4" w:rsidRPr="00A23985" w:rsidRDefault="008040A4" w:rsidP="008C7879">
            <w:pPr>
              <w:pStyle w:val="TableTextRight"/>
              <w:rPr>
                <w:noProof/>
              </w:rPr>
            </w:pPr>
            <w:r w:rsidRPr="00A23985">
              <w:rPr>
                <w:noProof/>
              </w:rPr>
              <w:t>-35.8</w:t>
            </w:r>
          </w:p>
        </w:tc>
        <w:tc>
          <w:tcPr>
            <w:tcW w:w="722" w:type="pct"/>
          </w:tcPr>
          <w:p w:rsidR="008040A4" w:rsidRPr="00A23985" w:rsidRDefault="008040A4" w:rsidP="008C7879">
            <w:pPr>
              <w:pStyle w:val="TableTextRight"/>
              <w:rPr>
                <w:noProof/>
              </w:rPr>
            </w:pPr>
            <w:r w:rsidRPr="00A23985">
              <w:rPr>
                <w:noProof/>
              </w:rPr>
              <w:t>-72.5</w:t>
            </w:r>
          </w:p>
        </w:tc>
        <w:tc>
          <w:tcPr>
            <w:tcW w:w="721" w:type="pct"/>
          </w:tcPr>
          <w:p w:rsidR="008040A4" w:rsidRPr="00A23985" w:rsidRDefault="008040A4" w:rsidP="008C7879">
            <w:pPr>
              <w:pStyle w:val="TableTextRight"/>
              <w:rPr>
                <w:noProof/>
              </w:rPr>
            </w:pPr>
            <w:r w:rsidRPr="00A23985">
              <w:rPr>
                <w:noProof/>
              </w:rPr>
              <w:t>-74.1</w:t>
            </w:r>
          </w:p>
        </w:tc>
        <w:tc>
          <w:tcPr>
            <w:tcW w:w="722" w:type="pct"/>
          </w:tcPr>
          <w:p w:rsidR="008040A4" w:rsidRPr="008C7879" w:rsidRDefault="008040A4" w:rsidP="008C7879">
            <w:pPr>
              <w:pStyle w:val="TableTextRight"/>
              <w:rPr>
                <w:b/>
                <w:noProof/>
              </w:rPr>
            </w:pPr>
            <w:r w:rsidRPr="008C7879">
              <w:rPr>
                <w:b/>
                <w:noProof/>
              </w:rPr>
              <w:t>-182.5</w:t>
            </w:r>
          </w:p>
        </w:tc>
      </w:tr>
      <w:tr w:rsidR="008040A4" w:rsidTr="00967BCD">
        <w:tc>
          <w:tcPr>
            <w:tcW w:w="1393" w:type="pct"/>
          </w:tcPr>
          <w:p w:rsidR="008040A4" w:rsidRDefault="008040A4" w:rsidP="00967BCD">
            <w:pPr>
              <w:pStyle w:val="TableText"/>
            </w:pPr>
            <w:r>
              <w:rPr>
                <w:szCs w:val="20"/>
              </w:rPr>
              <w:t>Headline cash balance</w:t>
            </w:r>
          </w:p>
        </w:tc>
        <w:tc>
          <w:tcPr>
            <w:tcW w:w="721" w:type="pct"/>
          </w:tcPr>
          <w:p w:rsidR="008040A4" w:rsidRPr="00A23985" w:rsidRDefault="008040A4" w:rsidP="008C7879">
            <w:pPr>
              <w:pStyle w:val="TableTextRight"/>
              <w:rPr>
                <w:noProof/>
              </w:rPr>
            </w:pPr>
            <w:r w:rsidRPr="00A23985">
              <w:rPr>
                <w:noProof/>
              </w:rPr>
              <w:t>-</w:t>
            </w:r>
          </w:p>
        </w:tc>
        <w:tc>
          <w:tcPr>
            <w:tcW w:w="721" w:type="pct"/>
          </w:tcPr>
          <w:p w:rsidR="008040A4" w:rsidRPr="00A23985" w:rsidRDefault="008040A4" w:rsidP="008C7879">
            <w:pPr>
              <w:pStyle w:val="TableTextRight"/>
              <w:rPr>
                <w:noProof/>
              </w:rPr>
            </w:pPr>
            <w:r w:rsidRPr="00A23985">
              <w:rPr>
                <w:noProof/>
              </w:rPr>
              <w:t>0.8</w:t>
            </w:r>
          </w:p>
        </w:tc>
        <w:tc>
          <w:tcPr>
            <w:tcW w:w="722" w:type="pct"/>
          </w:tcPr>
          <w:p w:rsidR="008040A4" w:rsidRPr="00A23985" w:rsidRDefault="008040A4" w:rsidP="008C7879">
            <w:pPr>
              <w:pStyle w:val="TableTextRight"/>
              <w:rPr>
                <w:noProof/>
              </w:rPr>
            </w:pPr>
            <w:r w:rsidRPr="00A23985">
              <w:rPr>
                <w:noProof/>
              </w:rPr>
              <w:t>1.5</w:t>
            </w:r>
          </w:p>
        </w:tc>
        <w:tc>
          <w:tcPr>
            <w:tcW w:w="721" w:type="pct"/>
          </w:tcPr>
          <w:p w:rsidR="008040A4" w:rsidRPr="00A23985" w:rsidRDefault="008040A4" w:rsidP="008C7879">
            <w:pPr>
              <w:pStyle w:val="TableTextRight"/>
              <w:rPr>
                <w:noProof/>
              </w:rPr>
            </w:pPr>
            <w:r w:rsidRPr="00A23985">
              <w:rPr>
                <w:noProof/>
              </w:rPr>
              <w:t>1.6</w:t>
            </w:r>
          </w:p>
        </w:tc>
        <w:tc>
          <w:tcPr>
            <w:tcW w:w="722" w:type="pct"/>
          </w:tcPr>
          <w:p w:rsidR="008040A4" w:rsidRPr="008C7879" w:rsidRDefault="008040A4" w:rsidP="008C7879">
            <w:pPr>
              <w:pStyle w:val="TableTextRight"/>
              <w:rPr>
                <w:b/>
                <w:noProof/>
              </w:rPr>
            </w:pPr>
            <w:r w:rsidRPr="008C7879">
              <w:rPr>
                <w:b/>
                <w:noProof/>
              </w:rPr>
              <w:t>3.9</w:t>
            </w:r>
          </w:p>
        </w:tc>
      </w:tr>
    </w:tbl>
    <w:p w:rsidR="00420CF4" w:rsidRPr="008040A4" w:rsidRDefault="00420CF4" w:rsidP="002C43F8">
      <w:pPr>
        <w:pStyle w:val="Footnotes"/>
        <w:numPr>
          <w:ilvl w:val="0"/>
          <w:numId w:val="107"/>
        </w:numPr>
        <w:ind w:left="284" w:hanging="284"/>
      </w:pPr>
      <w:r w:rsidRPr="008040A4">
        <w:t>A positive number indicates an increase in the relevant budget balance, a negative number a decrease.</w:t>
      </w:r>
    </w:p>
    <w:p w:rsidR="00420CF4" w:rsidRPr="008040A4" w:rsidRDefault="00420CF4" w:rsidP="00D44CAE">
      <w:pPr>
        <w:pStyle w:val="Footnotes"/>
        <w:ind w:left="284" w:hanging="284"/>
      </w:pPr>
      <w:r w:rsidRPr="008040A4">
        <w:t>Figures may not sum to totals due to rounding.</w:t>
      </w:r>
    </w:p>
    <w:p w:rsidR="008040A4" w:rsidRPr="008040A4" w:rsidRDefault="008040A4" w:rsidP="008040A4">
      <w:pPr>
        <w:pStyle w:val="Footnotes"/>
        <w:numPr>
          <w:ilvl w:val="0"/>
          <w:numId w:val="0"/>
        </w:numPr>
        <w:ind w:left="284" w:hanging="284"/>
        <w:rPr>
          <w:rStyle w:val="FootnoteReference"/>
          <w:vertAlign w:val="baseline"/>
        </w:rPr>
      </w:pPr>
      <w:r w:rsidRPr="008040A4">
        <w:t>-</w:t>
      </w:r>
      <w:r w:rsidRPr="008040A4">
        <w:tab/>
        <w:t>Indicates nil.</w:t>
      </w:r>
    </w:p>
    <w:p w:rsidR="00420CF4" w:rsidRDefault="00420CF4" w:rsidP="00420CF4">
      <w:pPr>
        <w:pStyle w:val="CostingsH7"/>
      </w:pPr>
      <w:r>
        <w:t>Methodology</w:t>
      </w:r>
    </w:p>
    <w:p w:rsidR="00E6704B" w:rsidRDefault="00E6704B" w:rsidP="00E6704B">
      <w:pPr>
        <w:pStyle w:val="BodyText"/>
      </w:pPr>
      <w:r w:rsidRPr="00E6704B">
        <w:t>Based on the information provided by the Department of Education and Training (DET), estimates of reversing the measure by increasing grants funding to the RTP and reducing HELP loans were calculated and have the followi</w:t>
      </w:r>
      <w:r>
        <w:t>ng impacts on budget balances:</w:t>
      </w:r>
    </w:p>
    <w:p w:rsidR="00E6704B" w:rsidRDefault="00E6704B" w:rsidP="00E6704B">
      <w:pPr>
        <w:pStyle w:val="CostingsH8"/>
      </w:pPr>
      <w:r>
        <w:t>Fiscal balance impact – components</w:t>
      </w:r>
    </w:p>
    <w:p w:rsidR="00E6704B" w:rsidRDefault="00E6704B" w:rsidP="00E6704B">
      <w:pPr>
        <w:pStyle w:val="ListBullet"/>
      </w:pPr>
      <w:r>
        <w:t>Increase in grants funding for the RTP has a negative impact on the fiscal balance.</w:t>
      </w:r>
    </w:p>
    <w:p w:rsidR="00E6704B" w:rsidRDefault="00E6704B" w:rsidP="00E6704B">
      <w:pPr>
        <w:pStyle w:val="ListBullet"/>
      </w:pPr>
      <w:r>
        <w:t>Reduction in interest revenue from students has a negative impact on the fiscal balance.</w:t>
      </w:r>
    </w:p>
    <w:p w:rsidR="00E6704B" w:rsidRDefault="00E6704B" w:rsidP="00E6704B">
      <w:pPr>
        <w:pStyle w:val="ListBullet"/>
      </w:pPr>
      <w:r>
        <w:t>Reduction in the concessional loan discount (CLD) expense due to less HELP loans being issued has a positive impact on the fiscal balance.</w:t>
      </w:r>
    </w:p>
    <w:p w:rsidR="00E6704B" w:rsidRDefault="00E6704B" w:rsidP="00E6704B">
      <w:pPr>
        <w:pStyle w:val="ListBullet"/>
      </w:pPr>
      <w:r>
        <w:t>Reduction in CLD unwinding revenue in later years offsets the decreased CLD expenses and has a negative impact on the fiscal balance.  Over the life of an individual loan, the CLD unwinding revenue is equal to the CLD expenses and results in a nil impact on the fiscal balance.</w:t>
      </w:r>
      <w:r w:rsidRPr="00E53973">
        <w:rPr>
          <w:rStyle w:val="FootnoteReference"/>
        </w:rPr>
        <w:footnoteReference w:id="12"/>
      </w:r>
    </w:p>
    <w:p w:rsidR="00E6704B" w:rsidRDefault="00E6704B" w:rsidP="00E6704B">
      <w:pPr>
        <w:pStyle w:val="ListBullet"/>
      </w:pPr>
      <w:r>
        <w:t>Decreased writedowns of bad debts have a positive impact on the fiscal balance.</w:t>
      </w:r>
    </w:p>
    <w:p w:rsidR="00E6704B" w:rsidRDefault="00E6704B" w:rsidP="00E6704B">
      <w:pPr>
        <w:pStyle w:val="ListBullet"/>
      </w:pPr>
      <w:r>
        <w:t>Decreased PDI expenses have a positive impact on the fiscal balance.</w:t>
      </w:r>
    </w:p>
    <w:p w:rsidR="008C45AA" w:rsidRPr="008C45AA" w:rsidRDefault="008C45AA" w:rsidP="008C45AA">
      <w:pPr>
        <w:pStyle w:val="CostingsH8"/>
      </w:pPr>
      <w:r w:rsidRPr="008C45AA">
        <w:t>Underlying cash balance impact – components</w:t>
      </w:r>
    </w:p>
    <w:p w:rsidR="008C45AA" w:rsidRDefault="008C45AA" w:rsidP="008C45AA">
      <w:pPr>
        <w:pStyle w:val="ListBullet"/>
      </w:pPr>
      <w:r>
        <w:t>Increase in grants funding for the RTP has a negative impact on the underlying cash balance.</w:t>
      </w:r>
    </w:p>
    <w:p w:rsidR="008C45AA" w:rsidRDefault="008C45AA" w:rsidP="008C45AA">
      <w:pPr>
        <w:pStyle w:val="ListBullet"/>
      </w:pPr>
      <w:r>
        <w:t>Reduction in interest receipts from students (interest was estimated as a fixed proportion of repayments) has a negative impact on the underlying cash balance.</w:t>
      </w:r>
    </w:p>
    <w:p w:rsidR="008C45AA" w:rsidRDefault="008C45AA" w:rsidP="008C45AA">
      <w:pPr>
        <w:pStyle w:val="ListBullet"/>
      </w:pPr>
      <w:r>
        <w:t>Decreased PDI payments have a positive impact on the underlying cash balance.</w:t>
      </w:r>
    </w:p>
    <w:p w:rsidR="008C45AA" w:rsidRDefault="008C45AA" w:rsidP="008C45AA">
      <w:pPr>
        <w:pStyle w:val="CostingsH8"/>
      </w:pPr>
      <w:r w:rsidRPr="008C45AA">
        <w:t>Headline cash balance impact – components</w:t>
      </w:r>
    </w:p>
    <w:p w:rsidR="008C45AA" w:rsidRDefault="008C45AA" w:rsidP="008C45AA">
      <w:pPr>
        <w:pStyle w:val="ListBullet"/>
      </w:pPr>
      <w:r>
        <w:t>Increase in grants funding for the RTP has a negative impact on the headline cash balance.</w:t>
      </w:r>
    </w:p>
    <w:p w:rsidR="008C45AA" w:rsidRDefault="008C45AA" w:rsidP="008C45AA">
      <w:pPr>
        <w:pStyle w:val="ListBullet"/>
      </w:pPr>
      <w:r>
        <w:t>Reduction in loans to students has a positive impact on the headline cash balance.</w:t>
      </w:r>
    </w:p>
    <w:p w:rsidR="008C45AA" w:rsidRDefault="008C45AA" w:rsidP="008C45AA">
      <w:pPr>
        <w:pStyle w:val="ListBullet"/>
      </w:pPr>
      <w:r>
        <w:t>Reduction in principal repayments by students has a negative impact on the headline cash balance.</w:t>
      </w:r>
    </w:p>
    <w:p w:rsidR="008C45AA" w:rsidRDefault="008C45AA" w:rsidP="008C45AA">
      <w:pPr>
        <w:pStyle w:val="ListBullet"/>
      </w:pPr>
      <w:r>
        <w:t>Reduction in interest receipts from students (interest was estimated as a fixed proportion of repayments) has a negative impact on the headline cash balance.</w:t>
      </w:r>
    </w:p>
    <w:p w:rsidR="008C45AA" w:rsidRDefault="008C45AA" w:rsidP="008C45AA">
      <w:pPr>
        <w:pStyle w:val="ListBullet"/>
      </w:pPr>
      <w:r>
        <w:t>Decreased PDI payments have a positive impact on the headline cash balance.</w:t>
      </w:r>
    </w:p>
    <w:p w:rsidR="00420CF4" w:rsidRDefault="00420CF4" w:rsidP="00420CF4">
      <w:pPr>
        <w:pStyle w:val="CostingsH7"/>
      </w:pPr>
      <w:r>
        <w:t>Data sources</w:t>
      </w:r>
    </w:p>
    <w:p w:rsidR="006F03D2" w:rsidRDefault="00017F5D" w:rsidP="008C45AA">
      <w:pPr>
        <w:pStyle w:val="BodyText"/>
      </w:pPr>
      <w:r>
        <w:t xml:space="preserve">The </w:t>
      </w:r>
      <w:r w:rsidR="008C45AA" w:rsidRPr="008C45AA">
        <w:t>D</w:t>
      </w:r>
      <w:r>
        <w:t xml:space="preserve">epartment of </w:t>
      </w:r>
      <w:r w:rsidR="008C45AA" w:rsidRPr="008C45AA">
        <w:t>E</w:t>
      </w:r>
      <w:r>
        <w:t xml:space="preserve">ducation and </w:t>
      </w:r>
      <w:r w:rsidR="008C45AA" w:rsidRPr="008C45AA">
        <w:t>T</w:t>
      </w:r>
      <w:r>
        <w:t>raining</w:t>
      </w:r>
      <w:r w:rsidR="008C45AA" w:rsidRPr="008C45AA">
        <w:t xml:space="preserve"> provided the RTP and HELP models for the measure, updated to reflect parameters as at the 2016-17 Budget and the revised implementation date of 1 January 2018.</w:t>
      </w:r>
    </w:p>
    <w:p w:rsidR="00DC17E4" w:rsidRDefault="00DC17E4" w:rsidP="008C45AA">
      <w:pPr>
        <w:pStyle w:val="BodyText"/>
      </w:pPr>
    </w:p>
    <w:p w:rsidR="00DC17E4" w:rsidRDefault="00DC17E4" w:rsidP="008C45AA">
      <w:pPr>
        <w:pStyle w:val="BodyText"/>
        <w:sectPr w:rsidR="00DC17E4" w:rsidSect="00DC17E4">
          <w:headerReference w:type="even" r:id="rId110"/>
          <w:headerReference w:type="default" r:id="rId111"/>
          <w:footerReference w:type="even" r:id="rId112"/>
          <w:footerReference w:type="default" r:id="rId113"/>
          <w:footnotePr>
            <w:numRestart w:val="eachSect"/>
          </w:footnotePr>
          <w:pgSz w:w="11906" w:h="16838" w:code="9"/>
          <w:pgMar w:top="1361" w:right="1797" w:bottom="1474" w:left="1797" w:header="283" w:footer="454" w:gutter="0"/>
          <w:cols w:space="708"/>
          <w:docGrid w:linePitch="360"/>
        </w:sectPr>
      </w:pPr>
    </w:p>
    <w:p w:rsidR="00420CF4" w:rsidRDefault="00A547F5" w:rsidP="00D44CAE">
      <w:pPr>
        <w:pStyle w:val="Heading6"/>
      </w:pPr>
      <w:r>
        <w:t xml:space="preserve">Attachment </w:t>
      </w:r>
      <w:r w:rsidRPr="00A547F5">
        <w:t>A: Not proceeding with changes to the Research Training Scheme - student contributions—financial implications</w:t>
      </w:r>
    </w:p>
    <w:p w:rsidR="00420CF4" w:rsidRDefault="00420CF4" w:rsidP="00D44CAE">
      <w:pPr>
        <w:pStyle w:val="Caption"/>
        <w:keepLines/>
      </w:pPr>
      <w:r w:rsidRPr="002B36F1">
        <w:t xml:space="preserve">Table </w:t>
      </w:r>
      <w:r>
        <w:t>A1</w:t>
      </w:r>
      <w:r w:rsidRPr="002B36F1">
        <w:t xml:space="preserve">: </w:t>
      </w:r>
      <w:r w:rsidR="00A547F5" w:rsidRPr="00A547F5">
        <w:t>Not proceeding with changes to the Research Training Scheme - student contributions—Fiscal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D44CAE">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D44CAE">
            <w:pPr>
              <w:pStyle w:val="TableText"/>
              <w:keepNext/>
              <w:keepLines/>
              <w:rPr>
                <w:b w:val="0"/>
              </w:rPr>
            </w:pPr>
            <w:r>
              <w:t>($</w:t>
            </w:r>
            <w:r w:rsidR="00A547F5">
              <w:t>m</w:t>
            </w:r>
            <w:r>
              <w:t>)</w:t>
            </w:r>
          </w:p>
        </w:tc>
        <w:tc>
          <w:tcPr>
            <w:tcW w:w="689" w:type="pct"/>
            <w:vAlign w:val="center"/>
          </w:tcPr>
          <w:p w:rsidR="00420CF4" w:rsidRDefault="00420CF4" w:rsidP="00D44CAE">
            <w:pPr>
              <w:pStyle w:val="TableTextRight"/>
              <w:keepNext/>
              <w:keepLines/>
              <w:rPr>
                <w:b w:val="0"/>
              </w:rPr>
            </w:pPr>
            <w:r>
              <w:t>2016–17</w:t>
            </w:r>
          </w:p>
        </w:tc>
        <w:tc>
          <w:tcPr>
            <w:tcW w:w="689" w:type="pct"/>
            <w:vAlign w:val="center"/>
          </w:tcPr>
          <w:p w:rsidR="00420CF4" w:rsidRDefault="00420CF4" w:rsidP="00D44CAE">
            <w:pPr>
              <w:pStyle w:val="TableTextRight"/>
              <w:keepNext/>
              <w:keepLines/>
              <w:rPr>
                <w:b w:val="0"/>
              </w:rPr>
            </w:pPr>
            <w:r>
              <w:t>2017–18</w:t>
            </w:r>
          </w:p>
        </w:tc>
        <w:tc>
          <w:tcPr>
            <w:tcW w:w="689" w:type="pct"/>
            <w:vAlign w:val="center"/>
          </w:tcPr>
          <w:p w:rsidR="00420CF4" w:rsidRDefault="00420CF4" w:rsidP="00D44CAE">
            <w:pPr>
              <w:pStyle w:val="TableTextRight"/>
              <w:keepNext/>
              <w:keepLines/>
              <w:rPr>
                <w:b w:val="0"/>
              </w:rPr>
            </w:pPr>
            <w:r>
              <w:t>2018–19</w:t>
            </w:r>
          </w:p>
        </w:tc>
        <w:tc>
          <w:tcPr>
            <w:tcW w:w="689" w:type="pct"/>
            <w:vAlign w:val="center"/>
          </w:tcPr>
          <w:p w:rsidR="00420CF4" w:rsidRDefault="00420CF4" w:rsidP="00D44CAE">
            <w:pPr>
              <w:pStyle w:val="TableTextRight"/>
              <w:keepNext/>
              <w:keepLines/>
              <w:rPr>
                <w:b w:val="0"/>
              </w:rPr>
            </w:pPr>
            <w:r>
              <w:t>2019–20</w:t>
            </w:r>
          </w:p>
        </w:tc>
        <w:tc>
          <w:tcPr>
            <w:tcW w:w="690" w:type="pct"/>
            <w:vAlign w:val="center"/>
          </w:tcPr>
          <w:p w:rsidR="00420CF4" w:rsidRDefault="00420CF4" w:rsidP="00D44CAE">
            <w:pPr>
              <w:pStyle w:val="TableTextRight"/>
              <w:keepNext/>
              <w:keepLines/>
            </w:pPr>
            <w:r>
              <w:t>Total</w:t>
            </w:r>
            <w:r w:rsidR="00A547F5">
              <w:t xml:space="preserve"> to 2019–20</w:t>
            </w:r>
          </w:p>
        </w:tc>
      </w:tr>
      <w:tr w:rsidR="00A547F5" w:rsidTr="00D44CAE">
        <w:tc>
          <w:tcPr>
            <w:tcW w:w="5000" w:type="pct"/>
            <w:gridSpan w:val="6"/>
            <w:shd w:val="clear" w:color="auto" w:fill="E9ECF3" w:themeFill="accent2" w:themeFillTint="33"/>
            <w:vAlign w:val="center"/>
          </w:tcPr>
          <w:p w:rsidR="00A547F5" w:rsidRPr="00925B8C" w:rsidRDefault="00A547F5" w:rsidP="00D44CAE">
            <w:pPr>
              <w:pStyle w:val="TableText"/>
              <w:keepNext/>
              <w:keepLines/>
              <w:rPr>
                <w:b/>
              </w:rPr>
            </w:pPr>
            <w:r w:rsidRPr="00925B8C">
              <w:rPr>
                <w:b/>
              </w:rPr>
              <w:t>RTP</w:t>
            </w:r>
          </w:p>
        </w:tc>
      </w:tr>
      <w:tr w:rsidR="00A547F5" w:rsidTr="00D44CAE">
        <w:tc>
          <w:tcPr>
            <w:tcW w:w="1554" w:type="pct"/>
            <w:vAlign w:val="center"/>
          </w:tcPr>
          <w:p w:rsidR="00A547F5" w:rsidRPr="00727E0B" w:rsidRDefault="00A547F5" w:rsidP="00D44CAE">
            <w:pPr>
              <w:pStyle w:val="TableText"/>
              <w:keepNext/>
              <w:keepLines/>
              <w:rPr>
                <w:noProof/>
              </w:rPr>
            </w:pPr>
            <w:r>
              <w:rPr>
                <w:noProof/>
              </w:rPr>
              <w:t>G</w:t>
            </w:r>
            <w:r w:rsidRPr="00727E0B">
              <w:rPr>
                <w:noProof/>
              </w:rPr>
              <w:t>rant funding</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-35.9</w:t>
            </w:r>
          </w:p>
        </w:tc>
        <w:tc>
          <w:tcPr>
            <w:tcW w:w="689" w:type="pct"/>
            <w:vAlign w:val="center"/>
          </w:tcPr>
          <w:p w:rsidR="00A547F5" w:rsidRPr="00D44CAE" w:rsidRDefault="00A547F5" w:rsidP="00D44CAE">
            <w:pPr>
              <w:pStyle w:val="TableTextRight"/>
              <w:rPr>
                <w:i/>
                <w:noProof/>
              </w:rPr>
            </w:pPr>
            <w:r w:rsidRPr="00D44CAE">
              <w:rPr>
                <w:i/>
                <w:noProof/>
              </w:rPr>
              <w:t>-72.5</w:t>
            </w:r>
          </w:p>
        </w:tc>
        <w:tc>
          <w:tcPr>
            <w:tcW w:w="689" w:type="pct"/>
            <w:vAlign w:val="center"/>
          </w:tcPr>
          <w:p w:rsidR="00A547F5" w:rsidRPr="00D44CAE" w:rsidRDefault="00A547F5" w:rsidP="00D44CAE">
            <w:pPr>
              <w:pStyle w:val="TableTextRight"/>
              <w:rPr>
                <w:i/>
                <w:noProof/>
              </w:rPr>
            </w:pPr>
            <w:r w:rsidRPr="00D44CAE">
              <w:rPr>
                <w:i/>
                <w:noProof/>
              </w:rPr>
              <w:t>-74.2</w:t>
            </w:r>
          </w:p>
        </w:tc>
        <w:tc>
          <w:tcPr>
            <w:tcW w:w="690" w:type="pct"/>
            <w:vAlign w:val="center"/>
          </w:tcPr>
          <w:p w:rsidR="00A547F5" w:rsidRPr="00D44CAE" w:rsidRDefault="00A547F5" w:rsidP="00D44CAE">
            <w:pPr>
              <w:pStyle w:val="TableTextRight"/>
              <w:rPr>
                <w:b/>
                <w:i/>
                <w:noProof/>
              </w:rPr>
            </w:pPr>
            <w:r w:rsidRPr="00D44CAE">
              <w:rPr>
                <w:b/>
                <w:i/>
                <w:noProof/>
              </w:rPr>
              <w:t>-182.6</w:t>
            </w:r>
          </w:p>
        </w:tc>
      </w:tr>
      <w:tr w:rsidR="00A547F5" w:rsidTr="00D44CAE">
        <w:tc>
          <w:tcPr>
            <w:tcW w:w="5000" w:type="pct"/>
            <w:gridSpan w:val="6"/>
            <w:shd w:val="clear" w:color="auto" w:fill="E9ECF3" w:themeFill="accent2" w:themeFillTint="33"/>
            <w:vAlign w:val="center"/>
          </w:tcPr>
          <w:p w:rsidR="00A547F5" w:rsidRPr="00925B8C" w:rsidRDefault="00A547F5" w:rsidP="00D44CAE">
            <w:pPr>
              <w:pStyle w:val="TableText"/>
              <w:keepNext/>
              <w:keepLines/>
              <w:rPr>
                <w:b/>
              </w:rPr>
            </w:pPr>
            <w:r w:rsidRPr="00925B8C">
              <w:rPr>
                <w:b/>
              </w:rPr>
              <w:t>HELP</w:t>
            </w:r>
          </w:p>
        </w:tc>
      </w:tr>
      <w:tr w:rsidR="00A547F5" w:rsidTr="00D44CAE">
        <w:tc>
          <w:tcPr>
            <w:tcW w:w="1554" w:type="pct"/>
            <w:vAlign w:val="center"/>
          </w:tcPr>
          <w:p w:rsidR="00A547F5" w:rsidRPr="00BB6D88" w:rsidRDefault="00A547F5" w:rsidP="00D44CAE">
            <w:pPr>
              <w:pStyle w:val="TableText"/>
              <w:keepNext/>
              <w:keepLines/>
              <w:rPr>
                <w:i/>
                <w:noProof/>
              </w:rPr>
            </w:pPr>
            <w:r w:rsidRPr="00BB6D88">
              <w:rPr>
                <w:i/>
                <w:noProof/>
              </w:rPr>
              <w:t>CLD</w:t>
            </w:r>
            <w:r>
              <w:rPr>
                <w:i/>
                <w:noProof/>
              </w:rPr>
              <w:t xml:space="preserve"> expense</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4.0</w:t>
            </w:r>
          </w:p>
        </w:tc>
        <w:tc>
          <w:tcPr>
            <w:tcW w:w="689" w:type="pct"/>
            <w:vAlign w:val="center"/>
          </w:tcPr>
          <w:p w:rsidR="00A547F5" w:rsidRPr="00D44CAE" w:rsidRDefault="00A547F5" w:rsidP="00D44CAE">
            <w:pPr>
              <w:pStyle w:val="TableTextRight"/>
              <w:rPr>
                <w:i/>
                <w:noProof/>
              </w:rPr>
            </w:pPr>
            <w:r w:rsidRPr="00D44CAE">
              <w:rPr>
                <w:i/>
                <w:noProof/>
              </w:rPr>
              <w:t>8.8</w:t>
            </w:r>
          </w:p>
        </w:tc>
        <w:tc>
          <w:tcPr>
            <w:tcW w:w="689" w:type="pct"/>
            <w:vAlign w:val="center"/>
          </w:tcPr>
          <w:p w:rsidR="00A547F5" w:rsidRPr="00D44CAE" w:rsidRDefault="00A547F5" w:rsidP="00D44CAE">
            <w:pPr>
              <w:pStyle w:val="TableTextRight"/>
              <w:rPr>
                <w:i/>
                <w:noProof/>
              </w:rPr>
            </w:pPr>
            <w:r w:rsidRPr="00D44CAE">
              <w:rPr>
                <w:i/>
                <w:noProof/>
              </w:rPr>
              <w:t>9.4</w:t>
            </w:r>
          </w:p>
        </w:tc>
        <w:tc>
          <w:tcPr>
            <w:tcW w:w="690" w:type="pct"/>
            <w:vAlign w:val="center"/>
          </w:tcPr>
          <w:p w:rsidR="00A547F5" w:rsidRPr="00D44CAE" w:rsidRDefault="00A547F5" w:rsidP="00D44CAE">
            <w:pPr>
              <w:pStyle w:val="TableTextRight"/>
              <w:rPr>
                <w:b/>
                <w:i/>
                <w:noProof/>
              </w:rPr>
            </w:pPr>
            <w:r w:rsidRPr="00D44CAE">
              <w:rPr>
                <w:b/>
                <w:i/>
                <w:noProof/>
              </w:rPr>
              <w:t xml:space="preserve"> 22.2</w:t>
            </w:r>
          </w:p>
        </w:tc>
      </w:tr>
      <w:tr w:rsidR="00A547F5" w:rsidTr="00D44CAE">
        <w:tc>
          <w:tcPr>
            <w:tcW w:w="1554" w:type="pct"/>
            <w:vAlign w:val="center"/>
          </w:tcPr>
          <w:p w:rsidR="00A547F5" w:rsidRPr="00BB6D88" w:rsidRDefault="00A547F5" w:rsidP="00D44CAE">
            <w:pPr>
              <w:pStyle w:val="TableText"/>
              <w:keepNext/>
              <w:keepLines/>
              <w:rPr>
                <w:i/>
                <w:noProof/>
              </w:rPr>
            </w:pPr>
            <w:r>
              <w:rPr>
                <w:i/>
                <w:noProof/>
              </w:rPr>
              <w:t xml:space="preserve">CLD </w:t>
            </w:r>
            <w:r w:rsidRPr="00BB6D88">
              <w:rPr>
                <w:i/>
                <w:noProof/>
              </w:rPr>
              <w:t xml:space="preserve">unwinding </w:t>
            </w:r>
            <w:r>
              <w:rPr>
                <w:i/>
                <w:noProof/>
              </w:rPr>
              <w:t>revenue</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-0.6</w:t>
            </w:r>
          </w:p>
        </w:tc>
        <w:tc>
          <w:tcPr>
            <w:tcW w:w="690" w:type="pct"/>
            <w:vAlign w:val="center"/>
          </w:tcPr>
          <w:p w:rsidR="00A547F5" w:rsidRPr="00D44CAE" w:rsidRDefault="00A547F5" w:rsidP="00D44CAE">
            <w:pPr>
              <w:pStyle w:val="TableTextRight"/>
              <w:rPr>
                <w:b/>
                <w:i/>
                <w:noProof/>
              </w:rPr>
            </w:pPr>
            <w:r w:rsidRPr="00D44CAE">
              <w:rPr>
                <w:b/>
                <w:i/>
                <w:noProof/>
              </w:rPr>
              <w:t>-0.6</w:t>
            </w:r>
          </w:p>
        </w:tc>
      </w:tr>
      <w:tr w:rsidR="00A547F5" w:rsidTr="00D44CAE">
        <w:tc>
          <w:tcPr>
            <w:tcW w:w="1554" w:type="pct"/>
            <w:vAlign w:val="center"/>
          </w:tcPr>
          <w:p w:rsidR="00A547F5" w:rsidRPr="00727E0B" w:rsidRDefault="00A547F5" w:rsidP="00D44CAE">
            <w:pPr>
              <w:pStyle w:val="TableText"/>
              <w:keepNext/>
              <w:keepLines/>
              <w:rPr>
                <w:noProof/>
              </w:rPr>
            </w:pPr>
            <w:r w:rsidRPr="00727E0B">
              <w:rPr>
                <w:noProof/>
              </w:rPr>
              <w:t xml:space="preserve">Net </w:t>
            </w:r>
            <w:r>
              <w:rPr>
                <w:noProof/>
              </w:rPr>
              <w:t>CLD</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4.0</w:t>
            </w:r>
          </w:p>
        </w:tc>
        <w:tc>
          <w:tcPr>
            <w:tcW w:w="689" w:type="pct"/>
            <w:vAlign w:val="center"/>
          </w:tcPr>
          <w:p w:rsidR="00A547F5" w:rsidRPr="00D44CAE" w:rsidRDefault="00A547F5" w:rsidP="00D44CAE">
            <w:pPr>
              <w:pStyle w:val="TableTextRight"/>
              <w:rPr>
                <w:i/>
                <w:noProof/>
              </w:rPr>
            </w:pPr>
            <w:r w:rsidRPr="00D44CAE">
              <w:rPr>
                <w:i/>
                <w:noProof/>
              </w:rPr>
              <w:t>8.8</w:t>
            </w:r>
          </w:p>
        </w:tc>
        <w:tc>
          <w:tcPr>
            <w:tcW w:w="689" w:type="pct"/>
            <w:vAlign w:val="center"/>
          </w:tcPr>
          <w:p w:rsidR="00A547F5" w:rsidRPr="00D44CAE" w:rsidRDefault="00A547F5" w:rsidP="00D44CAE">
            <w:pPr>
              <w:pStyle w:val="TableTextRight"/>
              <w:rPr>
                <w:i/>
                <w:noProof/>
              </w:rPr>
            </w:pPr>
            <w:r w:rsidRPr="00D44CAE">
              <w:rPr>
                <w:i/>
                <w:noProof/>
              </w:rPr>
              <w:t>8.8</w:t>
            </w:r>
          </w:p>
        </w:tc>
        <w:tc>
          <w:tcPr>
            <w:tcW w:w="690" w:type="pct"/>
            <w:vAlign w:val="center"/>
          </w:tcPr>
          <w:p w:rsidR="00A547F5" w:rsidRPr="00D44CAE" w:rsidRDefault="00A547F5" w:rsidP="00D44CAE">
            <w:pPr>
              <w:pStyle w:val="TableTextRight"/>
              <w:rPr>
                <w:b/>
                <w:i/>
                <w:noProof/>
              </w:rPr>
            </w:pPr>
            <w:r w:rsidRPr="00D44CAE">
              <w:rPr>
                <w:b/>
                <w:i/>
                <w:noProof/>
              </w:rPr>
              <w:t>21.6</w:t>
            </w:r>
          </w:p>
        </w:tc>
      </w:tr>
      <w:tr w:rsidR="00A547F5" w:rsidTr="00D44CAE">
        <w:tc>
          <w:tcPr>
            <w:tcW w:w="1554" w:type="pct"/>
            <w:vAlign w:val="center"/>
          </w:tcPr>
          <w:p w:rsidR="00A547F5" w:rsidRPr="00727E0B" w:rsidRDefault="00A547F5" w:rsidP="00D44CAE">
            <w:pPr>
              <w:pStyle w:val="TableText"/>
              <w:keepNext/>
              <w:keepLines/>
              <w:rPr>
                <w:noProof/>
              </w:rPr>
            </w:pPr>
            <w:r>
              <w:rPr>
                <w:noProof/>
              </w:rPr>
              <w:t>I</w:t>
            </w:r>
            <w:r w:rsidRPr="00727E0B">
              <w:rPr>
                <w:noProof/>
              </w:rPr>
              <w:t xml:space="preserve">nterest </w:t>
            </w:r>
            <w:r>
              <w:rPr>
                <w:noProof/>
              </w:rPr>
              <w:t xml:space="preserve">revenue </w:t>
            </w:r>
            <w:r w:rsidRPr="00727E0B">
              <w:rPr>
                <w:noProof/>
              </w:rPr>
              <w:t>accrued</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-0.6</w:t>
            </w:r>
          </w:p>
        </w:tc>
        <w:tc>
          <w:tcPr>
            <w:tcW w:w="689" w:type="pct"/>
            <w:vAlign w:val="center"/>
          </w:tcPr>
          <w:p w:rsidR="00A547F5" w:rsidRPr="00D44CAE" w:rsidRDefault="00A547F5" w:rsidP="00D44CAE">
            <w:pPr>
              <w:pStyle w:val="TableTextRight"/>
              <w:rPr>
                <w:i/>
                <w:noProof/>
              </w:rPr>
            </w:pPr>
            <w:r w:rsidRPr="00D44CAE">
              <w:rPr>
                <w:i/>
                <w:noProof/>
              </w:rPr>
              <w:t>-1.9</w:t>
            </w:r>
          </w:p>
        </w:tc>
        <w:tc>
          <w:tcPr>
            <w:tcW w:w="690" w:type="pct"/>
            <w:vAlign w:val="center"/>
          </w:tcPr>
          <w:p w:rsidR="00A547F5" w:rsidRPr="00D44CAE" w:rsidRDefault="00A547F5" w:rsidP="00D44CAE">
            <w:pPr>
              <w:pStyle w:val="TableTextRight"/>
              <w:rPr>
                <w:b/>
                <w:i/>
                <w:noProof/>
              </w:rPr>
            </w:pPr>
            <w:r w:rsidRPr="00D44CAE">
              <w:rPr>
                <w:b/>
                <w:i/>
                <w:noProof/>
              </w:rPr>
              <w:t>-2.5</w:t>
            </w:r>
          </w:p>
        </w:tc>
      </w:tr>
      <w:tr w:rsidR="00A547F5" w:rsidTr="00D44CAE">
        <w:tc>
          <w:tcPr>
            <w:tcW w:w="1554" w:type="pct"/>
            <w:vAlign w:val="center"/>
          </w:tcPr>
          <w:p w:rsidR="00A547F5" w:rsidRPr="00727E0B" w:rsidRDefault="00A547F5" w:rsidP="00D44CAE">
            <w:pPr>
              <w:pStyle w:val="TableText"/>
              <w:keepNext/>
              <w:keepLines/>
              <w:rPr>
                <w:noProof/>
              </w:rPr>
            </w:pPr>
            <w:r>
              <w:rPr>
                <w:noProof/>
              </w:rPr>
              <w:t>Loan</w:t>
            </w:r>
            <w:r w:rsidRPr="00727E0B">
              <w:rPr>
                <w:noProof/>
              </w:rPr>
              <w:t xml:space="preserve"> writedowns</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89" w:type="pct"/>
            <w:vAlign w:val="center"/>
          </w:tcPr>
          <w:p w:rsidR="00A547F5" w:rsidRPr="00D44CAE" w:rsidRDefault="00A547F5" w:rsidP="00D44CAE">
            <w:pPr>
              <w:pStyle w:val="TableTextRight"/>
              <w:rPr>
                <w:i/>
                <w:noProof/>
              </w:rPr>
            </w:pPr>
            <w:r w:rsidRPr="00D44CAE">
              <w:rPr>
                <w:i/>
                <w:noProof/>
              </w:rPr>
              <w:t>..</w:t>
            </w:r>
          </w:p>
        </w:tc>
        <w:tc>
          <w:tcPr>
            <w:tcW w:w="690" w:type="pct"/>
            <w:vAlign w:val="center"/>
          </w:tcPr>
          <w:p w:rsidR="00A547F5" w:rsidRPr="00D44CAE" w:rsidRDefault="00A547F5" w:rsidP="00D44CAE">
            <w:pPr>
              <w:pStyle w:val="TableTextRight"/>
              <w:rPr>
                <w:b/>
                <w:i/>
                <w:noProof/>
              </w:rPr>
            </w:pPr>
            <w:r w:rsidRPr="00D44CAE">
              <w:rPr>
                <w:b/>
                <w:i/>
                <w:noProof/>
              </w:rPr>
              <w:t>..</w:t>
            </w:r>
          </w:p>
        </w:tc>
      </w:tr>
      <w:tr w:rsidR="00A547F5" w:rsidTr="00D44CAE">
        <w:tc>
          <w:tcPr>
            <w:tcW w:w="5000" w:type="pct"/>
            <w:gridSpan w:val="6"/>
            <w:shd w:val="clear" w:color="auto" w:fill="E9ECF3" w:themeFill="accent2" w:themeFillTint="33"/>
            <w:vAlign w:val="center"/>
          </w:tcPr>
          <w:p w:rsidR="00A547F5" w:rsidRPr="00925B8C" w:rsidRDefault="00A547F5" w:rsidP="00D44CAE">
            <w:pPr>
              <w:pStyle w:val="TableText"/>
              <w:keepNext/>
              <w:keepLines/>
              <w:rPr>
                <w:b/>
              </w:rPr>
            </w:pPr>
            <w:r w:rsidRPr="00925B8C">
              <w:rPr>
                <w:b/>
              </w:rPr>
              <w:t>PDI</w:t>
            </w:r>
          </w:p>
        </w:tc>
      </w:tr>
      <w:tr w:rsidR="00A547F5" w:rsidTr="00D44CAE">
        <w:tc>
          <w:tcPr>
            <w:tcW w:w="1554" w:type="pct"/>
            <w:vAlign w:val="center"/>
          </w:tcPr>
          <w:p w:rsidR="00A547F5" w:rsidRPr="00727E0B" w:rsidRDefault="00A547F5" w:rsidP="00D44CAE">
            <w:pPr>
              <w:pStyle w:val="TableText"/>
              <w:keepNext/>
              <w:keepLines/>
              <w:rPr>
                <w:noProof/>
              </w:rPr>
            </w:pPr>
            <w:r>
              <w:rPr>
                <w:noProof/>
              </w:rPr>
              <w:t>Expenses</w:t>
            </w:r>
          </w:p>
        </w:tc>
        <w:tc>
          <w:tcPr>
            <w:tcW w:w="689" w:type="pct"/>
            <w:vAlign w:val="center"/>
          </w:tcPr>
          <w:p w:rsidR="00A547F5" w:rsidRPr="00517113" w:rsidRDefault="00A547F5" w:rsidP="00D44CAE">
            <w:pPr>
              <w:pStyle w:val="TableTextRight"/>
              <w:rPr>
                <w:noProof/>
              </w:rPr>
            </w:pPr>
            <w:r w:rsidRPr="00517113">
              <w:rPr>
                <w:noProof/>
              </w:rPr>
              <w:t>-</w:t>
            </w:r>
          </w:p>
        </w:tc>
        <w:tc>
          <w:tcPr>
            <w:tcW w:w="689" w:type="pct"/>
            <w:vAlign w:val="center"/>
          </w:tcPr>
          <w:p w:rsidR="00A547F5" w:rsidRPr="00517113" w:rsidRDefault="00A547F5" w:rsidP="00D44CAE">
            <w:pPr>
              <w:pStyle w:val="TableTextRight"/>
              <w:rPr>
                <w:noProof/>
              </w:rPr>
            </w:pPr>
            <w:r w:rsidRPr="00517113">
              <w:rPr>
                <w:noProof/>
              </w:rPr>
              <w:t>..</w:t>
            </w:r>
          </w:p>
        </w:tc>
        <w:tc>
          <w:tcPr>
            <w:tcW w:w="689" w:type="pct"/>
            <w:vAlign w:val="center"/>
          </w:tcPr>
          <w:p w:rsidR="00A547F5" w:rsidRPr="00517113" w:rsidRDefault="00A547F5" w:rsidP="00D44CAE">
            <w:pPr>
              <w:pStyle w:val="TableTextRight"/>
              <w:rPr>
                <w:noProof/>
              </w:rPr>
            </w:pPr>
            <w:r w:rsidRPr="00517113">
              <w:rPr>
                <w:noProof/>
              </w:rPr>
              <w:t>..</w:t>
            </w:r>
          </w:p>
        </w:tc>
        <w:tc>
          <w:tcPr>
            <w:tcW w:w="689" w:type="pct"/>
            <w:vAlign w:val="center"/>
          </w:tcPr>
          <w:p w:rsidR="00A547F5" w:rsidRPr="00517113" w:rsidRDefault="00A547F5" w:rsidP="00D44CAE">
            <w:pPr>
              <w:pStyle w:val="TableTextRight"/>
              <w:rPr>
                <w:noProof/>
              </w:rPr>
            </w:pPr>
            <w:r w:rsidRPr="00517113">
              <w:rPr>
                <w:noProof/>
              </w:rPr>
              <w:t>0.1</w:t>
            </w:r>
          </w:p>
        </w:tc>
        <w:tc>
          <w:tcPr>
            <w:tcW w:w="690" w:type="pct"/>
            <w:vAlign w:val="center"/>
          </w:tcPr>
          <w:p w:rsidR="00A547F5" w:rsidRPr="00517113" w:rsidRDefault="00A547F5" w:rsidP="00D44CAE">
            <w:pPr>
              <w:pStyle w:val="TableTextRight"/>
              <w:rPr>
                <w:b/>
                <w:noProof/>
              </w:rPr>
            </w:pPr>
            <w:r w:rsidRPr="00517113">
              <w:rPr>
                <w:b/>
                <w:noProof/>
              </w:rPr>
              <w:t>0.2</w:t>
            </w:r>
          </w:p>
        </w:tc>
      </w:tr>
      <w:tr w:rsidR="00A547F5" w:rsidRPr="007C2713" w:rsidTr="00D44CAE">
        <w:tc>
          <w:tcPr>
            <w:tcW w:w="1554" w:type="pct"/>
            <w:shd w:val="clear" w:color="auto" w:fill="D7DDE9" w:themeFill="accent3"/>
            <w:vAlign w:val="center"/>
          </w:tcPr>
          <w:p w:rsidR="00A547F5" w:rsidRPr="00925B8C" w:rsidRDefault="00A547F5" w:rsidP="00D44CAE">
            <w:pPr>
              <w:pStyle w:val="TableText"/>
              <w:keepNext/>
              <w:keepLines/>
              <w:rPr>
                <w:b/>
              </w:rPr>
            </w:pPr>
            <w:r w:rsidRPr="00925B8C">
              <w:rPr>
                <w:b/>
              </w:rPr>
              <w:t>Total</w:t>
            </w:r>
          </w:p>
        </w:tc>
        <w:tc>
          <w:tcPr>
            <w:tcW w:w="689" w:type="pct"/>
            <w:shd w:val="clear" w:color="auto" w:fill="D7DDE9" w:themeFill="accent3"/>
            <w:vAlign w:val="center"/>
          </w:tcPr>
          <w:p w:rsidR="00A547F5" w:rsidRPr="00A7762D" w:rsidRDefault="00A547F5" w:rsidP="00D44CAE">
            <w:pPr>
              <w:pStyle w:val="TableTextRight"/>
              <w:rPr>
                <w:b/>
              </w:rPr>
            </w:pPr>
            <w:r w:rsidRPr="00A7762D">
              <w:rPr>
                <w:b/>
              </w:rPr>
              <w:t>-</w:t>
            </w:r>
          </w:p>
        </w:tc>
        <w:tc>
          <w:tcPr>
            <w:tcW w:w="689" w:type="pct"/>
            <w:shd w:val="clear" w:color="auto" w:fill="D7DDE9" w:themeFill="accent3"/>
            <w:vAlign w:val="center"/>
          </w:tcPr>
          <w:p w:rsidR="00A547F5" w:rsidRPr="00C00A04" w:rsidRDefault="00A547F5" w:rsidP="00D44CAE">
            <w:pPr>
              <w:pStyle w:val="TableTextRight"/>
              <w:rPr>
                <w:b/>
              </w:rPr>
            </w:pPr>
            <w:r w:rsidRPr="00C00A04">
              <w:rPr>
                <w:b/>
              </w:rPr>
              <w:t>-31.8</w:t>
            </w:r>
          </w:p>
        </w:tc>
        <w:tc>
          <w:tcPr>
            <w:tcW w:w="689" w:type="pct"/>
            <w:shd w:val="clear" w:color="auto" w:fill="D7DDE9" w:themeFill="accent3"/>
            <w:vAlign w:val="center"/>
          </w:tcPr>
          <w:p w:rsidR="00A547F5" w:rsidRPr="00C00A04" w:rsidRDefault="00A547F5" w:rsidP="00D44CAE">
            <w:pPr>
              <w:pStyle w:val="TableTextRight"/>
              <w:rPr>
                <w:b/>
              </w:rPr>
            </w:pPr>
            <w:r w:rsidRPr="00C00A04">
              <w:rPr>
                <w:b/>
              </w:rPr>
              <w:t>-64.3</w:t>
            </w:r>
          </w:p>
        </w:tc>
        <w:tc>
          <w:tcPr>
            <w:tcW w:w="689" w:type="pct"/>
            <w:shd w:val="clear" w:color="auto" w:fill="D7DDE9" w:themeFill="accent3"/>
            <w:vAlign w:val="center"/>
          </w:tcPr>
          <w:p w:rsidR="00A547F5" w:rsidRPr="00C00A04" w:rsidRDefault="00A547F5" w:rsidP="00D44CAE">
            <w:pPr>
              <w:pStyle w:val="TableTextRight"/>
              <w:rPr>
                <w:b/>
              </w:rPr>
            </w:pPr>
            <w:r w:rsidRPr="00C00A04">
              <w:rPr>
                <w:b/>
              </w:rPr>
              <w:t>-67.2</w:t>
            </w:r>
          </w:p>
        </w:tc>
        <w:tc>
          <w:tcPr>
            <w:tcW w:w="690" w:type="pct"/>
            <w:shd w:val="clear" w:color="auto" w:fill="D7DDE9" w:themeFill="accent3"/>
            <w:vAlign w:val="center"/>
          </w:tcPr>
          <w:p w:rsidR="00A547F5" w:rsidRPr="00C00A04" w:rsidRDefault="00A547F5" w:rsidP="00D44CAE">
            <w:pPr>
              <w:pStyle w:val="TableTextRight"/>
              <w:rPr>
                <w:b/>
              </w:rPr>
            </w:pPr>
            <w:r w:rsidRPr="00C00A04">
              <w:rPr>
                <w:b/>
              </w:rPr>
              <w:t>-163.3</w:t>
            </w:r>
          </w:p>
        </w:tc>
      </w:tr>
    </w:tbl>
    <w:p w:rsidR="00A547F5" w:rsidRDefault="00A547F5" w:rsidP="002C43F8">
      <w:pPr>
        <w:pStyle w:val="Footnotes"/>
        <w:keepNext/>
        <w:keepLines/>
        <w:numPr>
          <w:ilvl w:val="0"/>
          <w:numId w:val="108"/>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A547F5" w:rsidRDefault="00A547F5" w:rsidP="00D44CAE">
      <w:pPr>
        <w:pStyle w:val="Footnotes"/>
        <w:keepNext/>
        <w:keepLines/>
        <w:ind w:left="284" w:hanging="284"/>
      </w:pPr>
      <w:r>
        <w:t>Figures may not sum to totals due to rounding.</w:t>
      </w:r>
    </w:p>
    <w:p w:rsidR="00A547F5" w:rsidRDefault="00A547F5" w:rsidP="00D44CAE">
      <w:pPr>
        <w:pStyle w:val="Footnotes"/>
        <w:keepNext/>
        <w:keepLines/>
        <w:numPr>
          <w:ilvl w:val="0"/>
          <w:numId w:val="0"/>
        </w:numPr>
        <w:ind w:left="284" w:hanging="284"/>
      </w:pPr>
      <w:r>
        <w:t>..</w:t>
      </w:r>
      <w:r>
        <w:tab/>
        <w:t>Not zero but rounded to zero.</w:t>
      </w:r>
    </w:p>
    <w:p w:rsidR="006F03D2" w:rsidRDefault="00A547F5" w:rsidP="00A547F5">
      <w:pPr>
        <w:pStyle w:val="Footnotes"/>
        <w:numPr>
          <w:ilvl w:val="0"/>
          <w:numId w:val="0"/>
        </w:numPr>
        <w:ind w:left="284" w:hanging="284"/>
      </w:pPr>
      <w:r>
        <w:t>-</w:t>
      </w:r>
      <w:r>
        <w:tab/>
        <w:t>Indicates nil.</w:t>
      </w:r>
    </w:p>
    <w:p w:rsidR="00A547F5" w:rsidRDefault="00A547F5" w:rsidP="00D44CAE">
      <w:pPr>
        <w:pStyle w:val="Caption"/>
        <w:keepLines/>
        <w:rPr>
          <w:vertAlign w:val="superscript"/>
        </w:rPr>
      </w:pPr>
      <w:r w:rsidRPr="00A547F5">
        <w:t>Table A2: Not proceeding with changes to the Research Training Scheme - student contributions—Underlying cash balance</w:t>
      </w:r>
      <w:r w:rsidRPr="00A547F5">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A547F5" w:rsidTr="000F2572">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A547F5" w:rsidRPr="007C2713" w:rsidRDefault="00A547F5" w:rsidP="000F2572">
            <w:pPr>
              <w:pStyle w:val="TableText"/>
              <w:keepNext/>
              <w:keepLines/>
              <w:rPr>
                <w:b w:val="0"/>
              </w:rPr>
            </w:pPr>
            <w:r>
              <w:t>($m)</w:t>
            </w:r>
          </w:p>
        </w:tc>
        <w:tc>
          <w:tcPr>
            <w:tcW w:w="689" w:type="pct"/>
            <w:vAlign w:val="center"/>
          </w:tcPr>
          <w:p w:rsidR="00A547F5" w:rsidRDefault="00A547F5" w:rsidP="000F2572">
            <w:pPr>
              <w:pStyle w:val="TableTextRight"/>
              <w:keepNext/>
              <w:keepLines/>
              <w:rPr>
                <w:b w:val="0"/>
              </w:rPr>
            </w:pPr>
            <w:r>
              <w:t>2016–17</w:t>
            </w:r>
          </w:p>
        </w:tc>
        <w:tc>
          <w:tcPr>
            <w:tcW w:w="689" w:type="pct"/>
            <w:vAlign w:val="center"/>
          </w:tcPr>
          <w:p w:rsidR="00A547F5" w:rsidRDefault="00A547F5" w:rsidP="000F2572">
            <w:pPr>
              <w:pStyle w:val="TableTextRight"/>
              <w:keepNext/>
              <w:keepLines/>
              <w:rPr>
                <w:b w:val="0"/>
              </w:rPr>
            </w:pPr>
            <w:r>
              <w:t>2017–18</w:t>
            </w:r>
          </w:p>
        </w:tc>
        <w:tc>
          <w:tcPr>
            <w:tcW w:w="689" w:type="pct"/>
            <w:vAlign w:val="center"/>
          </w:tcPr>
          <w:p w:rsidR="00A547F5" w:rsidRDefault="00A547F5" w:rsidP="000F2572">
            <w:pPr>
              <w:pStyle w:val="TableTextRight"/>
              <w:keepNext/>
              <w:keepLines/>
              <w:rPr>
                <w:b w:val="0"/>
              </w:rPr>
            </w:pPr>
            <w:r>
              <w:t>2018–19</w:t>
            </w:r>
          </w:p>
        </w:tc>
        <w:tc>
          <w:tcPr>
            <w:tcW w:w="689" w:type="pct"/>
            <w:vAlign w:val="center"/>
          </w:tcPr>
          <w:p w:rsidR="00A547F5" w:rsidRDefault="00A547F5" w:rsidP="000F2572">
            <w:pPr>
              <w:pStyle w:val="TableTextRight"/>
              <w:keepNext/>
              <w:keepLines/>
              <w:rPr>
                <w:b w:val="0"/>
              </w:rPr>
            </w:pPr>
            <w:r>
              <w:t>2019–20</w:t>
            </w:r>
          </w:p>
        </w:tc>
        <w:tc>
          <w:tcPr>
            <w:tcW w:w="690" w:type="pct"/>
            <w:vAlign w:val="center"/>
          </w:tcPr>
          <w:p w:rsidR="00A547F5" w:rsidRDefault="00A547F5" w:rsidP="000F2572">
            <w:pPr>
              <w:pStyle w:val="TableTextRight"/>
              <w:keepNext/>
              <w:keepLines/>
            </w:pPr>
            <w:r>
              <w:t>Total to 2019–20</w:t>
            </w:r>
          </w:p>
        </w:tc>
      </w:tr>
      <w:tr w:rsidR="00A547F5" w:rsidTr="000F2572">
        <w:tc>
          <w:tcPr>
            <w:tcW w:w="5000" w:type="pct"/>
            <w:gridSpan w:val="6"/>
            <w:shd w:val="clear" w:color="auto" w:fill="E9ECF3" w:themeFill="accent2" w:themeFillTint="33"/>
            <w:vAlign w:val="center"/>
          </w:tcPr>
          <w:p w:rsidR="00A547F5" w:rsidRPr="00025390" w:rsidRDefault="00A547F5" w:rsidP="000F2572">
            <w:pPr>
              <w:pStyle w:val="TableText"/>
              <w:keepNext/>
              <w:keepLines/>
              <w:rPr>
                <w:b/>
              </w:rPr>
            </w:pPr>
            <w:r w:rsidRPr="00025390">
              <w:rPr>
                <w:b/>
              </w:rPr>
              <w:t>RTP</w:t>
            </w:r>
          </w:p>
        </w:tc>
      </w:tr>
      <w:tr w:rsidR="00A547F5" w:rsidTr="000F2572">
        <w:tc>
          <w:tcPr>
            <w:tcW w:w="1554" w:type="pct"/>
            <w:vAlign w:val="center"/>
          </w:tcPr>
          <w:p w:rsidR="00A547F5" w:rsidRPr="00727E0B" w:rsidRDefault="00A547F5" w:rsidP="000F2572">
            <w:pPr>
              <w:pStyle w:val="TableText"/>
              <w:keepNext/>
              <w:keepLines/>
              <w:rPr>
                <w:noProof/>
              </w:rPr>
            </w:pPr>
            <w:r>
              <w:rPr>
                <w:noProof/>
              </w:rPr>
              <w:t>G</w:t>
            </w:r>
            <w:r w:rsidRPr="00727E0B">
              <w:rPr>
                <w:noProof/>
              </w:rPr>
              <w:t>rant funding</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-35.9</w:t>
            </w:r>
          </w:p>
        </w:tc>
        <w:tc>
          <w:tcPr>
            <w:tcW w:w="689" w:type="pct"/>
            <w:vAlign w:val="center"/>
          </w:tcPr>
          <w:p w:rsidR="00A547F5" w:rsidRPr="000F2572" w:rsidRDefault="00A547F5" w:rsidP="000F2572">
            <w:pPr>
              <w:pStyle w:val="TableTextRight"/>
              <w:rPr>
                <w:i/>
                <w:noProof/>
              </w:rPr>
            </w:pPr>
            <w:r w:rsidRPr="000F2572">
              <w:rPr>
                <w:i/>
                <w:noProof/>
              </w:rPr>
              <w:t>-72.5</w:t>
            </w:r>
          </w:p>
        </w:tc>
        <w:tc>
          <w:tcPr>
            <w:tcW w:w="689" w:type="pct"/>
            <w:vAlign w:val="center"/>
          </w:tcPr>
          <w:p w:rsidR="00A547F5" w:rsidRPr="000F2572" w:rsidRDefault="00A547F5" w:rsidP="000F2572">
            <w:pPr>
              <w:pStyle w:val="TableTextRight"/>
              <w:rPr>
                <w:i/>
                <w:noProof/>
              </w:rPr>
            </w:pPr>
            <w:r w:rsidRPr="000F2572">
              <w:rPr>
                <w:i/>
                <w:noProof/>
              </w:rPr>
              <w:t>-74.2</w:t>
            </w:r>
          </w:p>
        </w:tc>
        <w:tc>
          <w:tcPr>
            <w:tcW w:w="690" w:type="pct"/>
            <w:vAlign w:val="center"/>
          </w:tcPr>
          <w:p w:rsidR="00A547F5" w:rsidRPr="000F2572" w:rsidRDefault="00A547F5" w:rsidP="000F2572">
            <w:pPr>
              <w:pStyle w:val="TableTextRight"/>
              <w:rPr>
                <w:i/>
                <w:noProof/>
              </w:rPr>
            </w:pPr>
            <w:r w:rsidRPr="000F2572">
              <w:rPr>
                <w:i/>
                <w:noProof/>
              </w:rPr>
              <w:t>-182.6</w:t>
            </w:r>
          </w:p>
        </w:tc>
      </w:tr>
      <w:tr w:rsidR="00A547F5" w:rsidTr="000F2572">
        <w:tc>
          <w:tcPr>
            <w:tcW w:w="5000" w:type="pct"/>
            <w:gridSpan w:val="6"/>
            <w:shd w:val="clear" w:color="auto" w:fill="E9ECF3" w:themeFill="accent2" w:themeFillTint="33"/>
            <w:vAlign w:val="center"/>
          </w:tcPr>
          <w:p w:rsidR="00A547F5" w:rsidRPr="00025390" w:rsidRDefault="00A547F5" w:rsidP="000F2572">
            <w:pPr>
              <w:pStyle w:val="TableText"/>
              <w:keepNext/>
              <w:keepLines/>
              <w:rPr>
                <w:b/>
              </w:rPr>
            </w:pPr>
            <w:r w:rsidRPr="00025390">
              <w:rPr>
                <w:b/>
              </w:rPr>
              <w:t>HELP</w:t>
            </w:r>
          </w:p>
        </w:tc>
      </w:tr>
      <w:tr w:rsidR="00A547F5" w:rsidTr="000F2572">
        <w:tc>
          <w:tcPr>
            <w:tcW w:w="1554" w:type="pct"/>
            <w:vAlign w:val="center"/>
          </w:tcPr>
          <w:p w:rsidR="00A547F5" w:rsidRPr="00E72F19" w:rsidRDefault="00A547F5" w:rsidP="000F2572">
            <w:pPr>
              <w:pStyle w:val="TableText"/>
              <w:keepNext/>
              <w:keepLines/>
              <w:rPr>
                <w:noProof/>
              </w:rPr>
            </w:pPr>
            <w:r>
              <w:rPr>
                <w:noProof/>
              </w:rPr>
              <w:t>I</w:t>
            </w:r>
            <w:r w:rsidRPr="00E72F19">
              <w:rPr>
                <w:noProof/>
              </w:rPr>
              <w:t xml:space="preserve">nterest </w:t>
            </w:r>
            <w:r>
              <w:rPr>
                <w:noProof/>
              </w:rPr>
              <w:t>received</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w:t>
            </w:r>
          </w:p>
        </w:tc>
        <w:tc>
          <w:tcPr>
            <w:tcW w:w="690" w:type="pct"/>
            <w:vAlign w:val="center"/>
          </w:tcPr>
          <w:p w:rsidR="00A547F5" w:rsidRPr="000F2572" w:rsidRDefault="00A547F5" w:rsidP="000F2572">
            <w:pPr>
              <w:pStyle w:val="TableTextRight"/>
              <w:rPr>
                <w:i/>
                <w:noProof/>
              </w:rPr>
            </w:pPr>
            <w:r w:rsidRPr="000F2572">
              <w:rPr>
                <w:i/>
                <w:noProof/>
              </w:rPr>
              <w:t>..</w:t>
            </w:r>
          </w:p>
        </w:tc>
      </w:tr>
      <w:tr w:rsidR="00A547F5" w:rsidTr="000F2572">
        <w:tc>
          <w:tcPr>
            <w:tcW w:w="5000" w:type="pct"/>
            <w:gridSpan w:val="6"/>
            <w:shd w:val="clear" w:color="auto" w:fill="E9ECF3" w:themeFill="accent2" w:themeFillTint="33"/>
            <w:vAlign w:val="center"/>
          </w:tcPr>
          <w:p w:rsidR="00A547F5" w:rsidRPr="00025390" w:rsidRDefault="00A547F5" w:rsidP="000F2572">
            <w:pPr>
              <w:pStyle w:val="TableText"/>
              <w:keepNext/>
              <w:keepLines/>
              <w:rPr>
                <w:b/>
              </w:rPr>
            </w:pPr>
            <w:r w:rsidRPr="00025390">
              <w:rPr>
                <w:b/>
              </w:rPr>
              <w:t>PDI</w:t>
            </w:r>
          </w:p>
        </w:tc>
      </w:tr>
      <w:tr w:rsidR="00A547F5" w:rsidTr="000F2572">
        <w:tc>
          <w:tcPr>
            <w:tcW w:w="1554" w:type="pct"/>
            <w:vAlign w:val="center"/>
          </w:tcPr>
          <w:p w:rsidR="00A547F5" w:rsidRPr="00E72F19" w:rsidRDefault="00A547F5" w:rsidP="000F2572">
            <w:pPr>
              <w:pStyle w:val="TableText"/>
              <w:keepNext/>
              <w:keepLines/>
              <w:rPr>
                <w:noProof/>
              </w:rPr>
            </w:pPr>
            <w:r>
              <w:rPr>
                <w:noProof/>
              </w:rPr>
              <w:t>Payments</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w:t>
            </w:r>
          </w:p>
        </w:tc>
        <w:tc>
          <w:tcPr>
            <w:tcW w:w="689" w:type="pct"/>
            <w:vAlign w:val="center"/>
          </w:tcPr>
          <w:p w:rsidR="00A547F5" w:rsidRPr="000F2572" w:rsidRDefault="00A547F5" w:rsidP="000F2572">
            <w:pPr>
              <w:pStyle w:val="TableTextRight"/>
              <w:rPr>
                <w:i/>
                <w:noProof/>
              </w:rPr>
            </w:pPr>
            <w:r w:rsidRPr="000F2572">
              <w:rPr>
                <w:i/>
                <w:noProof/>
              </w:rPr>
              <w:t>0.1</w:t>
            </w:r>
          </w:p>
        </w:tc>
        <w:tc>
          <w:tcPr>
            <w:tcW w:w="690" w:type="pct"/>
            <w:vAlign w:val="center"/>
          </w:tcPr>
          <w:p w:rsidR="00A547F5" w:rsidRPr="000F2572" w:rsidRDefault="00A547F5" w:rsidP="000F2572">
            <w:pPr>
              <w:pStyle w:val="TableTextRight"/>
              <w:rPr>
                <w:i/>
                <w:noProof/>
              </w:rPr>
            </w:pPr>
            <w:r w:rsidRPr="000F2572">
              <w:rPr>
                <w:i/>
                <w:noProof/>
              </w:rPr>
              <w:t>0.2</w:t>
            </w:r>
          </w:p>
        </w:tc>
      </w:tr>
      <w:tr w:rsidR="00A547F5" w:rsidRPr="007C2713" w:rsidTr="000F2572">
        <w:tc>
          <w:tcPr>
            <w:tcW w:w="1554" w:type="pct"/>
            <w:shd w:val="clear" w:color="auto" w:fill="D7DDE9" w:themeFill="accent3"/>
            <w:vAlign w:val="center"/>
          </w:tcPr>
          <w:p w:rsidR="00A547F5" w:rsidRPr="00025390" w:rsidRDefault="00A547F5" w:rsidP="000F2572">
            <w:pPr>
              <w:pStyle w:val="TableText"/>
              <w:keepNext/>
              <w:keepLines/>
              <w:rPr>
                <w:b/>
              </w:rPr>
            </w:pPr>
            <w:r w:rsidRPr="00025390">
              <w:rPr>
                <w:b/>
              </w:rPr>
              <w:t>Total</w:t>
            </w:r>
          </w:p>
        </w:tc>
        <w:tc>
          <w:tcPr>
            <w:tcW w:w="689" w:type="pct"/>
            <w:shd w:val="clear" w:color="auto" w:fill="D7DDE9" w:themeFill="accent3"/>
            <w:vAlign w:val="center"/>
          </w:tcPr>
          <w:p w:rsidR="00A547F5" w:rsidRPr="00025390" w:rsidRDefault="00A547F5" w:rsidP="000F2572">
            <w:pPr>
              <w:pStyle w:val="TableTextRight"/>
              <w:rPr>
                <w:b/>
                <w:noProof/>
              </w:rPr>
            </w:pPr>
            <w:r w:rsidRPr="00025390">
              <w:rPr>
                <w:b/>
                <w:noProof/>
              </w:rPr>
              <w:t>-</w:t>
            </w:r>
          </w:p>
        </w:tc>
        <w:tc>
          <w:tcPr>
            <w:tcW w:w="689" w:type="pct"/>
            <w:shd w:val="clear" w:color="auto" w:fill="D7DDE9" w:themeFill="accent3"/>
            <w:vAlign w:val="center"/>
          </w:tcPr>
          <w:p w:rsidR="00A547F5" w:rsidRPr="00025390" w:rsidRDefault="00A547F5" w:rsidP="000F2572">
            <w:pPr>
              <w:pStyle w:val="TableTextRight"/>
              <w:rPr>
                <w:b/>
                <w:noProof/>
              </w:rPr>
            </w:pPr>
            <w:r w:rsidRPr="00025390">
              <w:rPr>
                <w:b/>
                <w:noProof/>
              </w:rPr>
              <w:t xml:space="preserve">-35.8 </w:t>
            </w:r>
          </w:p>
        </w:tc>
        <w:tc>
          <w:tcPr>
            <w:tcW w:w="689" w:type="pct"/>
            <w:shd w:val="clear" w:color="auto" w:fill="D7DDE9" w:themeFill="accent3"/>
            <w:vAlign w:val="center"/>
          </w:tcPr>
          <w:p w:rsidR="00A547F5" w:rsidRPr="00025390" w:rsidRDefault="00A547F5" w:rsidP="000F2572">
            <w:pPr>
              <w:pStyle w:val="TableTextRight"/>
              <w:rPr>
                <w:b/>
                <w:noProof/>
              </w:rPr>
            </w:pPr>
            <w:r w:rsidRPr="00025390">
              <w:rPr>
                <w:b/>
                <w:noProof/>
              </w:rPr>
              <w:t xml:space="preserve">-72.5 </w:t>
            </w:r>
          </w:p>
        </w:tc>
        <w:tc>
          <w:tcPr>
            <w:tcW w:w="689" w:type="pct"/>
            <w:shd w:val="clear" w:color="auto" w:fill="D7DDE9" w:themeFill="accent3"/>
            <w:vAlign w:val="center"/>
          </w:tcPr>
          <w:p w:rsidR="00A547F5" w:rsidRPr="00025390" w:rsidRDefault="00A547F5" w:rsidP="000F2572">
            <w:pPr>
              <w:pStyle w:val="TableTextRight"/>
              <w:rPr>
                <w:b/>
                <w:noProof/>
              </w:rPr>
            </w:pPr>
            <w:r w:rsidRPr="00025390">
              <w:rPr>
                <w:b/>
                <w:noProof/>
              </w:rPr>
              <w:t>-74.1</w:t>
            </w:r>
          </w:p>
        </w:tc>
        <w:tc>
          <w:tcPr>
            <w:tcW w:w="690" w:type="pct"/>
            <w:shd w:val="clear" w:color="auto" w:fill="D7DDE9" w:themeFill="accent3"/>
            <w:vAlign w:val="center"/>
          </w:tcPr>
          <w:p w:rsidR="00A547F5" w:rsidRPr="00025390" w:rsidRDefault="00A547F5" w:rsidP="000F2572">
            <w:pPr>
              <w:pStyle w:val="TableTextRight"/>
              <w:rPr>
                <w:b/>
                <w:noProof/>
              </w:rPr>
            </w:pPr>
            <w:r w:rsidRPr="00025390">
              <w:rPr>
                <w:b/>
                <w:noProof/>
              </w:rPr>
              <w:t>-182.5</w:t>
            </w:r>
          </w:p>
        </w:tc>
      </w:tr>
    </w:tbl>
    <w:p w:rsidR="006F03D2" w:rsidRPr="006F03D2" w:rsidRDefault="006F03D2" w:rsidP="002C43F8">
      <w:pPr>
        <w:pStyle w:val="Footnotes"/>
        <w:numPr>
          <w:ilvl w:val="0"/>
          <w:numId w:val="109"/>
        </w:numPr>
        <w:ind w:left="284" w:hanging="284"/>
      </w:pPr>
      <w:r w:rsidRPr="006F03D2">
        <w:t xml:space="preserve">A positive number for the underlying cash balance indicates an increase in receipts or a decrease in </w:t>
      </w:r>
      <w:r w:rsidR="0080154C">
        <w:t>payments</w:t>
      </w:r>
      <w:r w:rsidRPr="006F03D2">
        <w:t xml:space="preserve"> or net capital investment in cash terms.  A negative number for the fiscal balance indicates a decrease in receipts or an increase in </w:t>
      </w:r>
      <w:r w:rsidR="0080154C">
        <w:t>payments</w:t>
      </w:r>
      <w:r w:rsidRPr="006F03D2">
        <w:t xml:space="preserve"> or net capital investment in cash terms.</w:t>
      </w:r>
    </w:p>
    <w:p w:rsidR="006F03D2" w:rsidRPr="006F03D2" w:rsidRDefault="006F03D2" w:rsidP="00D44CAE">
      <w:pPr>
        <w:pStyle w:val="Footnotes"/>
        <w:ind w:left="284" w:hanging="284"/>
      </w:pPr>
      <w:r w:rsidRPr="006F03D2">
        <w:t>Figures may not sum to totals due to rounding.</w:t>
      </w:r>
    </w:p>
    <w:p w:rsidR="006F03D2" w:rsidRDefault="006F03D2" w:rsidP="006F03D2">
      <w:pPr>
        <w:pStyle w:val="Footnotes"/>
        <w:numPr>
          <w:ilvl w:val="0"/>
          <w:numId w:val="0"/>
        </w:numPr>
        <w:ind w:left="284" w:hanging="284"/>
      </w:pPr>
      <w:r w:rsidRPr="006F03D2">
        <w:t>..</w:t>
      </w:r>
      <w:r w:rsidRPr="006F03D2">
        <w:tab/>
        <w:t>Not zero but rounded to zero.</w:t>
      </w:r>
    </w:p>
    <w:p w:rsidR="006F03D2" w:rsidRPr="00CA5D42" w:rsidRDefault="006F03D2" w:rsidP="003768DC">
      <w:pPr>
        <w:pStyle w:val="Footnotes"/>
        <w:numPr>
          <w:ilvl w:val="0"/>
          <w:numId w:val="13"/>
        </w:numPr>
        <w:spacing w:before="0" w:after="113"/>
        <w:ind w:left="284" w:hanging="284"/>
        <w:contextualSpacing w:val="0"/>
      </w:pPr>
      <w:r>
        <w:t>Indicates nil.</w:t>
      </w:r>
    </w:p>
    <w:p w:rsidR="006F03D2" w:rsidRDefault="006F03D2" w:rsidP="006F03D2">
      <w:pPr>
        <w:pStyle w:val="Caption"/>
        <w:rPr>
          <w:vertAlign w:val="superscript"/>
        </w:rPr>
      </w:pPr>
      <w:r w:rsidRPr="006F03D2">
        <w:t>Table A3: Not proceeding with changes to the Research Training Scheme - student contributions—Headline cash balance</w:t>
      </w:r>
      <w:r w:rsidRPr="006F03D2">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6F03D2" w:rsidTr="00F87975">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6F03D2" w:rsidRPr="007C2713" w:rsidRDefault="006F03D2" w:rsidP="00F87975">
            <w:pPr>
              <w:pStyle w:val="TableText"/>
              <w:rPr>
                <w:b w:val="0"/>
              </w:rPr>
            </w:pPr>
            <w:r>
              <w:t>($m)</w:t>
            </w:r>
          </w:p>
        </w:tc>
        <w:tc>
          <w:tcPr>
            <w:tcW w:w="689" w:type="pct"/>
            <w:vAlign w:val="center"/>
          </w:tcPr>
          <w:p w:rsidR="006F03D2" w:rsidRDefault="006F03D2" w:rsidP="00F87975">
            <w:pPr>
              <w:pStyle w:val="TableTextRight"/>
              <w:rPr>
                <w:b w:val="0"/>
              </w:rPr>
            </w:pPr>
            <w:r>
              <w:t>2016–17</w:t>
            </w:r>
          </w:p>
        </w:tc>
        <w:tc>
          <w:tcPr>
            <w:tcW w:w="689" w:type="pct"/>
            <w:vAlign w:val="center"/>
          </w:tcPr>
          <w:p w:rsidR="006F03D2" w:rsidRDefault="006F03D2" w:rsidP="00F87975">
            <w:pPr>
              <w:pStyle w:val="TableTextRight"/>
              <w:rPr>
                <w:b w:val="0"/>
              </w:rPr>
            </w:pPr>
            <w:r>
              <w:t>2017–18</w:t>
            </w:r>
          </w:p>
        </w:tc>
        <w:tc>
          <w:tcPr>
            <w:tcW w:w="689" w:type="pct"/>
            <w:vAlign w:val="center"/>
          </w:tcPr>
          <w:p w:rsidR="006F03D2" w:rsidRDefault="006F03D2" w:rsidP="00F87975">
            <w:pPr>
              <w:pStyle w:val="TableTextRight"/>
              <w:rPr>
                <w:b w:val="0"/>
              </w:rPr>
            </w:pPr>
            <w:r>
              <w:t>2018–19</w:t>
            </w:r>
          </w:p>
        </w:tc>
        <w:tc>
          <w:tcPr>
            <w:tcW w:w="689" w:type="pct"/>
            <w:vAlign w:val="center"/>
          </w:tcPr>
          <w:p w:rsidR="006F03D2" w:rsidRDefault="006F03D2" w:rsidP="00F87975">
            <w:pPr>
              <w:pStyle w:val="TableTextRight"/>
              <w:rPr>
                <w:b w:val="0"/>
              </w:rPr>
            </w:pPr>
            <w:r>
              <w:t>2019–20</w:t>
            </w:r>
          </w:p>
        </w:tc>
        <w:tc>
          <w:tcPr>
            <w:tcW w:w="690" w:type="pct"/>
            <w:vAlign w:val="center"/>
          </w:tcPr>
          <w:p w:rsidR="006F03D2" w:rsidRDefault="006F03D2" w:rsidP="00F87975">
            <w:pPr>
              <w:pStyle w:val="TableTextRight"/>
            </w:pPr>
            <w:r>
              <w:t>Total to 2019–20</w:t>
            </w:r>
          </w:p>
        </w:tc>
      </w:tr>
      <w:tr w:rsidR="006F03D2" w:rsidTr="00F87975">
        <w:tc>
          <w:tcPr>
            <w:tcW w:w="5000" w:type="pct"/>
            <w:gridSpan w:val="6"/>
            <w:shd w:val="clear" w:color="auto" w:fill="E9ECF3" w:themeFill="accent2" w:themeFillTint="33"/>
            <w:vAlign w:val="center"/>
          </w:tcPr>
          <w:p w:rsidR="006F03D2" w:rsidRPr="00025390" w:rsidRDefault="006F03D2" w:rsidP="00F87975">
            <w:pPr>
              <w:pStyle w:val="TableText"/>
              <w:rPr>
                <w:b/>
              </w:rPr>
            </w:pPr>
            <w:r w:rsidRPr="00025390">
              <w:rPr>
                <w:b/>
              </w:rPr>
              <w:t>RTP</w:t>
            </w:r>
          </w:p>
        </w:tc>
      </w:tr>
      <w:tr w:rsidR="006F03D2" w:rsidTr="00F87975">
        <w:tc>
          <w:tcPr>
            <w:tcW w:w="1554" w:type="pct"/>
            <w:vAlign w:val="center"/>
          </w:tcPr>
          <w:p w:rsidR="006F03D2" w:rsidRPr="00727E0B" w:rsidRDefault="006F03D2" w:rsidP="00F87975">
            <w:pPr>
              <w:pStyle w:val="TableText"/>
              <w:rPr>
                <w:noProof/>
              </w:rPr>
            </w:pPr>
            <w:r>
              <w:rPr>
                <w:noProof/>
              </w:rPr>
              <w:t>G</w:t>
            </w:r>
            <w:r w:rsidRPr="00727E0B">
              <w:rPr>
                <w:noProof/>
              </w:rPr>
              <w:t>rant funding</w:t>
            </w:r>
          </w:p>
        </w:tc>
        <w:tc>
          <w:tcPr>
            <w:tcW w:w="689" w:type="pct"/>
            <w:vAlign w:val="center"/>
          </w:tcPr>
          <w:p w:rsidR="006F03D2" w:rsidRPr="00F87975" w:rsidRDefault="006F03D2" w:rsidP="00F87975">
            <w:pPr>
              <w:pStyle w:val="TableTextRight"/>
              <w:rPr>
                <w:i/>
                <w:noProof/>
              </w:rPr>
            </w:pPr>
            <w:r w:rsidRPr="00F87975">
              <w:rPr>
                <w:i/>
                <w:noProof/>
              </w:rPr>
              <w:t>-</w:t>
            </w:r>
          </w:p>
        </w:tc>
        <w:tc>
          <w:tcPr>
            <w:tcW w:w="689" w:type="pct"/>
            <w:vAlign w:val="center"/>
          </w:tcPr>
          <w:p w:rsidR="006F03D2" w:rsidRPr="00F87975" w:rsidRDefault="006F03D2" w:rsidP="00F87975">
            <w:pPr>
              <w:pStyle w:val="TableTextRight"/>
              <w:rPr>
                <w:i/>
                <w:noProof/>
              </w:rPr>
            </w:pPr>
            <w:r w:rsidRPr="00F87975">
              <w:rPr>
                <w:i/>
                <w:noProof/>
              </w:rPr>
              <w:t>-35.9</w:t>
            </w:r>
          </w:p>
        </w:tc>
        <w:tc>
          <w:tcPr>
            <w:tcW w:w="689" w:type="pct"/>
            <w:vAlign w:val="center"/>
          </w:tcPr>
          <w:p w:rsidR="006F03D2" w:rsidRPr="00F87975" w:rsidRDefault="006F03D2" w:rsidP="00F87975">
            <w:pPr>
              <w:pStyle w:val="TableTextRight"/>
              <w:rPr>
                <w:i/>
                <w:noProof/>
              </w:rPr>
            </w:pPr>
            <w:r w:rsidRPr="00F87975">
              <w:rPr>
                <w:i/>
                <w:noProof/>
              </w:rPr>
              <w:t>-72.5</w:t>
            </w:r>
          </w:p>
        </w:tc>
        <w:tc>
          <w:tcPr>
            <w:tcW w:w="689" w:type="pct"/>
            <w:vAlign w:val="center"/>
          </w:tcPr>
          <w:p w:rsidR="006F03D2" w:rsidRPr="00F87975" w:rsidRDefault="006F03D2" w:rsidP="00F87975">
            <w:pPr>
              <w:pStyle w:val="TableTextRight"/>
              <w:rPr>
                <w:i/>
                <w:noProof/>
              </w:rPr>
            </w:pPr>
            <w:r w:rsidRPr="00F87975">
              <w:rPr>
                <w:i/>
                <w:noProof/>
              </w:rPr>
              <w:t>-74.2</w:t>
            </w:r>
          </w:p>
        </w:tc>
        <w:tc>
          <w:tcPr>
            <w:tcW w:w="690" w:type="pct"/>
            <w:vAlign w:val="center"/>
          </w:tcPr>
          <w:p w:rsidR="006F03D2" w:rsidRPr="00F87975" w:rsidRDefault="009952A2" w:rsidP="00F87975">
            <w:pPr>
              <w:pStyle w:val="TableTextRight"/>
              <w:rPr>
                <w:b/>
                <w:i/>
                <w:noProof/>
              </w:rPr>
            </w:pPr>
            <w:r w:rsidRPr="00F87975">
              <w:rPr>
                <w:b/>
                <w:i/>
                <w:noProof/>
              </w:rPr>
              <w:t>-182.6</w:t>
            </w:r>
          </w:p>
        </w:tc>
      </w:tr>
      <w:tr w:rsidR="006F03D2" w:rsidTr="00F87975">
        <w:tc>
          <w:tcPr>
            <w:tcW w:w="5000" w:type="pct"/>
            <w:gridSpan w:val="6"/>
            <w:shd w:val="clear" w:color="auto" w:fill="E9ECF3" w:themeFill="accent2" w:themeFillTint="33"/>
            <w:vAlign w:val="center"/>
          </w:tcPr>
          <w:p w:rsidR="006F03D2" w:rsidRPr="00025390" w:rsidRDefault="006F03D2" w:rsidP="00F87975">
            <w:pPr>
              <w:pStyle w:val="TableText"/>
              <w:rPr>
                <w:b/>
              </w:rPr>
            </w:pPr>
            <w:r w:rsidRPr="00025390">
              <w:rPr>
                <w:b/>
              </w:rPr>
              <w:t>HELP</w:t>
            </w:r>
          </w:p>
        </w:tc>
      </w:tr>
      <w:tr w:rsidR="00025390" w:rsidTr="00F87975">
        <w:tc>
          <w:tcPr>
            <w:tcW w:w="1554" w:type="pct"/>
            <w:vAlign w:val="center"/>
          </w:tcPr>
          <w:p w:rsidR="00025390" w:rsidRDefault="00025390" w:rsidP="00F87975">
            <w:pPr>
              <w:pStyle w:val="TableText"/>
              <w:rPr>
                <w:noProof/>
              </w:rPr>
            </w:pPr>
            <w:r>
              <w:rPr>
                <w:noProof/>
              </w:rPr>
              <w:t>L</w:t>
            </w:r>
            <w:r w:rsidRPr="0096250C">
              <w:rPr>
                <w:noProof/>
              </w:rPr>
              <w:t>oans</w:t>
            </w:r>
            <w:r>
              <w:rPr>
                <w:noProof/>
              </w:rPr>
              <w:t xml:space="preserve"> issued</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36.6</w:t>
            </w:r>
          </w:p>
        </w:tc>
        <w:tc>
          <w:tcPr>
            <w:tcW w:w="689" w:type="pct"/>
            <w:vAlign w:val="center"/>
          </w:tcPr>
          <w:p w:rsidR="00025390" w:rsidRPr="00F87975" w:rsidRDefault="00025390" w:rsidP="00F87975">
            <w:pPr>
              <w:pStyle w:val="TableTextRight"/>
              <w:rPr>
                <w:i/>
                <w:noProof/>
              </w:rPr>
            </w:pPr>
            <w:r w:rsidRPr="00F87975">
              <w:rPr>
                <w:i/>
                <w:noProof/>
              </w:rPr>
              <w:t>74.0</w:t>
            </w:r>
          </w:p>
        </w:tc>
        <w:tc>
          <w:tcPr>
            <w:tcW w:w="689" w:type="pct"/>
            <w:vAlign w:val="center"/>
          </w:tcPr>
          <w:p w:rsidR="00025390" w:rsidRPr="00F87975" w:rsidRDefault="00025390" w:rsidP="00F87975">
            <w:pPr>
              <w:pStyle w:val="TableTextRight"/>
              <w:rPr>
                <w:i/>
                <w:noProof/>
              </w:rPr>
            </w:pPr>
            <w:r w:rsidRPr="00F87975">
              <w:rPr>
                <w:i/>
                <w:noProof/>
              </w:rPr>
              <w:t>75.7</w:t>
            </w:r>
          </w:p>
        </w:tc>
        <w:tc>
          <w:tcPr>
            <w:tcW w:w="690" w:type="pct"/>
            <w:vAlign w:val="center"/>
          </w:tcPr>
          <w:p w:rsidR="00025390" w:rsidRPr="00F87975" w:rsidRDefault="00025390" w:rsidP="00F87975">
            <w:pPr>
              <w:pStyle w:val="TableTextRight"/>
              <w:rPr>
                <w:b/>
                <w:i/>
                <w:noProof/>
              </w:rPr>
            </w:pPr>
            <w:r w:rsidRPr="00F87975">
              <w:rPr>
                <w:b/>
                <w:i/>
                <w:noProof/>
              </w:rPr>
              <w:t>186.4</w:t>
            </w:r>
          </w:p>
        </w:tc>
      </w:tr>
      <w:tr w:rsidR="00025390" w:rsidTr="00F87975">
        <w:tc>
          <w:tcPr>
            <w:tcW w:w="1554" w:type="pct"/>
            <w:vAlign w:val="center"/>
          </w:tcPr>
          <w:p w:rsidR="00025390" w:rsidRPr="0096250C" w:rsidRDefault="00025390" w:rsidP="00F87975">
            <w:pPr>
              <w:pStyle w:val="TableText"/>
              <w:rPr>
                <w:noProof/>
              </w:rPr>
            </w:pPr>
            <w:r>
              <w:rPr>
                <w:noProof/>
              </w:rPr>
              <w:t>R</w:t>
            </w:r>
            <w:r w:rsidRPr="0096250C">
              <w:rPr>
                <w:noProof/>
              </w:rPr>
              <w:t>epayments</w:t>
            </w:r>
            <w:r>
              <w:rPr>
                <w:noProof/>
              </w:rPr>
              <w:t xml:space="preserve"> and interest received</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-0.1</w:t>
            </w:r>
          </w:p>
        </w:tc>
        <w:tc>
          <w:tcPr>
            <w:tcW w:w="690" w:type="pct"/>
            <w:vAlign w:val="center"/>
          </w:tcPr>
          <w:p w:rsidR="00025390" w:rsidRPr="00F87975" w:rsidRDefault="00025390" w:rsidP="00F87975">
            <w:pPr>
              <w:pStyle w:val="TableTextRight"/>
              <w:rPr>
                <w:b/>
                <w:i/>
                <w:noProof/>
              </w:rPr>
            </w:pPr>
            <w:r w:rsidRPr="00F87975">
              <w:rPr>
                <w:b/>
                <w:i/>
                <w:noProof/>
              </w:rPr>
              <w:t>-0.1</w:t>
            </w:r>
          </w:p>
        </w:tc>
      </w:tr>
      <w:tr w:rsidR="00025390" w:rsidTr="00F87975">
        <w:tc>
          <w:tcPr>
            <w:tcW w:w="5000" w:type="pct"/>
            <w:gridSpan w:val="6"/>
            <w:shd w:val="clear" w:color="auto" w:fill="E9ECF3" w:themeFill="accent2" w:themeFillTint="33"/>
            <w:vAlign w:val="center"/>
          </w:tcPr>
          <w:p w:rsidR="00025390" w:rsidRPr="00025390" w:rsidRDefault="00025390" w:rsidP="00F87975">
            <w:pPr>
              <w:pStyle w:val="TableText"/>
              <w:rPr>
                <w:b/>
              </w:rPr>
            </w:pPr>
            <w:r w:rsidRPr="00025390">
              <w:rPr>
                <w:b/>
              </w:rPr>
              <w:t>PDI</w:t>
            </w:r>
          </w:p>
        </w:tc>
      </w:tr>
      <w:tr w:rsidR="00025390" w:rsidTr="00F87975">
        <w:tc>
          <w:tcPr>
            <w:tcW w:w="1554" w:type="pct"/>
            <w:vAlign w:val="center"/>
          </w:tcPr>
          <w:p w:rsidR="00025390" w:rsidRPr="00E72F19" w:rsidRDefault="00025390" w:rsidP="00F87975">
            <w:pPr>
              <w:pStyle w:val="TableText"/>
              <w:rPr>
                <w:noProof/>
              </w:rPr>
            </w:pPr>
            <w:r>
              <w:rPr>
                <w:noProof/>
              </w:rPr>
              <w:t>Payments</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w:t>
            </w:r>
          </w:p>
        </w:tc>
        <w:tc>
          <w:tcPr>
            <w:tcW w:w="689" w:type="pct"/>
            <w:vAlign w:val="center"/>
          </w:tcPr>
          <w:p w:rsidR="00025390" w:rsidRPr="00F87975" w:rsidRDefault="00025390" w:rsidP="00F87975">
            <w:pPr>
              <w:pStyle w:val="TableTextRight"/>
              <w:rPr>
                <w:i/>
                <w:noProof/>
              </w:rPr>
            </w:pPr>
            <w:r w:rsidRPr="00F87975">
              <w:rPr>
                <w:i/>
                <w:noProof/>
              </w:rPr>
              <w:t>0.1</w:t>
            </w:r>
          </w:p>
        </w:tc>
        <w:tc>
          <w:tcPr>
            <w:tcW w:w="690" w:type="pct"/>
            <w:vAlign w:val="center"/>
          </w:tcPr>
          <w:p w:rsidR="00025390" w:rsidRPr="00F87975" w:rsidRDefault="00025390" w:rsidP="00F87975">
            <w:pPr>
              <w:pStyle w:val="TableTextRight"/>
              <w:rPr>
                <w:b/>
                <w:i/>
                <w:noProof/>
              </w:rPr>
            </w:pPr>
            <w:r w:rsidRPr="00F87975">
              <w:rPr>
                <w:b/>
                <w:i/>
                <w:noProof/>
              </w:rPr>
              <w:t>0.2</w:t>
            </w:r>
          </w:p>
        </w:tc>
      </w:tr>
      <w:tr w:rsidR="00025390" w:rsidRPr="007C2713" w:rsidTr="00F87975">
        <w:tc>
          <w:tcPr>
            <w:tcW w:w="1554" w:type="pct"/>
            <w:shd w:val="clear" w:color="auto" w:fill="D7DDE9" w:themeFill="accent3"/>
            <w:vAlign w:val="center"/>
          </w:tcPr>
          <w:p w:rsidR="00025390" w:rsidRPr="00025390" w:rsidRDefault="00025390" w:rsidP="00F87975">
            <w:pPr>
              <w:pStyle w:val="TableText"/>
              <w:rPr>
                <w:b/>
              </w:rPr>
            </w:pPr>
            <w:r w:rsidRPr="00025390">
              <w:rPr>
                <w:b/>
              </w:rPr>
              <w:t>Total</w:t>
            </w:r>
          </w:p>
        </w:tc>
        <w:tc>
          <w:tcPr>
            <w:tcW w:w="689" w:type="pct"/>
            <w:shd w:val="clear" w:color="auto" w:fill="D7DDE9" w:themeFill="accent3"/>
            <w:vAlign w:val="center"/>
          </w:tcPr>
          <w:p w:rsidR="00025390" w:rsidRPr="00063458" w:rsidRDefault="00025390" w:rsidP="00F87975">
            <w:pPr>
              <w:pStyle w:val="TableTextRight"/>
              <w:rPr>
                <w:b/>
                <w:noProof/>
              </w:rPr>
            </w:pPr>
            <w:r w:rsidRPr="00063458">
              <w:rPr>
                <w:b/>
                <w:noProof/>
              </w:rPr>
              <w:t>-</w:t>
            </w:r>
          </w:p>
        </w:tc>
        <w:tc>
          <w:tcPr>
            <w:tcW w:w="689" w:type="pct"/>
            <w:shd w:val="clear" w:color="auto" w:fill="D7DDE9" w:themeFill="accent3"/>
            <w:vAlign w:val="center"/>
          </w:tcPr>
          <w:p w:rsidR="00025390" w:rsidRPr="00063458" w:rsidRDefault="00025390" w:rsidP="00F87975">
            <w:pPr>
              <w:pStyle w:val="TableTextRight"/>
              <w:rPr>
                <w:b/>
                <w:noProof/>
              </w:rPr>
            </w:pPr>
            <w:r w:rsidRPr="00063458">
              <w:rPr>
                <w:b/>
                <w:noProof/>
              </w:rPr>
              <w:t>0.8</w:t>
            </w:r>
          </w:p>
        </w:tc>
        <w:tc>
          <w:tcPr>
            <w:tcW w:w="689" w:type="pct"/>
            <w:shd w:val="clear" w:color="auto" w:fill="D7DDE9" w:themeFill="accent3"/>
            <w:vAlign w:val="center"/>
          </w:tcPr>
          <w:p w:rsidR="00025390" w:rsidRPr="00063458" w:rsidRDefault="00025390" w:rsidP="00F87975">
            <w:pPr>
              <w:pStyle w:val="TableTextRight"/>
              <w:rPr>
                <w:b/>
                <w:noProof/>
              </w:rPr>
            </w:pPr>
            <w:r w:rsidRPr="00063458">
              <w:rPr>
                <w:b/>
                <w:noProof/>
              </w:rPr>
              <w:t>1.5</w:t>
            </w:r>
          </w:p>
        </w:tc>
        <w:tc>
          <w:tcPr>
            <w:tcW w:w="689" w:type="pct"/>
            <w:shd w:val="clear" w:color="auto" w:fill="D7DDE9" w:themeFill="accent3"/>
            <w:vAlign w:val="center"/>
          </w:tcPr>
          <w:p w:rsidR="00025390" w:rsidRPr="00063458" w:rsidRDefault="00025390" w:rsidP="00F87975">
            <w:pPr>
              <w:pStyle w:val="TableTextRight"/>
              <w:rPr>
                <w:b/>
                <w:noProof/>
              </w:rPr>
            </w:pPr>
            <w:r w:rsidRPr="00063458">
              <w:rPr>
                <w:b/>
                <w:noProof/>
              </w:rPr>
              <w:t>1.6</w:t>
            </w:r>
          </w:p>
        </w:tc>
        <w:tc>
          <w:tcPr>
            <w:tcW w:w="690" w:type="pct"/>
            <w:shd w:val="clear" w:color="auto" w:fill="D7DDE9" w:themeFill="accent3"/>
            <w:vAlign w:val="center"/>
          </w:tcPr>
          <w:p w:rsidR="00025390" w:rsidRPr="00063458" w:rsidRDefault="00025390" w:rsidP="00F87975">
            <w:pPr>
              <w:pStyle w:val="TableTextRight"/>
              <w:rPr>
                <w:b/>
                <w:noProof/>
              </w:rPr>
            </w:pPr>
            <w:r w:rsidRPr="00063458">
              <w:rPr>
                <w:b/>
                <w:noProof/>
              </w:rPr>
              <w:t>3.9</w:t>
            </w:r>
          </w:p>
        </w:tc>
      </w:tr>
    </w:tbl>
    <w:p w:rsidR="006F03D2" w:rsidRDefault="006F03D2" w:rsidP="002C43F8">
      <w:pPr>
        <w:pStyle w:val="Footnotes"/>
        <w:numPr>
          <w:ilvl w:val="0"/>
          <w:numId w:val="110"/>
        </w:numPr>
        <w:ind w:left="284" w:hanging="284"/>
      </w:pPr>
      <w:r>
        <w:t>A positive number for the headline cash balance indicates an increase in cash flows.  A negative number for the headline cash balance indicates a decrease in cash flows.</w:t>
      </w:r>
    </w:p>
    <w:p w:rsidR="006F03D2" w:rsidRDefault="006F03D2" w:rsidP="00D44CAE">
      <w:pPr>
        <w:pStyle w:val="Footnotes"/>
        <w:ind w:left="284" w:hanging="284"/>
      </w:pPr>
      <w:r>
        <w:t>Figures may not sum to totals due to rounding.</w:t>
      </w:r>
    </w:p>
    <w:p w:rsidR="006F03D2" w:rsidRDefault="006F03D2" w:rsidP="006F03D2">
      <w:pPr>
        <w:pStyle w:val="Footnotes"/>
        <w:numPr>
          <w:ilvl w:val="0"/>
          <w:numId w:val="0"/>
        </w:numPr>
        <w:ind w:left="284" w:hanging="284"/>
      </w:pPr>
      <w:r>
        <w:t>..</w:t>
      </w:r>
      <w:r>
        <w:tab/>
        <w:t>Not zero but rounded to zero.</w:t>
      </w:r>
    </w:p>
    <w:p w:rsidR="006F03D2" w:rsidRPr="006F03D2" w:rsidRDefault="006F03D2" w:rsidP="006F03D2">
      <w:pPr>
        <w:pStyle w:val="Footnotes"/>
        <w:numPr>
          <w:ilvl w:val="0"/>
          <w:numId w:val="0"/>
        </w:numPr>
        <w:ind w:left="284" w:hanging="284"/>
      </w:pPr>
      <w:r>
        <w:t>-</w:t>
      </w:r>
      <w:r>
        <w:tab/>
        <w:t>Indicates nil.</w:t>
      </w:r>
    </w:p>
    <w:p w:rsidR="00420CF4" w:rsidRPr="00951305" w:rsidRDefault="00420CF4" w:rsidP="00420CF4">
      <w:pPr>
        <w:pStyle w:val="BodyText"/>
      </w:pPr>
    </w:p>
    <w:p w:rsidR="00420CF4" w:rsidRDefault="00420CF4" w:rsidP="00420CF4">
      <w:pPr>
        <w:pStyle w:val="BodyText"/>
        <w:sectPr w:rsidR="00420CF4" w:rsidSect="00DC17E4">
          <w:footnotePr>
            <w:numRestart w:val="eachSect"/>
          </w:footnotePr>
          <w:pgSz w:w="11906" w:h="16838" w:code="9"/>
          <w:pgMar w:top="1361" w:right="1797" w:bottom="1474" w:left="1797" w:header="283" w:footer="454" w:gutter="0"/>
          <w:cols w:space="708"/>
          <w:docGrid w:linePitch="360"/>
        </w:sectPr>
      </w:pPr>
    </w:p>
    <w:p w:rsidR="00420CF4" w:rsidRDefault="00C203DD" w:rsidP="00420CF4">
      <w:pPr>
        <w:pStyle w:val="Heading5"/>
        <w:ind w:left="1080" w:hanging="1080"/>
      </w:pPr>
      <w:bookmarkStart w:id="40" w:name="_Toc458081660"/>
      <w:r>
        <w:t>ALP03</w:t>
      </w:r>
      <w:r w:rsidR="00C21EBE">
        <w:t>6</w:t>
      </w:r>
      <w:r w:rsidR="00420CF4">
        <w:t xml:space="preserve">: </w:t>
      </w:r>
      <w:r>
        <w:t>STEM Teaching Scholarships</w:t>
      </w:r>
      <w:bookmarkEnd w:id="40"/>
    </w:p>
    <w:p w:rsidR="00745988" w:rsidRDefault="00745988" w:rsidP="00745988">
      <w:pPr>
        <w:pStyle w:val="BodyText"/>
      </w:pPr>
      <w:r>
        <w:rPr>
          <w:noProof/>
          <w:lang w:eastAsia="en-AU"/>
        </w:rPr>
        <w:drawing>
          <wp:inline distT="0" distB="0" distL="0" distR="0" wp14:anchorId="00D3EC09" wp14:editId="5D12BD94">
            <wp:extent cx="2696845" cy="572135"/>
            <wp:effectExtent l="0" t="0" r="8255" b="0"/>
            <wp:docPr id="354" name="Picture 35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767CC7">
            <w:pPr>
              <w:pStyle w:val="PullOutBoxHeading"/>
              <w:rPr>
                <w:b/>
              </w:rPr>
            </w:pPr>
            <w:r w:rsidRPr="00E51946">
              <w:rPr>
                <w:b/>
              </w:rPr>
              <w:t>Name of proposal:</w:t>
            </w:r>
          </w:p>
        </w:tc>
        <w:tc>
          <w:tcPr>
            <w:tcW w:w="3191" w:type="pct"/>
          </w:tcPr>
          <w:p w:rsidR="00420CF4" w:rsidRPr="00E51946" w:rsidRDefault="005632F5" w:rsidP="00767CC7">
            <w:pPr>
              <w:pStyle w:val="PullOutBoxHeading"/>
              <w:rPr>
                <w:b/>
              </w:rPr>
            </w:pPr>
            <w:r w:rsidRPr="00E51946">
              <w:rPr>
                <w:b/>
              </w:rPr>
              <w:t>STEM Teaching Scholarships</w:t>
            </w:r>
          </w:p>
        </w:tc>
      </w:tr>
      <w:tr w:rsidR="00420CF4" w:rsidRPr="00B45F94" w:rsidTr="00967BCD">
        <w:tc>
          <w:tcPr>
            <w:tcW w:w="1809" w:type="pct"/>
          </w:tcPr>
          <w:p w:rsidR="00420CF4" w:rsidRPr="00B45F94" w:rsidRDefault="00420CF4" w:rsidP="00767CC7">
            <w:pPr>
              <w:pStyle w:val="PullOutBoxBodyText"/>
            </w:pPr>
            <w:r w:rsidRPr="00B45F94">
              <w:t>Summary of proposal:</w:t>
            </w:r>
          </w:p>
        </w:tc>
        <w:tc>
          <w:tcPr>
            <w:tcW w:w="3191" w:type="pct"/>
          </w:tcPr>
          <w:p w:rsidR="005632F5" w:rsidRPr="005632F5" w:rsidRDefault="005632F5" w:rsidP="00767CC7">
            <w:pPr>
              <w:pStyle w:val="PullOutBoxBodyText"/>
            </w:pPr>
            <w:r w:rsidRPr="005632F5">
              <w:t>The proposal would offer 5,000 scholarships each academic year over five years to Science, Technology, Engineering and Mathematics (STEM) graduates to under</w:t>
            </w:r>
            <w:r>
              <w:t>take a teaching qualification.</w:t>
            </w:r>
          </w:p>
          <w:p w:rsidR="005632F5" w:rsidRPr="005632F5" w:rsidRDefault="005632F5" w:rsidP="00767CC7">
            <w:pPr>
              <w:pStyle w:val="PullOutBoxBodyText"/>
            </w:pPr>
            <w:r w:rsidRPr="005632F5">
              <w:t>The scholarships would be open to graduates that had completed their STEM degree within five year</w:t>
            </w:r>
            <w:r>
              <w:t>s of seeking the scholarship.</w:t>
            </w:r>
          </w:p>
          <w:p w:rsidR="005632F5" w:rsidRPr="005632F5" w:rsidRDefault="005632F5" w:rsidP="00767CC7">
            <w:pPr>
              <w:pStyle w:val="PullOutBoxBodyText"/>
            </w:pPr>
            <w:r w:rsidRPr="005632F5">
              <w:t>The scholarships would have a value of $15,000 over the life of the scholarship, with an initial payment of $5,000 to graduates upon commencing study and a payment of $10,000 followin</w:t>
            </w:r>
            <w:r>
              <w:t>g their first year of teaching.</w:t>
            </w:r>
          </w:p>
          <w:p w:rsidR="005632F5" w:rsidRPr="005632F5" w:rsidRDefault="005632F5" w:rsidP="00767CC7">
            <w:pPr>
              <w:pStyle w:val="PullOutBoxBodyText"/>
            </w:pPr>
            <w:r w:rsidRPr="005632F5">
              <w:t>Departmental expenses would be in addition to the amounts specified above.</w:t>
            </w:r>
          </w:p>
          <w:p w:rsidR="00420CF4" w:rsidRPr="00B45F94" w:rsidRDefault="005632F5" w:rsidP="00767CC7">
            <w:pPr>
              <w:pStyle w:val="PullOutBoxBodyText"/>
            </w:pPr>
            <w:r w:rsidRPr="005632F5">
              <w:t>The proposal would have effect from the 2017 school year.</w:t>
            </w:r>
          </w:p>
        </w:tc>
      </w:tr>
      <w:tr w:rsidR="00420CF4" w:rsidRPr="00B45F94" w:rsidTr="00967BCD">
        <w:tc>
          <w:tcPr>
            <w:tcW w:w="1809" w:type="pct"/>
          </w:tcPr>
          <w:p w:rsidR="00420CF4" w:rsidRPr="00B45F94" w:rsidRDefault="00420CF4" w:rsidP="00767CC7">
            <w:pPr>
              <w:pStyle w:val="PullOutBoxBodyText"/>
            </w:pPr>
            <w:r>
              <w:t>Party:</w:t>
            </w:r>
          </w:p>
        </w:tc>
        <w:tc>
          <w:tcPr>
            <w:tcW w:w="3191" w:type="pct"/>
          </w:tcPr>
          <w:p w:rsidR="00420CF4" w:rsidRPr="00B45F94" w:rsidRDefault="00420CF4" w:rsidP="00767CC7">
            <w:pPr>
              <w:pStyle w:val="PullOutBoxBodyText"/>
            </w:pPr>
            <w:r>
              <w:t>Australian Labor Party</w:t>
            </w:r>
          </w:p>
        </w:tc>
      </w:tr>
      <w:tr w:rsidR="00420CF4" w:rsidRPr="00B45F94" w:rsidTr="00967BCD">
        <w:tc>
          <w:tcPr>
            <w:tcW w:w="1809" w:type="pct"/>
          </w:tcPr>
          <w:p w:rsidR="00420CF4" w:rsidRPr="00B45F94" w:rsidRDefault="00420CF4" w:rsidP="00767CC7">
            <w:pPr>
              <w:pStyle w:val="PullOutBoxBodyText"/>
            </w:pPr>
            <w:r w:rsidRPr="00B45F94">
              <w:t>Expiry date for the costing:</w:t>
            </w:r>
          </w:p>
        </w:tc>
        <w:tc>
          <w:tcPr>
            <w:tcW w:w="3191" w:type="pct"/>
          </w:tcPr>
          <w:p w:rsidR="00420CF4" w:rsidRPr="00B45F94" w:rsidRDefault="00EC102A" w:rsidP="00767CC7">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5632F5" w:rsidRPr="005632F5" w:rsidRDefault="005632F5" w:rsidP="005632F5">
      <w:pPr>
        <w:pStyle w:val="BodyText"/>
      </w:pPr>
      <w:r w:rsidRPr="005632F5">
        <w:t>This proposal would be expected to decrease the fiscal and underlying cash balances by $210.0 million over the 2016-17 Budget forward estimates period.  This reflects an increase in administered expenses of $200.0 million and departme</w:t>
      </w:r>
      <w:r>
        <w:t>ntal expenses of $10.0 million.</w:t>
      </w:r>
    </w:p>
    <w:p w:rsidR="005632F5" w:rsidRPr="005632F5" w:rsidRDefault="005632F5" w:rsidP="005632F5">
      <w:pPr>
        <w:pStyle w:val="BodyText"/>
      </w:pPr>
      <w:r w:rsidRPr="005632F5">
        <w:t>This proposal would have ongoing financial implications beyond the 2016-17 Budget forward estimates period until</w:t>
      </w:r>
      <w:r>
        <w:t xml:space="preserve"> 2022-23.</w:t>
      </w:r>
    </w:p>
    <w:p w:rsidR="005632F5" w:rsidRPr="005632F5" w:rsidRDefault="005632F5" w:rsidP="005632F5">
      <w:pPr>
        <w:pStyle w:val="BodyText"/>
      </w:pPr>
      <w:r w:rsidRPr="005632F5">
        <w:t xml:space="preserve">Departmental expenses for the Department of Education and Training of $2.5 million for each of the seven years of the projected scholarship payments reflect the estimated cost of implementation and </w:t>
      </w:r>
      <w:r>
        <w:t>administration of the proposal.</w:t>
      </w:r>
    </w:p>
    <w:p w:rsidR="005632F5" w:rsidRPr="005632F5" w:rsidRDefault="005632F5" w:rsidP="005632F5">
      <w:pPr>
        <w:pStyle w:val="BodyText"/>
      </w:pPr>
      <w:r w:rsidRPr="005632F5">
        <w:t>This costing is considered to be of medium reliability.  While the administered expenses are specified and the departmental expense estimates are based on the costs of a similar program, several assumptions have been made in relation to scholarship recipients.</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767CC7">
            <w:pPr>
              <w:pStyle w:val="TableHeading"/>
            </w:pPr>
            <w:r>
              <w:t>Impact on</w:t>
            </w:r>
            <w:r w:rsidR="005632F5">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5632F5">
            <w:pPr>
              <w:pStyle w:val="TableTextRight"/>
            </w:pPr>
            <w:r>
              <w:t>Total</w:t>
            </w:r>
          </w:p>
        </w:tc>
      </w:tr>
      <w:tr w:rsidR="005632F5" w:rsidTr="00967BCD">
        <w:tc>
          <w:tcPr>
            <w:tcW w:w="1393" w:type="pct"/>
          </w:tcPr>
          <w:p w:rsidR="005632F5" w:rsidRDefault="005632F5" w:rsidP="00767CC7">
            <w:pPr>
              <w:pStyle w:val="TableText"/>
              <w:keepNext/>
              <w:keepLines/>
            </w:pPr>
            <w:r>
              <w:t>Fiscal balance</w:t>
            </w:r>
          </w:p>
        </w:tc>
        <w:tc>
          <w:tcPr>
            <w:tcW w:w="721" w:type="pct"/>
          </w:tcPr>
          <w:p w:rsidR="005632F5" w:rsidRPr="003A3459" w:rsidRDefault="005632F5" w:rsidP="005632F5">
            <w:pPr>
              <w:pStyle w:val="TableTextRight"/>
            </w:pPr>
            <w:r>
              <w:t>-27.5</w:t>
            </w:r>
          </w:p>
        </w:tc>
        <w:tc>
          <w:tcPr>
            <w:tcW w:w="721" w:type="pct"/>
          </w:tcPr>
          <w:p w:rsidR="005632F5" w:rsidRPr="003A3459" w:rsidRDefault="005632F5" w:rsidP="005632F5">
            <w:pPr>
              <w:pStyle w:val="TableTextRight"/>
            </w:pPr>
            <w:r>
              <w:t>-27.5</w:t>
            </w:r>
          </w:p>
        </w:tc>
        <w:tc>
          <w:tcPr>
            <w:tcW w:w="722" w:type="pct"/>
          </w:tcPr>
          <w:p w:rsidR="005632F5" w:rsidRPr="003A3459" w:rsidRDefault="005632F5" w:rsidP="005632F5">
            <w:pPr>
              <w:pStyle w:val="TableTextRight"/>
            </w:pPr>
            <w:r>
              <w:t>-77.5</w:t>
            </w:r>
          </w:p>
        </w:tc>
        <w:tc>
          <w:tcPr>
            <w:tcW w:w="721" w:type="pct"/>
          </w:tcPr>
          <w:p w:rsidR="005632F5" w:rsidRPr="003A3459" w:rsidRDefault="005632F5" w:rsidP="005632F5">
            <w:pPr>
              <w:pStyle w:val="TableTextRight"/>
            </w:pPr>
            <w:r>
              <w:t>-77.5</w:t>
            </w:r>
          </w:p>
        </w:tc>
        <w:tc>
          <w:tcPr>
            <w:tcW w:w="722" w:type="pct"/>
          </w:tcPr>
          <w:p w:rsidR="005632F5" w:rsidRPr="00C363AE" w:rsidRDefault="005632F5" w:rsidP="005632F5">
            <w:pPr>
              <w:pStyle w:val="TableTextRight"/>
              <w:rPr>
                <w:b/>
              </w:rPr>
            </w:pPr>
            <w:r>
              <w:rPr>
                <w:b/>
              </w:rPr>
              <w:t>-210.0</w:t>
            </w:r>
          </w:p>
        </w:tc>
      </w:tr>
      <w:tr w:rsidR="005632F5" w:rsidTr="00967BCD">
        <w:tc>
          <w:tcPr>
            <w:tcW w:w="1393" w:type="pct"/>
          </w:tcPr>
          <w:p w:rsidR="005632F5" w:rsidRDefault="005632F5" w:rsidP="00DC17E4">
            <w:pPr>
              <w:pStyle w:val="TableText"/>
              <w:keepNext/>
              <w:keepLines/>
            </w:pPr>
            <w:r>
              <w:t>Underlying cash balance</w:t>
            </w:r>
          </w:p>
        </w:tc>
        <w:tc>
          <w:tcPr>
            <w:tcW w:w="721" w:type="pct"/>
          </w:tcPr>
          <w:p w:rsidR="005632F5" w:rsidRPr="003A3459" w:rsidRDefault="005632F5" w:rsidP="00DC17E4">
            <w:pPr>
              <w:pStyle w:val="TableTextRight"/>
              <w:keepNext/>
              <w:keepLines/>
            </w:pPr>
            <w:r>
              <w:t>-27.5</w:t>
            </w:r>
          </w:p>
        </w:tc>
        <w:tc>
          <w:tcPr>
            <w:tcW w:w="721" w:type="pct"/>
          </w:tcPr>
          <w:p w:rsidR="005632F5" w:rsidRPr="003A3459" w:rsidRDefault="005632F5" w:rsidP="00DC17E4">
            <w:pPr>
              <w:pStyle w:val="TableTextRight"/>
              <w:keepNext/>
              <w:keepLines/>
            </w:pPr>
            <w:r>
              <w:t>-27.5</w:t>
            </w:r>
          </w:p>
        </w:tc>
        <w:tc>
          <w:tcPr>
            <w:tcW w:w="722" w:type="pct"/>
          </w:tcPr>
          <w:p w:rsidR="005632F5" w:rsidRPr="003A3459" w:rsidRDefault="005632F5" w:rsidP="00DC17E4">
            <w:pPr>
              <w:pStyle w:val="TableTextRight"/>
              <w:keepNext/>
              <w:keepLines/>
            </w:pPr>
            <w:r>
              <w:t>-77.5</w:t>
            </w:r>
          </w:p>
        </w:tc>
        <w:tc>
          <w:tcPr>
            <w:tcW w:w="721" w:type="pct"/>
          </w:tcPr>
          <w:p w:rsidR="005632F5" w:rsidRPr="003A3459" w:rsidRDefault="005632F5" w:rsidP="00DC17E4">
            <w:pPr>
              <w:pStyle w:val="TableTextRight"/>
              <w:keepNext/>
              <w:keepLines/>
            </w:pPr>
            <w:r>
              <w:t>-77.5</w:t>
            </w:r>
          </w:p>
        </w:tc>
        <w:tc>
          <w:tcPr>
            <w:tcW w:w="722" w:type="pct"/>
          </w:tcPr>
          <w:p w:rsidR="005632F5" w:rsidRPr="00C363AE" w:rsidRDefault="005632F5" w:rsidP="00DC17E4">
            <w:pPr>
              <w:pStyle w:val="TableTextRight"/>
              <w:keepNext/>
              <w:keepLines/>
              <w:rPr>
                <w:b/>
              </w:rPr>
            </w:pPr>
            <w:r>
              <w:rPr>
                <w:b/>
              </w:rPr>
              <w:t>-210.0</w:t>
            </w:r>
          </w:p>
        </w:tc>
      </w:tr>
    </w:tbl>
    <w:p w:rsidR="00420CF4" w:rsidRPr="005632F5" w:rsidRDefault="00420CF4" w:rsidP="00DC17E4">
      <w:pPr>
        <w:pStyle w:val="Footnotes"/>
        <w:keepNext/>
        <w:keepLines/>
        <w:numPr>
          <w:ilvl w:val="0"/>
          <w:numId w:val="104"/>
        </w:numPr>
        <w:ind w:left="284" w:hanging="284"/>
      </w:pPr>
      <w:r w:rsidRPr="005632F5">
        <w:t>A positive number indicates an increase in the relevant budget balance, a negative number</w:t>
      </w:r>
      <w:r w:rsidR="005632F5" w:rsidRPr="005632F5">
        <w:t xml:space="preserve"> represents</w:t>
      </w:r>
      <w:r w:rsidRPr="005632F5">
        <w:t xml:space="preserve"> a decrease.</w:t>
      </w:r>
    </w:p>
    <w:p w:rsidR="00420CF4" w:rsidRPr="005632F5" w:rsidRDefault="00420CF4" w:rsidP="00767CC7">
      <w:pPr>
        <w:pStyle w:val="Footnotes"/>
        <w:ind w:left="284" w:hanging="284"/>
        <w:rPr>
          <w:rStyle w:val="FootnoteReference"/>
          <w:vertAlign w:val="baseline"/>
        </w:rPr>
      </w:pPr>
      <w:r w:rsidRPr="005632F5">
        <w:t>Figures may not sum to totals due to rounding.</w:t>
      </w:r>
    </w:p>
    <w:p w:rsidR="00420CF4" w:rsidRDefault="00420CF4" w:rsidP="00420CF4">
      <w:pPr>
        <w:pStyle w:val="CostingsH7"/>
      </w:pPr>
      <w:r>
        <w:t>Key assumptions</w:t>
      </w:r>
    </w:p>
    <w:p w:rsidR="00BC64FC" w:rsidRPr="00BC64FC" w:rsidRDefault="00BC64FC" w:rsidP="00BC64FC">
      <w:pPr>
        <w:pStyle w:val="BodyText"/>
      </w:pPr>
      <w:r w:rsidRPr="00BC64FC">
        <w:t xml:space="preserve">In costing this proposal, the Parliamentary Budget Office has assumed that: </w:t>
      </w:r>
    </w:p>
    <w:p w:rsidR="00BC64FC" w:rsidRDefault="00BC64FC" w:rsidP="00BC64FC">
      <w:pPr>
        <w:pStyle w:val="ListBullet"/>
      </w:pPr>
      <w:r>
        <w:t>all scholarship recipients would commence studies in January each year</w:t>
      </w:r>
    </w:p>
    <w:p w:rsidR="00BC64FC" w:rsidRDefault="00BC64FC" w:rsidP="00BC64FC">
      <w:pPr>
        <w:pStyle w:val="ListBullet"/>
      </w:pPr>
      <w:r>
        <w:t>all scholarship recipients would complete their studies in one year</w:t>
      </w:r>
    </w:p>
    <w:p w:rsidR="00BC64FC" w:rsidRDefault="00BC64FC" w:rsidP="00BC64FC">
      <w:pPr>
        <w:pStyle w:val="ListBullet"/>
      </w:pPr>
      <w:r>
        <w:t>all scholarships would be fully utilised</w:t>
      </w:r>
    </w:p>
    <w:p w:rsidR="00BC64FC" w:rsidRDefault="00BC64FC" w:rsidP="00BC64FC">
      <w:pPr>
        <w:pStyle w:val="ListBullet"/>
      </w:pPr>
      <w:r>
        <w:t>all scholarship recipients would subsequently teach for at least one year, meeting the requirement to receive the second payment, with the first of these payments starting in 2018-19</w:t>
      </w:r>
    </w:p>
    <w:p w:rsidR="00BC64FC" w:rsidRDefault="00BC64FC" w:rsidP="00BC64FC">
      <w:pPr>
        <w:pStyle w:val="ListBullet"/>
      </w:pPr>
      <w:r>
        <w:t>the proposal would not result in a material change in the number of tertiary students</w:t>
      </w:r>
    </w:p>
    <w:p w:rsidR="00BC64FC" w:rsidRPr="00BC64FC" w:rsidRDefault="00BC64FC" w:rsidP="00BC64FC">
      <w:pPr>
        <w:pStyle w:val="ListBullet"/>
      </w:pPr>
      <w:r>
        <w:t>the scholarships would not be taxable.</w:t>
      </w:r>
    </w:p>
    <w:p w:rsidR="00420CF4" w:rsidRDefault="00420CF4" w:rsidP="00420CF4">
      <w:pPr>
        <w:pStyle w:val="CostingsH7"/>
      </w:pPr>
      <w:r>
        <w:t>Methodology</w:t>
      </w:r>
    </w:p>
    <w:p w:rsidR="00E306EE" w:rsidRDefault="00E306EE" w:rsidP="00E306EE">
      <w:pPr>
        <w:pStyle w:val="BodyText"/>
      </w:pPr>
      <w:r>
        <w:t>The administered costs were calculated by multiplying the specified number of scholarships by the payments within each financial year.</w:t>
      </w:r>
    </w:p>
    <w:p w:rsidR="00E306EE" w:rsidRPr="00E306EE" w:rsidRDefault="00E306EE" w:rsidP="00E306EE">
      <w:pPr>
        <w:pStyle w:val="BodyText"/>
      </w:pPr>
      <w:r>
        <w:t xml:space="preserve">The departmental costs of the proposed options were estimated based on funding allocated to the 2014-15 Budget measure, </w:t>
      </w:r>
      <w:r w:rsidRPr="00E306EE">
        <w:rPr>
          <w:i/>
        </w:rPr>
        <w:t>National School Chaplaincy Programme—continuation</w:t>
      </w:r>
      <w:r>
        <w:t>, as it is expected to involve a broadly similar administrative workload.</w:t>
      </w:r>
    </w:p>
    <w:p w:rsidR="00420CF4" w:rsidRPr="00BC22C0" w:rsidRDefault="00420CF4" w:rsidP="00420CF4">
      <w:pPr>
        <w:pStyle w:val="CostingsH7"/>
      </w:pPr>
      <w:r w:rsidRPr="00BC22C0">
        <w:t>Data sources</w:t>
      </w:r>
    </w:p>
    <w:p w:rsidR="00E306EE" w:rsidRPr="00BC22C0" w:rsidRDefault="00017F5D" w:rsidP="00017F5D">
      <w:pPr>
        <w:pStyle w:val="ListBullet"/>
      </w:pPr>
      <w:r w:rsidRPr="00BC22C0">
        <w:t xml:space="preserve">Commonwealth of Australia 2014, </w:t>
      </w:r>
      <w:r w:rsidR="00E306EE" w:rsidRPr="00BC22C0">
        <w:rPr>
          <w:i/>
        </w:rPr>
        <w:t>2014-15 Budget Paper 2</w:t>
      </w:r>
      <w:r w:rsidRPr="00BC22C0">
        <w:t>, Commonwealth of Australia, Canberra</w:t>
      </w:r>
      <w:r w:rsidR="00E306EE" w:rsidRPr="00BC22C0">
        <w:t>.</w:t>
      </w:r>
    </w:p>
    <w:p w:rsidR="00420CF4" w:rsidRPr="00BC22C0" w:rsidRDefault="00E306EE" w:rsidP="00420CF4">
      <w:pPr>
        <w:pStyle w:val="ListBullet"/>
      </w:pPr>
      <w:r w:rsidRPr="00BC22C0">
        <w:t>Department of Education and Training</w:t>
      </w:r>
      <w:r w:rsidR="00B91A9C" w:rsidRPr="00BC22C0">
        <w:t xml:space="preserve"> 2014</w:t>
      </w:r>
      <w:r w:rsidRPr="00BC22C0">
        <w:t>,</w:t>
      </w:r>
      <w:r w:rsidRPr="00BC22C0">
        <w:rPr>
          <w:i/>
        </w:rPr>
        <w:t xml:space="preserve"> Portfolio Budget Statements 2014-15</w:t>
      </w:r>
      <w:r w:rsidR="00B91A9C" w:rsidRPr="00BC22C0">
        <w:t>.</w:t>
      </w:r>
    </w:p>
    <w:p w:rsidR="00F5589B" w:rsidRPr="00767CC7" w:rsidRDefault="00F5589B" w:rsidP="00F5589B">
      <w:pPr>
        <w:pStyle w:val="BodyText"/>
        <w:rPr>
          <w:highlight w:val="yellow"/>
        </w:rPr>
      </w:pPr>
    </w:p>
    <w:p w:rsidR="00420CF4" w:rsidRDefault="00420CF4" w:rsidP="00F5589B">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C203DD" w:rsidP="00420CF4">
      <w:pPr>
        <w:pStyle w:val="Heading5"/>
        <w:ind w:left="1080" w:hanging="1080"/>
      </w:pPr>
      <w:bookmarkStart w:id="41" w:name="_Toc458081661"/>
      <w:r>
        <w:t>ALP03</w:t>
      </w:r>
      <w:r w:rsidR="00C21EBE">
        <w:t>7</w:t>
      </w:r>
      <w:r w:rsidR="00420CF4">
        <w:t>: Tools for Your Trade</w:t>
      </w:r>
      <w:bookmarkEnd w:id="41"/>
    </w:p>
    <w:p w:rsidR="00745988" w:rsidRDefault="00745988" w:rsidP="00745988">
      <w:pPr>
        <w:pStyle w:val="BodyText"/>
      </w:pPr>
      <w:r>
        <w:rPr>
          <w:noProof/>
          <w:lang w:eastAsia="en-AU"/>
        </w:rPr>
        <w:drawing>
          <wp:inline distT="0" distB="0" distL="0" distR="0" wp14:anchorId="32FFCC55" wp14:editId="1A4E9799">
            <wp:extent cx="2696845" cy="572135"/>
            <wp:effectExtent l="0" t="0" r="8255" b="0"/>
            <wp:docPr id="352" name="Picture 35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E11E5F" w:rsidRPr="00E51946" w:rsidTr="00E11E5F">
        <w:trPr>
          <w:cnfStyle w:val="100000000000" w:firstRow="1" w:lastRow="0" w:firstColumn="0" w:lastColumn="0" w:oddVBand="0" w:evenVBand="0" w:oddHBand="0" w:evenHBand="0" w:firstRowFirstColumn="0" w:firstRowLastColumn="0" w:lastRowFirstColumn="0" w:lastRowLastColumn="0"/>
        </w:trPr>
        <w:tc>
          <w:tcPr>
            <w:tcW w:w="1809" w:type="pct"/>
          </w:tcPr>
          <w:p w:rsidR="00E11E5F" w:rsidRPr="00E51946" w:rsidRDefault="00E11E5F" w:rsidP="00767CC7">
            <w:pPr>
              <w:pStyle w:val="PullOutBoxHeading"/>
              <w:rPr>
                <w:b/>
              </w:rPr>
            </w:pPr>
            <w:r w:rsidRPr="00E51946">
              <w:rPr>
                <w:b/>
              </w:rPr>
              <w:t>Name of proposal:</w:t>
            </w:r>
          </w:p>
        </w:tc>
        <w:tc>
          <w:tcPr>
            <w:tcW w:w="3191" w:type="pct"/>
          </w:tcPr>
          <w:p w:rsidR="00E11E5F" w:rsidRPr="00E51946" w:rsidRDefault="00E11E5F" w:rsidP="00767CC7">
            <w:pPr>
              <w:pStyle w:val="PullOutBoxHeading"/>
              <w:rPr>
                <w:b/>
              </w:rPr>
            </w:pPr>
            <w:r w:rsidRPr="00E51946">
              <w:rPr>
                <w:b/>
              </w:rPr>
              <w:t>Tools for Your Trade</w:t>
            </w:r>
          </w:p>
        </w:tc>
      </w:tr>
      <w:tr w:rsidR="00E11E5F" w:rsidRPr="00B45F94" w:rsidTr="00E11E5F">
        <w:tc>
          <w:tcPr>
            <w:tcW w:w="1809" w:type="pct"/>
          </w:tcPr>
          <w:p w:rsidR="00E11E5F" w:rsidRPr="00B45F94" w:rsidRDefault="00E11E5F" w:rsidP="00767CC7">
            <w:pPr>
              <w:pStyle w:val="PullOutBoxBodyText"/>
            </w:pPr>
            <w:r w:rsidRPr="00B45F94">
              <w:t>Summary of proposal:</w:t>
            </w:r>
          </w:p>
        </w:tc>
        <w:tc>
          <w:tcPr>
            <w:tcW w:w="3191" w:type="pct"/>
          </w:tcPr>
          <w:p w:rsidR="00E11E5F" w:rsidRDefault="00E11E5F" w:rsidP="00767CC7">
            <w:pPr>
              <w:pStyle w:val="PullOutBoxBodyText"/>
            </w:pPr>
            <w:r>
              <w:t xml:space="preserve">The proposal would reintroduce the </w:t>
            </w:r>
            <w:r w:rsidRPr="00E27CD9">
              <w:rPr>
                <w:i/>
              </w:rPr>
              <w:t>Tools for Your Trade</w:t>
            </w:r>
            <w:r>
              <w:t xml:space="preserve"> (TFYT) program, which was abolished in the 2014-15 Budget.  This proposal would make total payments of $3,000 (four $750 payments) over the duration of an apprenticeship.  Payments would be made after three, 12 and 24 months and on successful completion.</w:t>
            </w:r>
          </w:p>
          <w:p w:rsidR="0079116F" w:rsidRDefault="00E11E5F" w:rsidP="00767CC7">
            <w:pPr>
              <w:pStyle w:val="PullOutBoxBodyText"/>
            </w:pPr>
            <w:r>
              <w:t>The reintroduction of TFYT would be offset by the abolition of the current Trade Support Loan (TSL) program.</w:t>
            </w:r>
          </w:p>
          <w:p w:rsidR="002C6D5A" w:rsidRDefault="002C6D5A" w:rsidP="00767CC7">
            <w:pPr>
              <w:pStyle w:val="PullOutBoxBodyText"/>
            </w:pPr>
            <w:r>
              <w:t>An evaluation of the TFYT program would be undertaken in 2019-20.</w:t>
            </w:r>
          </w:p>
          <w:p w:rsidR="00E11E5F" w:rsidRPr="00B45F94" w:rsidRDefault="00E11E5F" w:rsidP="00767CC7">
            <w:pPr>
              <w:pStyle w:val="PullOutBoxBodyText"/>
            </w:pPr>
            <w:r>
              <w:t>The proposal would have effect from 1 July 2017.</w:t>
            </w:r>
          </w:p>
        </w:tc>
      </w:tr>
      <w:tr w:rsidR="00E11E5F" w:rsidRPr="00B45F94" w:rsidTr="00E11E5F">
        <w:tc>
          <w:tcPr>
            <w:tcW w:w="1809" w:type="pct"/>
          </w:tcPr>
          <w:p w:rsidR="00E11E5F" w:rsidRPr="00B45F94" w:rsidRDefault="00E11E5F" w:rsidP="00767CC7">
            <w:pPr>
              <w:pStyle w:val="PullOutBoxBodyText"/>
            </w:pPr>
            <w:r>
              <w:t>Party:</w:t>
            </w:r>
          </w:p>
        </w:tc>
        <w:tc>
          <w:tcPr>
            <w:tcW w:w="3191" w:type="pct"/>
          </w:tcPr>
          <w:p w:rsidR="00E11E5F" w:rsidRPr="00B45F94" w:rsidRDefault="00E11E5F" w:rsidP="00767CC7">
            <w:pPr>
              <w:pStyle w:val="PullOutBoxBodyText"/>
            </w:pPr>
            <w:r>
              <w:t>Australian Labor Party</w:t>
            </w:r>
          </w:p>
        </w:tc>
      </w:tr>
      <w:tr w:rsidR="00E11E5F" w:rsidRPr="00B45F94" w:rsidTr="00E11E5F">
        <w:tc>
          <w:tcPr>
            <w:tcW w:w="1809" w:type="pct"/>
          </w:tcPr>
          <w:p w:rsidR="00E11E5F" w:rsidRPr="00B45F94" w:rsidRDefault="00E11E5F" w:rsidP="00767CC7">
            <w:pPr>
              <w:pStyle w:val="PullOutBoxBodyText"/>
            </w:pPr>
            <w:r w:rsidRPr="00B45F94">
              <w:t>Expiry date for the costing:</w:t>
            </w:r>
          </w:p>
        </w:tc>
        <w:tc>
          <w:tcPr>
            <w:tcW w:w="3191" w:type="pct"/>
          </w:tcPr>
          <w:p w:rsidR="00E11E5F" w:rsidRPr="00B45F94" w:rsidRDefault="00E11E5F" w:rsidP="00767CC7">
            <w:pPr>
              <w:pStyle w:val="PullOutBoxBodyText"/>
            </w:pPr>
            <w:r>
              <w:t>R</w:t>
            </w:r>
            <w:r w:rsidRPr="0064604B">
              <w:t xml:space="preserve">elease of the </w:t>
            </w:r>
            <w:r>
              <w:t>next economic and fiscal update</w:t>
            </w:r>
          </w:p>
        </w:tc>
      </w:tr>
    </w:tbl>
    <w:p w:rsidR="00E11E5F" w:rsidRDefault="00E11E5F" w:rsidP="00E11E5F">
      <w:pPr>
        <w:pStyle w:val="CostingsH7"/>
      </w:pPr>
      <w:r w:rsidRPr="00BF1EE6">
        <w:t>Costing overview</w:t>
      </w:r>
    </w:p>
    <w:p w:rsidR="00E11E5F" w:rsidRPr="00E27CD9" w:rsidRDefault="00E11E5F" w:rsidP="00E11E5F">
      <w:pPr>
        <w:pStyle w:val="BodyText"/>
      </w:pPr>
      <w:r w:rsidRPr="00E27CD9">
        <w:t>This proposal would be expected to decrease the fiscal balance by $98.4 million, decrease the underlying cash balance by $260.9 million and increase the headline cash balance by $1,444.7</w:t>
      </w:r>
      <w:r>
        <w:t> million over the 2016</w:t>
      </w:r>
      <w:r>
        <w:noBreakHyphen/>
      </w:r>
      <w:r w:rsidRPr="00E27CD9">
        <w:t>17 Bu</w:t>
      </w:r>
      <w:r>
        <w:t>dget forward estimates period.</w:t>
      </w:r>
    </w:p>
    <w:p w:rsidR="00E11E5F" w:rsidRPr="00E27CD9" w:rsidRDefault="00E11E5F" w:rsidP="00E11E5F">
      <w:pPr>
        <w:pStyle w:val="BodyText"/>
      </w:pPr>
      <w:r w:rsidRPr="00E27CD9">
        <w:t>This proposal would have an ongoing impact beyond the 2016-17 Budget forward estimates period</w:t>
      </w:r>
      <w:r w:rsidR="0079116F">
        <w:t>,</w:t>
      </w:r>
      <w:r w:rsidRPr="00E27CD9">
        <w:t xml:space="preserve"> </w:t>
      </w:r>
      <w:r w:rsidR="0079116F">
        <w:t xml:space="preserve">noting that </w:t>
      </w:r>
      <w:r w:rsidR="002C6D5A">
        <w:t>an evaluation of the program would be undertaken in 2019-20</w:t>
      </w:r>
      <w:r w:rsidRPr="00E27CD9">
        <w:t xml:space="preserve">.  A breakdown of the financial implications over the period 2016-17 to 2026-27 is provided at </w:t>
      </w:r>
      <w:r w:rsidRPr="00E27CD9">
        <w:rPr>
          <w:u w:val="single"/>
        </w:rPr>
        <w:t>Attachment A</w:t>
      </w:r>
      <w:r w:rsidRPr="00E27CD9">
        <w:t>.</w:t>
      </w:r>
    </w:p>
    <w:p w:rsidR="00E11E5F" w:rsidRPr="00E27CD9" w:rsidRDefault="00E11E5F" w:rsidP="00E11E5F">
      <w:pPr>
        <w:pStyle w:val="BodyText"/>
      </w:pPr>
      <w:r w:rsidRPr="00E27CD9">
        <w:t xml:space="preserve">The </w:t>
      </w:r>
      <w:r w:rsidRPr="00E27CD9">
        <w:rPr>
          <w:i/>
        </w:rPr>
        <w:t>Methodology</w:t>
      </w:r>
      <w:r w:rsidRPr="00E27CD9">
        <w:t xml:space="preserve"> section provides information on how the impacts on each budget balance were calculated.  As the proposal affects financial asset transactions, the public debt interest (PDI) impact of the proposal has been included in this costing.</w:t>
      </w:r>
    </w:p>
    <w:p w:rsidR="00E11E5F" w:rsidRDefault="00E11E5F" w:rsidP="00E11E5F">
      <w:pPr>
        <w:pStyle w:val="BodyText"/>
      </w:pPr>
      <w:r w:rsidRPr="00E27CD9">
        <w:t>This costing is considered to be of medium reliability.  While estimates are based on TFYT recipient projections provided by the Department of Education and Training, the impact of the proposal is sensitive to assumptions relating to the uptake of the TFYT program.</w:t>
      </w:r>
    </w:p>
    <w:p w:rsidR="00E11E5F" w:rsidRDefault="00E11E5F" w:rsidP="00E11E5F">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11E5F" w:rsidRPr="00D264E1" w:rsidTr="00E11E5F">
        <w:trPr>
          <w:cnfStyle w:val="100000000000" w:firstRow="1" w:lastRow="0" w:firstColumn="0" w:lastColumn="0" w:oddVBand="0" w:evenVBand="0" w:oddHBand="0" w:evenHBand="0" w:firstRowFirstColumn="0" w:firstRowLastColumn="0" w:lastRowFirstColumn="0" w:lastRowLastColumn="0"/>
        </w:trPr>
        <w:tc>
          <w:tcPr>
            <w:tcW w:w="1393" w:type="pct"/>
          </w:tcPr>
          <w:p w:rsidR="00E11E5F" w:rsidRPr="00D264E1" w:rsidRDefault="00E11E5F" w:rsidP="00E11E5F">
            <w:pPr>
              <w:pStyle w:val="TableHeading"/>
            </w:pPr>
            <w:r>
              <w:t>Impact on ($m)</w:t>
            </w:r>
          </w:p>
        </w:tc>
        <w:tc>
          <w:tcPr>
            <w:tcW w:w="721" w:type="pct"/>
          </w:tcPr>
          <w:p w:rsidR="00E11E5F" w:rsidRPr="00FC1F1C" w:rsidRDefault="00E11E5F" w:rsidP="00E11E5F">
            <w:pPr>
              <w:pStyle w:val="TableHeadingRight"/>
            </w:pPr>
            <w:r>
              <w:t>2016–17</w:t>
            </w:r>
          </w:p>
        </w:tc>
        <w:tc>
          <w:tcPr>
            <w:tcW w:w="721" w:type="pct"/>
          </w:tcPr>
          <w:p w:rsidR="00E11E5F" w:rsidRPr="00FC1F1C" w:rsidRDefault="00E11E5F" w:rsidP="00E11E5F">
            <w:pPr>
              <w:pStyle w:val="TableHeadingRight"/>
            </w:pPr>
            <w:r>
              <w:t>2017–18</w:t>
            </w:r>
          </w:p>
        </w:tc>
        <w:tc>
          <w:tcPr>
            <w:tcW w:w="722" w:type="pct"/>
          </w:tcPr>
          <w:p w:rsidR="00E11E5F" w:rsidRPr="00FC1F1C" w:rsidRDefault="00E11E5F" w:rsidP="00E11E5F">
            <w:pPr>
              <w:pStyle w:val="TableHeadingRight"/>
            </w:pPr>
            <w:r>
              <w:t>2018–19</w:t>
            </w:r>
          </w:p>
        </w:tc>
        <w:tc>
          <w:tcPr>
            <w:tcW w:w="721" w:type="pct"/>
          </w:tcPr>
          <w:p w:rsidR="00E11E5F" w:rsidRPr="00FC1F1C" w:rsidRDefault="00E11E5F" w:rsidP="00E11E5F">
            <w:pPr>
              <w:pStyle w:val="TableHeadingRight"/>
            </w:pPr>
            <w:r>
              <w:t>2019–20</w:t>
            </w:r>
          </w:p>
        </w:tc>
        <w:tc>
          <w:tcPr>
            <w:tcW w:w="722" w:type="pct"/>
          </w:tcPr>
          <w:p w:rsidR="00E11E5F" w:rsidRDefault="00E11E5F" w:rsidP="00E11E5F">
            <w:pPr>
              <w:pStyle w:val="TableTextRight"/>
            </w:pPr>
            <w:r>
              <w:t>Total</w:t>
            </w:r>
          </w:p>
        </w:tc>
      </w:tr>
      <w:tr w:rsidR="00E11E5F" w:rsidTr="00E11E5F">
        <w:tc>
          <w:tcPr>
            <w:tcW w:w="1393" w:type="pct"/>
          </w:tcPr>
          <w:p w:rsidR="00E11E5F" w:rsidRDefault="00E11E5F" w:rsidP="00767CC7">
            <w:pPr>
              <w:pStyle w:val="TableText"/>
              <w:keepNext/>
              <w:keepLines/>
            </w:pPr>
            <w:r>
              <w:t>Fiscal balance</w:t>
            </w:r>
          </w:p>
        </w:tc>
        <w:tc>
          <w:tcPr>
            <w:tcW w:w="721" w:type="pct"/>
          </w:tcPr>
          <w:p w:rsidR="00E11E5F" w:rsidRPr="003A3459" w:rsidRDefault="00E11E5F" w:rsidP="00E11E5F">
            <w:pPr>
              <w:pStyle w:val="TableTextRight"/>
            </w:pPr>
            <w:r>
              <w:t xml:space="preserve"> -</w:t>
            </w:r>
          </w:p>
        </w:tc>
        <w:tc>
          <w:tcPr>
            <w:tcW w:w="721" w:type="pct"/>
          </w:tcPr>
          <w:p w:rsidR="00E11E5F" w:rsidRDefault="00E11E5F" w:rsidP="00E11E5F">
            <w:pPr>
              <w:pStyle w:val="TableTextRight"/>
              <w:rPr>
                <w:sz w:val="24"/>
                <w:szCs w:val="24"/>
              </w:rPr>
            </w:pPr>
            <w:r>
              <w:t>-29.8</w:t>
            </w:r>
          </w:p>
        </w:tc>
        <w:tc>
          <w:tcPr>
            <w:tcW w:w="722" w:type="pct"/>
          </w:tcPr>
          <w:p w:rsidR="00E11E5F" w:rsidRDefault="00E11E5F" w:rsidP="00E11E5F">
            <w:pPr>
              <w:pStyle w:val="TableTextRight"/>
              <w:rPr>
                <w:sz w:val="24"/>
                <w:szCs w:val="24"/>
              </w:rPr>
            </w:pPr>
            <w:r>
              <w:t>-37.8</w:t>
            </w:r>
          </w:p>
        </w:tc>
        <w:tc>
          <w:tcPr>
            <w:tcW w:w="721" w:type="pct"/>
          </w:tcPr>
          <w:p w:rsidR="00E11E5F" w:rsidRDefault="00E11E5F" w:rsidP="00E11E5F">
            <w:pPr>
              <w:pStyle w:val="TableTextRight"/>
              <w:rPr>
                <w:sz w:val="24"/>
                <w:szCs w:val="24"/>
              </w:rPr>
            </w:pPr>
            <w:r>
              <w:t>-30.8</w:t>
            </w:r>
          </w:p>
        </w:tc>
        <w:tc>
          <w:tcPr>
            <w:tcW w:w="722" w:type="pct"/>
          </w:tcPr>
          <w:p w:rsidR="00E11E5F" w:rsidRDefault="00E11E5F" w:rsidP="00E11E5F">
            <w:pPr>
              <w:pStyle w:val="TableTextRight"/>
              <w:rPr>
                <w:sz w:val="24"/>
                <w:szCs w:val="24"/>
              </w:rPr>
            </w:pPr>
            <w:r>
              <w:rPr>
                <w:b/>
                <w:bCs/>
              </w:rPr>
              <w:t>-98.4</w:t>
            </w:r>
          </w:p>
        </w:tc>
      </w:tr>
      <w:tr w:rsidR="00E11E5F" w:rsidTr="00E11E5F">
        <w:tc>
          <w:tcPr>
            <w:tcW w:w="1393" w:type="pct"/>
          </w:tcPr>
          <w:p w:rsidR="00E11E5F" w:rsidRDefault="00E11E5F" w:rsidP="00767CC7">
            <w:pPr>
              <w:pStyle w:val="TableText"/>
              <w:keepNext/>
              <w:keepLines/>
            </w:pPr>
            <w:r>
              <w:t>Underlying cash balance</w:t>
            </w:r>
          </w:p>
        </w:tc>
        <w:tc>
          <w:tcPr>
            <w:tcW w:w="721" w:type="pct"/>
          </w:tcPr>
          <w:p w:rsidR="00E11E5F" w:rsidRPr="003A3459" w:rsidRDefault="00E11E5F" w:rsidP="00E11E5F">
            <w:pPr>
              <w:pStyle w:val="TableTextRight"/>
            </w:pPr>
            <w:r>
              <w:t xml:space="preserve"> -</w:t>
            </w:r>
          </w:p>
        </w:tc>
        <w:tc>
          <w:tcPr>
            <w:tcW w:w="721" w:type="pct"/>
          </w:tcPr>
          <w:p w:rsidR="00E11E5F" w:rsidRDefault="00E11E5F" w:rsidP="00E11E5F">
            <w:pPr>
              <w:pStyle w:val="TableTextRight"/>
              <w:rPr>
                <w:sz w:val="24"/>
                <w:szCs w:val="24"/>
              </w:rPr>
            </w:pPr>
            <w:r>
              <w:t>-95.3</w:t>
            </w:r>
          </w:p>
        </w:tc>
        <w:tc>
          <w:tcPr>
            <w:tcW w:w="722" w:type="pct"/>
          </w:tcPr>
          <w:p w:rsidR="00E11E5F" w:rsidRDefault="00E11E5F" w:rsidP="00E11E5F">
            <w:pPr>
              <w:pStyle w:val="TableTextRight"/>
              <w:rPr>
                <w:sz w:val="24"/>
                <w:szCs w:val="24"/>
              </w:rPr>
            </w:pPr>
            <w:r>
              <w:t>-94.3</w:t>
            </w:r>
          </w:p>
        </w:tc>
        <w:tc>
          <w:tcPr>
            <w:tcW w:w="721" w:type="pct"/>
          </w:tcPr>
          <w:p w:rsidR="00E11E5F" w:rsidRDefault="00E11E5F" w:rsidP="00E11E5F">
            <w:pPr>
              <w:pStyle w:val="TableTextRight"/>
              <w:rPr>
                <w:sz w:val="24"/>
                <w:szCs w:val="24"/>
              </w:rPr>
            </w:pPr>
            <w:r>
              <w:t>-71.3</w:t>
            </w:r>
          </w:p>
        </w:tc>
        <w:tc>
          <w:tcPr>
            <w:tcW w:w="722" w:type="pct"/>
          </w:tcPr>
          <w:p w:rsidR="00E11E5F" w:rsidRDefault="00E11E5F" w:rsidP="00E11E5F">
            <w:pPr>
              <w:pStyle w:val="TableTextRight"/>
              <w:rPr>
                <w:sz w:val="24"/>
                <w:szCs w:val="24"/>
              </w:rPr>
            </w:pPr>
            <w:r>
              <w:rPr>
                <w:b/>
                <w:bCs/>
              </w:rPr>
              <w:t>-260.9</w:t>
            </w:r>
          </w:p>
        </w:tc>
      </w:tr>
      <w:tr w:rsidR="00E11E5F" w:rsidTr="00E11E5F">
        <w:tc>
          <w:tcPr>
            <w:tcW w:w="1393" w:type="pct"/>
          </w:tcPr>
          <w:p w:rsidR="00E11E5F" w:rsidRDefault="00E11E5F" w:rsidP="00DC17E4">
            <w:pPr>
              <w:pStyle w:val="TableText"/>
              <w:keepNext/>
              <w:keepLines/>
            </w:pPr>
            <w:r>
              <w:rPr>
                <w:szCs w:val="20"/>
              </w:rPr>
              <w:t>Headline cash balance</w:t>
            </w:r>
          </w:p>
        </w:tc>
        <w:tc>
          <w:tcPr>
            <w:tcW w:w="721" w:type="pct"/>
          </w:tcPr>
          <w:p w:rsidR="00E11E5F" w:rsidRPr="003A3459" w:rsidRDefault="00E11E5F" w:rsidP="00DC17E4">
            <w:pPr>
              <w:pStyle w:val="TableTextRight"/>
              <w:keepNext/>
              <w:keepLines/>
            </w:pPr>
            <w:r>
              <w:t xml:space="preserve"> -</w:t>
            </w:r>
          </w:p>
        </w:tc>
        <w:tc>
          <w:tcPr>
            <w:tcW w:w="721" w:type="pct"/>
          </w:tcPr>
          <w:p w:rsidR="00E11E5F" w:rsidRDefault="00E11E5F" w:rsidP="00DC17E4">
            <w:pPr>
              <w:pStyle w:val="TableTextRight"/>
              <w:keepNext/>
              <w:keepLines/>
              <w:rPr>
                <w:b/>
                <w:bCs/>
                <w:sz w:val="24"/>
                <w:szCs w:val="24"/>
              </w:rPr>
            </w:pPr>
            <w:r>
              <w:t xml:space="preserve"> 467.6</w:t>
            </w:r>
          </w:p>
        </w:tc>
        <w:tc>
          <w:tcPr>
            <w:tcW w:w="722" w:type="pct"/>
          </w:tcPr>
          <w:p w:rsidR="00E11E5F" w:rsidRDefault="00E11E5F" w:rsidP="00DC17E4">
            <w:pPr>
              <w:pStyle w:val="TableTextRight"/>
              <w:keepNext/>
              <w:keepLines/>
              <w:rPr>
                <w:b/>
                <w:bCs/>
                <w:sz w:val="24"/>
                <w:szCs w:val="24"/>
              </w:rPr>
            </w:pPr>
            <w:r>
              <w:t xml:space="preserve"> 474.2</w:t>
            </w:r>
          </w:p>
        </w:tc>
        <w:tc>
          <w:tcPr>
            <w:tcW w:w="721" w:type="pct"/>
          </w:tcPr>
          <w:p w:rsidR="00E11E5F" w:rsidRDefault="00E11E5F" w:rsidP="00DC17E4">
            <w:pPr>
              <w:pStyle w:val="TableTextRight"/>
              <w:keepNext/>
              <w:keepLines/>
              <w:rPr>
                <w:b/>
                <w:bCs/>
                <w:sz w:val="24"/>
                <w:szCs w:val="24"/>
              </w:rPr>
            </w:pPr>
            <w:r>
              <w:t xml:space="preserve"> 502.9</w:t>
            </w:r>
          </w:p>
        </w:tc>
        <w:tc>
          <w:tcPr>
            <w:tcW w:w="722" w:type="pct"/>
          </w:tcPr>
          <w:p w:rsidR="00E11E5F" w:rsidRDefault="00E11E5F" w:rsidP="00DC17E4">
            <w:pPr>
              <w:pStyle w:val="TableTextRight"/>
              <w:keepNext/>
              <w:keepLines/>
              <w:rPr>
                <w:b/>
                <w:bCs/>
                <w:sz w:val="24"/>
                <w:szCs w:val="24"/>
              </w:rPr>
            </w:pPr>
            <w:r>
              <w:rPr>
                <w:b/>
                <w:bCs/>
              </w:rPr>
              <w:t xml:space="preserve"> 1,444.7</w:t>
            </w:r>
          </w:p>
        </w:tc>
      </w:tr>
    </w:tbl>
    <w:p w:rsidR="00E11E5F" w:rsidRPr="00E27CD9" w:rsidRDefault="00E11E5F" w:rsidP="00DC17E4">
      <w:pPr>
        <w:pStyle w:val="Footnotes"/>
        <w:keepNext/>
        <w:keepLines/>
        <w:numPr>
          <w:ilvl w:val="0"/>
          <w:numId w:val="66"/>
        </w:numPr>
        <w:ind w:left="284" w:hanging="284"/>
      </w:pPr>
      <w:r w:rsidRPr="00E27CD9">
        <w:t>A positive number indicates an increase in the relevant budget balance, a negative number a decrease.</w:t>
      </w:r>
    </w:p>
    <w:p w:rsidR="00E11E5F" w:rsidRPr="00E27CD9" w:rsidRDefault="00E11E5F" w:rsidP="00DC17E4">
      <w:pPr>
        <w:pStyle w:val="Footnotes"/>
        <w:keepNext/>
        <w:keepLines/>
        <w:ind w:left="284" w:hanging="284"/>
      </w:pPr>
      <w:r w:rsidRPr="00E27CD9">
        <w:t>Figures may not sum to totals due to rounding.</w:t>
      </w:r>
    </w:p>
    <w:p w:rsidR="00E11E5F" w:rsidRPr="00E27CD9" w:rsidRDefault="00E11E5F" w:rsidP="002C43F8">
      <w:pPr>
        <w:pStyle w:val="Footnotes"/>
        <w:numPr>
          <w:ilvl w:val="0"/>
          <w:numId w:val="65"/>
        </w:numPr>
        <w:spacing w:before="0"/>
        <w:ind w:left="284" w:hanging="284"/>
        <w:contextualSpacing w:val="0"/>
        <w:rPr>
          <w:rStyle w:val="FootnoteReference"/>
          <w:vertAlign w:val="baseline"/>
        </w:rPr>
      </w:pPr>
      <w:r>
        <w:t>Indicates nil.</w:t>
      </w:r>
    </w:p>
    <w:p w:rsidR="00E11E5F" w:rsidRDefault="00E11E5F" w:rsidP="00E11E5F">
      <w:pPr>
        <w:pStyle w:val="CostingsH7"/>
      </w:pPr>
      <w:r>
        <w:t>Key assumptions</w:t>
      </w:r>
    </w:p>
    <w:p w:rsidR="00E11E5F" w:rsidRDefault="00E11E5F" w:rsidP="00E11E5F">
      <w:pPr>
        <w:pStyle w:val="BodyText17ptAbove"/>
      </w:pPr>
      <w:r>
        <w:t>In costing this proposal, it has been assumed that:</w:t>
      </w:r>
    </w:p>
    <w:p w:rsidR="00E11E5F" w:rsidRDefault="00E11E5F" w:rsidP="00E11E5F">
      <w:pPr>
        <w:pStyle w:val="ListBullet"/>
      </w:pPr>
      <w:r>
        <w:t>existing participants in the TSL program would remain eligible for payments under the TFYT program</w:t>
      </w:r>
    </w:p>
    <w:p w:rsidR="00E11E5F" w:rsidRDefault="00E11E5F" w:rsidP="00E11E5F">
      <w:pPr>
        <w:pStyle w:val="ListBullet"/>
      </w:pPr>
      <w:r>
        <w:t>all prospective participants in the TSL program would take up the reintroduced TFYT program</w:t>
      </w:r>
    </w:p>
    <w:p w:rsidR="00E11E5F" w:rsidRPr="00E27CD9" w:rsidRDefault="00E11E5F" w:rsidP="00E11E5F">
      <w:pPr>
        <w:pStyle w:val="ListBullet"/>
      </w:pPr>
      <w:r>
        <w:t>participants in the TSL program would move to the TFYT program.</w:t>
      </w:r>
    </w:p>
    <w:p w:rsidR="00E11E5F" w:rsidRDefault="00E11E5F" w:rsidP="00E11E5F">
      <w:pPr>
        <w:pStyle w:val="CostingsH7"/>
      </w:pPr>
      <w:r>
        <w:t>Methodology</w:t>
      </w:r>
    </w:p>
    <w:p w:rsidR="00E11E5F" w:rsidRDefault="00E11E5F" w:rsidP="00E11E5F">
      <w:pPr>
        <w:pStyle w:val="CostingsH8"/>
      </w:pPr>
      <w:r>
        <w:t>Tools for Your Trade component</w:t>
      </w:r>
    </w:p>
    <w:p w:rsidR="00E11E5F" w:rsidRDefault="00E11E5F" w:rsidP="00E11E5F">
      <w:pPr>
        <w:pStyle w:val="BodyText"/>
      </w:pPr>
      <w:r>
        <w:t>The administered expense of this component was estimated by multiplying projected TFYT recipients at each of the payment intervals by the respective payment amounts.  Projected recipient numbers were calculated based on data provided by the Department of Education and Training.</w:t>
      </w:r>
    </w:p>
    <w:p w:rsidR="00E11E5F" w:rsidRDefault="00E11E5F" w:rsidP="00E11E5F">
      <w:pPr>
        <w:pStyle w:val="BodyText"/>
      </w:pPr>
      <w:r>
        <w:t>Departmental expenses for the reintroduction of TFYT were estimated based on the ratio of administered to departmental expenses for the Australian Apprenticeship Incentives Program over the forward estimates.</w:t>
      </w:r>
    </w:p>
    <w:p w:rsidR="00E11E5F" w:rsidRDefault="00E11E5F" w:rsidP="00E11E5F">
      <w:pPr>
        <w:pStyle w:val="CostingsH8"/>
      </w:pPr>
      <w:r>
        <w:t>Trade Support Loans component</w:t>
      </w:r>
    </w:p>
    <w:p w:rsidR="00E11E5F" w:rsidRPr="00E3348F" w:rsidRDefault="00E11E5F" w:rsidP="00E11E5F">
      <w:pPr>
        <w:pStyle w:val="BodyText"/>
      </w:pPr>
      <w:r w:rsidRPr="00E3348F">
        <w:t>The impacts from abolishing the TSL program were derived as follows:</w:t>
      </w:r>
    </w:p>
    <w:p w:rsidR="00E11E5F" w:rsidRDefault="00E11E5F" w:rsidP="00E11E5F">
      <w:pPr>
        <w:pStyle w:val="ListBullet"/>
      </w:pPr>
      <w:r>
        <w:t xml:space="preserve">The fiscal balance impact (noting the direction of the change arising because this proposal is to reverse the concessional loan facility) for each year is the change in: </w:t>
      </w:r>
    </w:p>
    <w:p w:rsidR="00E11E5F" w:rsidRDefault="00E11E5F" w:rsidP="00E11E5F">
      <w:pPr>
        <w:pStyle w:val="ListBullet2"/>
      </w:pPr>
      <w:r>
        <w:t xml:space="preserve">the departmental costs </w:t>
      </w:r>
      <w:r w:rsidRPr="00E3348F">
        <w:rPr>
          <w:i/>
        </w:rPr>
        <w:t>(positive impact)</w:t>
      </w:r>
    </w:p>
    <w:p w:rsidR="00E11E5F" w:rsidRDefault="00E11E5F" w:rsidP="00E11E5F">
      <w:pPr>
        <w:pStyle w:val="ListBullet2"/>
      </w:pPr>
      <w:r>
        <w:t xml:space="preserve">interest revenue that accrues </w:t>
      </w:r>
      <w:r w:rsidRPr="00E3348F">
        <w:rPr>
          <w:i/>
        </w:rPr>
        <w:t>(negative impact)</w:t>
      </w:r>
    </w:p>
    <w:p w:rsidR="00E11E5F" w:rsidRDefault="00E11E5F" w:rsidP="00E11E5F">
      <w:pPr>
        <w:pStyle w:val="ListBullet2"/>
      </w:pPr>
      <w:r>
        <w:t xml:space="preserve">the concessional loan discount expense </w:t>
      </w:r>
      <w:r w:rsidRPr="00E3348F">
        <w:rPr>
          <w:i/>
        </w:rPr>
        <w:t>(positive impact)</w:t>
      </w:r>
    </w:p>
    <w:p w:rsidR="00E11E5F" w:rsidRDefault="00E11E5F" w:rsidP="00E11E5F">
      <w:pPr>
        <w:pStyle w:val="ListBullet2"/>
      </w:pPr>
      <w:r>
        <w:t xml:space="preserve">the unwinding of the concessional loan discount expense </w:t>
      </w:r>
      <w:r w:rsidRPr="00E3348F">
        <w:rPr>
          <w:i/>
        </w:rPr>
        <w:t>(negative impact)</w:t>
      </w:r>
    </w:p>
    <w:p w:rsidR="00E11E5F" w:rsidRDefault="00E11E5F" w:rsidP="00E11E5F">
      <w:pPr>
        <w:pStyle w:val="ListBullet2"/>
      </w:pPr>
      <w:r>
        <w:t xml:space="preserve">the PDI/financing cost </w:t>
      </w:r>
      <w:r w:rsidRPr="00E3348F">
        <w:rPr>
          <w:i/>
        </w:rPr>
        <w:t>(positive impact)</w:t>
      </w:r>
      <w:r>
        <w:t xml:space="preserve">. </w:t>
      </w:r>
    </w:p>
    <w:p w:rsidR="00E11E5F" w:rsidRDefault="00E11E5F" w:rsidP="00E11E5F">
      <w:pPr>
        <w:pStyle w:val="ListBullet"/>
      </w:pPr>
      <w:r>
        <w:t>The underlying cash balance impact for each year is derived as follows:</w:t>
      </w:r>
    </w:p>
    <w:p w:rsidR="00E11E5F" w:rsidRDefault="00E11E5F" w:rsidP="00E11E5F">
      <w:pPr>
        <w:pStyle w:val="ListBullet2"/>
      </w:pPr>
      <w:r>
        <w:t xml:space="preserve">the departmental costs </w:t>
      </w:r>
      <w:r w:rsidRPr="00E3348F">
        <w:rPr>
          <w:i/>
        </w:rPr>
        <w:t>(positive impact)</w:t>
      </w:r>
    </w:p>
    <w:p w:rsidR="00E11E5F" w:rsidRDefault="00E11E5F" w:rsidP="00E11E5F">
      <w:pPr>
        <w:pStyle w:val="ListBullet2"/>
      </w:pPr>
      <w:r>
        <w:t xml:space="preserve">interest receipts received by the Government from loan recipients </w:t>
      </w:r>
      <w:r w:rsidRPr="00E3348F">
        <w:rPr>
          <w:i/>
        </w:rPr>
        <w:t>(negative impact)</w:t>
      </w:r>
    </w:p>
    <w:p w:rsidR="00E11E5F" w:rsidRDefault="00E11E5F" w:rsidP="00E11E5F">
      <w:pPr>
        <w:pStyle w:val="ListBullet2"/>
      </w:pPr>
      <w:r>
        <w:t xml:space="preserve">the PDI/financing cost </w:t>
      </w:r>
      <w:r w:rsidRPr="00E3348F">
        <w:rPr>
          <w:i/>
        </w:rPr>
        <w:t>(positive impact)</w:t>
      </w:r>
      <w:r>
        <w:t>.</w:t>
      </w:r>
    </w:p>
    <w:p w:rsidR="00E11E5F" w:rsidRDefault="00E11E5F" w:rsidP="00E11E5F">
      <w:pPr>
        <w:pStyle w:val="ListBullet"/>
      </w:pPr>
      <w:r>
        <w:t>The headline cash balance impact for each year is derived as follows:</w:t>
      </w:r>
    </w:p>
    <w:p w:rsidR="00E11E5F" w:rsidRDefault="00E11E5F" w:rsidP="00E11E5F">
      <w:pPr>
        <w:pStyle w:val="ListBullet2"/>
      </w:pPr>
      <w:r>
        <w:t xml:space="preserve">the departmental costs </w:t>
      </w:r>
      <w:r w:rsidRPr="00E3348F">
        <w:rPr>
          <w:i/>
        </w:rPr>
        <w:t>(positive impact)</w:t>
      </w:r>
    </w:p>
    <w:p w:rsidR="00E11E5F" w:rsidRDefault="00E11E5F" w:rsidP="00E11E5F">
      <w:pPr>
        <w:pStyle w:val="ListBullet2"/>
      </w:pPr>
      <w:r>
        <w:t xml:space="preserve">the loan principal advanced under the financing facility </w:t>
      </w:r>
      <w:r w:rsidRPr="00E3348F">
        <w:rPr>
          <w:i/>
        </w:rPr>
        <w:t>(positive impact)</w:t>
      </w:r>
    </w:p>
    <w:p w:rsidR="00E11E5F" w:rsidRDefault="00E11E5F" w:rsidP="00E11E5F">
      <w:pPr>
        <w:pStyle w:val="ListBullet2"/>
      </w:pPr>
      <w:r>
        <w:t xml:space="preserve">interest receipts received by the Government from loan recipients </w:t>
      </w:r>
      <w:r w:rsidRPr="00E3348F">
        <w:rPr>
          <w:i/>
        </w:rPr>
        <w:t>(negative impact)</w:t>
      </w:r>
    </w:p>
    <w:p w:rsidR="00E11E5F" w:rsidRDefault="00E11E5F" w:rsidP="00E11E5F">
      <w:pPr>
        <w:pStyle w:val="ListBullet2"/>
      </w:pPr>
      <w:r>
        <w:t xml:space="preserve">loan repayments </w:t>
      </w:r>
      <w:r w:rsidRPr="00E3348F">
        <w:rPr>
          <w:i/>
        </w:rPr>
        <w:t>(negative impact)</w:t>
      </w:r>
    </w:p>
    <w:p w:rsidR="00E11E5F" w:rsidRPr="00E27CD9" w:rsidRDefault="00E11E5F" w:rsidP="00E11E5F">
      <w:pPr>
        <w:pStyle w:val="ListBullet2"/>
      </w:pPr>
      <w:r>
        <w:t xml:space="preserve">the PDI/financing cost </w:t>
      </w:r>
      <w:r w:rsidRPr="00E3348F">
        <w:rPr>
          <w:i/>
        </w:rPr>
        <w:t>(positive impact)</w:t>
      </w:r>
      <w:r>
        <w:t>.</w:t>
      </w:r>
    </w:p>
    <w:p w:rsidR="00E11E5F" w:rsidRDefault="00E11E5F" w:rsidP="00E11E5F">
      <w:pPr>
        <w:pStyle w:val="CostingsH7"/>
      </w:pPr>
      <w:r>
        <w:t>Data sources</w:t>
      </w:r>
    </w:p>
    <w:p w:rsidR="00E11E5F" w:rsidRPr="009C28BD" w:rsidRDefault="00E11E5F" w:rsidP="00E11E5F">
      <w:pPr>
        <w:pStyle w:val="BodyText"/>
      </w:pPr>
      <w:r w:rsidRPr="009C28BD">
        <w:t>The Department of Education and Training provided:</w:t>
      </w:r>
    </w:p>
    <w:p w:rsidR="00E11E5F" w:rsidRDefault="00E11E5F" w:rsidP="00E11E5F">
      <w:pPr>
        <w:pStyle w:val="ListBullet"/>
      </w:pPr>
      <w:r>
        <w:t xml:space="preserve">the TFYT forward estimates model at the 2014-15 Budget </w:t>
      </w:r>
    </w:p>
    <w:p w:rsidR="00E11E5F" w:rsidRDefault="00E11E5F" w:rsidP="00E11E5F">
      <w:pPr>
        <w:pStyle w:val="ListBullet"/>
      </w:pPr>
      <w:r>
        <w:t>the TSL forward estimates model at the 2016-17 Budget</w:t>
      </w:r>
    </w:p>
    <w:p w:rsidR="00E11E5F" w:rsidRDefault="00E11E5F" w:rsidP="00E11E5F">
      <w:pPr>
        <w:pStyle w:val="ListBullet"/>
      </w:pPr>
      <w:r>
        <w:t>the Australian Apprenticeships Incentives Program administered and departmental expenditure forward estimates at the 2016-17 Budget.</w:t>
      </w:r>
    </w:p>
    <w:p w:rsidR="00E11E5F" w:rsidRDefault="00E11E5F" w:rsidP="00E11E5F">
      <w:pPr>
        <w:pStyle w:val="BodyText"/>
      </w:pPr>
      <w:r w:rsidRPr="009C28BD">
        <w:t>The Department of Finance provided indexation and efficiency dividend parameters.</w:t>
      </w:r>
    </w:p>
    <w:p w:rsidR="00767CC7" w:rsidRDefault="00767CC7" w:rsidP="00E11E5F">
      <w:pPr>
        <w:pStyle w:val="BodyText"/>
      </w:pPr>
    </w:p>
    <w:p w:rsidR="00767CC7" w:rsidRDefault="00767CC7" w:rsidP="00E11E5F">
      <w:pPr>
        <w:pStyle w:val="BodyText"/>
        <w:sectPr w:rsidR="00767CC7" w:rsidSect="00967BCD">
          <w:footnotePr>
            <w:numRestart w:val="eachSect"/>
          </w:footnotePr>
          <w:pgSz w:w="11906" w:h="16838" w:code="9"/>
          <w:pgMar w:top="1361" w:right="1797" w:bottom="1474" w:left="1797" w:header="283" w:footer="454" w:gutter="0"/>
          <w:cols w:space="708"/>
          <w:docGrid w:linePitch="360"/>
        </w:sectPr>
      </w:pPr>
    </w:p>
    <w:p w:rsidR="00E11E5F" w:rsidRPr="00FC6579" w:rsidRDefault="00E11E5F" w:rsidP="00E11E5F">
      <w:pPr>
        <w:pStyle w:val="Heading6"/>
        <w:spacing w:before="0" w:after="120"/>
      </w:pPr>
      <w:r>
        <w:t xml:space="preserve">Attachment </w:t>
      </w:r>
      <w:r w:rsidRPr="00FC6579">
        <w:t>A:</w:t>
      </w:r>
      <w:r>
        <w:t xml:space="preserve"> Tools for Your Trade—financial implications</w:t>
      </w:r>
    </w:p>
    <w:p w:rsidR="00E11E5F" w:rsidRDefault="00E11E5F" w:rsidP="00E11E5F">
      <w:pPr>
        <w:pStyle w:val="Caption"/>
        <w:spacing w:before="120"/>
        <w:rPr>
          <w:vertAlign w:val="superscript"/>
        </w:rPr>
      </w:pPr>
      <w:r w:rsidRPr="002B36F1">
        <w:t xml:space="preserve">Table </w:t>
      </w:r>
      <w:r>
        <w:t>A1</w:t>
      </w:r>
      <w:r w:rsidRPr="002B36F1">
        <w:t xml:space="preserve">: </w:t>
      </w:r>
      <w:r w:rsidRPr="009C28BD">
        <w:t>Tools for Your Trade</w:t>
      </w:r>
      <w:r>
        <w:t>—Fiscal balance</w:t>
      </w:r>
      <w:r w:rsidRPr="002B36F1">
        <w:rPr>
          <w:vertAlign w:val="superscript"/>
        </w:rPr>
        <w:t>(a)(b)</w:t>
      </w:r>
    </w:p>
    <w:tbl>
      <w:tblPr>
        <w:tblStyle w:val="TableGrid41"/>
        <w:tblW w:w="14176" w:type="dxa"/>
        <w:tblInd w:w="-137" w:type="dxa"/>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ayout w:type="fixed"/>
        <w:tblLook w:val="0680" w:firstRow="0" w:lastRow="0" w:firstColumn="1" w:lastColumn="0" w:noHBand="1" w:noVBand="1"/>
      </w:tblPr>
      <w:tblGrid>
        <w:gridCol w:w="2688"/>
        <w:gridCol w:w="883"/>
        <w:gridCol w:w="884"/>
        <w:gridCol w:w="884"/>
        <w:gridCol w:w="883"/>
        <w:gridCol w:w="884"/>
        <w:gridCol w:w="884"/>
        <w:gridCol w:w="883"/>
        <w:gridCol w:w="884"/>
        <w:gridCol w:w="884"/>
        <w:gridCol w:w="883"/>
        <w:gridCol w:w="884"/>
        <w:gridCol w:w="884"/>
        <w:gridCol w:w="884"/>
      </w:tblGrid>
      <w:tr w:rsidR="0073534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shd w:val="clear" w:color="auto" w:fill="D7DDE9" w:themeFill="accent3"/>
          </w:tcPr>
          <w:p w:rsidR="00E11E5F" w:rsidRPr="009C28BD" w:rsidRDefault="00E11E5F" w:rsidP="00767CC7">
            <w:pPr>
              <w:keepNext/>
              <w:keepLines/>
              <w:spacing w:before="60" w:after="60" w:line="240" w:lineRule="auto"/>
              <w:ind w:left="57" w:right="57"/>
            </w:pPr>
            <w:r w:rsidRPr="009C28BD">
              <w:t>($m)</w:t>
            </w:r>
          </w:p>
        </w:tc>
        <w:tc>
          <w:tcPr>
            <w:tcW w:w="883"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2016–17</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2017–18</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2018–19</w:t>
            </w:r>
          </w:p>
        </w:tc>
        <w:tc>
          <w:tcPr>
            <w:tcW w:w="883"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2019–20</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9C28BD">
              <w:rPr>
                <w:rFonts w:ascii="Calibri" w:hAnsi="Calibri"/>
                <w:b/>
                <w:sz w:val="20"/>
              </w:rPr>
              <w:t>Total to 2019–20</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2020–21</w:t>
            </w:r>
          </w:p>
        </w:tc>
        <w:tc>
          <w:tcPr>
            <w:tcW w:w="883"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2021–22</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2022–23</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2023–24</w:t>
            </w:r>
          </w:p>
        </w:tc>
        <w:tc>
          <w:tcPr>
            <w:tcW w:w="883"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2024–25</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2025–26</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9C28BD">
              <w:rPr>
                <w:rFonts w:ascii="Calibri" w:hAnsi="Calibri"/>
                <w:sz w:val="20"/>
              </w:rPr>
              <w:t>2026–27</w:t>
            </w:r>
          </w:p>
        </w:tc>
        <w:tc>
          <w:tcPr>
            <w:tcW w:w="884" w:type="dxa"/>
            <w:shd w:val="clear" w:color="auto" w:fill="D7DDE9" w:themeFill="accent3"/>
          </w:tcPr>
          <w:p w:rsidR="00E11E5F" w:rsidRPr="009C28BD" w:rsidRDefault="00E11E5F" w:rsidP="00767CC7">
            <w:pPr>
              <w:keepNext/>
              <w:keepLines/>
              <w:spacing w:before="60" w:after="6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9C28BD">
              <w:rPr>
                <w:rFonts w:ascii="Calibri" w:hAnsi="Calibri"/>
                <w:b/>
                <w:sz w:val="20"/>
              </w:rPr>
              <w:t>Total to 2026–27</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14176" w:type="dxa"/>
            <w:gridSpan w:val="14"/>
            <w:shd w:val="clear" w:color="auto" w:fill="E9ECF3" w:themeFill="accent2" w:themeFillTint="33"/>
          </w:tcPr>
          <w:p w:rsidR="00E11E5F" w:rsidRPr="009C28BD" w:rsidRDefault="00E11E5F" w:rsidP="00767CC7">
            <w:pPr>
              <w:keepNext/>
              <w:keepLines/>
              <w:spacing w:before="60" w:after="60" w:line="240" w:lineRule="auto"/>
              <w:ind w:left="57" w:right="57"/>
              <w:rPr>
                <w:b/>
                <w:i/>
              </w:rPr>
            </w:pPr>
            <w:r w:rsidRPr="009C28BD">
              <w:rPr>
                <w:b/>
                <w:bCs/>
                <w:color w:val="000000"/>
                <w:szCs w:val="20"/>
              </w:rPr>
              <w:t>Tools for Your Trade (TFYT) program</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767CC7">
            <w:pPr>
              <w:keepNext/>
              <w:keepLines/>
              <w:spacing w:before="60" w:after="60" w:line="240" w:lineRule="auto"/>
              <w:ind w:left="57" w:right="57"/>
            </w:pPr>
            <w:r w:rsidRPr="009C28BD">
              <w:rPr>
                <w:color w:val="000000"/>
                <w:szCs w:val="20"/>
              </w:rPr>
              <w:t>Administered</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-184.9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-196.0</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-188.7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-569.6</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-192.2</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-194.1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-196.0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-198.0</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-200.0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-202.0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-204.0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-1,955.8</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767CC7">
            <w:pPr>
              <w:keepNext/>
              <w:keepLines/>
              <w:spacing w:before="60" w:after="60" w:line="240" w:lineRule="auto"/>
              <w:ind w:left="57" w:right="57"/>
            </w:pPr>
            <w:r w:rsidRPr="009C28BD">
              <w:rPr>
                <w:color w:val="000000"/>
                <w:szCs w:val="20"/>
              </w:rPr>
              <w:t>Departmental</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-3.8</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-4.0</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-11.7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-3.9</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-4.1</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-40.2</w:t>
            </w:r>
          </w:p>
        </w:tc>
      </w:tr>
      <w:tr w:rsidR="0073534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shd w:val="clear" w:color="auto" w:fill="D7DDE9" w:themeFill="accent3"/>
          </w:tcPr>
          <w:p w:rsidR="00E11E5F" w:rsidRPr="009C28BD" w:rsidRDefault="00E11E5F" w:rsidP="007C3B4F">
            <w:pPr>
              <w:keepNext/>
              <w:keepLines/>
              <w:spacing w:before="60" w:after="60" w:line="240" w:lineRule="auto"/>
              <w:ind w:left="57" w:right="57"/>
            </w:pPr>
            <w:r w:rsidRPr="009C28BD">
              <w:rPr>
                <w:b/>
                <w:bCs/>
                <w:color w:val="000000"/>
                <w:szCs w:val="20"/>
              </w:rPr>
              <w:t xml:space="preserve">Total </w:t>
            </w:r>
            <w:r w:rsidR="007C3B4F">
              <w:rPr>
                <w:b/>
                <w:bCs/>
                <w:color w:val="000000"/>
                <w:szCs w:val="20"/>
              </w:rPr>
              <w:t>–</w:t>
            </w:r>
            <w:r w:rsidRPr="009C28BD">
              <w:rPr>
                <w:b/>
                <w:bCs/>
                <w:color w:val="000000"/>
                <w:szCs w:val="20"/>
              </w:rPr>
              <w:t xml:space="preserve"> TFYT</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-188.7</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-200.1</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-192.5</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-581.3</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-196.1</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-198.1</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-200.1</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-202.0</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-204.1</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-206.1</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-208.2</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-1,995.9</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14176" w:type="dxa"/>
            <w:gridSpan w:val="14"/>
            <w:shd w:val="clear" w:color="auto" w:fill="E9ECF3" w:themeFill="accent2" w:themeFillTint="33"/>
          </w:tcPr>
          <w:p w:rsidR="00E11E5F" w:rsidRPr="009C28BD" w:rsidRDefault="00E11E5F" w:rsidP="008C7879">
            <w:pPr>
              <w:keepNext/>
              <w:keepLines/>
              <w:spacing w:before="60" w:after="60" w:line="240" w:lineRule="auto"/>
              <w:ind w:left="57" w:right="57"/>
              <w:rPr>
                <w:b/>
                <w:i/>
              </w:rPr>
            </w:pPr>
            <w:r w:rsidRPr="009C28BD">
              <w:rPr>
                <w:b/>
                <w:bCs/>
                <w:color w:val="000000"/>
                <w:szCs w:val="20"/>
              </w:rPr>
              <w:t>Trade Support Loan (TSL) program</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before="0" w:after="0" w:line="240" w:lineRule="auto"/>
              <w:ind w:left="57" w:right="57"/>
            </w:pPr>
            <w:r w:rsidRPr="009C28BD">
              <w:rPr>
                <w:color w:val="000000"/>
                <w:szCs w:val="20"/>
              </w:rPr>
              <w:t>Net change in concessional loan discount</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65.1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65.7</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191.7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55.9</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613.2</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before="0" w:after="0" w:line="240" w:lineRule="auto"/>
              <w:ind w:left="57" w:right="57"/>
            </w:pPr>
            <w:r w:rsidRPr="009C28BD">
              <w:rPr>
                <w:i/>
                <w:iCs/>
                <w:color w:val="000000"/>
                <w:szCs w:val="20"/>
              </w:rPr>
              <w:t>Change in concessional loan discount expense</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65.1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65.7</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66.4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197.2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67.0</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67.7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68.4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69.1</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69.8</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70.5</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71.2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680.8</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before="0" w:after="0" w:line="240" w:lineRule="auto"/>
              <w:ind w:left="57" w:right="57"/>
            </w:pPr>
            <w:r w:rsidRPr="009C28BD">
              <w:rPr>
                <w:i/>
                <w:iCs/>
                <w:color w:val="000000"/>
                <w:szCs w:val="20"/>
              </w:rPr>
              <w:t>Change in concessional loan discount unwinding revenue</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-5.5</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-5.5</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-11.1</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-17.0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-23.2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-29.7</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-36.4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-41.5</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-44.9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-209.4</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line="240" w:lineRule="auto"/>
              <w:ind w:left="57" w:right="57"/>
            </w:pPr>
            <w:r w:rsidRPr="009C28BD">
              <w:rPr>
                <w:color w:val="000000"/>
                <w:szCs w:val="20"/>
              </w:rPr>
              <w:t>Change in discount on loans</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87.9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88.7</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89.6</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266.2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90.5</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91.4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92.3</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93.3</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94.2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95.1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96.1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919.1</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line="240" w:lineRule="auto"/>
              <w:ind w:left="57" w:right="57"/>
            </w:pPr>
            <w:r w:rsidRPr="009C28BD">
              <w:rPr>
                <w:color w:val="000000"/>
                <w:szCs w:val="20"/>
              </w:rPr>
              <w:t>Change in interest accrued</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-10.1</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-21.4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-31.5</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-32.8</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-44.7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-57.1</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-70.0</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-79.8</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-86.4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-89.2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-491.4</w:t>
            </w:r>
          </w:p>
        </w:tc>
      </w:tr>
      <w:tr w:rsidR="0073534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shd w:val="clear" w:color="auto" w:fill="D7DDE9" w:themeFill="accent3"/>
          </w:tcPr>
          <w:p w:rsidR="00E11E5F" w:rsidRPr="009C28BD" w:rsidRDefault="00E11E5F" w:rsidP="00F5589B">
            <w:pPr>
              <w:keepNext/>
              <w:keepLines/>
              <w:spacing w:before="0" w:after="0" w:line="240" w:lineRule="auto"/>
              <w:ind w:left="57" w:right="57"/>
            </w:pPr>
            <w:r w:rsidRPr="009C28BD">
              <w:rPr>
                <w:b/>
                <w:bCs/>
                <w:color w:val="000000"/>
                <w:szCs w:val="20"/>
              </w:rPr>
              <w:t xml:space="preserve">Total </w:t>
            </w:r>
            <w:r w:rsidR="007C3B4F">
              <w:rPr>
                <w:b/>
                <w:bCs/>
                <w:color w:val="000000"/>
                <w:szCs w:val="20"/>
              </w:rPr>
              <w:t>–</w:t>
            </w:r>
            <w:r w:rsidRPr="009C28BD">
              <w:rPr>
                <w:b/>
                <w:bCs/>
                <w:color w:val="000000"/>
                <w:szCs w:val="20"/>
              </w:rPr>
              <w:t xml:space="preserve"> TSL</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152.9</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144.4</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129.2</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426.5</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113.7</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97.4</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80.4</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62.7</w:t>
            </w:r>
          </w:p>
        </w:tc>
        <w:tc>
          <w:tcPr>
            <w:tcW w:w="883"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47.7</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37.7</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33.1</w:t>
            </w:r>
          </w:p>
        </w:tc>
        <w:tc>
          <w:tcPr>
            <w:tcW w:w="884" w:type="dxa"/>
            <w:shd w:val="clear" w:color="auto" w:fill="D7DDE9" w:themeFill="accent3"/>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899.2</w:t>
            </w:r>
          </w:p>
        </w:tc>
      </w:tr>
      <w:tr w:rsidR="00E11E5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tcPr>
          <w:p w:rsidR="00E11E5F" w:rsidRPr="009C28BD" w:rsidRDefault="00E11E5F" w:rsidP="00F5589B">
            <w:pPr>
              <w:keepNext/>
              <w:keepLines/>
              <w:spacing w:before="0" w:after="0" w:line="240" w:lineRule="auto"/>
              <w:ind w:left="57" w:right="57"/>
            </w:pPr>
            <w:r w:rsidRPr="009C28BD">
              <w:rPr>
                <w:color w:val="000000"/>
                <w:szCs w:val="20"/>
              </w:rPr>
              <w:t>Public debt interest</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6.0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17.8</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32.6</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56.4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54.5</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82.0</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115.9</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153.7</w:t>
            </w:r>
          </w:p>
        </w:tc>
        <w:tc>
          <w:tcPr>
            <w:tcW w:w="883"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191.7</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228.2</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i/>
              </w:rPr>
            </w:pPr>
            <w:r w:rsidRPr="00F5589B">
              <w:rPr>
                <w:i/>
              </w:rPr>
              <w:t>261.4</w:t>
            </w:r>
          </w:p>
        </w:tc>
        <w:tc>
          <w:tcPr>
            <w:tcW w:w="884" w:type="dxa"/>
          </w:tcPr>
          <w:p w:rsidR="00E11E5F" w:rsidRPr="00F5589B"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i/>
              </w:rPr>
            </w:pPr>
            <w:r w:rsidRPr="00F5589B">
              <w:rPr>
                <w:b/>
                <w:bCs/>
                <w:i/>
              </w:rPr>
              <w:t>1,143.8</w:t>
            </w:r>
          </w:p>
        </w:tc>
      </w:tr>
      <w:tr w:rsidR="0073534F" w:rsidRPr="009C28BD" w:rsidTr="00767CC7">
        <w:trPr>
          <w:cantSplit/>
        </w:trPr>
        <w:tc>
          <w:tcPr>
            <w:cnfStyle w:val="001000000000" w:firstRow="0" w:lastRow="0" w:firstColumn="1" w:lastColumn="0" w:oddVBand="0" w:evenVBand="0" w:oddHBand="0" w:evenHBand="0" w:firstRowFirstColumn="0" w:firstRowLastColumn="0" w:lastRowFirstColumn="0" w:lastRowLastColumn="0"/>
            <w:tcW w:w="2688" w:type="dxa"/>
            <w:shd w:val="clear" w:color="auto" w:fill="D7DDE9" w:themeFill="accent3"/>
          </w:tcPr>
          <w:p w:rsidR="00E11E5F" w:rsidRPr="009C28BD" w:rsidRDefault="00E11E5F" w:rsidP="00767CC7">
            <w:pPr>
              <w:keepNext/>
              <w:keepLines/>
              <w:spacing w:before="60" w:after="60" w:line="240" w:lineRule="auto"/>
              <w:ind w:left="57" w:right="57"/>
              <w:rPr>
                <w:b/>
              </w:rPr>
            </w:pPr>
            <w:r w:rsidRPr="009C28BD">
              <w:rPr>
                <w:b/>
                <w:bCs/>
                <w:color w:val="000000"/>
                <w:szCs w:val="20"/>
              </w:rPr>
              <w:t>Total</w:t>
            </w:r>
          </w:p>
        </w:tc>
        <w:tc>
          <w:tcPr>
            <w:tcW w:w="883"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-29.8</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-37.8</w:t>
            </w:r>
          </w:p>
        </w:tc>
        <w:tc>
          <w:tcPr>
            <w:tcW w:w="883"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-30.8</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-98.4</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-28.0</w:t>
            </w:r>
          </w:p>
        </w:tc>
        <w:tc>
          <w:tcPr>
            <w:tcW w:w="883"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-18.6</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-3.7</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14.3</w:t>
            </w:r>
          </w:p>
        </w:tc>
        <w:tc>
          <w:tcPr>
            <w:tcW w:w="883"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35.3</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59.8</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86.4</w:t>
            </w:r>
          </w:p>
        </w:tc>
        <w:tc>
          <w:tcPr>
            <w:tcW w:w="884" w:type="dxa"/>
            <w:shd w:val="clear" w:color="auto" w:fill="D7DDE9" w:themeFill="accent3"/>
          </w:tcPr>
          <w:p w:rsidR="00E11E5F" w:rsidRPr="009C28BD" w:rsidRDefault="00E11E5F" w:rsidP="00F5589B">
            <w:pPr>
              <w:pStyle w:val="TableTextRight"/>
              <w:cnfStyle w:val="000000000000" w:firstRow="0" w:lastRow="0" w:firstColumn="0" w:lastColumn="0" w:oddVBand="0" w:evenVBand="0" w:oddHBand="0" w:evenHBand="0" w:firstRowFirstColumn="0" w:firstRowLastColumn="0" w:lastRowFirstColumn="0" w:lastRowLastColumn="0"/>
              <w:rPr>
                <w:b/>
              </w:rPr>
            </w:pPr>
            <w:r w:rsidRPr="009C28BD">
              <w:rPr>
                <w:b/>
                <w:bCs/>
              </w:rPr>
              <w:t>47.1</w:t>
            </w:r>
          </w:p>
        </w:tc>
      </w:tr>
    </w:tbl>
    <w:p w:rsidR="00E11E5F" w:rsidRDefault="00E11E5F" w:rsidP="002C43F8">
      <w:pPr>
        <w:pStyle w:val="Footnotes"/>
        <w:numPr>
          <w:ilvl w:val="0"/>
          <w:numId w:val="67"/>
        </w:numPr>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E11E5F" w:rsidRDefault="00E11E5F" w:rsidP="007C3B4F">
      <w:pPr>
        <w:pStyle w:val="Footnotes"/>
        <w:ind w:left="284" w:hanging="284"/>
      </w:pPr>
      <w:r>
        <w:t>Figures may not sum to totals due to rounding.</w:t>
      </w:r>
    </w:p>
    <w:p w:rsidR="00E11E5F" w:rsidRDefault="00E11E5F" w:rsidP="007C3B4F">
      <w:pPr>
        <w:pStyle w:val="Footnotes"/>
        <w:numPr>
          <w:ilvl w:val="0"/>
          <w:numId w:val="0"/>
        </w:numPr>
        <w:ind w:left="284" w:hanging="284"/>
      </w:pPr>
      <w:r>
        <w:t>-</w:t>
      </w:r>
      <w:r>
        <w:tab/>
        <w:t>Indicates nil.</w:t>
      </w:r>
    </w:p>
    <w:p w:rsidR="00E11E5F" w:rsidRDefault="00E11E5F" w:rsidP="00E11E5F">
      <w:pPr>
        <w:pStyle w:val="Caption"/>
        <w:spacing w:before="120"/>
        <w:rPr>
          <w:vertAlign w:val="superscript"/>
        </w:rPr>
      </w:pPr>
      <w:r w:rsidRPr="002B36F1">
        <w:t xml:space="preserve">Table </w:t>
      </w:r>
      <w:r>
        <w:t>A2</w:t>
      </w:r>
      <w:r w:rsidRPr="002B36F1">
        <w:t xml:space="preserve">: </w:t>
      </w:r>
      <w:r w:rsidRPr="009C28BD">
        <w:t>Tools for Your Trade</w:t>
      </w:r>
      <w:r>
        <w:t>—Underlying cash balance</w:t>
      </w:r>
      <w:r w:rsidRPr="002B36F1">
        <w:rPr>
          <w:vertAlign w:val="superscript"/>
        </w:rPr>
        <w:t>(a)(b)</w:t>
      </w:r>
    </w:p>
    <w:tbl>
      <w:tblPr>
        <w:tblStyle w:val="TableGrid42"/>
        <w:tblW w:w="5058" w:type="pct"/>
        <w:tblInd w:w="-166" w:type="dxa"/>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2176"/>
        <w:gridCol w:w="864"/>
        <w:gridCol w:w="864"/>
        <w:gridCol w:w="864"/>
        <w:gridCol w:w="864"/>
        <w:gridCol w:w="863"/>
        <w:gridCol w:w="863"/>
        <w:gridCol w:w="863"/>
        <w:gridCol w:w="863"/>
        <w:gridCol w:w="863"/>
        <w:gridCol w:w="863"/>
        <w:gridCol w:w="863"/>
        <w:gridCol w:w="863"/>
        <w:gridCol w:w="872"/>
      </w:tblGrid>
      <w:tr w:rsidR="0073534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shd w:val="clear" w:color="auto" w:fill="D7DDE9"/>
          </w:tcPr>
          <w:p w:rsidR="00E11E5F" w:rsidRPr="0079567B" w:rsidRDefault="00E11E5F" w:rsidP="00E11E5F">
            <w:pPr>
              <w:keepNext/>
              <w:keepLines/>
              <w:spacing w:line="240" w:lineRule="auto"/>
              <w:ind w:left="57" w:right="57"/>
            </w:pPr>
            <w:r w:rsidRPr="0079567B">
              <w:t>($m)</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2016–17</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2017–18</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2018–19</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2019–20</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79567B">
              <w:rPr>
                <w:rFonts w:ascii="Calibri" w:hAnsi="Calibri"/>
                <w:b/>
                <w:sz w:val="20"/>
              </w:rPr>
              <w:t>Total to 2019–20</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2020–21</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2021–22</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2022–23</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2023–24</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2024–25</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2025–26</w:t>
            </w:r>
          </w:p>
        </w:tc>
        <w:tc>
          <w:tcPr>
            <w:tcW w:w="322"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79567B">
              <w:rPr>
                <w:rFonts w:ascii="Calibri" w:hAnsi="Calibri"/>
                <w:sz w:val="20"/>
              </w:rPr>
              <w:t>2026–27</w:t>
            </w:r>
          </w:p>
        </w:tc>
        <w:tc>
          <w:tcPr>
            <w:tcW w:w="325" w:type="pct"/>
            <w:shd w:val="clear" w:color="auto" w:fill="D7DDE9"/>
          </w:tcPr>
          <w:p w:rsidR="00E11E5F" w:rsidRPr="0079567B"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79567B">
              <w:rPr>
                <w:rFonts w:ascii="Calibri" w:hAnsi="Calibri"/>
                <w:b/>
                <w:sz w:val="20"/>
              </w:rPr>
              <w:t>Total to 2026–27</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11E5F" w:rsidRPr="0079567B" w:rsidRDefault="00E11E5F" w:rsidP="00E11E5F">
            <w:pPr>
              <w:keepNext/>
              <w:keepLines/>
              <w:spacing w:line="240" w:lineRule="auto"/>
              <w:ind w:left="57" w:right="57"/>
              <w:rPr>
                <w:b/>
                <w:i/>
              </w:rPr>
            </w:pPr>
            <w:r w:rsidRPr="0079567B">
              <w:rPr>
                <w:b/>
                <w:bCs/>
                <w:color w:val="000000"/>
                <w:szCs w:val="20"/>
              </w:rPr>
              <w:t>Tools for your Trade (TFYT) program </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tcPr>
          <w:p w:rsidR="00E11E5F" w:rsidRPr="0079567B" w:rsidRDefault="00E11E5F" w:rsidP="00E11E5F">
            <w:pPr>
              <w:keepNext/>
              <w:keepLines/>
              <w:spacing w:line="240" w:lineRule="auto"/>
              <w:ind w:left="57" w:right="57"/>
            </w:pPr>
            <w:r w:rsidRPr="0079567B">
              <w:rPr>
                <w:color w:val="000000"/>
                <w:szCs w:val="20"/>
              </w:rPr>
              <w:t>Administered</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-184.9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-188.7</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-569.6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-192.2</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-194.1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-198.0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-202.0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-204.0</w:t>
            </w:r>
          </w:p>
        </w:tc>
        <w:tc>
          <w:tcPr>
            <w:tcW w:w="325"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-1,955.8</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tcPr>
          <w:p w:rsidR="00E11E5F" w:rsidRPr="0079567B" w:rsidRDefault="00E11E5F" w:rsidP="00E11E5F">
            <w:pPr>
              <w:keepNext/>
              <w:keepLines/>
              <w:spacing w:line="240" w:lineRule="auto"/>
              <w:ind w:left="57" w:right="57"/>
            </w:pPr>
            <w:r w:rsidRPr="0079567B">
              <w:rPr>
                <w:color w:val="000000"/>
                <w:szCs w:val="20"/>
              </w:rPr>
              <w:t>Departmental</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-3.8</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-11.7</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-4.2</w:t>
            </w:r>
          </w:p>
        </w:tc>
        <w:tc>
          <w:tcPr>
            <w:tcW w:w="325"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-40.2</w:t>
            </w:r>
          </w:p>
        </w:tc>
      </w:tr>
      <w:tr w:rsidR="0073534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shd w:val="clear" w:color="auto" w:fill="D7DDE9"/>
          </w:tcPr>
          <w:p w:rsidR="00E11E5F" w:rsidRPr="0079567B" w:rsidRDefault="00E11E5F" w:rsidP="007C3B4F">
            <w:pPr>
              <w:keepNext/>
              <w:keepLines/>
              <w:spacing w:line="240" w:lineRule="auto"/>
              <w:ind w:left="57" w:right="57"/>
            </w:pPr>
            <w:r w:rsidRPr="0079567B">
              <w:rPr>
                <w:b/>
                <w:bCs/>
                <w:color w:val="000000"/>
                <w:szCs w:val="20"/>
              </w:rPr>
              <w:t>Total</w:t>
            </w:r>
            <w:r w:rsidR="007C3B4F">
              <w:rPr>
                <w:b/>
                <w:bCs/>
                <w:color w:val="000000"/>
                <w:szCs w:val="20"/>
              </w:rPr>
              <w:t xml:space="preserve"> – </w:t>
            </w:r>
            <w:r w:rsidRPr="0079567B">
              <w:rPr>
                <w:b/>
                <w:bCs/>
                <w:color w:val="000000"/>
                <w:szCs w:val="20"/>
              </w:rPr>
              <w:t>TFYT</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-188.7</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-192.5</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-581.3</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-198.1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-202.0</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-204.1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-206.1</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-208.2</w:t>
            </w:r>
          </w:p>
        </w:tc>
        <w:tc>
          <w:tcPr>
            <w:tcW w:w="325"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-1,995.9</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11E5F" w:rsidRPr="0079567B" w:rsidRDefault="00E11E5F" w:rsidP="00E11E5F">
            <w:pPr>
              <w:keepNext/>
              <w:keepLines/>
              <w:spacing w:line="240" w:lineRule="auto"/>
              <w:ind w:left="57" w:right="57"/>
              <w:rPr>
                <w:b/>
                <w:i/>
              </w:rPr>
            </w:pPr>
            <w:r w:rsidRPr="0079567B">
              <w:rPr>
                <w:b/>
                <w:bCs/>
                <w:color w:val="000000"/>
                <w:szCs w:val="20"/>
              </w:rPr>
              <w:t>Trade Support Loan (TSL) program </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tcPr>
          <w:p w:rsidR="00E11E5F" w:rsidRPr="0079567B" w:rsidRDefault="00E11E5F" w:rsidP="00F5589B">
            <w:pPr>
              <w:keepNext/>
              <w:keepLines/>
              <w:spacing w:before="0" w:after="0" w:line="240" w:lineRule="auto"/>
              <w:ind w:left="57" w:right="57"/>
            </w:pPr>
            <w:r w:rsidRPr="0079567B">
              <w:rPr>
                <w:color w:val="000000"/>
                <w:szCs w:val="20"/>
              </w:rPr>
              <w:t>Change in discount on loans</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87.9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88.7</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89.6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266.2</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90.5</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91.4</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92.3</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93.3</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94.2</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95.1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96.1</w:t>
            </w:r>
          </w:p>
        </w:tc>
        <w:tc>
          <w:tcPr>
            <w:tcW w:w="325"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919.1</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tcPr>
          <w:p w:rsidR="00E11E5F" w:rsidRPr="0079567B" w:rsidRDefault="00E11E5F" w:rsidP="00F5589B">
            <w:pPr>
              <w:keepNext/>
              <w:keepLines/>
              <w:spacing w:before="0" w:after="0" w:line="240" w:lineRule="auto"/>
              <w:ind w:left="57" w:right="57"/>
            </w:pPr>
            <w:r w:rsidRPr="0079567B">
              <w:rPr>
                <w:color w:val="000000"/>
                <w:szCs w:val="20"/>
              </w:rPr>
              <w:t>Change in interest received</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-12.6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-21.5</w:t>
            </w:r>
          </w:p>
        </w:tc>
        <w:tc>
          <w:tcPr>
            <w:tcW w:w="325"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-42.1</w:t>
            </w:r>
          </w:p>
        </w:tc>
      </w:tr>
      <w:tr w:rsidR="0073534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shd w:val="clear" w:color="auto" w:fill="D7DDE9"/>
          </w:tcPr>
          <w:p w:rsidR="00E11E5F" w:rsidRPr="0079567B" w:rsidRDefault="00E11E5F" w:rsidP="007C3B4F">
            <w:pPr>
              <w:keepNext/>
              <w:keepLines/>
              <w:spacing w:line="240" w:lineRule="auto"/>
              <w:ind w:left="57" w:right="57"/>
            </w:pPr>
            <w:r w:rsidRPr="0079567B">
              <w:rPr>
                <w:b/>
                <w:bCs/>
                <w:color w:val="000000"/>
                <w:szCs w:val="20"/>
              </w:rPr>
              <w:t xml:space="preserve">Total </w:t>
            </w:r>
            <w:r w:rsidR="007C3B4F">
              <w:rPr>
                <w:b/>
                <w:bCs/>
                <w:color w:val="000000"/>
                <w:szCs w:val="20"/>
              </w:rPr>
              <w:t>–</w:t>
            </w:r>
            <w:r w:rsidRPr="0079567B">
              <w:rPr>
                <w:b/>
                <w:bCs/>
                <w:color w:val="000000"/>
                <w:szCs w:val="20"/>
              </w:rPr>
              <w:t xml:space="preserve"> TSL</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87.9</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88.7</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89.6</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266.2</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90.5</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91.4</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92.3</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91.3</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88.2</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82.6</w:t>
            </w:r>
          </w:p>
        </w:tc>
        <w:tc>
          <w:tcPr>
            <w:tcW w:w="322"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74.6</w:t>
            </w:r>
          </w:p>
        </w:tc>
        <w:tc>
          <w:tcPr>
            <w:tcW w:w="325"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877.1</w:t>
            </w:r>
          </w:p>
        </w:tc>
      </w:tr>
      <w:tr w:rsidR="00E11E5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tcPr>
          <w:p w:rsidR="00E11E5F" w:rsidRPr="0079567B" w:rsidRDefault="00E11E5F" w:rsidP="00E11E5F">
            <w:pPr>
              <w:keepNext/>
              <w:keepLines/>
              <w:spacing w:line="240" w:lineRule="auto"/>
              <w:ind w:left="57" w:right="57"/>
            </w:pPr>
            <w:r w:rsidRPr="0079567B">
              <w:rPr>
                <w:color w:val="000000"/>
                <w:szCs w:val="20"/>
              </w:rPr>
              <w:t>Public debt interest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5.6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17.0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31.6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54.2</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52.9</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80.1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113.5</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151.1</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189.0</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225.6</w:t>
            </w:r>
          </w:p>
        </w:tc>
        <w:tc>
          <w:tcPr>
            <w:tcW w:w="322"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259.1</w:t>
            </w:r>
          </w:p>
        </w:tc>
        <w:tc>
          <w:tcPr>
            <w:tcW w:w="325"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 xml:space="preserve"> 1,125.5</w:t>
            </w:r>
          </w:p>
        </w:tc>
      </w:tr>
      <w:tr w:rsidR="0073534F" w:rsidRPr="0079567B" w:rsidTr="00E11E5F">
        <w:trPr>
          <w:cantSplit/>
        </w:trPr>
        <w:tc>
          <w:tcPr>
            <w:cnfStyle w:val="001000000000" w:firstRow="0" w:lastRow="0" w:firstColumn="1" w:lastColumn="0" w:oddVBand="0" w:evenVBand="0" w:oddHBand="0" w:evenHBand="0" w:firstRowFirstColumn="0" w:firstRowLastColumn="0" w:lastRowFirstColumn="0" w:lastRowLastColumn="0"/>
            <w:tcW w:w="811" w:type="pct"/>
            <w:shd w:val="clear" w:color="auto" w:fill="D7DDE9"/>
          </w:tcPr>
          <w:p w:rsidR="00E11E5F" w:rsidRPr="0079567B" w:rsidRDefault="00E11E5F" w:rsidP="00E11E5F">
            <w:pPr>
              <w:keepNext/>
              <w:keepLines/>
              <w:spacing w:line="240" w:lineRule="auto"/>
              <w:ind w:left="57" w:right="57"/>
              <w:rPr>
                <w:b/>
              </w:rPr>
            </w:pPr>
            <w:r w:rsidRPr="0079567B">
              <w:rPr>
                <w:b/>
                <w:bCs/>
                <w:color w:val="000000"/>
                <w:szCs w:val="20"/>
              </w:rPr>
              <w:t>Total</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-95.3</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-94.3</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-71.3</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-260.9</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-52.7</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-26.6</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5.8</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40.3</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73.1</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102.1</w:t>
            </w:r>
          </w:p>
        </w:tc>
        <w:tc>
          <w:tcPr>
            <w:tcW w:w="322"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125.5</w:t>
            </w:r>
          </w:p>
        </w:tc>
        <w:tc>
          <w:tcPr>
            <w:tcW w:w="325" w:type="pct"/>
            <w:shd w:val="clear" w:color="auto" w:fill="D7DDE9"/>
          </w:tcPr>
          <w:p w:rsidR="00E11E5F" w:rsidRPr="0079567B"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79567B">
              <w:rPr>
                <w:b/>
                <w:bCs/>
              </w:rPr>
              <w:t>6.7</w:t>
            </w:r>
          </w:p>
        </w:tc>
      </w:tr>
    </w:tbl>
    <w:p w:rsidR="00E11E5F" w:rsidRDefault="00E11E5F" w:rsidP="002C43F8">
      <w:pPr>
        <w:pStyle w:val="Footnotes"/>
        <w:numPr>
          <w:ilvl w:val="0"/>
          <w:numId w:val="68"/>
        </w:numPr>
        <w:ind w:left="284" w:hanging="284"/>
      </w:pPr>
      <w:r>
        <w:t xml:space="preserve">A positive number for the underlying cash balance indicates an increase in receipts or a decrease in </w:t>
      </w:r>
      <w:r w:rsidR="0080154C">
        <w:t>payments</w:t>
      </w:r>
      <w:r>
        <w:t xml:space="preserve"> or net capital investment in cash terms.  A negative number for the underlying cash balance indicates a decrease in receipts or an increase in </w:t>
      </w:r>
      <w:r w:rsidR="0080154C">
        <w:t>payments</w:t>
      </w:r>
      <w:r>
        <w:t xml:space="preserve"> or net capital investment in cash terms.</w:t>
      </w:r>
    </w:p>
    <w:p w:rsidR="00E11E5F" w:rsidRDefault="00E11E5F" w:rsidP="007C3B4F">
      <w:pPr>
        <w:pStyle w:val="Footnotes"/>
        <w:ind w:left="284" w:hanging="284"/>
      </w:pPr>
      <w:r>
        <w:t>Figures may not sum to totals due to rounding.</w:t>
      </w:r>
    </w:p>
    <w:p w:rsidR="00E11E5F" w:rsidRDefault="00E11E5F" w:rsidP="007C3B4F">
      <w:pPr>
        <w:pStyle w:val="Footnotes"/>
        <w:numPr>
          <w:ilvl w:val="0"/>
          <w:numId w:val="0"/>
        </w:numPr>
        <w:ind w:left="284" w:hanging="284"/>
      </w:pPr>
      <w:r>
        <w:t>-</w:t>
      </w:r>
      <w:r>
        <w:tab/>
        <w:t>Indicates nil.</w:t>
      </w:r>
    </w:p>
    <w:p w:rsidR="00E11E5F" w:rsidRDefault="00E11E5F" w:rsidP="00E11E5F">
      <w:pPr>
        <w:pStyle w:val="Caption"/>
        <w:spacing w:before="120"/>
        <w:rPr>
          <w:vertAlign w:val="superscript"/>
        </w:rPr>
      </w:pPr>
      <w:r w:rsidRPr="002B36F1">
        <w:t xml:space="preserve">Table </w:t>
      </w:r>
      <w:r>
        <w:t>A3</w:t>
      </w:r>
      <w:r w:rsidRPr="002B36F1">
        <w:t xml:space="preserve">: </w:t>
      </w:r>
      <w:r w:rsidRPr="009C28BD">
        <w:t>Tools for Your Trade</w:t>
      </w:r>
      <w:r>
        <w:t>—Headline cash balance</w:t>
      </w:r>
      <w:r w:rsidRPr="002B36F1">
        <w:rPr>
          <w:vertAlign w:val="superscript"/>
        </w:rPr>
        <w:t>(a)(b)</w:t>
      </w:r>
    </w:p>
    <w:tbl>
      <w:tblPr>
        <w:tblStyle w:val="TableGrid43"/>
        <w:tblW w:w="5000" w:type="pct"/>
        <w:tblInd w:w="-137" w:type="dxa"/>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2130"/>
        <w:gridCol w:w="857"/>
        <w:gridCol w:w="856"/>
        <w:gridCol w:w="856"/>
        <w:gridCol w:w="856"/>
        <w:gridCol w:w="856"/>
        <w:gridCol w:w="856"/>
        <w:gridCol w:w="856"/>
        <w:gridCol w:w="856"/>
        <w:gridCol w:w="856"/>
        <w:gridCol w:w="856"/>
        <w:gridCol w:w="856"/>
        <w:gridCol w:w="856"/>
        <w:gridCol w:w="851"/>
      </w:tblGrid>
      <w:tr w:rsidR="0073534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11E5F" w:rsidRPr="00617983" w:rsidRDefault="00E11E5F" w:rsidP="00E11E5F">
            <w:pPr>
              <w:keepNext/>
              <w:keepLines/>
              <w:spacing w:line="240" w:lineRule="auto"/>
              <w:ind w:left="57" w:right="57"/>
            </w:pPr>
            <w:r w:rsidRPr="00617983">
              <w:t>($m)</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2016–17</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2017–18</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2018–19</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2019–20</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17983">
              <w:rPr>
                <w:rFonts w:ascii="Calibri" w:hAnsi="Calibri"/>
                <w:b/>
                <w:sz w:val="20"/>
              </w:rPr>
              <w:t>Total to 2019–20</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2020–21</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2021–22</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2022–23</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2023–24</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2024–25</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2025–26</w:t>
            </w:r>
          </w:p>
        </w:tc>
        <w:tc>
          <w:tcPr>
            <w:tcW w:w="323"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617983">
              <w:rPr>
                <w:rFonts w:ascii="Calibri" w:hAnsi="Calibri"/>
                <w:sz w:val="20"/>
              </w:rPr>
              <w:t>2026–27</w:t>
            </w:r>
          </w:p>
        </w:tc>
        <w:tc>
          <w:tcPr>
            <w:tcW w:w="321" w:type="pct"/>
            <w:shd w:val="clear" w:color="auto" w:fill="D7DDE9"/>
          </w:tcPr>
          <w:p w:rsidR="00E11E5F" w:rsidRPr="00617983" w:rsidRDefault="00E11E5F" w:rsidP="00E11E5F">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617983">
              <w:rPr>
                <w:rFonts w:ascii="Calibri" w:hAnsi="Calibri"/>
                <w:b/>
                <w:sz w:val="20"/>
              </w:rPr>
              <w:t>Total to 2026–27</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11E5F" w:rsidRPr="00617983" w:rsidRDefault="00E11E5F" w:rsidP="00E11E5F">
            <w:pPr>
              <w:keepNext/>
              <w:keepLines/>
              <w:spacing w:line="240" w:lineRule="auto"/>
              <w:ind w:left="57" w:right="57"/>
              <w:rPr>
                <w:b/>
                <w:i/>
              </w:rPr>
            </w:pPr>
            <w:r w:rsidRPr="00617983">
              <w:rPr>
                <w:b/>
                <w:bCs/>
                <w:color w:val="000000"/>
                <w:szCs w:val="20"/>
              </w:rPr>
              <w:t>Tools for your Trade (TFYT) program </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E11E5F">
            <w:pPr>
              <w:keepNext/>
              <w:keepLines/>
              <w:spacing w:line="240" w:lineRule="auto"/>
              <w:ind w:left="57" w:right="57"/>
            </w:pPr>
            <w:r w:rsidRPr="00617983">
              <w:rPr>
                <w:color w:val="000000"/>
                <w:szCs w:val="20"/>
              </w:rPr>
              <w:t>Administered</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-184.9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-188.7</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-569.6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-192.2</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-194.1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-198.0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-202.0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-204.0</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-1,955.8</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E11E5F">
            <w:pPr>
              <w:keepNext/>
              <w:keepLines/>
              <w:spacing w:line="240" w:lineRule="auto"/>
              <w:ind w:left="57" w:right="57"/>
            </w:pPr>
            <w:r w:rsidRPr="00617983">
              <w:rPr>
                <w:color w:val="000000"/>
                <w:szCs w:val="20"/>
              </w:rPr>
              <w:t>Departmental</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-3.8</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-11.7</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-4.2</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-40.2</w:t>
            </w:r>
          </w:p>
        </w:tc>
      </w:tr>
      <w:tr w:rsidR="0073534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11E5F" w:rsidRPr="00617983" w:rsidRDefault="00E11E5F" w:rsidP="007C3B4F">
            <w:pPr>
              <w:keepNext/>
              <w:keepLines/>
              <w:spacing w:line="240" w:lineRule="auto"/>
              <w:ind w:left="57" w:right="57"/>
            </w:pPr>
            <w:r w:rsidRPr="00617983">
              <w:rPr>
                <w:b/>
                <w:bCs/>
                <w:color w:val="000000"/>
                <w:szCs w:val="20"/>
              </w:rPr>
              <w:t xml:space="preserve">Total </w:t>
            </w:r>
            <w:r w:rsidR="007C3B4F">
              <w:rPr>
                <w:b/>
                <w:bCs/>
                <w:color w:val="000000"/>
                <w:szCs w:val="20"/>
              </w:rPr>
              <w:t>–</w:t>
            </w:r>
            <w:r w:rsidRPr="00617983">
              <w:rPr>
                <w:b/>
                <w:bCs/>
                <w:color w:val="000000"/>
                <w:szCs w:val="20"/>
              </w:rPr>
              <w:t xml:space="preserve"> TFYT</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-188.7</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-192.5</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-581.3</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-196.1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-198.1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-200.1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-202.0</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-204.1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-206.1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-208.2</w:t>
            </w:r>
          </w:p>
        </w:tc>
        <w:tc>
          <w:tcPr>
            <w:tcW w:w="321"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-1,995.9</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E11E5F" w:rsidRPr="00617983" w:rsidRDefault="00E11E5F" w:rsidP="00E11E5F">
            <w:pPr>
              <w:keepNext/>
              <w:keepLines/>
              <w:spacing w:line="240" w:lineRule="auto"/>
              <w:ind w:left="57" w:right="57"/>
              <w:rPr>
                <w:b/>
                <w:i/>
              </w:rPr>
            </w:pPr>
            <w:r w:rsidRPr="00617983">
              <w:rPr>
                <w:b/>
                <w:bCs/>
                <w:color w:val="000000"/>
                <w:szCs w:val="20"/>
              </w:rPr>
              <w:t>T</w:t>
            </w:r>
            <w:r w:rsidR="007C3B4F">
              <w:rPr>
                <w:b/>
                <w:bCs/>
                <w:color w:val="000000"/>
                <w:szCs w:val="20"/>
              </w:rPr>
              <w:t>rade Support Loan (TSL) program</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E11E5F">
            <w:pPr>
              <w:keepNext/>
              <w:keepLines/>
              <w:spacing w:line="240" w:lineRule="auto"/>
              <w:ind w:left="57" w:right="57"/>
            </w:pPr>
            <w:r w:rsidRPr="00617983">
              <w:rPr>
                <w:color w:val="000000"/>
                <w:szCs w:val="20"/>
              </w:rPr>
              <w:t>Change in loans issued</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650.8</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657.3</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663.8</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1,971.9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670.5</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677.2</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684.0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690.8</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697.7</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704.7</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711.7</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6,808.5</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F5589B">
            <w:pPr>
              <w:keepNext/>
              <w:keepLines/>
              <w:spacing w:before="0" w:after="0" w:line="240" w:lineRule="auto"/>
              <w:ind w:left="57" w:right="57"/>
              <w:rPr>
                <w:color w:val="000000"/>
                <w:szCs w:val="20"/>
              </w:rPr>
            </w:pPr>
            <w:r w:rsidRPr="00617983">
              <w:rPr>
                <w:color w:val="000000"/>
                <w:szCs w:val="20"/>
              </w:rPr>
              <w:t>Change in principal repayments received</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bCs/>
                <w:i/>
              </w:rPr>
            </w:pPr>
            <w:r w:rsidRPr="008C7879">
              <w:rPr>
                <w:b/>
                <w:bCs/>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-114.6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-230.4</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-347.3</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-465.4</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bCs/>
                <w:i/>
              </w:rPr>
            </w:pPr>
            <w:r w:rsidRPr="008C7879">
              <w:rPr>
                <w:b/>
                <w:bCs/>
                <w:i/>
              </w:rPr>
              <w:t>-1,157.8</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F5589B">
            <w:pPr>
              <w:keepNext/>
              <w:keepLines/>
              <w:spacing w:before="0" w:after="0" w:line="240" w:lineRule="auto"/>
              <w:ind w:left="57" w:right="57"/>
            </w:pPr>
            <w:r w:rsidRPr="00617983">
              <w:rPr>
                <w:color w:val="000000"/>
                <w:szCs w:val="20"/>
              </w:rPr>
              <w:t>Change in interest repayments received</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-21.6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-46.9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-75.9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-108.7</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-253.1</w:t>
            </w:r>
          </w:p>
        </w:tc>
      </w:tr>
      <w:tr w:rsidR="0073534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11E5F" w:rsidRPr="00617983" w:rsidRDefault="00E11E5F" w:rsidP="00E11E5F">
            <w:pPr>
              <w:keepNext/>
              <w:keepLines/>
              <w:spacing w:line="240" w:lineRule="auto"/>
              <w:ind w:left="57" w:right="57"/>
            </w:pPr>
            <w:r w:rsidRPr="00617983">
              <w:rPr>
                <w:b/>
                <w:bCs/>
                <w:color w:val="000000"/>
                <w:szCs w:val="20"/>
              </w:rPr>
              <w:t>Total - TSL</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650.8</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657.3</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663.8</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1,971.9</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670.5</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677.2</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684.0</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554.5</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420.4</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281.5</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137.6</w:t>
            </w:r>
          </w:p>
        </w:tc>
        <w:tc>
          <w:tcPr>
            <w:tcW w:w="321"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5,397.6</w:t>
            </w:r>
          </w:p>
        </w:tc>
      </w:tr>
      <w:tr w:rsidR="00E11E5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tcPr>
          <w:p w:rsidR="00E11E5F" w:rsidRPr="00617983" w:rsidRDefault="00E11E5F" w:rsidP="00E11E5F">
            <w:pPr>
              <w:keepNext/>
              <w:keepLines/>
              <w:spacing w:line="240" w:lineRule="auto"/>
              <w:ind w:left="57" w:right="57"/>
            </w:pPr>
            <w:r w:rsidRPr="00617983">
              <w:rPr>
                <w:color w:val="000000"/>
                <w:szCs w:val="20"/>
              </w:rPr>
              <w:t xml:space="preserve">Public debt interest </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5.6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17.0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31.6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54.2</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52.9</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80.1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113.5</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151.1</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189.0</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225.6</w:t>
            </w:r>
          </w:p>
        </w:tc>
        <w:tc>
          <w:tcPr>
            <w:tcW w:w="323"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i/>
              </w:rPr>
            </w:pPr>
            <w:r w:rsidRPr="008C7879">
              <w:rPr>
                <w:i/>
              </w:rPr>
              <w:t>259.1</w:t>
            </w:r>
          </w:p>
        </w:tc>
        <w:tc>
          <w:tcPr>
            <w:tcW w:w="321" w:type="pct"/>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i/>
              </w:rPr>
            </w:pPr>
            <w:r w:rsidRPr="008C7879">
              <w:rPr>
                <w:b/>
                <w:bCs/>
                <w:i/>
              </w:rPr>
              <w:t>1,125.5</w:t>
            </w:r>
          </w:p>
        </w:tc>
      </w:tr>
      <w:tr w:rsidR="0073534F" w:rsidRPr="00617983" w:rsidTr="00E11E5F">
        <w:trPr>
          <w:cantSplit/>
        </w:trPr>
        <w:tc>
          <w:tcPr>
            <w:cnfStyle w:val="001000000000" w:firstRow="0" w:lastRow="0" w:firstColumn="1" w:lastColumn="0" w:oddVBand="0" w:evenVBand="0" w:oddHBand="0" w:evenHBand="0" w:firstRowFirstColumn="0" w:firstRowLastColumn="0" w:lastRowFirstColumn="0" w:lastRowLastColumn="0"/>
            <w:tcW w:w="803" w:type="pct"/>
            <w:shd w:val="clear" w:color="auto" w:fill="D7DDE9"/>
          </w:tcPr>
          <w:p w:rsidR="00E11E5F" w:rsidRPr="00617983" w:rsidRDefault="00E11E5F" w:rsidP="00E11E5F">
            <w:pPr>
              <w:keepNext/>
              <w:keepLines/>
              <w:spacing w:line="240" w:lineRule="auto"/>
              <w:ind w:left="57" w:right="57"/>
              <w:rPr>
                <w:b/>
              </w:rPr>
            </w:pPr>
            <w:r w:rsidRPr="00617983">
              <w:rPr>
                <w:b/>
                <w:bCs/>
                <w:color w:val="000000"/>
                <w:szCs w:val="20"/>
              </w:rPr>
              <w:t>Total</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467.6</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474.2</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502.9</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1,444.7</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527.3</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559.2</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597.4</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503.6</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405.4</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301.1</w:t>
            </w:r>
          </w:p>
        </w:tc>
        <w:tc>
          <w:tcPr>
            <w:tcW w:w="323"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188.5</w:t>
            </w:r>
          </w:p>
        </w:tc>
        <w:tc>
          <w:tcPr>
            <w:tcW w:w="321" w:type="pct"/>
            <w:shd w:val="clear" w:color="auto" w:fill="D7DDE9"/>
          </w:tcPr>
          <w:p w:rsidR="00E11E5F" w:rsidRPr="008C7879" w:rsidRDefault="00E11E5F"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8C7879">
              <w:rPr>
                <w:b/>
                <w:bCs/>
              </w:rPr>
              <w:t xml:space="preserve"> 4,527.2</w:t>
            </w:r>
          </w:p>
        </w:tc>
      </w:tr>
    </w:tbl>
    <w:p w:rsidR="00E11E5F" w:rsidRPr="00617983" w:rsidRDefault="00E11E5F" w:rsidP="002C43F8">
      <w:pPr>
        <w:pStyle w:val="Footnotes"/>
        <w:numPr>
          <w:ilvl w:val="0"/>
          <w:numId w:val="69"/>
        </w:numPr>
        <w:ind w:left="284" w:hanging="284"/>
      </w:pPr>
      <w:r w:rsidRPr="00617983">
        <w:t>A positive number indicates an increase in revenue or decrease in expenses or net capital investment in accrual and cash terms. A negative number indicates a decrease in revenue or an increase in expenses or net capital investment in accrual and cash terms.</w:t>
      </w:r>
    </w:p>
    <w:p w:rsidR="00E11E5F" w:rsidRPr="00617983" w:rsidRDefault="00E11E5F" w:rsidP="007C3B4F">
      <w:pPr>
        <w:pStyle w:val="Footnotes"/>
        <w:ind w:left="284" w:hanging="284"/>
      </w:pPr>
      <w:r w:rsidRPr="00617983">
        <w:t>Figures may not sum to totals due to rounding.</w:t>
      </w:r>
    </w:p>
    <w:p w:rsidR="00420CF4" w:rsidRPr="00951305" w:rsidRDefault="00E11E5F" w:rsidP="007C3B4F">
      <w:pPr>
        <w:pStyle w:val="Footnotes"/>
        <w:numPr>
          <w:ilvl w:val="0"/>
          <w:numId w:val="0"/>
        </w:numPr>
        <w:ind w:left="284" w:hanging="284"/>
      </w:pPr>
      <w:r w:rsidRPr="00617983">
        <w:t>-</w:t>
      </w:r>
      <w:r w:rsidRPr="00617983">
        <w:tab/>
        <w:t>Indicates nil.</w:t>
      </w:r>
    </w:p>
    <w:p w:rsidR="00420CF4" w:rsidRDefault="00420CF4" w:rsidP="00420CF4">
      <w:pPr>
        <w:pStyle w:val="BodyText"/>
        <w:sectPr w:rsidR="00420CF4" w:rsidSect="002C3AC8">
          <w:headerReference w:type="even" r:id="rId114"/>
          <w:headerReference w:type="default" r:id="rId115"/>
          <w:footerReference w:type="even" r:id="rId116"/>
          <w:footerReference w:type="default" r:id="rId117"/>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42" w:name="_Toc458081662"/>
      <w:r>
        <w:t>ALP0</w:t>
      </w:r>
      <w:r w:rsidR="00C21EBE">
        <w:t>38</w:t>
      </w:r>
      <w:r>
        <w:t>: Water Safe</w:t>
      </w:r>
      <w:bookmarkEnd w:id="42"/>
    </w:p>
    <w:p w:rsidR="00745988" w:rsidRDefault="00745988" w:rsidP="00745988">
      <w:pPr>
        <w:pStyle w:val="BodyText"/>
      </w:pPr>
      <w:r>
        <w:rPr>
          <w:noProof/>
          <w:lang w:eastAsia="en-AU"/>
        </w:rPr>
        <w:drawing>
          <wp:inline distT="0" distB="0" distL="0" distR="0" wp14:anchorId="541A7D55" wp14:editId="1746FAED">
            <wp:extent cx="2696845" cy="572135"/>
            <wp:effectExtent l="0" t="0" r="8255" b="0"/>
            <wp:docPr id="351" name="Picture 35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112A11">
            <w:pPr>
              <w:pStyle w:val="PullOutBoxHeading"/>
              <w:rPr>
                <w:b/>
              </w:rPr>
            </w:pPr>
            <w:r w:rsidRPr="00E51946">
              <w:rPr>
                <w:b/>
              </w:rPr>
              <w:t>Name of proposal:</w:t>
            </w:r>
          </w:p>
        </w:tc>
        <w:tc>
          <w:tcPr>
            <w:tcW w:w="3191" w:type="pct"/>
          </w:tcPr>
          <w:p w:rsidR="00420CF4" w:rsidRPr="00E51946" w:rsidRDefault="00602B06" w:rsidP="00112A11">
            <w:pPr>
              <w:pStyle w:val="PullOutBoxHeading"/>
              <w:rPr>
                <w:b/>
              </w:rPr>
            </w:pPr>
            <w:r w:rsidRPr="00E51946">
              <w:rPr>
                <w:b/>
              </w:rPr>
              <w:t>Water Safe</w:t>
            </w:r>
          </w:p>
        </w:tc>
      </w:tr>
      <w:tr w:rsidR="00420CF4" w:rsidRPr="00B45F94" w:rsidTr="00967BCD">
        <w:tc>
          <w:tcPr>
            <w:tcW w:w="1809" w:type="pct"/>
          </w:tcPr>
          <w:p w:rsidR="00420CF4" w:rsidRPr="00B45F94" w:rsidRDefault="00420CF4" w:rsidP="00112A11">
            <w:pPr>
              <w:pStyle w:val="PullOutBoxBodyText"/>
            </w:pPr>
            <w:r w:rsidRPr="00B45F94">
              <w:t>Summary of proposal:</w:t>
            </w:r>
          </w:p>
        </w:tc>
        <w:tc>
          <w:tcPr>
            <w:tcW w:w="3191" w:type="pct"/>
          </w:tcPr>
          <w:p w:rsidR="00602B06" w:rsidRDefault="00602B06" w:rsidP="00112A11">
            <w:pPr>
              <w:pStyle w:val="PullOutBoxBodyText"/>
            </w:pPr>
            <w:r>
              <w:t>The proposal would introduce a ‘Swim and Survive in Schools – A National Water Safety Initiative’ program.</w:t>
            </w:r>
          </w:p>
          <w:p w:rsidR="00602B06" w:rsidRDefault="00602B06" w:rsidP="00112A11">
            <w:pPr>
              <w:pStyle w:val="PullOutBoxBodyText"/>
            </w:pPr>
            <w:r>
              <w:t>The program would have the following characteristics:</w:t>
            </w:r>
          </w:p>
          <w:p w:rsidR="00602B06" w:rsidRDefault="00602B06" w:rsidP="00112A11">
            <w:pPr>
              <w:pStyle w:val="PullOutBoxBullet"/>
            </w:pPr>
            <w:r>
              <w:t>The swimming and water safety training would be based on the National Swimming and Water Safety Framework.</w:t>
            </w:r>
          </w:p>
          <w:p w:rsidR="00602B06" w:rsidRDefault="00602B06" w:rsidP="00112A11">
            <w:pPr>
              <w:pStyle w:val="PullOutBoxBullet"/>
            </w:pPr>
            <w:r>
              <w:t>The program would give access to instruction in swimming and water safety equivalent to level 4 of the National Swimming and Water Safety Framework.</w:t>
            </w:r>
          </w:p>
          <w:p w:rsidR="00602B06" w:rsidRDefault="00602B06" w:rsidP="00112A11">
            <w:pPr>
              <w:pStyle w:val="PullOutBoxBullet"/>
            </w:pPr>
            <w:r>
              <w:t>This program would be administered by state and territory education departments (not the Commonwealth).</w:t>
            </w:r>
          </w:p>
          <w:p w:rsidR="00602B06" w:rsidRDefault="00602B06" w:rsidP="00112A11">
            <w:pPr>
              <w:pStyle w:val="PullOutBoxBodyText"/>
            </w:pPr>
            <w:r>
              <w:t>The Commonwealth would provide a maximum of $35</w:t>
            </w:r>
            <w:r w:rsidR="001D13BF">
              <w:t> </w:t>
            </w:r>
            <w:r>
              <w:t>per student to state and territory governments for every year 3 student across all states and territories in Australia.  This funding commitment would be matched by funding from state and territory governments.</w:t>
            </w:r>
          </w:p>
          <w:p w:rsidR="00602B06" w:rsidRDefault="00602B06" w:rsidP="00112A11">
            <w:pPr>
              <w:pStyle w:val="PullOutBoxBodyText"/>
            </w:pPr>
            <w:r>
              <w:t>The funding cap would be indexed each year by the Consumer Price Index (CPI).</w:t>
            </w:r>
          </w:p>
          <w:p w:rsidR="00420CF4" w:rsidRPr="00B45F94" w:rsidRDefault="00602B06" w:rsidP="00112A11">
            <w:pPr>
              <w:pStyle w:val="PullOutBoxBodyText"/>
            </w:pPr>
            <w:r>
              <w:t>The proposal would have effect from 1 January 2017 and would be ongoing.</w:t>
            </w:r>
          </w:p>
        </w:tc>
      </w:tr>
      <w:tr w:rsidR="00420CF4" w:rsidRPr="00B45F94" w:rsidTr="00967BCD">
        <w:tc>
          <w:tcPr>
            <w:tcW w:w="1809" w:type="pct"/>
          </w:tcPr>
          <w:p w:rsidR="00420CF4" w:rsidRPr="00B45F94" w:rsidRDefault="00420CF4" w:rsidP="00112A11">
            <w:pPr>
              <w:pStyle w:val="PullOutBoxBodyText"/>
            </w:pPr>
            <w:r>
              <w:t>Party:</w:t>
            </w:r>
          </w:p>
        </w:tc>
        <w:tc>
          <w:tcPr>
            <w:tcW w:w="3191" w:type="pct"/>
          </w:tcPr>
          <w:p w:rsidR="00420CF4" w:rsidRPr="00B45F94" w:rsidRDefault="00420CF4" w:rsidP="00112A11">
            <w:pPr>
              <w:pStyle w:val="PullOutBoxBodyText"/>
            </w:pPr>
            <w:r>
              <w:t>Australian Labor Party</w:t>
            </w:r>
          </w:p>
        </w:tc>
      </w:tr>
      <w:tr w:rsidR="00420CF4" w:rsidRPr="00B45F94" w:rsidTr="00967BCD">
        <w:tc>
          <w:tcPr>
            <w:tcW w:w="1809" w:type="pct"/>
          </w:tcPr>
          <w:p w:rsidR="00420CF4" w:rsidRPr="00B45F94" w:rsidRDefault="00420CF4" w:rsidP="00112A11">
            <w:pPr>
              <w:pStyle w:val="PullOutBoxBodyText"/>
            </w:pPr>
            <w:r w:rsidRPr="00B45F94">
              <w:t>Expiry date for the costing:</w:t>
            </w:r>
          </w:p>
        </w:tc>
        <w:tc>
          <w:tcPr>
            <w:tcW w:w="3191" w:type="pct"/>
          </w:tcPr>
          <w:p w:rsidR="00420CF4" w:rsidRPr="00B45F94" w:rsidRDefault="00EC102A" w:rsidP="00112A11">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602B06" w:rsidRDefault="00602B06" w:rsidP="00602B06">
      <w:pPr>
        <w:pStyle w:val="BodyText"/>
      </w:pPr>
      <w:r>
        <w:t>This proposal would be expected to decrease both the fiscal and underlying cash balances by $40.8 million over the 2016-17 Budget forward estimates period.  This is entirely due to an increase in administered expenses.  The impact in 2016-17 reflects the half year effect of introducing the policy for the 2017 school year.</w:t>
      </w:r>
    </w:p>
    <w:p w:rsidR="00602B06" w:rsidRDefault="00602B06" w:rsidP="00602B06">
      <w:pPr>
        <w:pStyle w:val="BodyText"/>
      </w:pPr>
      <w:r>
        <w:t>As the program would be administered by state and territory education departments, departmental costs for the Department of Education and Training (DET) are not expected to be material.</w:t>
      </w:r>
    </w:p>
    <w:p w:rsidR="00602B06" w:rsidRDefault="00602B06" w:rsidP="00602B06">
      <w:pPr>
        <w:pStyle w:val="BodyText"/>
      </w:pPr>
      <w:r>
        <w:t>This proposal would have an ongoing impact that extends beyond the 2016</w:t>
      </w:r>
      <w:r>
        <w:noBreakHyphen/>
        <w:t>17 Budget forward estimates period.</w:t>
      </w:r>
    </w:p>
    <w:p w:rsidR="00602B06" w:rsidRPr="00602B06" w:rsidRDefault="00602B06" w:rsidP="00602B06">
      <w:pPr>
        <w:pStyle w:val="BodyText"/>
      </w:pPr>
      <w:r>
        <w:t>This costing is considered to be of high reliability as the proposal is for a specified amount per student and the historic growth in year 3 students is stable and therefore reasonably predictable.</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602B06">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602B06">
            <w:pPr>
              <w:pStyle w:val="TableTextRight"/>
            </w:pPr>
            <w:r>
              <w:t>Total</w:t>
            </w:r>
          </w:p>
        </w:tc>
      </w:tr>
      <w:tr w:rsidR="00602B06" w:rsidTr="00AF3FCF">
        <w:tc>
          <w:tcPr>
            <w:tcW w:w="1393" w:type="pct"/>
          </w:tcPr>
          <w:p w:rsidR="00602B06" w:rsidRDefault="00602B06" w:rsidP="00967BCD">
            <w:pPr>
              <w:pStyle w:val="TableText"/>
            </w:pPr>
            <w:r>
              <w:t>Fiscal balance</w:t>
            </w:r>
          </w:p>
        </w:tc>
        <w:tc>
          <w:tcPr>
            <w:tcW w:w="721" w:type="pct"/>
            <w:vAlign w:val="center"/>
          </w:tcPr>
          <w:p w:rsidR="00602B06" w:rsidRPr="003A3459" w:rsidRDefault="00602B06" w:rsidP="00AF3FCF">
            <w:pPr>
              <w:pStyle w:val="TableTextCentred"/>
              <w:keepNext/>
              <w:keepLines/>
              <w:jc w:val="right"/>
              <w:rPr>
                <w:szCs w:val="20"/>
              </w:rPr>
            </w:pPr>
            <w:r>
              <w:rPr>
                <w:szCs w:val="20"/>
              </w:rPr>
              <w:t>-5.5</w:t>
            </w:r>
          </w:p>
        </w:tc>
        <w:tc>
          <w:tcPr>
            <w:tcW w:w="721" w:type="pct"/>
            <w:vAlign w:val="center"/>
          </w:tcPr>
          <w:p w:rsidR="00602B06" w:rsidRPr="003A3459" w:rsidRDefault="00602B06" w:rsidP="00AF3FCF">
            <w:pPr>
              <w:pStyle w:val="TableTextCentred"/>
              <w:keepNext/>
              <w:keepLines/>
              <w:jc w:val="right"/>
              <w:rPr>
                <w:szCs w:val="20"/>
              </w:rPr>
            </w:pPr>
            <w:r>
              <w:rPr>
                <w:szCs w:val="20"/>
              </w:rPr>
              <w:t>-11.3</w:t>
            </w:r>
          </w:p>
        </w:tc>
        <w:tc>
          <w:tcPr>
            <w:tcW w:w="722" w:type="pct"/>
            <w:vAlign w:val="center"/>
          </w:tcPr>
          <w:p w:rsidR="00602B06" w:rsidRPr="003A3459" w:rsidRDefault="00602B06" w:rsidP="00AF3FCF">
            <w:pPr>
              <w:pStyle w:val="TableTextCentred"/>
              <w:keepNext/>
              <w:keepLines/>
              <w:jc w:val="right"/>
              <w:rPr>
                <w:szCs w:val="20"/>
              </w:rPr>
            </w:pPr>
            <w:r>
              <w:rPr>
                <w:szCs w:val="20"/>
              </w:rPr>
              <w:t>-11.7</w:t>
            </w:r>
          </w:p>
        </w:tc>
        <w:tc>
          <w:tcPr>
            <w:tcW w:w="721" w:type="pct"/>
            <w:vAlign w:val="center"/>
          </w:tcPr>
          <w:p w:rsidR="00602B06" w:rsidRPr="003A3459" w:rsidRDefault="00602B06" w:rsidP="00AF3FCF">
            <w:pPr>
              <w:pStyle w:val="TableTextCentred"/>
              <w:keepNext/>
              <w:keepLines/>
              <w:jc w:val="right"/>
              <w:rPr>
                <w:szCs w:val="20"/>
              </w:rPr>
            </w:pPr>
            <w:r>
              <w:rPr>
                <w:szCs w:val="20"/>
              </w:rPr>
              <w:t>-12.2</w:t>
            </w:r>
          </w:p>
        </w:tc>
        <w:tc>
          <w:tcPr>
            <w:tcW w:w="722" w:type="pct"/>
            <w:vAlign w:val="center"/>
          </w:tcPr>
          <w:p w:rsidR="00602B06" w:rsidRPr="003A3459" w:rsidRDefault="00602B06" w:rsidP="00AF3FCF">
            <w:pPr>
              <w:pStyle w:val="TableTextCentred"/>
              <w:keepNext/>
              <w:keepLines/>
              <w:jc w:val="right"/>
              <w:rPr>
                <w:b/>
                <w:szCs w:val="20"/>
              </w:rPr>
            </w:pPr>
            <w:r>
              <w:rPr>
                <w:b/>
                <w:szCs w:val="20"/>
              </w:rPr>
              <w:t>-40.8</w:t>
            </w:r>
          </w:p>
        </w:tc>
      </w:tr>
      <w:tr w:rsidR="00602B06" w:rsidTr="00AF3FCF">
        <w:tc>
          <w:tcPr>
            <w:tcW w:w="1393" w:type="pct"/>
          </w:tcPr>
          <w:p w:rsidR="00602B06" w:rsidRDefault="00602B06" w:rsidP="00967BCD">
            <w:pPr>
              <w:pStyle w:val="TableText"/>
            </w:pPr>
            <w:r>
              <w:t>Underlying cash balance</w:t>
            </w:r>
          </w:p>
        </w:tc>
        <w:tc>
          <w:tcPr>
            <w:tcW w:w="721" w:type="pct"/>
            <w:vAlign w:val="center"/>
          </w:tcPr>
          <w:p w:rsidR="00602B06" w:rsidRPr="003A3459" w:rsidRDefault="00602B06" w:rsidP="00AF3FCF">
            <w:pPr>
              <w:pStyle w:val="TableTextCentred"/>
              <w:keepNext/>
              <w:keepLines/>
              <w:jc w:val="right"/>
              <w:rPr>
                <w:szCs w:val="20"/>
              </w:rPr>
            </w:pPr>
            <w:r>
              <w:rPr>
                <w:szCs w:val="20"/>
              </w:rPr>
              <w:t>-5.5</w:t>
            </w:r>
          </w:p>
        </w:tc>
        <w:tc>
          <w:tcPr>
            <w:tcW w:w="721" w:type="pct"/>
            <w:vAlign w:val="center"/>
          </w:tcPr>
          <w:p w:rsidR="00602B06" w:rsidRPr="003A3459" w:rsidRDefault="00602B06" w:rsidP="00AF3FCF">
            <w:pPr>
              <w:pStyle w:val="TableTextCentred"/>
              <w:keepNext/>
              <w:keepLines/>
              <w:jc w:val="right"/>
              <w:rPr>
                <w:szCs w:val="20"/>
              </w:rPr>
            </w:pPr>
            <w:r>
              <w:rPr>
                <w:szCs w:val="20"/>
              </w:rPr>
              <w:t>-11.3</w:t>
            </w:r>
          </w:p>
        </w:tc>
        <w:tc>
          <w:tcPr>
            <w:tcW w:w="722" w:type="pct"/>
            <w:vAlign w:val="center"/>
          </w:tcPr>
          <w:p w:rsidR="00602B06" w:rsidRPr="003A3459" w:rsidRDefault="00602B06" w:rsidP="00AF3FCF">
            <w:pPr>
              <w:pStyle w:val="TableTextCentred"/>
              <w:keepNext/>
              <w:keepLines/>
              <w:jc w:val="right"/>
              <w:rPr>
                <w:szCs w:val="20"/>
              </w:rPr>
            </w:pPr>
            <w:r>
              <w:rPr>
                <w:szCs w:val="20"/>
              </w:rPr>
              <w:t>-11.7</w:t>
            </w:r>
          </w:p>
        </w:tc>
        <w:tc>
          <w:tcPr>
            <w:tcW w:w="721" w:type="pct"/>
            <w:vAlign w:val="center"/>
          </w:tcPr>
          <w:p w:rsidR="00602B06" w:rsidRPr="003A3459" w:rsidRDefault="00602B06" w:rsidP="00AF3FCF">
            <w:pPr>
              <w:pStyle w:val="TableTextCentred"/>
              <w:keepNext/>
              <w:keepLines/>
              <w:jc w:val="right"/>
              <w:rPr>
                <w:szCs w:val="20"/>
              </w:rPr>
            </w:pPr>
            <w:r>
              <w:rPr>
                <w:szCs w:val="20"/>
              </w:rPr>
              <w:t>-12.2</w:t>
            </w:r>
          </w:p>
        </w:tc>
        <w:tc>
          <w:tcPr>
            <w:tcW w:w="722" w:type="pct"/>
            <w:vAlign w:val="center"/>
          </w:tcPr>
          <w:p w:rsidR="00602B06" w:rsidRPr="003A3459" w:rsidRDefault="00602B06" w:rsidP="00AF3FCF">
            <w:pPr>
              <w:pStyle w:val="TableTextCentred"/>
              <w:keepNext/>
              <w:keepLines/>
              <w:jc w:val="right"/>
              <w:rPr>
                <w:b/>
                <w:szCs w:val="20"/>
              </w:rPr>
            </w:pPr>
            <w:r>
              <w:rPr>
                <w:b/>
                <w:szCs w:val="20"/>
              </w:rPr>
              <w:t>-40.8</w:t>
            </w:r>
          </w:p>
        </w:tc>
      </w:tr>
    </w:tbl>
    <w:p w:rsidR="00420CF4" w:rsidRPr="00602B06" w:rsidRDefault="00420CF4" w:rsidP="002C43F8">
      <w:pPr>
        <w:pStyle w:val="Footnotes"/>
        <w:numPr>
          <w:ilvl w:val="0"/>
          <w:numId w:val="70"/>
        </w:numPr>
        <w:ind w:left="284" w:hanging="284"/>
      </w:pPr>
      <w:r w:rsidRPr="00602B06">
        <w:t>A positive number indicates an increase in the relevant budget balance, a negative number a decrease.</w:t>
      </w:r>
    </w:p>
    <w:p w:rsidR="00420CF4" w:rsidRPr="00602B06" w:rsidRDefault="00420CF4" w:rsidP="00112A11">
      <w:pPr>
        <w:pStyle w:val="Footnotes"/>
        <w:ind w:left="284" w:hanging="284"/>
        <w:rPr>
          <w:rStyle w:val="FootnoteReference"/>
          <w:vertAlign w:val="baseline"/>
        </w:rPr>
      </w:pPr>
      <w:r w:rsidRPr="00602B06">
        <w:t>Figures may not sum to totals due to rounding.</w:t>
      </w:r>
    </w:p>
    <w:p w:rsidR="00420CF4" w:rsidRDefault="00420CF4" w:rsidP="00420CF4">
      <w:pPr>
        <w:pStyle w:val="CostingsH7"/>
      </w:pPr>
      <w:r>
        <w:t>Key assumptions</w:t>
      </w:r>
    </w:p>
    <w:p w:rsidR="00602B06" w:rsidRPr="00602B06" w:rsidRDefault="00602B06" w:rsidP="00602B06">
      <w:pPr>
        <w:pStyle w:val="BodyText"/>
      </w:pPr>
      <w:r w:rsidRPr="00602B06">
        <w:t>It is assumed that the growth in the number of year 3 students would be equivalent to the historical average annual growth of year 3 students from 2006 to 2015.</w:t>
      </w:r>
      <w:r w:rsidRPr="00E53973">
        <w:rPr>
          <w:rStyle w:val="FootnoteReference"/>
        </w:rPr>
        <w:footnoteReference w:id="13"/>
      </w:r>
    </w:p>
    <w:p w:rsidR="00420CF4" w:rsidRDefault="00420CF4" w:rsidP="00420CF4">
      <w:pPr>
        <w:pStyle w:val="CostingsH7"/>
      </w:pPr>
      <w:r>
        <w:t>Methodology</w:t>
      </w:r>
    </w:p>
    <w:p w:rsidR="00602B06" w:rsidRDefault="00602B06" w:rsidP="00602B06">
      <w:pPr>
        <w:pStyle w:val="BodyText"/>
      </w:pPr>
      <w:r>
        <w:t>The financial implications of the proposal were derived by multiplying the estimated number of year 3 students by the specified Commonwealth maximum provision of $35 per student (indexed by CPI annually from 2017 onwards).</w:t>
      </w:r>
    </w:p>
    <w:p w:rsidR="00602B06" w:rsidRPr="00602B06" w:rsidRDefault="00602B06" w:rsidP="00602B06">
      <w:pPr>
        <w:pStyle w:val="BodyText"/>
      </w:pPr>
      <w:r>
        <w:t>Calculations were made on a calendar school year basis and then converted to financial years.</w:t>
      </w:r>
    </w:p>
    <w:p w:rsidR="00420CF4" w:rsidRDefault="00420CF4" w:rsidP="00420CF4">
      <w:pPr>
        <w:pStyle w:val="CostingsH7"/>
      </w:pPr>
      <w:r>
        <w:t>Data sources</w:t>
      </w:r>
    </w:p>
    <w:p w:rsidR="00602B06" w:rsidRDefault="00602B06" w:rsidP="00602B06">
      <w:pPr>
        <w:pStyle w:val="BodyText"/>
      </w:pPr>
      <w:r>
        <w:t xml:space="preserve">Australian Bureau of Statistics, </w:t>
      </w:r>
      <w:r w:rsidR="00B91A9C">
        <w:t xml:space="preserve">‘Table 42b Number of Full-time and Part-time Students 2006-2015’, in </w:t>
      </w:r>
      <w:r w:rsidRPr="0073534F">
        <w:rPr>
          <w:i/>
        </w:rPr>
        <w:t>Australian Schools 2015</w:t>
      </w:r>
      <w:r w:rsidR="00B91A9C">
        <w:t xml:space="preserve">, cat. no. 4221.0, ABS, available at: </w:t>
      </w:r>
      <w:hyperlink r:id="rId118" w:history="1">
        <w:r w:rsidRPr="00780DC4">
          <w:rPr>
            <w:rStyle w:val="Hyperlink"/>
          </w:rPr>
          <w:t>http://www.abs.gov.au/AUSSTATS/abs@.nsf/DetailsPage/4221.02015?OpenDocument</w:t>
        </w:r>
      </w:hyperlink>
      <w:r>
        <w:t>.</w:t>
      </w:r>
    </w:p>
    <w:p w:rsidR="00420CF4" w:rsidRDefault="00602B06" w:rsidP="00420CF4">
      <w:pPr>
        <w:pStyle w:val="BodyText"/>
      </w:pPr>
      <w:r>
        <w:t>The Department of the Treasury provided Australian population estimates by age.</w:t>
      </w:r>
    </w:p>
    <w:p w:rsidR="00112A11" w:rsidRPr="00951305" w:rsidRDefault="00112A11" w:rsidP="00420CF4">
      <w:pPr>
        <w:pStyle w:val="BodyText"/>
      </w:pPr>
    </w:p>
    <w:p w:rsidR="00420CF4" w:rsidRDefault="00420CF4" w:rsidP="00420CF4">
      <w:pPr>
        <w:pStyle w:val="BodyText"/>
        <w:sectPr w:rsidR="00420CF4" w:rsidSect="00745988">
          <w:headerReference w:type="even" r:id="rId119"/>
          <w:headerReference w:type="default" r:id="rId120"/>
          <w:footerReference w:type="even" r:id="rId121"/>
          <w:footerReference w:type="default" r:id="rId122"/>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43" w:name="_Toc458081663"/>
      <w:r>
        <w:t>ALP0</w:t>
      </w:r>
      <w:r w:rsidR="00C21EBE">
        <w:t>39</w:t>
      </w:r>
      <w:r>
        <w:t>: Your Child. Our Future. Needs-Based School Funding</w:t>
      </w:r>
      <w:bookmarkEnd w:id="43"/>
    </w:p>
    <w:p w:rsidR="00967B83" w:rsidRDefault="00967B83" w:rsidP="00967B83">
      <w:pPr>
        <w:pStyle w:val="BodyText"/>
      </w:pPr>
      <w:r>
        <w:rPr>
          <w:noProof/>
          <w:lang w:eastAsia="en-AU"/>
        </w:rPr>
        <w:drawing>
          <wp:inline distT="0" distB="0" distL="0" distR="0" wp14:anchorId="19150FCC" wp14:editId="580BB357">
            <wp:extent cx="2696845" cy="572135"/>
            <wp:effectExtent l="0" t="0" r="8255" b="0"/>
            <wp:docPr id="333" name="Picture 33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112A11">
            <w:pPr>
              <w:pStyle w:val="PullOutBoxHeading"/>
              <w:rPr>
                <w:b/>
              </w:rPr>
            </w:pPr>
            <w:r w:rsidRPr="00E51946">
              <w:rPr>
                <w:b/>
              </w:rPr>
              <w:t>Name of proposal:</w:t>
            </w:r>
          </w:p>
        </w:tc>
        <w:tc>
          <w:tcPr>
            <w:tcW w:w="3191" w:type="pct"/>
          </w:tcPr>
          <w:p w:rsidR="00420CF4" w:rsidRPr="00E51946" w:rsidRDefault="006839DD" w:rsidP="00112A11">
            <w:pPr>
              <w:pStyle w:val="PullOutBoxHeading"/>
              <w:rPr>
                <w:b/>
              </w:rPr>
            </w:pPr>
            <w:r w:rsidRPr="00E51946">
              <w:rPr>
                <w:b/>
              </w:rPr>
              <w:t>Your Child. Our Future. Needs-Based School Funding</w:t>
            </w:r>
          </w:p>
        </w:tc>
      </w:tr>
      <w:tr w:rsidR="00420CF4" w:rsidRPr="00B45F94" w:rsidTr="00967BCD">
        <w:tc>
          <w:tcPr>
            <w:tcW w:w="1809" w:type="pct"/>
          </w:tcPr>
          <w:p w:rsidR="00420CF4" w:rsidRPr="00B45F94" w:rsidRDefault="00420CF4" w:rsidP="00112A11">
            <w:pPr>
              <w:pStyle w:val="PullOutBoxBodyText"/>
            </w:pPr>
            <w:r w:rsidRPr="00B45F94">
              <w:t>Summary of proposal:</w:t>
            </w:r>
          </w:p>
        </w:tc>
        <w:tc>
          <w:tcPr>
            <w:tcW w:w="3191" w:type="pct"/>
          </w:tcPr>
          <w:p w:rsidR="006839DD" w:rsidRPr="006839DD" w:rsidRDefault="006839DD" w:rsidP="00112A11">
            <w:pPr>
              <w:pStyle w:val="PullOutBoxBodyText"/>
            </w:pPr>
            <w:r w:rsidRPr="006839DD">
              <w:t xml:space="preserve">The proposal would amend Commonwealth funding arrangements for schools from the 2018 school year and beyond to fund schools in line with the National Education Reform Agreements (NERA) and the </w:t>
            </w:r>
            <w:r w:rsidRPr="006839DD">
              <w:rPr>
                <w:i/>
              </w:rPr>
              <w:t>Australian</w:t>
            </w:r>
            <w:r>
              <w:rPr>
                <w:i/>
              </w:rPr>
              <w:t> </w:t>
            </w:r>
            <w:r w:rsidRPr="006839DD">
              <w:rPr>
                <w:i/>
              </w:rPr>
              <w:t>Education Act 2013</w:t>
            </w:r>
            <w:r w:rsidRPr="006839DD">
              <w:t xml:space="preserve"> with all states and territories reaching 95 per cent of the Schooling Resource Standard (SRS) following the funding trajectories set out in the NERA (reach 95 per cent SRS in the 2022 school year for Victoria and 2019 school year for all other jurisdictions).</w:t>
            </w:r>
          </w:p>
          <w:p w:rsidR="006839DD" w:rsidRPr="006839DD" w:rsidRDefault="006839DD" w:rsidP="00BD5C09">
            <w:pPr>
              <w:pStyle w:val="PullOutBoxBullet"/>
            </w:pPr>
            <w:r w:rsidRPr="006839DD">
              <w:t>For Western Australia, Queensland and the Northern Territory provide funding from 2018 onwards as though these jurisdictions had signed up to the NERA on the same basis as the final offers made to them in 2013.</w:t>
            </w:r>
          </w:p>
          <w:p w:rsidR="006839DD" w:rsidRPr="006839DD" w:rsidRDefault="006839DD" w:rsidP="00112A11">
            <w:pPr>
              <w:pStyle w:val="PullOutBoxBodyText"/>
            </w:pPr>
            <w:r w:rsidRPr="006839DD">
              <w:t>Once total funding for a school reached 95 per cent of SRS Commonwealth funding for that school would be indexed by 3 per cent per annum and account for enrolment growth.</w:t>
            </w:r>
          </w:p>
          <w:p w:rsidR="00420CF4" w:rsidRPr="00B45F94" w:rsidRDefault="006839DD" w:rsidP="00112A11">
            <w:pPr>
              <w:pStyle w:val="PullOutBoxBodyText"/>
            </w:pPr>
            <w:r w:rsidRPr="006839DD">
              <w:t>The proposals would commence on 1 January 2018.</w:t>
            </w:r>
          </w:p>
        </w:tc>
      </w:tr>
      <w:tr w:rsidR="00420CF4" w:rsidRPr="00B45F94" w:rsidTr="00967BCD">
        <w:tc>
          <w:tcPr>
            <w:tcW w:w="1809" w:type="pct"/>
          </w:tcPr>
          <w:p w:rsidR="00420CF4" w:rsidRPr="00B45F94" w:rsidRDefault="00420CF4" w:rsidP="00112A11">
            <w:pPr>
              <w:pStyle w:val="PullOutBoxBodyText"/>
            </w:pPr>
            <w:r>
              <w:t>Party:</w:t>
            </w:r>
          </w:p>
        </w:tc>
        <w:tc>
          <w:tcPr>
            <w:tcW w:w="3191" w:type="pct"/>
          </w:tcPr>
          <w:p w:rsidR="00420CF4" w:rsidRPr="00B45F94" w:rsidRDefault="00420CF4" w:rsidP="00112A11">
            <w:pPr>
              <w:pStyle w:val="PullOutBoxBodyText"/>
            </w:pPr>
            <w:r>
              <w:t>Australian Labor Party</w:t>
            </w:r>
          </w:p>
        </w:tc>
      </w:tr>
      <w:tr w:rsidR="00420CF4" w:rsidRPr="00B45F94" w:rsidTr="00967BCD">
        <w:tc>
          <w:tcPr>
            <w:tcW w:w="1809" w:type="pct"/>
          </w:tcPr>
          <w:p w:rsidR="00420CF4" w:rsidRPr="00B45F94" w:rsidRDefault="00420CF4" w:rsidP="00112A11">
            <w:pPr>
              <w:pStyle w:val="PullOutBoxBodyText"/>
            </w:pPr>
            <w:r w:rsidRPr="00B45F94">
              <w:t>Expiry date for the costing:</w:t>
            </w:r>
          </w:p>
        </w:tc>
        <w:tc>
          <w:tcPr>
            <w:tcW w:w="3191" w:type="pct"/>
          </w:tcPr>
          <w:p w:rsidR="00420CF4" w:rsidRPr="00B45F94" w:rsidRDefault="00EC102A" w:rsidP="00112A11">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6839DD" w:rsidRDefault="006839DD" w:rsidP="006839DD">
      <w:pPr>
        <w:pStyle w:val="BodyText"/>
      </w:pPr>
      <w:r w:rsidRPr="006839DD">
        <w:t>The NERA between the Commonwealth and state/territory governments aims to increase school funding over the period 2014 to 2019 to 95 per cent funding of the SRS.</w:t>
      </w:r>
      <w:r w:rsidRPr="00E53973">
        <w:rPr>
          <w:rStyle w:val="FootnoteReference"/>
        </w:rPr>
        <w:footnoteReference w:id="14"/>
      </w:r>
      <w:r w:rsidRPr="006839DD">
        <w:t xml:space="preserve">  In the 2014</w:t>
      </w:r>
      <w:r>
        <w:noBreakHyphen/>
      </w:r>
      <w:r w:rsidRPr="006839DD">
        <w:t>15 Budget the Government announced that from 1 January 2018 Commonwealth funding to schools will increase by the Consumer Price Index (CPI) and account for student enrolment growth.</w:t>
      </w:r>
      <w:r w:rsidRPr="00E53973">
        <w:rPr>
          <w:rStyle w:val="FootnoteReference"/>
        </w:rPr>
        <w:footnoteReference w:id="15"/>
      </w:r>
      <w:r w:rsidRPr="006839DD">
        <w:t xml:space="preserve">  In the 2016-17 Budget the Government announced that total school funding for the 2018, 2019 and 2020 school years would be indexed by 3.56 per cent and accoun</w:t>
      </w:r>
      <w:r>
        <w:t>t for student enrolment growth.</w:t>
      </w:r>
      <w:r w:rsidRPr="00E53973">
        <w:rPr>
          <w:rStyle w:val="FootnoteReference"/>
        </w:rPr>
        <w:footnoteReference w:id="16"/>
      </w:r>
    </w:p>
    <w:p w:rsidR="006839DD" w:rsidRPr="006839DD" w:rsidRDefault="006839DD" w:rsidP="006839DD">
      <w:pPr>
        <w:pStyle w:val="BodyText"/>
      </w:pPr>
      <w:r w:rsidRPr="006839DD">
        <w:t xml:space="preserve">This proposal would fund schools from 2018 onwards in line with the NERA and the </w:t>
      </w:r>
      <w:r w:rsidRPr="006839DD">
        <w:rPr>
          <w:i/>
        </w:rPr>
        <w:t>Australian Education Act 2013</w:t>
      </w:r>
      <w:r w:rsidRPr="006839DD">
        <w:t xml:space="preserve"> (the Education Act) with all states and territories reaching 95</w:t>
      </w:r>
      <w:r>
        <w:t> </w:t>
      </w:r>
      <w:r w:rsidRPr="006839DD">
        <w:t>per cent of SRS following the funding trajectories set out in the NERA.</w:t>
      </w:r>
      <w:r w:rsidRPr="00E53973">
        <w:rPr>
          <w:rStyle w:val="FootnoteReference"/>
        </w:rPr>
        <w:footnoteReference w:id="17"/>
      </w:r>
      <w:r w:rsidRPr="006839DD">
        <w:t xml:space="preserve">  For jurisdictions not currently signed up to the NERA (Western Australia, Queensland and the Northern Territory), funding to schools would be provided on the same basis as the final offers made to them in 2013.  Once 95 per cent SRS is reached, Commonwealth funding would be indexed by 3</w:t>
      </w:r>
      <w:r w:rsidR="00112A11">
        <w:t> </w:t>
      </w:r>
      <w:r w:rsidRPr="006839DD">
        <w:t>per cent per annum and account for enrolment growth.</w:t>
      </w:r>
    </w:p>
    <w:p w:rsidR="006839DD" w:rsidRPr="006839DD" w:rsidRDefault="006839DD" w:rsidP="006839DD">
      <w:pPr>
        <w:pStyle w:val="BodyText"/>
      </w:pPr>
      <w:r w:rsidRPr="006839DD">
        <w:t>This proposal would be expected to decrease both the fiscal and underlying cash balances by $5,290</w:t>
      </w:r>
      <w:r w:rsidR="00112A11">
        <w:t> </w:t>
      </w:r>
      <w:r w:rsidRPr="006839DD">
        <w:t>million over the 2016-17 Budget forward estimates period.  This impact is entirely due to an increase in administered expenses.</w:t>
      </w:r>
    </w:p>
    <w:p w:rsidR="006839DD" w:rsidRPr="006839DD" w:rsidRDefault="006839DD" w:rsidP="006839DD">
      <w:pPr>
        <w:pStyle w:val="BodyText"/>
      </w:pPr>
      <w:r w:rsidRPr="006839DD">
        <w:t xml:space="preserve">This proposal would not be expected to require additional departmental expenses, as the proposal relates to an existing function of the Department of Education and Training (DET).  This is consistent with the 2016-17 Budget measure, </w:t>
      </w:r>
      <w:r w:rsidRPr="006839DD">
        <w:rPr>
          <w:i/>
        </w:rPr>
        <w:t>School Funding – additional funding from 2018</w:t>
      </w:r>
      <w:r w:rsidRPr="006839DD">
        <w:t xml:space="preserve"> which did not provide departmental funding.</w:t>
      </w:r>
    </w:p>
    <w:p w:rsidR="006839DD" w:rsidRPr="006839DD" w:rsidRDefault="006839DD" w:rsidP="006839DD">
      <w:pPr>
        <w:pStyle w:val="BodyText"/>
      </w:pPr>
      <w:r w:rsidRPr="006839DD">
        <w:t xml:space="preserve">The proposal would have an ongoing impact beyond the forward estimates.  A breakdown of the impact of the proposal to 2026-27 is at </w:t>
      </w:r>
      <w:r w:rsidRPr="006839DD">
        <w:rPr>
          <w:u w:val="single"/>
        </w:rPr>
        <w:t>Attachment A</w:t>
      </w:r>
      <w:r>
        <w:t>.</w:t>
      </w:r>
    </w:p>
    <w:p w:rsidR="006839DD" w:rsidRPr="006839DD" w:rsidRDefault="006839DD" w:rsidP="006839DD">
      <w:pPr>
        <w:pStyle w:val="BodyText"/>
      </w:pPr>
      <w:r w:rsidRPr="006839DD">
        <w:t>The financial implications to 2019-20 are considered to be of medium reliability as they are based on current Commonwealth and state/territory school funding estimates and school data from DET.  The reliability of the costing decreases the further into the future the estimates are projected.</w:t>
      </w:r>
    </w:p>
    <w:p w:rsidR="006839DD" w:rsidRPr="006839DD" w:rsidRDefault="006839DD" w:rsidP="006839DD">
      <w:pPr>
        <w:pStyle w:val="BodyText"/>
      </w:pPr>
      <w:r w:rsidRPr="006839DD">
        <w:t>Further, as current 2018 and 2019 Commonwealth funding estimates are not calculated on an individual school basis, the Parliamentary Budget Office (PBO) has applied the specification that no school would be worse off compared to current funding at a state/sector level.</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F76693">
            <w:pPr>
              <w:pStyle w:val="TableHeading"/>
            </w:pPr>
            <w:r>
              <w:t>Impact on</w:t>
            </w:r>
            <w:r w:rsidR="006839DD">
              <w:t xml:space="preserve"> ($m)</w:t>
            </w:r>
          </w:p>
        </w:tc>
        <w:tc>
          <w:tcPr>
            <w:tcW w:w="721" w:type="pct"/>
          </w:tcPr>
          <w:p w:rsidR="00420CF4" w:rsidRPr="00FC1F1C" w:rsidRDefault="00420CF4" w:rsidP="00F76693">
            <w:pPr>
              <w:pStyle w:val="TableHeadingRight"/>
            </w:pPr>
            <w:r>
              <w:t>2016–17</w:t>
            </w:r>
          </w:p>
        </w:tc>
        <w:tc>
          <w:tcPr>
            <w:tcW w:w="721" w:type="pct"/>
          </w:tcPr>
          <w:p w:rsidR="00420CF4" w:rsidRPr="00FC1F1C" w:rsidRDefault="00420CF4" w:rsidP="00F76693">
            <w:pPr>
              <w:pStyle w:val="TableHeadingRight"/>
            </w:pPr>
            <w:r>
              <w:t>2017–18</w:t>
            </w:r>
          </w:p>
        </w:tc>
        <w:tc>
          <w:tcPr>
            <w:tcW w:w="722" w:type="pct"/>
          </w:tcPr>
          <w:p w:rsidR="00420CF4" w:rsidRPr="00FC1F1C" w:rsidRDefault="00420CF4" w:rsidP="00F76693">
            <w:pPr>
              <w:pStyle w:val="TableHeadingRight"/>
            </w:pPr>
            <w:r>
              <w:t>2018–19</w:t>
            </w:r>
          </w:p>
        </w:tc>
        <w:tc>
          <w:tcPr>
            <w:tcW w:w="721" w:type="pct"/>
          </w:tcPr>
          <w:p w:rsidR="00420CF4" w:rsidRPr="00FC1F1C" w:rsidRDefault="00420CF4" w:rsidP="00F76693">
            <w:pPr>
              <w:pStyle w:val="TableHeadingRight"/>
            </w:pPr>
            <w:r>
              <w:t>2019–20</w:t>
            </w:r>
          </w:p>
        </w:tc>
        <w:tc>
          <w:tcPr>
            <w:tcW w:w="722" w:type="pct"/>
          </w:tcPr>
          <w:p w:rsidR="00420CF4" w:rsidRDefault="00420CF4" w:rsidP="00F76693">
            <w:pPr>
              <w:pStyle w:val="TableTextRight"/>
              <w:keepNext/>
              <w:keepLines/>
            </w:pPr>
            <w:r>
              <w:t>Total</w:t>
            </w:r>
          </w:p>
        </w:tc>
      </w:tr>
      <w:tr w:rsidR="006839DD" w:rsidTr="00967BCD">
        <w:tc>
          <w:tcPr>
            <w:tcW w:w="1393" w:type="pct"/>
          </w:tcPr>
          <w:p w:rsidR="006839DD" w:rsidRDefault="006839DD" w:rsidP="00F76693">
            <w:pPr>
              <w:pStyle w:val="TableText"/>
              <w:keepNext/>
              <w:keepLines/>
            </w:pPr>
            <w:r>
              <w:t>Fiscal balance</w:t>
            </w:r>
          </w:p>
        </w:tc>
        <w:tc>
          <w:tcPr>
            <w:tcW w:w="721" w:type="pct"/>
          </w:tcPr>
          <w:p w:rsidR="006839DD" w:rsidRPr="00C67541" w:rsidRDefault="006839DD" w:rsidP="00F76693">
            <w:pPr>
              <w:pStyle w:val="TableTextRight"/>
              <w:keepNext/>
              <w:keepLines/>
            </w:pPr>
            <w:r w:rsidRPr="00C67541">
              <w:t>-</w:t>
            </w:r>
          </w:p>
        </w:tc>
        <w:tc>
          <w:tcPr>
            <w:tcW w:w="721" w:type="pct"/>
          </w:tcPr>
          <w:p w:rsidR="006839DD" w:rsidRPr="00C67541" w:rsidRDefault="006839DD" w:rsidP="00F76693">
            <w:pPr>
              <w:pStyle w:val="TableTextRight"/>
              <w:keepNext/>
              <w:keepLines/>
            </w:pPr>
            <w:r w:rsidRPr="00C67541">
              <w:t>-470</w:t>
            </w:r>
          </w:p>
        </w:tc>
        <w:tc>
          <w:tcPr>
            <w:tcW w:w="722" w:type="pct"/>
          </w:tcPr>
          <w:p w:rsidR="006839DD" w:rsidRPr="00C67541" w:rsidRDefault="006839DD" w:rsidP="00F76693">
            <w:pPr>
              <w:pStyle w:val="TableTextRight"/>
              <w:keepNext/>
              <w:keepLines/>
            </w:pPr>
            <w:r w:rsidRPr="00C67541">
              <w:t>-1,900</w:t>
            </w:r>
          </w:p>
        </w:tc>
        <w:tc>
          <w:tcPr>
            <w:tcW w:w="721" w:type="pct"/>
          </w:tcPr>
          <w:p w:rsidR="006839DD" w:rsidRPr="00C67541" w:rsidRDefault="006839DD" w:rsidP="00F76693">
            <w:pPr>
              <w:pStyle w:val="TableTextRight"/>
              <w:keepNext/>
              <w:keepLines/>
            </w:pPr>
            <w:r w:rsidRPr="00C67541">
              <w:t>-2,910</w:t>
            </w:r>
          </w:p>
        </w:tc>
        <w:tc>
          <w:tcPr>
            <w:tcW w:w="722" w:type="pct"/>
          </w:tcPr>
          <w:p w:rsidR="006839DD" w:rsidRPr="00C67541" w:rsidRDefault="006839DD" w:rsidP="00F76693">
            <w:pPr>
              <w:pStyle w:val="TableTextRight"/>
              <w:keepNext/>
              <w:keepLines/>
              <w:rPr>
                <w:b/>
              </w:rPr>
            </w:pPr>
            <w:r w:rsidRPr="00C67541">
              <w:rPr>
                <w:b/>
              </w:rPr>
              <w:t>-5,290</w:t>
            </w:r>
          </w:p>
        </w:tc>
      </w:tr>
      <w:tr w:rsidR="006839DD" w:rsidTr="00967BCD">
        <w:tc>
          <w:tcPr>
            <w:tcW w:w="1393" w:type="pct"/>
          </w:tcPr>
          <w:p w:rsidR="006839DD" w:rsidRDefault="006839DD" w:rsidP="00F76693">
            <w:pPr>
              <w:pStyle w:val="TableText"/>
              <w:keepNext/>
              <w:keepLines/>
            </w:pPr>
            <w:r>
              <w:t>Underlying cash balance</w:t>
            </w:r>
          </w:p>
        </w:tc>
        <w:tc>
          <w:tcPr>
            <w:tcW w:w="721" w:type="pct"/>
          </w:tcPr>
          <w:p w:rsidR="006839DD" w:rsidRPr="00A46517" w:rsidRDefault="006839DD" w:rsidP="00F76693">
            <w:pPr>
              <w:pStyle w:val="TableTextRight"/>
              <w:keepNext/>
              <w:keepLines/>
            </w:pPr>
            <w:r w:rsidRPr="00A46517">
              <w:t>-</w:t>
            </w:r>
          </w:p>
        </w:tc>
        <w:tc>
          <w:tcPr>
            <w:tcW w:w="721" w:type="pct"/>
          </w:tcPr>
          <w:p w:rsidR="006839DD" w:rsidRPr="00A46517" w:rsidRDefault="006839DD" w:rsidP="00F76693">
            <w:pPr>
              <w:pStyle w:val="TableTextRight"/>
              <w:keepNext/>
              <w:keepLines/>
            </w:pPr>
            <w:r w:rsidRPr="00A46517">
              <w:t>-470</w:t>
            </w:r>
          </w:p>
        </w:tc>
        <w:tc>
          <w:tcPr>
            <w:tcW w:w="722" w:type="pct"/>
          </w:tcPr>
          <w:p w:rsidR="006839DD" w:rsidRPr="00A46517" w:rsidRDefault="006839DD" w:rsidP="00F76693">
            <w:pPr>
              <w:pStyle w:val="TableTextRight"/>
              <w:keepNext/>
              <w:keepLines/>
            </w:pPr>
            <w:r w:rsidRPr="00A46517">
              <w:t>-1,900</w:t>
            </w:r>
          </w:p>
        </w:tc>
        <w:tc>
          <w:tcPr>
            <w:tcW w:w="721" w:type="pct"/>
          </w:tcPr>
          <w:p w:rsidR="006839DD" w:rsidRPr="00A46517" w:rsidRDefault="006839DD" w:rsidP="00F76693">
            <w:pPr>
              <w:pStyle w:val="TableTextRight"/>
              <w:keepNext/>
              <w:keepLines/>
            </w:pPr>
            <w:r w:rsidRPr="00A46517">
              <w:t>-2,910</w:t>
            </w:r>
          </w:p>
        </w:tc>
        <w:tc>
          <w:tcPr>
            <w:tcW w:w="722" w:type="pct"/>
          </w:tcPr>
          <w:p w:rsidR="006839DD" w:rsidRPr="00C67541" w:rsidRDefault="006839DD" w:rsidP="00F76693">
            <w:pPr>
              <w:pStyle w:val="TableTextRight"/>
              <w:keepNext/>
              <w:keepLines/>
              <w:rPr>
                <w:b/>
              </w:rPr>
            </w:pPr>
            <w:r w:rsidRPr="00C67541">
              <w:rPr>
                <w:b/>
              </w:rPr>
              <w:t>-5,290</w:t>
            </w:r>
          </w:p>
        </w:tc>
      </w:tr>
    </w:tbl>
    <w:p w:rsidR="00420CF4" w:rsidRPr="006839DD" w:rsidRDefault="00420CF4" w:rsidP="00F76693">
      <w:pPr>
        <w:pStyle w:val="Footnotes"/>
        <w:keepNext/>
        <w:keepLines/>
        <w:numPr>
          <w:ilvl w:val="0"/>
          <w:numId w:val="71"/>
        </w:numPr>
        <w:ind w:left="284" w:hanging="284"/>
      </w:pPr>
      <w:r w:rsidRPr="006839DD">
        <w:t>A positive number indicates an increase in the relevant budget balance, a negative number a decrease.</w:t>
      </w:r>
    </w:p>
    <w:p w:rsidR="00420CF4" w:rsidRPr="006839DD" w:rsidRDefault="00420CF4" w:rsidP="00F76693">
      <w:pPr>
        <w:pStyle w:val="Footnotes"/>
        <w:keepNext/>
        <w:keepLines/>
        <w:ind w:left="284" w:hanging="284"/>
      </w:pPr>
      <w:r w:rsidRPr="006839DD">
        <w:t>Figures may not sum to totals due to rounding.</w:t>
      </w:r>
    </w:p>
    <w:p w:rsidR="00AF3FCF" w:rsidRDefault="006839DD" w:rsidP="006839DD">
      <w:pPr>
        <w:pStyle w:val="Footnotes"/>
        <w:numPr>
          <w:ilvl w:val="0"/>
          <w:numId w:val="0"/>
        </w:numPr>
        <w:ind w:left="284" w:hanging="284"/>
      </w:pPr>
      <w:r w:rsidRPr="006839DD">
        <w:t>-</w:t>
      </w:r>
      <w:r>
        <w:tab/>
      </w:r>
      <w:r w:rsidRPr="006839DD">
        <w:t>Indicates nil.</w:t>
      </w:r>
    </w:p>
    <w:p w:rsidR="00420CF4" w:rsidRDefault="00420CF4" w:rsidP="00112A11">
      <w:pPr>
        <w:pStyle w:val="CostingsH7"/>
      </w:pPr>
      <w:r>
        <w:t>Key assumptions</w:t>
      </w:r>
    </w:p>
    <w:p w:rsidR="006839DD" w:rsidRPr="006839DD" w:rsidRDefault="006839DD" w:rsidP="00112A11">
      <w:pPr>
        <w:pStyle w:val="BodyText"/>
        <w:keepNext/>
        <w:keepLines/>
      </w:pPr>
      <w:r w:rsidRPr="006839DD">
        <w:t>In costing this proposal the following assumptions have been made:</w:t>
      </w:r>
    </w:p>
    <w:p w:rsidR="006839DD" w:rsidRDefault="006839DD" w:rsidP="00112A11">
      <w:pPr>
        <w:pStyle w:val="ListBullet"/>
        <w:keepNext/>
      </w:pPr>
      <w:r>
        <w:t>The number of schools and characteristics of each school (except enrolment growth) would remain stable after 2017 (the last year of data provided by DET).</w:t>
      </w:r>
    </w:p>
    <w:p w:rsidR="006839DD" w:rsidRDefault="006839DD" w:rsidP="006839DD">
      <w:pPr>
        <w:pStyle w:val="ListBullet"/>
      </w:pPr>
      <w:r>
        <w:t>Changes to enrolments after 2017 for each school would reflect the average change in enrolments for the relevant jurisdiction and school sector.</w:t>
      </w:r>
    </w:p>
    <w:p w:rsidR="006839DD" w:rsidRPr="006839DD" w:rsidRDefault="006839DD" w:rsidP="006839DD">
      <w:pPr>
        <w:pStyle w:val="ListBullet"/>
      </w:pPr>
      <w:r>
        <w:t>For all school years after 2020, current Commonwealth funding would grow in line with CPI and school enrolments.</w:t>
      </w:r>
    </w:p>
    <w:p w:rsidR="00420CF4" w:rsidRDefault="00420CF4" w:rsidP="00420CF4">
      <w:pPr>
        <w:pStyle w:val="CostingsH7"/>
      </w:pPr>
      <w:r>
        <w:t>Methodology</w:t>
      </w:r>
    </w:p>
    <w:p w:rsidR="00BD5C09" w:rsidRPr="00BD5C09" w:rsidRDefault="00BD5C09" w:rsidP="00BD5C09">
      <w:pPr>
        <w:pStyle w:val="BodyText"/>
      </w:pPr>
      <w:r w:rsidRPr="00BD5C09">
        <w:t xml:space="preserve">With regard to current policy settings, schools </w:t>
      </w:r>
      <w:r>
        <w:t>funding estimates over the 2016</w:t>
      </w:r>
      <w:r>
        <w:noBreakHyphen/>
      </w:r>
      <w:r w:rsidRPr="00BD5C09">
        <w:t>17 Budget forward estimates were provided by DET.  For the period beyond the 2020 school year, schools funding under current policy settings was projected by indexing funding amounts by CPI and accounting for forecast student enrolment growth.</w:t>
      </w:r>
    </w:p>
    <w:p w:rsidR="00BD5C09" w:rsidRPr="00BD5C09" w:rsidRDefault="00BD5C09" w:rsidP="00BD5C09">
      <w:pPr>
        <w:pStyle w:val="BodyText"/>
      </w:pPr>
      <w:r w:rsidRPr="00BD5C09">
        <w:t>Projected funding amounts for the proposal were generated based on de identified school level data provided by DET.  The estimated level of funding for each school in the DET database is calculated by determining whether the school is below, on or above SRS funding during each year of the costing period and applying the relevant funding formula as set out in the Education Act.  For the years up to the target year in which 95 per cent of SRS would be reached, schools that are below SRS funding receive “additionality” funding to transition towards 95 per cent SRS funding.  Once 95 per cent SRS is reached, Commonwealth funding indexed by 3 per cent per annum and enrolment growth has also been applied.</w:t>
      </w:r>
    </w:p>
    <w:p w:rsidR="00BD5C09" w:rsidRPr="00BD5C09" w:rsidRDefault="00BD5C09" w:rsidP="00BD5C09">
      <w:pPr>
        <w:pStyle w:val="BodyText"/>
      </w:pPr>
      <w:r w:rsidRPr="00BD5C09">
        <w:t>The costing was then derived by taking the difference between total Commonwealth funding for schools between proposed and current policy settings.</w:t>
      </w:r>
    </w:p>
    <w:p w:rsidR="00BD5C09" w:rsidRPr="00BD5C09" w:rsidRDefault="00BD5C09" w:rsidP="00BD5C09">
      <w:pPr>
        <w:pStyle w:val="BodyText"/>
      </w:pPr>
      <w:r w:rsidRPr="00BD5C09">
        <w:t>Calculations have been made on a calendar school year basis and then converted to financial years.  As a result 2017</w:t>
      </w:r>
      <w:r>
        <w:noBreakHyphen/>
      </w:r>
      <w:r w:rsidRPr="00BD5C09">
        <w:t>18 amoun</w:t>
      </w:r>
      <w:r>
        <w:t>ts reflect a half year impact.</w:t>
      </w:r>
    </w:p>
    <w:p w:rsidR="00BD5C09" w:rsidRPr="00BD5C09" w:rsidRDefault="00BD5C09" w:rsidP="00BD5C09">
      <w:pPr>
        <w:pStyle w:val="BodyText"/>
      </w:pPr>
      <w:r w:rsidRPr="00BD5C09">
        <w:t>Estimates have been rounded to the nearest $10 million.</w:t>
      </w:r>
    </w:p>
    <w:p w:rsidR="00420CF4" w:rsidRDefault="00420CF4" w:rsidP="00420CF4">
      <w:pPr>
        <w:pStyle w:val="CostingsH7"/>
      </w:pPr>
      <w:r>
        <w:t>Data sources</w:t>
      </w:r>
    </w:p>
    <w:p w:rsidR="00BD5C09" w:rsidRPr="00097567" w:rsidRDefault="00BD5C09" w:rsidP="00BD5C09">
      <w:pPr>
        <w:pStyle w:val="BodyText"/>
      </w:pPr>
      <w:r w:rsidRPr="00097567">
        <w:t>DET provided a confidentialised version of the schools payment model as at the 2016-17 Budget.</w:t>
      </w:r>
    </w:p>
    <w:p w:rsidR="00BD5C09" w:rsidRPr="00097567" w:rsidRDefault="00BD5C09" w:rsidP="00BD5C09">
      <w:pPr>
        <w:pStyle w:val="BodyText"/>
      </w:pPr>
      <w:r w:rsidRPr="00097567">
        <w:t>National Education Reform Agreements for New South Wales, Victoria, South Australia, the Australian Capital Territory and Tasmania.</w:t>
      </w:r>
    </w:p>
    <w:p w:rsidR="00BD5C09" w:rsidRDefault="00BD5C09" w:rsidP="00BD5C09">
      <w:pPr>
        <w:pStyle w:val="BodyText"/>
      </w:pPr>
      <w:r w:rsidRPr="00097567">
        <w:t xml:space="preserve">Australian Education Act 2013 </w:t>
      </w:r>
      <w:r w:rsidR="00105E93" w:rsidRPr="00097567">
        <w:t xml:space="preserve">(Cwlth), </w:t>
      </w:r>
      <w:hyperlink r:id="rId123" w:history="1">
        <w:r w:rsidRPr="00097567">
          <w:rPr>
            <w:rStyle w:val="Hyperlink"/>
          </w:rPr>
          <w:t>https://www.comlaw.gov.au/Details/C2013A00067</w:t>
        </w:r>
      </w:hyperlink>
      <w:r w:rsidRPr="00097567">
        <w:t>.</w:t>
      </w:r>
    </w:p>
    <w:p w:rsidR="00112A11" w:rsidRDefault="00112A11" w:rsidP="00BD5C09">
      <w:pPr>
        <w:pStyle w:val="BodyText"/>
      </w:pPr>
    </w:p>
    <w:p w:rsidR="00112A11" w:rsidRDefault="00112A11" w:rsidP="00BD5C09">
      <w:pPr>
        <w:pStyle w:val="BodyText"/>
        <w:sectPr w:rsidR="00112A11" w:rsidSect="00967B83">
          <w:headerReference w:type="even" r:id="rId124"/>
          <w:headerReference w:type="default" r:id="rId125"/>
          <w:footerReference w:type="even" r:id="rId126"/>
          <w:footerReference w:type="default" r:id="rId127"/>
          <w:footnotePr>
            <w:numRestart w:val="eachSect"/>
          </w:footnotePr>
          <w:pgSz w:w="11906" w:h="16838" w:code="9"/>
          <w:pgMar w:top="1361" w:right="1797" w:bottom="1474" w:left="1797" w:header="283" w:footer="454" w:gutter="0"/>
          <w:cols w:space="708"/>
          <w:docGrid w:linePitch="360"/>
        </w:sectPr>
      </w:pPr>
    </w:p>
    <w:p w:rsidR="00420CF4" w:rsidRDefault="00BD5C09" w:rsidP="00BD5C09">
      <w:pPr>
        <w:pStyle w:val="Heading6"/>
      </w:pPr>
      <w:r>
        <w:t xml:space="preserve">Attachment </w:t>
      </w:r>
      <w:r w:rsidRPr="00BD5C09">
        <w:t>A: Your Child. Our Future. Needs-Based School Funding—financial implications</w:t>
      </w:r>
    </w:p>
    <w:p w:rsidR="00420CF4" w:rsidRDefault="00420CF4" w:rsidP="00420CF4">
      <w:pPr>
        <w:pStyle w:val="Caption"/>
        <w:rPr>
          <w:vertAlign w:val="superscript"/>
        </w:rPr>
      </w:pPr>
      <w:r w:rsidRPr="002B36F1">
        <w:t xml:space="preserve">Table </w:t>
      </w:r>
      <w:r>
        <w:t>A1</w:t>
      </w:r>
      <w:r w:rsidRPr="002B36F1">
        <w:t xml:space="preserve">: </w:t>
      </w:r>
      <w:r w:rsidR="00BD5C09" w:rsidRPr="00BD5C09">
        <w:t>Your Child. Our Future. Needs-Based School Funding—Financial implications (outturn</w:t>
      </w:r>
      <w:r w:rsidR="00BD5C09">
        <w:t> </w:t>
      </w:r>
      <w:r w:rsidR="00BD5C09" w:rsidRPr="00BD5C09">
        <w:t>prices)</w:t>
      </w:r>
      <w:r w:rsidRPr="002B36F1">
        <w:rPr>
          <w:vertAlign w:val="superscript"/>
        </w:rPr>
        <w:t>(a)(b)</w:t>
      </w:r>
    </w:p>
    <w:tbl>
      <w:tblPr>
        <w:tblStyle w:val="TableGrid"/>
        <w:tblW w:w="5108" w:type="pct"/>
        <w:tblInd w:w="-137" w:type="dxa"/>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2127"/>
        <w:gridCol w:w="878"/>
        <w:gridCol w:w="878"/>
        <w:gridCol w:w="878"/>
        <w:gridCol w:w="877"/>
        <w:gridCol w:w="877"/>
        <w:gridCol w:w="877"/>
        <w:gridCol w:w="877"/>
        <w:gridCol w:w="877"/>
        <w:gridCol w:w="877"/>
        <w:gridCol w:w="877"/>
        <w:gridCol w:w="877"/>
        <w:gridCol w:w="877"/>
        <w:gridCol w:w="886"/>
      </w:tblGrid>
      <w:tr w:rsidR="0073534F" w:rsidRPr="00B31810" w:rsidTr="00BD5C09">
        <w:trPr>
          <w:cantSplit/>
        </w:trPr>
        <w:tc>
          <w:tcPr>
            <w:cnfStyle w:val="001000000000" w:firstRow="0" w:lastRow="0" w:firstColumn="1" w:lastColumn="0" w:oddVBand="0" w:evenVBand="0" w:oddHBand="0" w:evenHBand="0" w:firstRowFirstColumn="0" w:firstRowLastColumn="0" w:lastRowFirstColumn="0" w:lastRowLastColumn="0"/>
            <w:tcW w:w="785" w:type="pct"/>
            <w:shd w:val="clear" w:color="auto" w:fill="D7DDE9"/>
          </w:tcPr>
          <w:p w:rsidR="00BD5C09" w:rsidRPr="00B31810" w:rsidRDefault="00BD5C09" w:rsidP="00AF3FCF">
            <w:pPr>
              <w:keepNext/>
              <w:keepLines/>
              <w:spacing w:line="240" w:lineRule="auto"/>
              <w:ind w:left="57" w:right="57"/>
            </w:pPr>
            <w:r w:rsidRPr="00B31810">
              <w:t>($m)</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2016–17</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2017–18</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2018–19</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2019–20</w:t>
            </w:r>
          </w:p>
        </w:tc>
        <w:tc>
          <w:tcPr>
            <w:tcW w:w="324" w:type="pct"/>
            <w:shd w:val="clear" w:color="auto" w:fill="D7DDE9"/>
          </w:tcPr>
          <w:p w:rsidR="00BD5C09" w:rsidRPr="00C363AE"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2019–20</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2020–21</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2021–22</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2022–23</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2023–24</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2024–25</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2025–26</w:t>
            </w:r>
          </w:p>
        </w:tc>
        <w:tc>
          <w:tcPr>
            <w:tcW w:w="324" w:type="pct"/>
            <w:shd w:val="clear" w:color="auto" w:fill="D7DDE9"/>
          </w:tcPr>
          <w:p w:rsidR="00BD5C09" w:rsidRPr="00C24267"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2026–27</w:t>
            </w:r>
          </w:p>
        </w:tc>
        <w:tc>
          <w:tcPr>
            <w:tcW w:w="326" w:type="pct"/>
            <w:shd w:val="clear" w:color="auto" w:fill="D7DDE9"/>
          </w:tcPr>
          <w:p w:rsidR="00BD5C09" w:rsidRPr="00C363AE" w:rsidRDefault="00BD5C09" w:rsidP="00AF3FCF">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2026–27</w:t>
            </w:r>
          </w:p>
        </w:tc>
      </w:tr>
      <w:tr w:rsidR="00BD5C09" w:rsidRPr="00B31810" w:rsidTr="00BD5C09">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BD5C09" w:rsidRPr="00C363AE" w:rsidRDefault="00BD5C09" w:rsidP="00BD5C09">
            <w:pPr>
              <w:pStyle w:val="TableHeadingCentred"/>
              <w:spacing w:line="240" w:lineRule="auto"/>
              <w:jc w:val="left"/>
              <w:rPr>
                <w:b w:val="0"/>
              </w:rPr>
            </w:pPr>
            <w:r>
              <w:t>Fiscal and underlying cash balances</w:t>
            </w:r>
          </w:p>
        </w:tc>
      </w:tr>
      <w:tr w:rsidR="00BD5C09" w:rsidTr="00BD5C09">
        <w:trPr>
          <w:cantSplit/>
        </w:trPr>
        <w:tc>
          <w:tcPr>
            <w:cnfStyle w:val="001000000000" w:firstRow="0" w:lastRow="0" w:firstColumn="1" w:lastColumn="0" w:oddVBand="0" w:evenVBand="0" w:oddHBand="0" w:evenHBand="0" w:firstRowFirstColumn="0" w:firstRowLastColumn="0" w:lastRowFirstColumn="0" w:lastRowLastColumn="0"/>
            <w:tcW w:w="785" w:type="pct"/>
          </w:tcPr>
          <w:p w:rsidR="00BD5C09" w:rsidRPr="0007264D" w:rsidRDefault="00BD5C09" w:rsidP="00AF3FCF">
            <w:pPr>
              <w:keepNext/>
              <w:keepLines/>
              <w:spacing w:line="240" w:lineRule="auto"/>
              <w:ind w:left="57" w:right="57"/>
            </w:pPr>
            <w:r>
              <w:t>School funding</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-470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-1,900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-2,910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C67541">
              <w:rPr>
                <w:b/>
              </w:rPr>
              <w:t>-5,290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-3,100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-3,620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-4,120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-4,400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-4,680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-4,970</w:t>
            </w:r>
          </w:p>
        </w:tc>
        <w:tc>
          <w:tcPr>
            <w:tcW w:w="324"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pPr>
            <w:r w:rsidRPr="00C67541">
              <w:t>-5,280</w:t>
            </w:r>
          </w:p>
        </w:tc>
        <w:tc>
          <w:tcPr>
            <w:tcW w:w="326" w:type="pct"/>
          </w:tcPr>
          <w:p w:rsidR="00BD5C09" w:rsidRPr="00C67541" w:rsidRDefault="00BD5C09" w:rsidP="008C7879">
            <w:pPr>
              <w:pStyle w:val="TableTextRight"/>
              <w:cnfStyle w:val="000000000000" w:firstRow="0" w:lastRow="0" w:firstColumn="0" w:lastColumn="0" w:oddVBand="0" w:evenVBand="0" w:oddHBand="0" w:evenHBand="0" w:firstRowFirstColumn="0" w:firstRowLastColumn="0" w:lastRowFirstColumn="0" w:lastRowLastColumn="0"/>
              <w:rPr>
                <w:b/>
              </w:rPr>
            </w:pPr>
            <w:r w:rsidRPr="00C67541">
              <w:rPr>
                <w:b/>
              </w:rPr>
              <w:t>-35,460</w:t>
            </w:r>
          </w:p>
        </w:tc>
      </w:tr>
    </w:tbl>
    <w:p w:rsidR="00BD5C09" w:rsidRDefault="00BD5C09" w:rsidP="002C43F8">
      <w:pPr>
        <w:pStyle w:val="Footnotes"/>
        <w:numPr>
          <w:ilvl w:val="0"/>
          <w:numId w:val="72"/>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BD5C09" w:rsidRDefault="00BD5C09" w:rsidP="00112A11">
      <w:pPr>
        <w:pStyle w:val="Footnotes"/>
        <w:ind w:left="284" w:hanging="284"/>
      </w:pPr>
      <w:r>
        <w:t>Figures may not sum to totals due to rounding.</w:t>
      </w:r>
    </w:p>
    <w:p w:rsidR="00420CF4" w:rsidRDefault="00BD5C09" w:rsidP="00BD5C09">
      <w:pPr>
        <w:pStyle w:val="Footnotes"/>
        <w:numPr>
          <w:ilvl w:val="0"/>
          <w:numId w:val="0"/>
        </w:numPr>
        <w:ind w:left="284" w:hanging="284"/>
      </w:pPr>
      <w:r>
        <w:t>-</w:t>
      </w:r>
      <w:r>
        <w:tab/>
        <w:t>Indicates nil.</w:t>
      </w:r>
    </w:p>
    <w:p w:rsidR="00112A11" w:rsidRPr="00951305" w:rsidRDefault="00112A11" w:rsidP="00112A11">
      <w:pPr>
        <w:pStyle w:val="BodyText"/>
      </w:pPr>
    </w:p>
    <w:p w:rsidR="00420CF4" w:rsidRDefault="00420CF4" w:rsidP="00420CF4">
      <w:pPr>
        <w:pStyle w:val="BodyText"/>
        <w:sectPr w:rsidR="00420CF4" w:rsidSect="00004B47">
          <w:headerReference w:type="even" r:id="rId128"/>
          <w:headerReference w:type="default" r:id="rId129"/>
          <w:footerReference w:type="even" r:id="rId130"/>
          <w:footerReference w:type="default" r:id="rId131"/>
          <w:footnotePr>
            <w:numRestart w:val="eachSect"/>
          </w:footnotePr>
          <w:pgSz w:w="16838" w:h="11906" w:orient="landscape" w:code="9"/>
          <w:pgMar w:top="1361" w:right="1797" w:bottom="1474" w:left="1797" w:header="283" w:footer="454" w:gutter="0"/>
          <w:cols w:space="708"/>
          <w:docGrid w:linePitch="360"/>
        </w:sectPr>
      </w:pPr>
    </w:p>
    <w:p w:rsidR="00420CF4" w:rsidRDefault="00420CF4" w:rsidP="00420CF4">
      <w:pPr>
        <w:pStyle w:val="Heading5"/>
        <w:ind w:left="1080" w:hanging="1080"/>
      </w:pPr>
      <w:bookmarkStart w:id="44" w:name="_Toc458081664"/>
      <w:r w:rsidRPr="00297CCF">
        <w:t>ALP0</w:t>
      </w:r>
      <w:r w:rsidR="00297CCF" w:rsidRPr="00297CCF">
        <w:t>4</w:t>
      </w:r>
      <w:r w:rsidR="00C21EBE">
        <w:t>0</w:t>
      </w:r>
      <w:r w:rsidRPr="00297CCF">
        <w:t>: Your Child. Our Future. Support for Students with Disability</w:t>
      </w:r>
      <w:bookmarkEnd w:id="44"/>
    </w:p>
    <w:p w:rsidR="00967B83" w:rsidRDefault="00967B83" w:rsidP="00967B83">
      <w:pPr>
        <w:pStyle w:val="BodyText"/>
      </w:pPr>
      <w:r>
        <w:rPr>
          <w:noProof/>
          <w:lang w:eastAsia="en-AU"/>
        </w:rPr>
        <w:drawing>
          <wp:inline distT="0" distB="0" distL="0" distR="0" wp14:anchorId="53EBED37" wp14:editId="1CF8444E">
            <wp:extent cx="2696845" cy="572135"/>
            <wp:effectExtent l="0" t="0" r="8255" b="0"/>
            <wp:docPr id="331" name="Picture 33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112A11">
            <w:pPr>
              <w:pStyle w:val="PullOutBoxHeading"/>
              <w:rPr>
                <w:b/>
              </w:rPr>
            </w:pPr>
            <w:r w:rsidRPr="00E51946">
              <w:rPr>
                <w:b/>
              </w:rPr>
              <w:t>Name of proposal:</w:t>
            </w:r>
          </w:p>
        </w:tc>
        <w:tc>
          <w:tcPr>
            <w:tcW w:w="3191" w:type="pct"/>
          </w:tcPr>
          <w:p w:rsidR="00420CF4" w:rsidRPr="00E51946" w:rsidRDefault="00AF3FCF" w:rsidP="00112A11">
            <w:pPr>
              <w:pStyle w:val="PullOutBoxHeading"/>
              <w:rPr>
                <w:b/>
              </w:rPr>
            </w:pPr>
            <w:r w:rsidRPr="00E51946">
              <w:rPr>
                <w:b/>
              </w:rPr>
              <w:t>Your Child. Our Future. Support for Students with Disability</w:t>
            </w:r>
          </w:p>
        </w:tc>
      </w:tr>
      <w:tr w:rsidR="00420CF4" w:rsidRPr="00B45F94" w:rsidTr="00967BCD">
        <w:tc>
          <w:tcPr>
            <w:tcW w:w="1809" w:type="pct"/>
          </w:tcPr>
          <w:p w:rsidR="00420CF4" w:rsidRPr="00B45F94" w:rsidRDefault="00420CF4" w:rsidP="00112A11">
            <w:pPr>
              <w:pStyle w:val="PullOutBoxBodyText"/>
            </w:pPr>
            <w:r w:rsidRPr="00B45F94">
              <w:t>Summary of proposal:</w:t>
            </w:r>
          </w:p>
        </w:tc>
        <w:tc>
          <w:tcPr>
            <w:tcW w:w="3191" w:type="pct"/>
          </w:tcPr>
          <w:p w:rsidR="00AF3FCF" w:rsidRPr="00650CF0" w:rsidRDefault="00AF3FCF" w:rsidP="00112A11">
            <w:pPr>
              <w:pStyle w:val="PullOutBoxBodyText"/>
            </w:pPr>
            <w:r w:rsidRPr="00650CF0">
              <w:t>The proposal has five components.  Components 1 to 5 would provide $320 million for students with a disability, distributed evenly over the 2017 to 2019 scho</w:t>
            </w:r>
            <w:r w:rsidR="00650CF0">
              <w:t>ol years, as follows:</w:t>
            </w:r>
          </w:p>
          <w:p w:rsidR="00AF3FCF" w:rsidRPr="00650CF0" w:rsidRDefault="00AF3FCF" w:rsidP="00112A11">
            <w:pPr>
              <w:pStyle w:val="PullOutBoxBodyText"/>
              <w:rPr>
                <w:u w:val="single"/>
              </w:rPr>
            </w:pPr>
            <w:r w:rsidRPr="00650CF0">
              <w:rPr>
                <w:u w:val="single"/>
              </w:rPr>
              <w:t>Component 1</w:t>
            </w:r>
          </w:p>
          <w:p w:rsidR="00AF3FCF" w:rsidRPr="00650CF0" w:rsidRDefault="00AF3FCF" w:rsidP="00112A11">
            <w:pPr>
              <w:pStyle w:val="PullOutBoxBodyText"/>
            </w:pPr>
            <w:r w:rsidRPr="00650CF0">
              <w:t>$240 million to schools to support students and deliver professional development and other capacity building programs, including establishing autism hubs and dyslexia friendly schools.</w:t>
            </w:r>
          </w:p>
          <w:p w:rsidR="00AF3FCF" w:rsidRPr="00650CF0" w:rsidRDefault="00AF3FCF" w:rsidP="00112A11">
            <w:pPr>
              <w:pStyle w:val="PullOutBoxBodyText"/>
              <w:rPr>
                <w:u w:val="single"/>
              </w:rPr>
            </w:pPr>
            <w:r w:rsidRPr="00650CF0">
              <w:rPr>
                <w:u w:val="single"/>
              </w:rPr>
              <w:t>Component 2</w:t>
            </w:r>
          </w:p>
          <w:p w:rsidR="00AF3FCF" w:rsidRPr="00650CF0" w:rsidRDefault="00AF3FCF" w:rsidP="00112A11">
            <w:pPr>
              <w:pStyle w:val="PullOutBoxBodyText"/>
            </w:pPr>
            <w:r w:rsidRPr="00650CF0">
              <w:t xml:space="preserve">$30 million for minor capital and equipment grants to support inclusion and accessibility </w:t>
            </w:r>
            <w:r w:rsidR="00650CF0">
              <w:t>for students with a disability.</w:t>
            </w:r>
          </w:p>
          <w:p w:rsidR="00AF3FCF" w:rsidRPr="00650CF0" w:rsidRDefault="00AF3FCF" w:rsidP="00112A11">
            <w:pPr>
              <w:pStyle w:val="PullOutBoxBodyText"/>
              <w:rPr>
                <w:u w:val="single"/>
              </w:rPr>
            </w:pPr>
            <w:r w:rsidRPr="00650CF0">
              <w:rPr>
                <w:u w:val="single"/>
              </w:rPr>
              <w:t>Component 3</w:t>
            </w:r>
          </w:p>
          <w:p w:rsidR="00AF3FCF" w:rsidRPr="00650CF0" w:rsidRDefault="00AF3FCF" w:rsidP="00112A11">
            <w:pPr>
              <w:pStyle w:val="PullOutBoxBodyText"/>
            </w:pPr>
            <w:r w:rsidRPr="00650CF0">
              <w:t>$40 million for up to 2,000 scholarships of $20,000 each for teachers to study a Masters of Inclusive Education or equivalent.</w:t>
            </w:r>
          </w:p>
          <w:p w:rsidR="00AF3FCF" w:rsidRPr="00650CF0" w:rsidRDefault="00AF3FCF" w:rsidP="00112A11">
            <w:pPr>
              <w:pStyle w:val="PullOutBoxBodyText"/>
              <w:rPr>
                <w:u w:val="single"/>
              </w:rPr>
            </w:pPr>
            <w:r w:rsidRPr="00650CF0">
              <w:rPr>
                <w:u w:val="single"/>
              </w:rPr>
              <w:t>Component 4</w:t>
            </w:r>
          </w:p>
          <w:p w:rsidR="00AF3FCF" w:rsidRPr="00650CF0" w:rsidRDefault="00AF3FCF" w:rsidP="00112A11">
            <w:pPr>
              <w:pStyle w:val="PullOutBoxBodyText"/>
            </w:pPr>
            <w:r w:rsidRPr="00650CF0">
              <w:t>$10 million for programs to reduce bullying agai</w:t>
            </w:r>
            <w:r w:rsidR="00650CF0">
              <w:t>nst students with a disability.</w:t>
            </w:r>
          </w:p>
          <w:p w:rsidR="00AF3FCF" w:rsidRPr="00650CF0" w:rsidRDefault="00AF3FCF" w:rsidP="00112A11">
            <w:pPr>
              <w:pStyle w:val="PullOutBoxBodyText"/>
              <w:rPr>
                <w:u w:val="single"/>
              </w:rPr>
            </w:pPr>
            <w:r w:rsidRPr="00650CF0">
              <w:rPr>
                <w:u w:val="single"/>
              </w:rPr>
              <w:t>Component 5</w:t>
            </w:r>
          </w:p>
          <w:p w:rsidR="00AF3FCF" w:rsidRPr="00650CF0" w:rsidRDefault="00AF3FCF" w:rsidP="00112A11">
            <w:pPr>
              <w:pStyle w:val="PullOutBoxBodyText"/>
            </w:pPr>
            <w:r w:rsidRPr="00650CF0">
              <w:t>$150,000 p</w:t>
            </w:r>
            <w:r w:rsidR="00650CF0">
              <w:t>er financial year over the 2016</w:t>
            </w:r>
            <w:r w:rsidR="00650CF0">
              <w:noBreakHyphen/>
            </w:r>
            <w:r w:rsidRPr="00650CF0">
              <w:t xml:space="preserve">17 Budget forward estimates for </w:t>
            </w:r>
            <w:r w:rsidRPr="00650CF0">
              <w:rPr>
                <w:i/>
              </w:rPr>
              <w:t>Children with Disability Australia</w:t>
            </w:r>
            <w:r w:rsidRPr="00650CF0">
              <w:t>.  This component would commence from 1 July 2017.</w:t>
            </w:r>
          </w:p>
          <w:p w:rsidR="00AF3FCF" w:rsidRPr="00650CF0" w:rsidRDefault="00AF3FCF" w:rsidP="00112A11">
            <w:pPr>
              <w:pStyle w:val="PullOutBoxBodyText"/>
            </w:pPr>
            <w:r w:rsidRPr="00650CF0">
              <w:t>Departmental costs for Components 1 to 5 of the proposal are to be provided from within the capped amounts.</w:t>
            </w:r>
          </w:p>
          <w:p w:rsidR="00420CF4" w:rsidRPr="00B45F94" w:rsidRDefault="00AF3FCF" w:rsidP="00112A11">
            <w:pPr>
              <w:pStyle w:val="PullOutBoxBodyText"/>
            </w:pPr>
            <w:r w:rsidRPr="00650CF0">
              <w:t xml:space="preserve">The proposal would be partially offset by reversing the 2016-17 Budget measure, </w:t>
            </w:r>
            <w:r w:rsidRPr="00650CF0">
              <w:rPr>
                <w:i/>
              </w:rPr>
              <w:t>School Funding – additional funding for students with a disability</w:t>
            </w:r>
            <w:r w:rsidRPr="00650CF0">
              <w:t>.</w:t>
            </w:r>
          </w:p>
        </w:tc>
      </w:tr>
      <w:tr w:rsidR="00420CF4" w:rsidRPr="00B45F94" w:rsidTr="00967BCD">
        <w:tc>
          <w:tcPr>
            <w:tcW w:w="1809" w:type="pct"/>
          </w:tcPr>
          <w:p w:rsidR="00420CF4" w:rsidRPr="00B45F94" w:rsidRDefault="00420CF4" w:rsidP="00112A11">
            <w:pPr>
              <w:pStyle w:val="PullOutBoxBodyText"/>
            </w:pPr>
            <w:r>
              <w:t>Party:</w:t>
            </w:r>
          </w:p>
        </w:tc>
        <w:tc>
          <w:tcPr>
            <w:tcW w:w="3191" w:type="pct"/>
          </w:tcPr>
          <w:p w:rsidR="00420CF4" w:rsidRPr="00B45F94" w:rsidRDefault="00420CF4" w:rsidP="00112A11">
            <w:pPr>
              <w:pStyle w:val="PullOutBoxBodyText"/>
            </w:pPr>
            <w:r>
              <w:t>Australian Labor Party</w:t>
            </w:r>
          </w:p>
        </w:tc>
      </w:tr>
      <w:tr w:rsidR="00420CF4" w:rsidRPr="00B45F94" w:rsidTr="00967BCD">
        <w:tc>
          <w:tcPr>
            <w:tcW w:w="1809" w:type="pct"/>
          </w:tcPr>
          <w:p w:rsidR="00420CF4" w:rsidRPr="00B45F94" w:rsidRDefault="00420CF4" w:rsidP="00112A11">
            <w:pPr>
              <w:pStyle w:val="PullOutBoxBodyText"/>
            </w:pPr>
            <w:r w:rsidRPr="00B45F94">
              <w:t>Expiry date for the costing:</w:t>
            </w:r>
          </w:p>
        </w:tc>
        <w:tc>
          <w:tcPr>
            <w:tcW w:w="3191" w:type="pct"/>
          </w:tcPr>
          <w:p w:rsidR="00420CF4" w:rsidRPr="00B45F94" w:rsidRDefault="00EC102A" w:rsidP="00112A11">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650CF0" w:rsidRPr="00650CF0" w:rsidRDefault="00650CF0" w:rsidP="00650CF0">
      <w:pPr>
        <w:pStyle w:val="BodyText"/>
      </w:pPr>
      <w:r w:rsidRPr="00650CF0">
        <w:t xml:space="preserve">The proposal would be expected to decrease both the fiscal and underlying cash balances by $202.2 million over the 2016-17 Budget forward estimates period.  This reflects a net increase in administered expenses of $187.4 million and an increase in departmental expenses of $14.8 million over this period.  A detailed breakdown of the components of this proposal is included at </w:t>
      </w:r>
      <w:r w:rsidRPr="00650CF0">
        <w:rPr>
          <w:u w:val="single"/>
        </w:rPr>
        <w:t>Attachment A</w:t>
      </w:r>
      <w:r w:rsidRPr="00650CF0">
        <w:t>.</w:t>
      </w:r>
    </w:p>
    <w:p w:rsidR="00650CF0" w:rsidRPr="00650CF0" w:rsidRDefault="00650CF0" w:rsidP="00650CF0">
      <w:pPr>
        <w:pStyle w:val="BodyText"/>
      </w:pPr>
      <w:r w:rsidRPr="00650CF0">
        <w:t>The proposal would not have any financial implications beyond the 2016-17 Budget forward estimates period.  Components 1 to 5 of the proposal would cease in 2019-20 and the reversal of the 2016-17 Budget measure onl</w:t>
      </w:r>
      <w:r>
        <w:t>y affects 2016-17 and 2017-18.</w:t>
      </w:r>
    </w:p>
    <w:p w:rsidR="00650CF0" w:rsidRPr="00650CF0" w:rsidRDefault="00650CF0" w:rsidP="00650CF0">
      <w:pPr>
        <w:pStyle w:val="BodyText"/>
      </w:pPr>
      <w:r w:rsidRPr="00650CF0">
        <w:t>The costing is considered to be of high reliability.  Components 1 to 5 are based on specified capped amounts with departmental costs based on similar programs that would be funded from within these capped amounts.  Savings from the reversal of the 2016-17 Budget measure reflect figures published in the 2016-17 Budget.</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650CF0">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650CF0">
            <w:pPr>
              <w:pStyle w:val="TableTextRight"/>
            </w:pPr>
            <w:r>
              <w:t>Total</w:t>
            </w:r>
          </w:p>
        </w:tc>
      </w:tr>
      <w:tr w:rsidR="00650CF0" w:rsidTr="00967BCD">
        <w:tc>
          <w:tcPr>
            <w:tcW w:w="1393" w:type="pct"/>
          </w:tcPr>
          <w:p w:rsidR="00650CF0" w:rsidRDefault="00650CF0" w:rsidP="00967BCD">
            <w:pPr>
              <w:pStyle w:val="TableText"/>
            </w:pPr>
            <w:r>
              <w:t>Fiscal balance</w:t>
            </w:r>
          </w:p>
        </w:tc>
        <w:tc>
          <w:tcPr>
            <w:tcW w:w="721" w:type="pct"/>
          </w:tcPr>
          <w:p w:rsidR="00650CF0" w:rsidRPr="00F05B72" w:rsidRDefault="00650CF0" w:rsidP="00650CF0">
            <w:pPr>
              <w:pStyle w:val="TableTextRight"/>
            </w:pPr>
            <w:r w:rsidRPr="00F05B72">
              <w:t>33.</w:t>
            </w:r>
            <w:r>
              <w:t>4</w:t>
            </w:r>
          </w:p>
        </w:tc>
        <w:tc>
          <w:tcPr>
            <w:tcW w:w="721" w:type="pct"/>
          </w:tcPr>
          <w:p w:rsidR="00650CF0" w:rsidRPr="00F05B72" w:rsidRDefault="00650CF0" w:rsidP="00650CF0">
            <w:pPr>
              <w:pStyle w:val="TableTextRight"/>
            </w:pPr>
            <w:r w:rsidRPr="00F05B72">
              <w:t>-75.</w:t>
            </w:r>
            <w:r>
              <w:t>2</w:t>
            </w:r>
          </w:p>
        </w:tc>
        <w:tc>
          <w:tcPr>
            <w:tcW w:w="722" w:type="pct"/>
          </w:tcPr>
          <w:p w:rsidR="00650CF0" w:rsidRPr="00F05B72" w:rsidRDefault="00650CF0" w:rsidP="00650CF0">
            <w:pPr>
              <w:pStyle w:val="TableTextRight"/>
            </w:pPr>
            <w:r w:rsidRPr="00F05B72">
              <w:t>-106.</w:t>
            </w:r>
            <w:r>
              <w:t>8</w:t>
            </w:r>
          </w:p>
        </w:tc>
        <w:tc>
          <w:tcPr>
            <w:tcW w:w="721" w:type="pct"/>
          </w:tcPr>
          <w:p w:rsidR="00650CF0" w:rsidRPr="00F05B72" w:rsidRDefault="00650CF0" w:rsidP="00650CF0">
            <w:pPr>
              <w:pStyle w:val="TableTextRight"/>
            </w:pPr>
            <w:r w:rsidRPr="00F05B72">
              <w:t>-53.</w:t>
            </w:r>
            <w:r>
              <w:t>5</w:t>
            </w:r>
          </w:p>
        </w:tc>
        <w:tc>
          <w:tcPr>
            <w:tcW w:w="722" w:type="pct"/>
          </w:tcPr>
          <w:p w:rsidR="00650CF0" w:rsidRPr="00F05B72" w:rsidRDefault="00650CF0" w:rsidP="00650CF0">
            <w:pPr>
              <w:pStyle w:val="TableTextRight"/>
              <w:rPr>
                <w:b/>
              </w:rPr>
            </w:pPr>
            <w:r>
              <w:rPr>
                <w:b/>
              </w:rPr>
              <w:t>-202.2</w:t>
            </w:r>
          </w:p>
        </w:tc>
      </w:tr>
      <w:tr w:rsidR="00650CF0" w:rsidTr="00967BCD">
        <w:tc>
          <w:tcPr>
            <w:tcW w:w="1393" w:type="pct"/>
          </w:tcPr>
          <w:p w:rsidR="00650CF0" w:rsidRDefault="00650CF0" w:rsidP="00967BCD">
            <w:pPr>
              <w:pStyle w:val="TableText"/>
            </w:pPr>
            <w:r>
              <w:t>Underlying cash balance</w:t>
            </w:r>
          </w:p>
        </w:tc>
        <w:tc>
          <w:tcPr>
            <w:tcW w:w="721" w:type="pct"/>
          </w:tcPr>
          <w:p w:rsidR="00650CF0" w:rsidRPr="00F05B72" w:rsidRDefault="00650CF0" w:rsidP="00650CF0">
            <w:pPr>
              <w:pStyle w:val="TableTextRight"/>
            </w:pPr>
            <w:r w:rsidRPr="00F05B72">
              <w:t>33.</w:t>
            </w:r>
            <w:r>
              <w:t>4</w:t>
            </w:r>
          </w:p>
        </w:tc>
        <w:tc>
          <w:tcPr>
            <w:tcW w:w="721" w:type="pct"/>
          </w:tcPr>
          <w:p w:rsidR="00650CF0" w:rsidRPr="00F05B72" w:rsidRDefault="00650CF0" w:rsidP="00650CF0">
            <w:pPr>
              <w:pStyle w:val="TableTextRight"/>
            </w:pPr>
            <w:r w:rsidRPr="00F05B72">
              <w:t>-75.</w:t>
            </w:r>
            <w:r>
              <w:t>2</w:t>
            </w:r>
          </w:p>
        </w:tc>
        <w:tc>
          <w:tcPr>
            <w:tcW w:w="722" w:type="pct"/>
          </w:tcPr>
          <w:p w:rsidR="00650CF0" w:rsidRPr="00F05B72" w:rsidRDefault="00650CF0" w:rsidP="00650CF0">
            <w:pPr>
              <w:pStyle w:val="TableTextRight"/>
            </w:pPr>
            <w:r w:rsidRPr="00F05B72">
              <w:t>-106.</w:t>
            </w:r>
            <w:r>
              <w:t>8</w:t>
            </w:r>
          </w:p>
        </w:tc>
        <w:tc>
          <w:tcPr>
            <w:tcW w:w="721" w:type="pct"/>
          </w:tcPr>
          <w:p w:rsidR="00650CF0" w:rsidRPr="00F05B72" w:rsidRDefault="00650CF0" w:rsidP="00650CF0">
            <w:pPr>
              <w:pStyle w:val="TableTextRight"/>
            </w:pPr>
            <w:r w:rsidRPr="00F05B72">
              <w:t>-53.</w:t>
            </w:r>
            <w:r>
              <w:t>5</w:t>
            </w:r>
          </w:p>
        </w:tc>
        <w:tc>
          <w:tcPr>
            <w:tcW w:w="722" w:type="pct"/>
          </w:tcPr>
          <w:p w:rsidR="00650CF0" w:rsidRPr="00F05B72" w:rsidRDefault="00650CF0" w:rsidP="00650CF0">
            <w:pPr>
              <w:pStyle w:val="TableTextRight"/>
              <w:rPr>
                <w:b/>
              </w:rPr>
            </w:pPr>
            <w:r>
              <w:rPr>
                <w:b/>
              </w:rPr>
              <w:t>-202.2</w:t>
            </w:r>
          </w:p>
        </w:tc>
      </w:tr>
    </w:tbl>
    <w:p w:rsidR="00420CF4" w:rsidRPr="00B02D18" w:rsidRDefault="00420CF4" w:rsidP="002C43F8">
      <w:pPr>
        <w:pStyle w:val="Footnotes"/>
        <w:numPr>
          <w:ilvl w:val="0"/>
          <w:numId w:val="73"/>
        </w:numPr>
        <w:ind w:left="284" w:hanging="284"/>
      </w:pPr>
      <w:r w:rsidRPr="00B02D18">
        <w:t>A positive number indicates an increase in the relevant budget balance, a negative number a decrease.</w:t>
      </w:r>
    </w:p>
    <w:p w:rsidR="00420CF4" w:rsidRPr="00B02D18" w:rsidRDefault="00420CF4" w:rsidP="00112A11">
      <w:pPr>
        <w:pStyle w:val="Footnotes"/>
        <w:ind w:left="284" w:hanging="284"/>
        <w:rPr>
          <w:rStyle w:val="FootnoteReference"/>
          <w:vertAlign w:val="baseline"/>
        </w:rPr>
      </w:pPr>
      <w:r w:rsidRPr="00B02D18">
        <w:t>Figures may not sum to totals due to rounding.</w:t>
      </w:r>
    </w:p>
    <w:p w:rsidR="00420CF4" w:rsidRDefault="00420CF4" w:rsidP="00420CF4">
      <w:pPr>
        <w:pStyle w:val="CostingsH7"/>
      </w:pPr>
      <w:r>
        <w:t>Methodology</w:t>
      </w:r>
    </w:p>
    <w:p w:rsidR="00B02D18" w:rsidRPr="00B02D18" w:rsidRDefault="00B02D18" w:rsidP="00ED1D90">
      <w:pPr>
        <w:pStyle w:val="CostingsH8"/>
      </w:pPr>
      <w:r w:rsidRPr="00B02D18">
        <w:t>Components 1 to 5</w:t>
      </w:r>
    </w:p>
    <w:p w:rsidR="00B02D18" w:rsidRPr="00B02D18" w:rsidRDefault="00B02D18" w:rsidP="00B02D18">
      <w:pPr>
        <w:pStyle w:val="BodyText"/>
      </w:pPr>
      <w:r w:rsidRPr="00B02D18">
        <w:t xml:space="preserve">Departmental expenditure estimates are based on like initiatives and estimates account for the net effect of indexation parameters and the efficiency dividend, in accordance with the Department </w:t>
      </w:r>
      <w:r>
        <w:t>of Finance’s costing practices.</w:t>
      </w:r>
    </w:p>
    <w:p w:rsidR="00B02D18" w:rsidRPr="00B02D18" w:rsidRDefault="00B02D18" w:rsidP="00B02D18">
      <w:pPr>
        <w:pStyle w:val="BodyText"/>
      </w:pPr>
      <w:r w:rsidRPr="00B02D18">
        <w:t>Administered expenditure estimates for the proposal are the remainder of the capped funding amounts after allowing for the estimated departmental expenditure.</w:t>
      </w:r>
    </w:p>
    <w:p w:rsidR="00B02D18" w:rsidRPr="00B02D18" w:rsidRDefault="00B02D18" w:rsidP="00B02D18">
      <w:pPr>
        <w:pStyle w:val="BodyText"/>
      </w:pPr>
      <w:r w:rsidRPr="00B02D18">
        <w:t>Financial implications were calculated on a calendar (school) year basis prior to conversion to financial years.</w:t>
      </w:r>
    </w:p>
    <w:p w:rsidR="00B02D18" w:rsidRPr="00B02D18" w:rsidRDefault="00B02D18" w:rsidP="00ED1D90">
      <w:pPr>
        <w:pStyle w:val="CostingsH8"/>
      </w:pPr>
      <w:r w:rsidRPr="00B02D18">
        <w:t>Reversal of the measure</w:t>
      </w:r>
    </w:p>
    <w:p w:rsidR="00B02D18" w:rsidRPr="00B02D18" w:rsidRDefault="00B02D18" w:rsidP="00B02D18">
      <w:pPr>
        <w:pStyle w:val="BodyText"/>
      </w:pPr>
      <w:r w:rsidRPr="00B02D18">
        <w:t xml:space="preserve">Under the 2016-17 Budget measure, </w:t>
      </w:r>
      <w:r w:rsidRPr="00B02D18">
        <w:rPr>
          <w:i/>
        </w:rPr>
        <w:t>School Funding – additional funding for students with a disability</w:t>
      </w:r>
      <w:r w:rsidRPr="00B02D18">
        <w:t xml:space="preserve"> (refer page 80 of 2016-17 Budget Paper No. 2) the Department of Education and Training is expected to spend $118.2 million over two years.  The reversal of this measure yields equivalent savings.</w:t>
      </w:r>
    </w:p>
    <w:p w:rsidR="00420CF4" w:rsidRDefault="00420CF4" w:rsidP="00420CF4">
      <w:pPr>
        <w:pStyle w:val="CostingsH7"/>
      </w:pPr>
      <w:r>
        <w:t>Data sources</w:t>
      </w:r>
    </w:p>
    <w:p w:rsidR="00B02D18" w:rsidRPr="00B02D18" w:rsidRDefault="00B02D18" w:rsidP="00B02D18">
      <w:pPr>
        <w:pStyle w:val="BodyText"/>
      </w:pPr>
      <w:r w:rsidRPr="00B02D18">
        <w:t xml:space="preserve">The Department of Finance provided indexation and </w:t>
      </w:r>
      <w:r>
        <w:t>efficiency dividend parameters.</w:t>
      </w:r>
    </w:p>
    <w:p w:rsidR="00B02D18" w:rsidRDefault="00105E93" w:rsidP="00B02D18">
      <w:pPr>
        <w:pStyle w:val="BodyText"/>
      </w:pPr>
      <w:r>
        <w:t xml:space="preserve">Commonwealth of Australia 2016, </w:t>
      </w:r>
      <w:r w:rsidR="00B02D18" w:rsidRPr="0073534F">
        <w:rPr>
          <w:i/>
        </w:rPr>
        <w:t xml:space="preserve">2016-17 Budget </w:t>
      </w:r>
      <w:r w:rsidRPr="0073534F">
        <w:rPr>
          <w:i/>
        </w:rPr>
        <w:t>measure,</w:t>
      </w:r>
      <w:r>
        <w:t xml:space="preserve"> </w:t>
      </w:r>
      <w:r w:rsidR="00B02D18" w:rsidRPr="00B02D18">
        <w:rPr>
          <w:i/>
        </w:rPr>
        <w:t>School Funding – additional funding for students with a disability</w:t>
      </w:r>
      <w:r>
        <w:t>, Commonwealth of Australia, Canberra</w:t>
      </w:r>
      <w:r w:rsidR="00B02D18" w:rsidRPr="00B02D18">
        <w:t>.</w:t>
      </w:r>
    </w:p>
    <w:p w:rsidR="007A2A7B" w:rsidRDefault="007A2A7B" w:rsidP="007A2A7B">
      <w:pPr>
        <w:pStyle w:val="BodyText"/>
      </w:pPr>
    </w:p>
    <w:p w:rsidR="007A2A7B" w:rsidRDefault="007A2A7B" w:rsidP="007A2A7B">
      <w:pPr>
        <w:pStyle w:val="BodyText"/>
        <w:sectPr w:rsidR="007A2A7B" w:rsidSect="007A2A7B">
          <w:headerReference w:type="even" r:id="rId132"/>
          <w:headerReference w:type="default" r:id="rId133"/>
          <w:footerReference w:type="even" r:id="rId134"/>
          <w:footerReference w:type="default" r:id="rId135"/>
          <w:footnotePr>
            <w:numRestart w:val="eachSect"/>
          </w:footnotePr>
          <w:pgSz w:w="11906" w:h="16838" w:code="9"/>
          <w:pgMar w:top="1361" w:right="1797" w:bottom="1474" w:left="1797" w:header="283" w:footer="454" w:gutter="0"/>
          <w:cols w:space="708"/>
          <w:docGrid w:linePitch="360"/>
        </w:sectPr>
      </w:pPr>
    </w:p>
    <w:p w:rsidR="00B02D18" w:rsidRPr="00B02D18" w:rsidRDefault="00B02D18" w:rsidP="00112A11">
      <w:pPr>
        <w:pStyle w:val="Heading6"/>
        <w:spacing w:before="480"/>
      </w:pPr>
      <w:r>
        <w:t xml:space="preserve">Attachment </w:t>
      </w:r>
      <w:r w:rsidRPr="00B02D18">
        <w:t>A: Your Child. Our Future. Support for Students with Disability—financial implications</w:t>
      </w:r>
    </w:p>
    <w:p w:rsidR="00420CF4" w:rsidRDefault="00420CF4" w:rsidP="00420CF4">
      <w:pPr>
        <w:pStyle w:val="Caption"/>
      </w:pPr>
      <w:r w:rsidRPr="002B36F1">
        <w:t xml:space="preserve">Table </w:t>
      </w:r>
      <w:r>
        <w:t>A1</w:t>
      </w:r>
      <w:r w:rsidRPr="002B36F1">
        <w:t xml:space="preserve">: </w:t>
      </w:r>
      <w:r w:rsidR="00B02D18">
        <w:t>Combined impact of all components—Financial implications</w:t>
      </w:r>
      <w:r w:rsidR="00B02D18" w:rsidRPr="002B36F1">
        <w:rPr>
          <w:vertAlign w:val="superscript"/>
        </w:rPr>
        <w:t xml:space="preserve"> </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8C7879">
            <w:pPr>
              <w:pStyle w:val="TableText"/>
              <w:rPr>
                <w:b w:val="0"/>
              </w:rPr>
            </w:pPr>
            <w:r>
              <w:t>($</w:t>
            </w:r>
            <w:r w:rsidR="00B02D18">
              <w:t>m</w:t>
            </w:r>
            <w:r>
              <w:t>)</w:t>
            </w:r>
          </w:p>
        </w:tc>
        <w:tc>
          <w:tcPr>
            <w:tcW w:w="689" w:type="pct"/>
            <w:vAlign w:val="center"/>
          </w:tcPr>
          <w:p w:rsidR="00420CF4" w:rsidRDefault="00420CF4" w:rsidP="008C7879">
            <w:pPr>
              <w:pStyle w:val="TableTextRight"/>
              <w:rPr>
                <w:b w:val="0"/>
              </w:rPr>
            </w:pPr>
            <w:r>
              <w:t>2016–17</w:t>
            </w:r>
          </w:p>
        </w:tc>
        <w:tc>
          <w:tcPr>
            <w:tcW w:w="689" w:type="pct"/>
            <w:vAlign w:val="center"/>
          </w:tcPr>
          <w:p w:rsidR="00420CF4" w:rsidRDefault="00420CF4" w:rsidP="008C7879">
            <w:pPr>
              <w:pStyle w:val="TableTextRight"/>
              <w:rPr>
                <w:b w:val="0"/>
              </w:rPr>
            </w:pPr>
            <w:r>
              <w:t>2017–18</w:t>
            </w:r>
          </w:p>
        </w:tc>
        <w:tc>
          <w:tcPr>
            <w:tcW w:w="689" w:type="pct"/>
            <w:vAlign w:val="center"/>
          </w:tcPr>
          <w:p w:rsidR="00420CF4" w:rsidRDefault="00420CF4" w:rsidP="008C7879">
            <w:pPr>
              <w:pStyle w:val="TableTextRight"/>
              <w:rPr>
                <w:b w:val="0"/>
              </w:rPr>
            </w:pPr>
            <w:r>
              <w:t>2018–19</w:t>
            </w:r>
          </w:p>
        </w:tc>
        <w:tc>
          <w:tcPr>
            <w:tcW w:w="689" w:type="pct"/>
            <w:vAlign w:val="center"/>
          </w:tcPr>
          <w:p w:rsidR="00420CF4" w:rsidRDefault="00420CF4" w:rsidP="008C7879">
            <w:pPr>
              <w:pStyle w:val="TableTextRight"/>
              <w:rPr>
                <w:b w:val="0"/>
              </w:rPr>
            </w:pPr>
            <w:r>
              <w:t>2019–20</w:t>
            </w:r>
          </w:p>
        </w:tc>
        <w:tc>
          <w:tcPr>
            <w:tcW w:w="690" w:type="pct"/>
            <w:vAlign w:val="center"/>
          </w:tcPr>
          <w:p w:rsidR="00420CF4" w:rsidRDefault="00420CF4" w:rsidP="008C7879">
            <w:pPr>
              <w:pStyle w:val="TableTextRight"/>
            </w:pPr>
            <w:r>
              <w:t>Total</w:t>
            </w:r>
            <w:r w:rsidR="00B02D18">
              <w:t xml:space="preserve"> to 2019–20</w:t>
            </w:r>
          </w:p>
        </w:tc>
      </w:tr>
      <w:tr w:rsidR="00670756" w:rsidTr="008C7879">
        <w:tc>
          <w:tcPr>
            <w:tcW w:w="5000" w:type="pct"/>
            <w:gridSpan w:val="6"/>
            <w:shd w:val="clear" w:color="auto" w:fill="E9ECF3" w:themeFill="accent2" w:themeFillTint="33"/>
            <w:vAlign w:val="center"/>
          </w:tcPr>
          <w:p w:rsidR="00670756" w:rsidRPr="006A0DF5" w:rsidRDefault="00670756" w:rsidP="008C7879">
            <w:pPr>
              <w:spacing w:before="70" w:after="70"/>
              <w:rPr>
                <w:b/>
                <w:i/>
                <w:iCs/>
                <w:color w:val="000000"/>
                <w:sz w:val="20"/>
                <w:szCs w:val="20"/>
              </w:rPr>
            </w:pPr>
            <w:r w:rsidRPr="008B4C5B">
              <w:rPr>
                <w:b/>
                <w:sz w:val="20"/>
                <w:szCs w:val="20"/>
              </w:rPr>
              <w:t>Impact on fiscal and underlying cash balances</w:t>
            </w:r>
          </w:p>
        </w:tc>
      </w:tr>
      <w:tr w:rsidR="00670756" w:rsidTr="008C7879">
        <w:tc>
          <w:tcPr>
            <w:tcW w:w="5000" w:type="pct"/>
            <w:gridSpan w:val="6"/>
            <w:shd w:val="clear" w:color="auto" w:fill="E9ECF3" w:themeFill="accent2" w:themeFillTint="33"/>
            <w:vAlign w:val="center"/>
          </w:tcPr>
          <w:p w:rsidR="00670756" w:rsidRPr="006A0DF5" w:rsidRDefault="00670756" w:rsidP="008C7879">
            <w:pPr>
              <w:spacing w:before="70" w:after="70"/>
              <w:rPr>
                <w:b/>
                <w:i/>
                <w:iCs/>
                <w:color w:val="000000"/>
                <w:sz w:val="20"/>
                <w:szCs w:val="20"/>
              </w:rPr>
            </w:pPr>
            <w:r w:rsidRPr="008B4C5B">
              <w:rPr>
                <w:b/>
                <w:color w:val="000000"/>
                <w:sz w:val="20"/>
                <w:szCs w:val="20"/>
              </w:rPr>
              <w:t>Expenses (Components 1-5)</w:t>
            </w:r>
          </w:p>
        </w:tc>
      </w:tr>
      <w:tr w:rsidR="00670756" w:rsidTr="008C7879">
        <w:tc>
          <w:tcPr>
            <w:tcW w:w="1554" w:type="pct"/>
            <w:vAlign w:val="center"/>
          </w:tcPr>
          <w:p w:rsidR="00670756" w:rsidRPr="008B4C5B" w:rsidRDefault="00670756"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670756" w:rsidRPr="008C7879" w:rsidRDefault="00670756" w:rsidP="008C7879">
            <w:pPr>
              <w:pStyle w:val="TableTextRight"/>
              <w:rPr>
                <w:i/>
              </w:rPr>
            </w:pPr>
            <w:r w:rsidRPr="008C7879">
              <w:rPr>
                <w:i/>
              </w:rPr>
              <w:t>-50.4</w:t>
            </w:r>
          </w:p>
        </w:tc>
        <w:tc>
          <w:tcPr>
            <w:tcW w:w="689" w:type="pct"/>
            <w:vAlign w:val="center"/>
          </w:tcPr>
          <w:p w:rsidR="00670756" w:rsidRPr="008C7879" w:rsidRDefault="00670756" w:rsidP="008C7879">
            <w:pPr>
              <w:pStyle w:val="TableTextRight"/>
              <w:rPr>
                <w:i/>
              </w:rPr>
            </w:pPr>
            <w:r w:rsidRPr="008C7879">
              <w:rPr>
                <w:i/>
              </w:rPr>
              <w:t>-102.4</w:t>
            </w:r>
          </w:p>
        </w:tc>
        <w:tc>
          <w:tcPr>
            <w:tcW w:w="689" w:type="pct"/>
            <w:vAlign w:val="center"/>
          </w:tcPr>
          <w:p w:rsidR="00670756" w:rsidRPr="008C7879" w:rsidRDefault="00670756" w:rsidP="008C7879">
            <w:pPr>
              <w:pStyle w:val="TableTextRight"/>
              <w:rPr>
                <w:i/>
              </w:rPr>
            </w:pPr>
            <w:r w:rsidRPr="008C7879">
              <w:rPr>
                <w:i/>
              </w:rPr>
              <w:t>-102.4</w:t>
            </w:r>
          </w:p>
        </w:tc>
        <w:tc>
          <w:tcPr>
            <w:tcW w:w="689" w:type="pct"/>
            <w:vAlign w:val="center"/>
          </w:tcPr>
          <w:p w:rsidR="00670756" w:rsidRPr="008C7879" w:rsidRDefault="00670756" w:rsidP="008C7879">
            <w:pPr>
              <w:pStyle w:val="TableTextRight"/>
              <w:rPr>
                <w:i/>
              </w:rPr>
            </w:pPr>
            <w:r w:rsidRPr="008C7879">
              <w:rPr>
                <w:i/>
              </w:rPr>
              <w:t>-50.5</w:t>
            </w:r>
          </w:p>
        </w:tc>
        <w:tc>
          <w:tcPr>
            <w:tcW w:w="690" w:type="pct"/>
            <w:vAlign w:val="center"/>
          </w:tcPr>
          <w:p w:rsidR="00670756" w:rsidRPr="008C7879" w:rsidRDefault="00670756" w:rsidP="008C7879">
            <w:pPr>
              <w:pStyle w:val="TableTextRight"/>
              <w:rPr>
                <w:b/>
                <w:i/>
              </w:rPr>
            </w:pPr>
            <w:r w:rsidRPr="008C7879">
              <w:rPr>
                <w:b/>
                <w:i/>
              </w:rPr>
              <w:t>-305.7</w:t>
            </w:r>
          </w:p>
        </w:tc>
      </w:tr>
      <w:tr w:rsidR="00670756" w:rsidTr="008C7879">
        <w:tc>
          <w:tcPr>
            <w:tcW w:w="1554" w:type="pct"/>
            <w:vAlign w:val="center"/>
          </w:tcPr>
          <w:p w:rsidR="00670756" w:rsidRPr="008B4C5B" w:rsidRDefault="00670756"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670756" w:rsidRPr="008C7879" w:rsidRDefault="00670756" w:rsidP="008C7879">
            <w:pPr>
              <w:pStyle w:val="TableTextRight"/>
              <w:rPr>
                <w:i/>
              </w:rPr>
            </w:pPr>
            <w:r w:rsidRPr="008C7879">
              <w:rPr>
                <w:i/>
              </w:rPr>
              <w:t>-3.0</w:t>
            </w:r>
          </w:p>
        </w:tc>
        <w:tc>
          <w:tcPr>
            <w:tcW w:w="689" w:type="pct"/>
            <w:vAlign w:val="center"/>
          </w:tcPr>
          <w:p w:rsidR="00670756" w:rsidRPr="008C7879" w:rsidRDefault="00670756" w:rsidP="008C7879">
            <w:pPr>
              <w:pStyle w:val="TableTextRight"/>
              <w:rPr>
                <w:i/>
              </w:rPr>
            </w:pPr>
            <w:r w:rsidRPr="008C7879">
              <w:rPr>
                <w:i/>
              </w:rPr>
              <w:t>-4.4</w:t>
            </w:r>
          </w:p>
        </w:tc>
        <w:tc>
          <w:tcPr>
            <w:tcW w:w="689" w:type="pct"/>
            <w:vAlign w:val="center"/>
          </w:tcPr>
          <w:p w:rsidR="00670756" w:rsidRPr="008C7879" w:rsidRDefault="00670756" w:rsidP="008C7879">
            <w:pPr>
              <w:pStyle w:val="TableTextRight"/>
              <w:rPr>
                <w:i/>
              </w:rPr>
            </w:pPr>
            <w:r w:rsidRPr="008C7879">
              <w:rPr>
                <w:i/>
              </w:rPr>
              <w:t>-4.4</w:t>
            </w:r>
          </w:p>
        </w:tc>
        <w:tc>
          <w:tcPr>
            <w:tcW w:w="689" w:type="pct"/>
            <w:vAlign w:val="center"/>
          </w:tcPr>
          <w:p w:rsidR="00670756" w:rsidRPr="008C7879" w:rsidRDefault="00670756" w:rsidP="008C7879">
            <w:pPr>
              <w:pStyle w:val="TableTextRight"/>
              <w:rPr>
                <w:i/>
              </w:rPr>
            </w:pPr>
            <w:r w:rsidRPr="008C7879">
              <w:rPr>
                <w:i/>
              </w:rPr>
              <w:t>-3.0</w:t>
            </w:r>
          </w:p>
        </w:tc>
        <w:tc>
          <w:tcPr>
            <w:tcW w:w="690" w:type="pct"/>
            <w:vAlign w:val="center"/>
          </w:tcPr>
          <w:p w:rsidR="00670756" w:rsidRPr="008C7879" w:rsidRDefault="00670756" w:rsidP="008C7879">
            <w:pPr>
              <w:pStyle w:val="TableTextRight"/>
              <w:rPr>
                <w:b/>
                <w:i/>
              </w:rPr>
            </w:pPr>
            <w:r w:rsidRPr="008C7879">
              <w:rPr>
                <w:b/>
                <w:i/>
              </w:rPr>
              <w:t>-14.8</w:t>
            </w:r>
          </w:p>
        </w:tc>
      </w:tr>
      <w:tr w:rsidR="00670756" w:rsidTr="008C7879">
        <w:tc>
          <w:tcPr>
            <w:tcW w:w="1554" w:type="pct"/>
            <w:vAlign w:val="center"/>
          </w:tcPr>
          <w:p w:rsidR="00670756" w:rsidRPr="008B4C5B" w:rsidRDefault="00670756" w:rsidP="008C7879">
            <w:pPr>
              <w:spacing w:before="70" w:after="70"/>
              <w:rPr>
                <w:b/>
                <w:iCs/>
                <w:color w:val="000000"/>
                <w:sz w:val="20"/>
                <w:szCs w:val="20"/>
              </w:rPr>
            </w:pPr>
            <w:r w:rsidRPr="008B4C5B">
              <w:rPr>
                <w:b/>
                <w:iCs/>
                <w:color w:val="000000"/>
                <w:sz w:val="20"/>
                <w:szCs w:val="20"/>
              </w:rPr>
              <w:t xml:space="preserve">Expenses (Components 1-5) - </w:t>
            </w:r>
            <w:r>
              <w:rPr>
                <w:b/>
                <w:iCs/>
                <w:color w:val="000000"/>
                <w:sz w:val="20"/>
                <w:szCs w:val="20"/>
              </w:rPr>
              <w:t>t</w:t>
            </w:r>
            <w:r w:rsidRPr="008B4C5B">
              <w:rPr>
                <w:b/>
                <w:iCs/>
                <w:color w:val="000000"/>
                <w:sz w:val="20"/>
                <w:szCs w:val="20"/>
              </w:rPr>
              <w:t>otal</w:t>
            </w:r>
          </w:p>
        </w:tc>
        <w:tc>
          <w:tcPr>
            <w:tcW w:w="689" w:type="pct"/>
            <w:vAlign w:val="center"/>
          </w:tcPr>
          <w:p w:rsidR="00670756" w:rsidRPr="008C7879" w:rsidRDefault="00670756" w:rsidP="008C7879">
            <w:pPr>
              <w:pStyle w:val="TableTextRight"/>
              <w:rPr>
                <w:b/>
                <w:bCs/>
                <w:i/>
              </w:rPr>
            </w:pPr>
            <w:r w:rsidRPr="008C7879">
              <w:rPr>
                <w:b/>
                <w:bCs/>
                <w:i/>
              </w:rPr>
              <w:t>-53.5</w:t>
            </w:r>
          </w:p>
        </w:tc>
        <w:tc>
          <w:tcPr>
            <w:tcW w:w="689" w:type="pct"/>
            <w:vAlign w:val="center"/>
          </w:tcPr>
          <w:p w:rsidR="00670756" w:rsidRPr="008C7879" w:rsidRDefault="00670756" w:rsidP="008C7879">
            <w:pPr>
              <w:pStyle w:val="TableTextRight"/>
              <w:rPr>
                <w:b/>
                <w:bCs/>
                <w:i/>
              </w:rPr>
            </w:pPr>
            <w:r w:rsidRPr="008C7879">
              <w:rPr>
                <w:b/>
                <w:bCs/>
                <w:i/>
              </w:rPr>
              <w:t>-106.8</w:t>
            </w:r>
          </w:p>
        </w:tc>
        <w:tc>
          <w:tcPr>
            <w:tcW w:w="689" w:type="pct"/>
            <w:vAlign w:val="center"/>
          </w:tcPr>
          <w:p w:rsidR="00670756" w:rsidRPr="008C7879" w:rsidRDefault="00670756" w:rsidP="008C7879">
            <w:pPr>
              <w:pStyle w:val="TableTextRight"/>
              <w:rPr>
                <w:b/>
                <w:bCs/>
                <w:i/>
              </w:rPr>
            </w:pPr>
            <w:r w:rsidRPr="008C7879">
              <w:rPr>
                <w:b/>
                <w:bCs/>
                <w:i/>
              </w:rPr>
              <w:t>-106.8</w:t>
            </w:r>
          </w:p>
        </w:tc>
        <w:tc>
          <w:tcPr>
            <w:tcW w:w="689" w:type="pct"/>
            <w:vAlign w:val="center"/>
          </w:tcPr>
          <w:p w:rsidR="00670756" w:rsidRPr="008C7879" w:rsidRDefault="00670756" w:rsidP="008C7879">
            <w:pPr>
              <w:pStyle w:val="TableTextRight"/>
              <w:rPr>
                <w:b/>
                <w:bCs/>
                <w:i/>
              </w:rPr>
            </w:pPr>
            <w:r w:rsidRPr="008C7879">
              <w:rPr>
                <w:b/>
                <w:bCs/>
                <w:i/>
              </w:rPr>
              <w:t>-53.4</w:t>
            </w:r>
          </w:p>
        </w:tc>
        <w:tc>
          <w:tcPr>
            <w:tcW w:w="690" w:type="pct"/>
            <w:vAlign w:val="center"/>
          </w:tcPr>
          <w:p w:rsidR="00670756" w:rsidRPr="008C7879" w:rsidRDefault="00670756" w:rsidP="008C7879">
            <w:pPr>
              <w:pStyle w:val="TableTextRight"/>
              <w:rPr>
                <w:b/>
                <w:bCs/>
                <w:i/>
              </w:rPr>
            </w:pPr>
            <w:r w:rsidRPr="008C7879">
              <w:rPr>
                <w:b/>
                <w:bCs/>
                <w:i/>
              </w:rPr>
              <w:t>-320.5</w:t>
            </w:r>
          </w:p>
        </w:tc>
      </w:tr>
      <w:tr w:rsidR="00670756" w:rsidTr="008C7879">
        <w:tc>
          <w:tcPr>
            <w:tcW w:w="5000" w:type="pct"/>
            <w:gridSpan w:val="6"/>
            <w:shd w:val="clear" w:color="auto" w:fill="E9ECF3" w:themeFill="accent2" w:themeFillTint="33"/>
            <w:vAlign w:val="center"/>
          </w:tcPr>
          <w:p w:rsidR="00670756" w:rsidRPr="008B4C5B" w:rsidRDefault="00670756" w:rsidP="008C7879">
            <w:pPr>
              <w:spacing w:before="70" w:after="70"/>
              <w:rPr>
                <w:b/>
                <w:bCs/>
                <w:color w:val="000000"/>
                <w:sz w:val="20"/>
                <w:szCs w:val="20"/>
              </w:rPr>
            </w:pPr>
            <w:r w:rsidRPr="009C2E69">
              <w:rPr>
                <w:b/>
                <w:color w:val="000000"/>
                <w:sz w:val="20"/>
                <w:szCs w:val="20"/>
              </w:rPr>
              <w:t xml:space="preserve">Reversal of the 2016-17 Budget measure, </w:t>
            </w:r>
            <w:r w:rsidRPr="009C2E69">
              <w:rPr>
                <w:b/>
                <w:i/>
                <w:color w:val="000000"/>
                <w:sz w:val="20"/>
                <w:szCs w:val="20"/>
              </w:rPr>
              <w:t>School Funding – additional funding for students with a disability</w:t>
            </w:r>
          </w:p>
        </w:tc>
      </w:tr>
      <w:tr w:rsidR="00670756" w:rsidTr="008C7879">
        <w:tc>
          <w:tcPr>
            <w:tcW w:w="1554" w:type="pct"/>
            <w:vAlign w:val="center"/>
          </w:tcPr>
          <w:p w:rsidR="00670756" w:rsidRPr="008B4C5B" w:rsidRDefault="00670756" w:rsidP="008C7879">
            <w:pPr>
              <w:spacing w:before="70" w:after="70"/>
              <w:rPr>
                <w:color w:val="000000"/>
                <w:sz w:val="20"/>
                <w:szCs w:val="20"/>
              </w:rPr>
            </w:pPr>
            <w:r w:rsidRPr="008B4C5B">
              <w:rPr>
                <w:iCs/>
                <w:color w:val="000000"/>
                <w:sz w:val="20"/>
                <w:szCs w:val="20"/>
              </w:rPr>
              <w:t>Administered</w:t>
            </w:r>
          </w:p>
        </w:tc>
        <w:tc>
          <w:tcPr>
            <w:tcW w:w="689" w:type="pct"/>
            <w:vAlign w:val="center"/>
          </w:tcPr>
          <w:p w:rsidR="00670756" w:rsidRPr="008C7879" w:rsidRDefault="00670756" w:rsidP="008C7879">
            <w:pPr>
              <w:pStyle w:val="TableTextRight"/>
              <w:rPr>
                <w:i/>
              </w:rPr>
            </w:pPr>
            <w:r w:rsidRPr="008C7879">
              <w:rPr>
                <w:i/>
              </w:rPr>
              <w:t>86.7</w:t>
            </w:r>
          </w:p>
        </w:tc>
        <w:tc>
          <w:tcPr>
            <w:tcW w:w="689" w:type="pct"/>
            <w:vAlign w:val="center"/>
          </w:tcPr>
          <w:p w:rsidR="00670756" w:rsidRPr="008C7879" w:rsidRDefault="00670756" w:rsidP="008C7879">
            <w:pPr>
              <w:pStyle w:val="TableTextRight"/>
              <w:rPr>
                <w:i/>
              </w:rPr>
            </w:pPr>
            <w:r w:rsidRPr="008C7879">
              <w:rPr>
                <w:i/>
              </w:rPr>
              <w:t>31.6</w:t>
            </w:r>
          </w:p>
        </w:tc>
        <w:tc>
          <w:tcPr>
            <w:tcW w:w="689" w:type="pct"/>
            <w:vAlign w:val="center"/>
          </w:tcPr>
          <w:p w:rsidR="00670756" w:rsidRPr="008C7879" w:rsidRDefault="00670756" w:rsidP="008C7879">
            <w:pPr>
              <w:pStyle w:val="TableTextRight"/>
              <w:rPr>
                <w:i/>
              </w:rPr>
            </w:pPr>
            <w:r w:rsidRPr="008C7879">
              <w:rPr>
                <w:i/>
              </w:rPr>
              <w:t>-</w:t>
            </w:r>
          </w:p>
        </w:tc>
        <w:tc>
          <w:tcPr>
            <w:tcW w:w="689" w:type="pct"/>
            <w:vAlign w:val="center"/>
          </w:tcPr>
          <w:p w:rsidR="00670756" w:rsidRPr="008C7879" w:rsidRDefault="00670756" w:rsidP="008C7879">
            <w:pPr>
              <w:pStyle w:val="TableTextRight"/>
              <w:rPr>
                <w:i/>
              </w:rPr>
            </w:pPr>
            <w:r w:rsidRPr="008C7879">
              <w:rPr>
                <w:i/>
              </w:rPr>
              <w:t>-</w:t>
            </w:r>
          </w:p>
        </w:tc>
        <w:tc>
          <w:tcPr>
            <w:tcW w:w="690" w:type="pct"/>
            <w:vAlign w:val="center"/>
          </w:tcPr>
          <w:p w:rsidR="00670756" w:rsidRPr="008C7879" w:rsidRDefault="00670756" w:rsidP="008C7879">
            <w:pPr>
              <w:pStyle w:val="TableTextRight"/>
              <w:rPr>
                <w:b/>
                <w:i/>
              </w:rPr>
            </w:pPr>
            <w:r w:rsidRPr="008C7879">
              <w:rPr>
                <w:b/>
                <w:i/>
              </w:rPr>
              <w:t>118.3</w:t>
            </w:r>
          </w:p>
        </w:tc>
      </w:tr>
      <w:tr w:rsidR="00670756" w:rsidRPr="007C2713" w:rsidTr="008C7879">
        <w:tc>
          <w:tcPr>
            <w:tcW w:w="1554" w:type="pct"/>
            <w:shd w:val="clear" w:color="auto" w:fill="D7DDE9" w:themeFill="accent3"/>
            <w:vAlign w:val="center"/>
          </w:tcPr>
          <w:p w:rsidR="00670756" w:rsidRPr="008B4C5B" w:rsidRDefault="00670756"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670756" w:rsidRPr="006A0DF5" w:rsidRDefault="00670756" w:rsidP="008C7879">
            <w:pPr>
              <w:pStyle w:val="TableTextRight"/>
              <w:rPr>
                <w:b/>
              </w:rPr>
            </w:pPr>
            <w:r w:rsidRPr="006A0DF5">
              <w:rPr>
                <w:b/>
              </w:rPr>
              <w:t>33.</w:t>
            </w:r>
            <w:r>
              <w:rPr>
                <w:b/>
              </w:rPr>
              <w:t>4</w:t>
            </w:r>
          </w:p>
        </w:tc>
        <w:tc>
          <w:tcPr>
            <w:tcW w:w="689" w:type="pct"/>
            <w:shd w:val="clear" w:color="auto" w:fill="D7DDE9" w:themeFill="accent3"/>
            <w:vAlign w:val="center"/>
          </w:tcPr>
          <w:p w:rsidR="00670756" w:rsidRPr="006A0DF5" w:rsidRDefault="00670756" w:rsidP="008C7879">
            <w:pPr>
              <w:pStyle w:val="TableTextRight"/>
              <w:rPr>
                <w:b/>
              </w:rPr>
            </w:pPr>
            <w:r w:rsidRPr="006A0DF5">
              <w:rPr>
                <w:b/>
              </w:rPr>
              <w:t>-75.2</w:t>
            </w:r>
          </w:p>
        </w:tc>
        <w:tc>
          <w:tcPr>
            <w:tcW w:w="689" w:type="pct"/>
            <w:shd w:val="clear" w:color="auto" w:fill="D7DDE9" w:themeFill="accent3"/>
            <w:vAlign w:val="center"/>
          </w:tcPr>
          <w:p w:rsidR="00670756" w:rsidRPr="006A0DF5" w:rsidRDefault="00670756" w:rsidP="008C7879">
            <w:pPr>
              <w:pStyle w:val="TableTextRight"/>
              <w:rPr>
                <w:b/>
              </w:rPr>
            </w:pPr>
            <w:r w:rsidRPr="006A0DF5">
              <w:rPr>
                <w:b/>
              </w:rPr>
              <w:t>-106.8</w:t>
            </w:r>
          </w:p>
        </w:tc>
        <w:tc>
          <w:tcPr>
            <w:tcW w:w="689" w:type="pct"/>
            <w:shd w:val="clear" w:color="auto" w:fill="D7DDE9" w:themeFill="accent3"/>
            <w:vAlign w:val="center"/>
          </w:tcPr>
          <w:p w:rsidR="00670756" w:rsidRPr="006A0DF5" w:rsidRDefault="00670756" w:rsidP="008C7879">
            <w:pPr>
              <w:pStyle w:val="TableTextRight"/>
              <w:rPr>
                <w:b/>
              </w:rPr>
            </w:pPr>
            <w:r w:rsidRPr="006A0DF5">
              <w:rPr>
                <w:b/>
              </w:rPr>
              <w:t>-53.</w:t>
            </w:r>
            <w:r>
              <w:rPr>
                <w:b/>
              </w:rPr>
              <w:t>5</w:t>
            </w:r>
          </w:p>
        </w:tc>
        <w:tc>
          <w:tcPr>
            <w:tcW w:w="690" w:type="pct"/>
            <w:shd w:val="clear" w:color="auto" w:fill="D7DDE9" w:themeFill="accent3"/>
            <w:vAlign w:val="center"/>
          </w:tcPr>
          <w:p w:rsidR="00670756" w:rsidRPr="006A0DF5" w:rsidRDefault="00670756" w:rsidP="008C7879">
            <w:pPr>
              <w:pStyle w:val="TableTextRight"/>
              <w:rPr>
                <w:b/>
              </w:rPr>
            </w:pPr>
            <w:r w:rsidRPr="006A0DF5">
              <w:rPr>
                <w:b/>
              </w:rPr>
              <w:t>-202.2</w:t>
            </w:r>
          </w:p>
        </w:tc>
      </w:tr>
    </w:tbl>
    <w:p w:rsidR="00251A84" w:rsidRDefault="00251A84" w:rsidP="007A2A7B">
      <w:pPr>
        <w:pStyle w:val="Footnotes"/>
        <w:numPr>
          <w:ilvl w:val="0"/>
          <w:numId w:val="74"/>
        </w:numPr>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251A84" w:rsidRDefault="00251A84" w:rsidP="007A2A7B">
      <w:pPr>
        <w:pStyle w:val="Footnotes"/>
        <w:ind w:left="284" w:hanging="284"/>
      </w:pPr>
      <w:r>
        <w:t>Figures may not sum to totals due to rounding.</w:t>
      </w:r>
    </w:p>
    <w:p w:rsidR="00420CF4" w:rsidRDefault="00251A84" w:rsidP="007A2A7B">
      <w:pPr>
        <w:pStyle w:val="Footnotes"/>
        <w:numPr>
          <w:ilvl w:val="0"/>
          <w:numId w:val="0"/>
        </w:numPr>
        <w:ind w:left="284" w:hanging="284"/>
      </w:pPr>
      <w:r>
        <w:t>-</w:t>
      </w:r>
      <w:r>
        <w:tab/>
        <w:t>Indicates nil.</w:t>
      </w:r>
    </w:p>
    <w:p w:rsidR="00251A84" w:rsidRDefault="00251A84" w:rsidP="00251A84">
      <w:pPr>
        <w:pStyle w:val="Caption"/>
        <w:rPr>
          <w:vertAlign w:val="superscript"/>
        </w:rPr>
      </w:pPr>
      <w:r w:rsidRPr="00251A84">
        <w:t xml:space="preserve">Table A2: Component 1 </w:t>
      </w:r>
      <w:r w:rsidR="00E51946">
        <w:t>–</w:t>
      </w:r>
      <w:r w:rsidRPr="00251A84">
        <w:t xml:space="preserve"> Provide funding to schools for capacity building programs—Financia</w:t>
      </w:r>
      <w:r w:rsidR="00EF53BE">
        <w:t>l </w:t>
      </w:r>
      <w:r w:rsidRPr="00251A84">
        <w:t>implications</w:t>
      </w:r>
      <w:r w:rsidRPr="00EF53BE">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EF53BE"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EF53BE" w:rsidRPr="007C2713" w:rsidRDefault="00EF53BE" w:rsidP="008C7879">
            <w:pPr>
              <w:pStyle w:val="TableText"/>
              <w:rPr>
                <w:b w:val="0"/>
              </w:rPr>
            </w:pPr>
            <w:r>
              <w:t>($m)</w:t>
            </w:r>
          </w:p>
        </w:tc>
        <w:tc>
          <w:tcPr>
            <w:tcW w:w="689" w:type="pct"/>
            <w:vAlign w:val="center"/>
          </w:tcPr>
          <w:p w:rsidR="00EF53BE" w:rsidRDefault="00EF53BE" w:rsidP="008C7879">
            <w:pPr>
              <w:pStyle w:val="TableTextRight"/>
              <w:rPr>
                <w:b w:val="0"/>
              </w:rPr>
            </w:pPr>
            <w:r>
              <w:t>2016–17</w:t>
            </w:r>
          </w:p>
        </w:tc>
        <w:tc>
          <w:tcPr>
            <w:tcW w:w="689" w:type="pct"/>
            <w:vAlign w:val="center"/>
          </w:tcPr>
          <w:p w:rsidR="00EF53BE" w:rsidRDefault="00EF53BE" w:rsidP="008C7879">
            <w:pPr>
              <w:pStyle w:val="TableTextRight"/>
              <w:rPr>
                <w:b w:val="0"/>
              </w:rPr>
            </w:pPr>
            <w:r>
              <w:t>2017–18</w:t>
            </w:r>
          </w:p>
        </w:tc>
        <w:tc>
          <w:tcPr>
            <w:tcW w:w="689" w:type="pct"/>
            <w:vAlign w:val="center"/>
          </w:tcPr>
          <w:p w:rsidR="00EF53BE" w:rsidRDefault="00EF53BE" w:rsidP="008C7879">
            <w:pPr>
              <w:pStyle w:val="TableTextRight"/>
              <w:rPr>
                <w:b w:val="0"/>
              </w:rPr>
            </w:pPr>
            <w:r>
              <w:t>2018–19</w:t>
            </w:r>
          </w:p>
        </w:tc>
        <w:tc>
          <w:tcPr>
            <w:tcW w:w="689" w:type="pct"/>
            <w:vAlign w:val="center"/>
          </w:tcPr>
          <w:p w:rsidR="00EF53BE" w:rsidRDefault="00EF53BE" w:rsidP="008C7879">
            <w:pPr>
              <w:pStyle w:val="TableTextRight"/>
              <w:rPr>
                <w:b w:val="0"/>
              </w:rPr>
            </w:pPr>
            <w:r>
              <w:t>2019–20</w:t>
            </w:r>
          </w:p>
        </w:tc>
        <w:tc>
          <w:tcPr>
            <w:tcW w:w="690" w:type="pct"/>
            <w:vAlign w:val="center"/>
          </w:tcPr>
          <w:p w:rsidR="00EF53BE" w:rsidRDefault="00EF53BE" w:rsidP="008C7879">
            <w:pPr>
              <w:pStyle w:val="TableTextRight"/>
            </w:pPr>
            <w:r>
              <w:t>Total to 2019–20</w:t>
            </w:r>
          </w:p>
        </w:tc>
      </w:tr>
      <w:tr w:rsidR="00EF53BE" w:rsidTr="008C7879">
        <w:tc>
          <w:tcPr>
            <w:tcW w:w="5000" w:type="pct"/>
            <w:gridSpan w:val="6"/>
            <w:shd w:val="clear" w:color="auto" w:fill="E9ECF3" w:themeFill="accent2" w:themeFillTint="33"/>
            <w:vAlign w:val="center"/>
          </w:tcPr>
          <w:p w:rsidR="00EF53BE" w:rsidRPr="006A0DF5" w:rsidRDefault="00EF53BE" w:rsidP="008C7879">
            <w:pPr>
              <w:spacing w:before="70" w:after="70"/>
              <w:rPr>
                <w:b/>
                <w:i/>
                <w:iCs/>
                <w:color w:val="000000"/>
                <w:sz w:val="20"/>
                <w:szCs w:val="20"/>
              </w:rPr>
            </w:pPr>
            <w:r w:rsidRPr="008B4C5B">
              <w:rPr>
                <w:b/>
                <w:sz w:val="20"/>
                <w:szCs w:val="20"/>
              </w:rPr>
              <w:t>Impact on fiscal and underlying cash balances</w:t>
            </w:r>
          </w:p>
        </w:tc>
      </w:tr>
      <w:tr w:rsidR="00EF53BE" w:rsidTr="008C7879">
        <w:tc>
          <w:tcPr>
            <w:tcW w:w="1554" w:type="pct"/>
            <w:vAlign w:val="center"/>
          </w:tcPr>
          <w:p w:rsidR="00EF53BE" w:rsidRPr="008B4C5B" w:rsidRDefault="00EF53BE"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EF53BE" w:rsidRPr="008C7879" w:rsidRDefault="00EF53BE" w:rsidP="008C7879">
            <w:pPr>
              <w:pStyle w:val="TableTextRight"/>
              <w:rPr>
                <w:i/>
                <w:szCs w:val="24"/>
              </w:rPr>
            </w:pPr>
            <w:r w:rsidRPr="008C7879">
              <w:rPr>
                <w:i/>
              </w:rPr>
              <w:t>-38.4</w:t>
            </w:r>
          </w:p>
        </w:tc>
        <w:tc>
          <w:tcPr>
            <w:tcW w:w="689" w:type="pct"/>
            <w:vAlign w:val="center"/>
          </w:tcPr>
          <w:p w:rsidR="00EF53BE" w:rsidRPr="008C7879" w:rsidRDefault="00EF53BE" w:rsidP="008C7879">
            <w:pPr>
              <w:pStyle w:val="TableTextRight"/>
              <w:rPr>
                <w:i/>
                <w:szCs w:val="24"/>
              </w:rPr>
            </w:pPr>
            <w:r w:rsidRPr="008C7879">
              <w:rPr>
                <w:i/>
              </w:rPr>
              <w:t>-78.2</w:t>
            </w:r>
          </w:p>
        </w:tc>
        <w:tc>
          <w:tcPr>
            <w:tcW w:w="689" w:type="pct"/>
            <w:vAlign w:val="center"/>
          </w:tcPr>
          <w:p w:rsidR="00EF53BE" w:rsidRPr="008C7879" w:rsidRDefault="00EF53BE" w:rsidP="008C7879">
            <w:pPr>
              <w:pStyle w:val="TableTextRight"/>
              <w:rPr>
                <w:i/>
                <w:szCs w:val="24"/>
              </w:rPr>
            </w:pPr>
            <w:r w:rsidRPr="008C7879">
              <w:rPr>
                <w:i/>
              </w:rPr>
              <w:t>-78.3</w:t>
            </w:r>
          </w:p>
        </w:tc>
        <w:tc>
          <w:tcPr>
            <w:tcW w:w="689" w:type="pct"/>
            <w:vAlign w:val="center"/>
          </w:tcPr>
          <w:p w:rsidR="00EF53BE" w:rsidRPr="008C7879" w:rsidRDefault="00EF53BE" w:rsidP="008C7879">
            <w:pPr>
              <w:pStyle w:val="TableTextRight"/>
              <w:rPr>
                <w:i/>
                <w:szCs w:val="24"/>
              </w:rPr>
            </w:pPr>
            <w:r w:rsidRPr="008C7879">
              <w:rPr>
                <w:i/>
              </w:rPr>
              <w:t>-38.4</w:t>
            </w:r>
          </w:p>
        </w:tc>
        <w:tc>
          <w:tcPr>
            <w:tcW w:w="690" w:type="pct"/>
            <w:vAlign w:val="center"/>
          </w:tcPr>
          <w:p w:rsidR="00EF53BE" w:rsidRPr="008C7879" w:rsidRDefault="00EF53BE" w:rsidP="008C7879">
            <w:pPr>
              <w:pStyle w:val="TableTextRight"/>
              <w:rPr>
                <w:b/>
                <w:i/>
                <w:szCs w:val="24"/>
              </w:rPr>
            </w:pPr>
            <w:r w:rsidRPr="008C7879">
              <w:rPr>
                <w:b/>
                <w:i/>
              </w:rPr>
              <w:t>-233.3</w:t>
            </w:r>
          </w:p>
        </w:tc>
      </w:tr>
      <w:tr w:rsidR="00EF53BE" w:rsidTr="008C7879">
        <w:tc>
          <w:tcPr>
            <w:tcW w:w="1554" w:type="pct"/>
            <w:vAlign w:val="center"/>
          </w:tcPr>
          <w:p w:rsidR="00EF53BE" w:rsidRPr="008B4C5B" w:rsidRDefault="00EF53BE"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EF53BE" w:rsidRPr="008C7879" w:rsidRDefault="00EF53BE" w:rsidP="008C7879">
            <w:pPr>
              <w:pStyle w:val="TableTextRight"/>
              <w:rPr>
                <w:i/>
                <w:szCs w:val="24"/>
              </w:rPr>
            </w:pPr>
            <w:r w:rsidRPr="008C7879">
              <w:rPr>
                <w:i/>
              </w:rPr>
              <w:t>-1.6</w:t>
            </w:r>
          </w:p>
        </w:tc>
        <w:tc>
          <w:tcPr>
            <w:tcW w:w="689" w:type="pct"/>
            <w:vAlign w:val="center"/>
          </w:tcPr>
          <w:p w:rsidR="00EF53BE" w:rsidRPr="008C7879" w:rsidRDefault="00EF53BE" w:rsidP="008C7879">
            <w:pPr>
              <w:pStyle w:val="TableTextRight"/>
              <w:rPr>
                <w:i/>
                <w:szCs w:val="24"/>
              </w:rPr>
            </w:pPr>
            <w:r w:rsidRPr="008C7879">
              <w:rPr>
                <w:i/>
              </w:rPr>
              <w:t>-1.8</w:t>
            </w:r>
          </w:p>
        </w:tc>
        <w:tc>
          <w:tcPr>
            <w:tcW w:w="689" w:type="pct"/>
            <w:vAlign w:val="center"/>
          </w:tcPr>
          <w:p w:rsidR="00EF53BE" w:rsidRPr="008C7879" w:rsidRDefault="00EF53BE" w:rsidP="008C7879">
            <w:pPr>
              <w:pStyle w:val="TableTextRight"/>
              <w:rPr>
                <w:i/>
                <w:szCs w:val="24"/>
              </w:rPr>
            </w:pPr>
            <w:r w:rsidRPr="008C7879">
              <w:rPr>
                <w:i/>
              </w:rPr>
              <w:t>-1.7</w:t>
            </w:r>
          </w:p>
        </w:tc>
        <w:tc>
          <w:tcPr>
            <w:tcW w:w="689" w:type="pct"/>
            <w:vAlign w:val="center"/>
          </w:tcPr>
          <w:p w:rsidR="00EF53BE" w:rsidRPr="008C7879" w:rsidRDefault="00EF53BE" w:rsidP="008C7879">
            <w:pPr>
              <w:pStyle w:val="TableTextRight"/>
              <w:rPr>
                <w:i/>
                <w:szCs w:val="24"/>
              </w:rPr>
            </w:pPr>
            <w:r w:rsidRPr="008C7879">
              <w:rPr>
                <w:i/>
              </w:rPr>
              <w:t>-1.6</w:t>
            </w:r>
          </w:p>
        </w:tc>
        <w:tc>
          <w:tcPr>
            <w:tcW w:w="690" w:type="pct"/>
            <w:vAlign w:val="center"/>
          </w:tcPr>
          <w:p w:rsidR="00EF53BE" w:rsidRPr="008C7879" w:rsidRDefault="00EF53BE" w:rsidP="008C7879">
            <w:pPr>
              <w:pStyle w:val="TableTextRight"/>
              <w:rPr>
                <w:b/>
                <w:i/>
                <w:szCs w:val="24"/>
              </w:rPr>
            </w:pPr>
            <w:r w:rsidRPr="008C7879">
              <w:rPr>
                <w:b/>
                <w:i/>
              </w:rPr>
              <w:t>-6.7</w:t>
            </w:r>
          </w:p>
        </w:tc>
      </w:tr>
      <w:tr w:rsidR="00EF53BE" w:rsidRPr="007C2713" w:rsidTr="008C7879">
        <w:tc>
          <w:tcPr>
            <w:tcW w:w="1554" w:type="pct"/>
            <w:shd w:val="clear" w:color="auto" w:fill="D7DDE9" w:themeFill="accent3"/>
            <w:vAlign w:val="center"/>
          </w:tcPr>
          <w:p w:rsidR="00EF53BE" w:rsidRPr="008B4C5B" w:rsidRDefault="00EF53BE"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EF53BE" w:rsidRPr="008B4C5B" w:rsidRDefault="00EF53BE" w:rsidP="008C7879">
            <w:pPr>
              <w:pStyle w:val="TableTextRight"/>
              <w:rPr>
                <w:b/>
                <w:bCs/>
                <w:szCs w:val="24"/>
              </w:rPr>
            </w:pPr>
            <w:r w:rsidRPr="008B4C5B">
              <w:rPr>
                <w:b/>
                <w:bCs/>
              </w:rPr>
              <w:t>-40.0</w:t>
            </w:r>
          </w:p>
        </w:tc>
        <w:tc>
          <w:tcPr>
            <w:tcW w:w="689" w:type="pct"/>
            <w:shd w:val="clear" w:color="auto" w:fill="D7DDE9" w:themeFill="accent3"/>
            <w:vAlign w:val="center"/>
          </w:tcPr>
          <w:p w:rsidR="00EF53BE" w:rsidRPr="008B4C5B" w:rsidRDefault="00EF53BE" w:rsidP="008C7879">
            <w:pPr>
              <w:pStyle w:val="TableTextRight"/>
              <w:rPr>
                <w:b/>
                <w:bCs/>
                <w:szCs w:val="24"/>
              </w:rPr>
            </w:pPr>
            <w:r w:rsidRPr="008B4C5B">
              <w:rPr>
                <w:b/>
                <w:bCs/>
              </w:rPr>
              <w:t>-80.0</w:t>
            </w:r>
          </w:p>
        </w:tc>
        <w:tc>
          <w:tcPr>
            <w:tcW w:w="689" w:type="pct"/>
            <w:shd w:val="clear" w:color="auto" w:fill="D7DDE9" w:themeFill="accent3"/>
            <w:vAlign w:val="center"/>
          </w:tcPr>
          <w:p w:rsidR="00EF53BE" w:rsidRPr="008B4C5B" w:rsidRDefault="00EF53BE" w:rsidP="008C7879">
            <w:pPr>
              <w:pStyle w:val="TableTextRight"/>
              <w:rPr>
                <w:b/>
                <w:bCs/>
                <w:szCs w:val="24"/>
              </w:rPr>
            </w:pPr>
            <w:r w:rsidRPr="008B4C5B">
              <w:rPr>
                <w:b/>
                <w:bCs/>
              </w:rPr>
              <w:t>-80.0</w:t>
            </w:r>
          </w:p>
        </w:tc>
        <w:tc>
          <w:tcPr>
            <w:tcW w:w="689" w:type="pct"/>
            <w:shd w:val="clear" w:color="auto" w:fill="D7DDE9" w:themeFill="accent3"/>
            <w:vAlign w:val="center"/>
          </w:tcPr>
          <w:p w:rsidR="00EF53BE" w:rsidRPr="008B4C5B" w:rsidRDefault="00EF53BE" w:rsidP="008C7879">
            <w:pPr>
              <w:pStyle w:val="TableTextRight"/>
              <w:rPr>
                <w:b/>
                <w:bCs/>
                <w:szCs w:val="24"/>
              </w:rPr>
            </w:pPr>
            <w:r w:rsidRPr="008B4C5B">
              <w:rPr>
                <w:b/>
                <w:bCs/>
              </w:rPr>
              <w:t>-40.0</w:t>
            </w:r>
          </w:p>
        </w:tc>
        <w:tc>
          <w:tcPr>
            <w:tcW w:w="690" w:type="pct"/>
            <w:shd w:val="clear" w:color="auto" w:fill="D7DDE9" w:themeFill="accent3"/>
            <w:vAlign w:val="center"/>
          </w:tcPr>
          <w:p w:rsidR="00EF53BE" w:rsidRPr="008B4C5B" w:rsidRDefault="00EF53BE" w:rsidP="008C7879">
            <w:pPr>
              <w:pStyle w:val="TableTextRight"/>
              <w:rPr>
                <w:b/>
                <w:bCs/>
                <w:szCs w:val="24"/>
              </w:rPr>
            </w:pPr>
            <w:r w:rsidRPr="008B4C5B">
              <w:rPr>
                <w:b/>
                <w:bCs/>
              </w:rPr>
              <w:t>-240.0</w:t>
            </w:r>
          </w:p>
        </w:tc>
      </w:tr>
    </w:tbl>
    <w:p w:rsidR="00A1709D" w:rsidRDefault="00A1709D" w:rsidP="007A2A7B">
      <w:pPr>
        <w:pStyle w:val="Footnotes"/>
        <w:numPr>
          <w:ilvl w:val="0"/>
          <w:numId w:val="75"/>
        </w:numPr>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A1709D" w:rsidRDefault="00A1709D" w:rsidP="007A2A7B">
      <w:pPr>
        <w:pStyle w:val="Footnotes"/>
        <w:ind w:left="284" w:hanging="284"/>
      </w:pPr>
      <w:r>
        <w:t>Figures may not sum to totals due to rounding.</w:t>
      </w:r>
    </w:p>
    <w:p w:rsidR="00A1709D" w:rsidRDefault="00A1709D" w:rsidP="002643B1">
      <w:pPr>
        <w:pStyle w:val="Caption"/>
        <w:keepLines/>
        <w:rPr>
          <w:vertAlign w:val="superscript"/>
        </w:rPr>
      </w:pPr>
      <w:r w:rsidRPr="00FC5643">
        <w:t xml:space="preserve">Table </w:t>
      </w:r>
      <w:r>
        <w:t>A3</w:t>
      </w:r>
      <w:r w:rsidRPr="00FC5643">
        <w:t xml:space="preserve">: </w:t>
      </w:r>
      <w:r w:rsidRPr="00EB0CE6">
        <w:t>Component 2</w:t>
      </w:r>
      <w:r>
        <w:t xml:space="preserve"> </w:t>
      </w:r>
      <w:r w:rsidR="00E51946">
        <w:t>–</w:t>
      </w:r>
      <w:r w:rsidRPr="00EB0CE6">
        <w:t xml:space="preserve"> </w:t>
      </w:r>
      <w:r w:rsidRPr="009C265B">
        <w:t xml:space="preserve">Provide funding </w:t>
      </w:r>
      <w:r>
        <w:t xml:space="preserve">to schools </w:t>
      </w:r>
      <w:r w:rsidRPr="009C265B">
        <w:t>for minor capital and equipment</w:t>
      </w:r>
      <w:r>
        <w:t>—Financial</w:t>
      </w:r>
      <w:r w:rsidR="007A2A7B">
        <w:t> </w:t>
      </w:r>
      <w:r>
        <w:t>implications</w:t>
      </w:r>
      <w:r w:rsidRPr="00EF53BE">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A1709D"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A1709D" w:rsidRPr="007C2713" w:rsidRDefault="00A1709D" w:rsidP="002643B1">
            <w:pPr>
              <w:pStyle w:val="TableText"/>
              <w:keepNext/>
              <w:keepLines/>
              <w:rPr>
                <w:b w:val="0"/>
              </w:rPr>
            </w:pPr>
            <w:r>
              <w:t>($m)</w:t>
            </w:r>
          </w:p>
        </w:tc>
        <w:tc>
          <w:tcPr>
            <w:tcW w:w="689" w:type="pct"/>
            <w:vAlign w:val="center"/>
          </w:tcPr>
          <w:p w:rsidR="00A1709D" w:rsidRDefault="00A1709D" w:rsidP="002643B1">
            <w:pPr>
              <w:pStyle w:val="TableTextRight"/>
              <w:keepNext/>
              <w:keepLines/>
              <w:rPr>
                <w:b w:val="0"/>
              </w:rPr>
            </w:pPr>
            <w:r>
              <w:t>2016–17</w:t>
            </w:r>
          </w:p>
        </w:tc>
        <w:tc>
          <w:tcPr>
            <w:tcW w:w="689" w:type="pct"/>
            <w:vAlign w:val="center"/>
          </w:tcPr>
          <w:p w:rsidR="00A1709D" w:rsidRDefault="00A1709D" w:rsidP="002643B1">
            <w:pPr>
              <w:pStyle w:val="TableTextRight"/>
              <w:keepNext/>
              <w:keepLines/>
              <w:rPr>
                <w:b w:val="0"/>
              </w:rPr>
            </w:pPr>
            <w:r>
              <w:t>2017–18</w:t>
            </w:r>
          </w:p>
        </w:tc>
        <w:tc>
          <w:tcPr>
            <w:tcW w:w="689" w:type="pct"/>
            <w:vAlign w:val="center"/>
          </w:tcPr>
          <w:p w:rsidR="00A1709D" w:rsidRDefault="00A1709D" w:rsidP="002643B1">
            <w:pPr>
              <w:pStyle w:val="TableTextRight"/>
              <w:keepNext/>
              <w:keepLines/>
              <w:rPr>
                <w:b w:val="0"/>
              </w:rPr>
            </w:pPr>
            <w:r>
              <w:t>2018–19</w:t>
            </w:r>
          </w:p>
        </w:tc>
        <w:tc>
          <w:tcPr>
            <w:tcW w:w="689" w:type="pct"/>
            <w:vAlign w:val="center"/>
          </w:tcPr>
          <w:p w:rsidR="00A1709D" w:rsidRDefault="00A1709D" w:rsidP="002643B1">
            <w:pPr>
              <w:pStyle w:val="TableTextRight"/>
              <w:keepNext/>
              <w:keepLines/>
              <w:rPr>
                <w:b w:val="0"/>
              </w:rPr>
            </w:pPr>
            <w:r>
              <w:t>2019–20</w:t>
            </w:r>
          </w:p>
        </w:tc>
        <w:tc>
          <w:tcPr>
            <w:tcW w:w="690" w:type="pct"/>
            <w:vAlign w:val="center"/>
          </w:tcPr>
          <w:p w:rsidR="00A1709D" w:rsidRDefault="00A1709D" w:rsidP="002643B1">
            <w:pPr>
              <w:pStyle w:val="TableTextRight"/>
              <w:keepNext/>
              <w:keepLines/>
            </w:pPr>
            <w:r>
              <w:t>Total to 2019–20</w:t>
            </w:r>
          </w:p>
        </w:tc>
      </w:tr>
      <w:tr w:rsidR="00A1709D" w:rsidTr="008C7879">
        <w:tc>
          <w:tcPr>
            <w:tcW w:w="5000" w:type="pct"/>
            <w:gridSpan w:val="6"/>
            <w:shd w:val="clear" w:color="auto" w:fill="E9ECF3" w:themeFill="accent2" w:themeFillTint="33"/>
            <w:vAlign w:val="center"/>
          </w:tcPr>
          <w:p w:rsidR="00A1709D" w:rsidRPr="006A0DF5" w:rsidRDefault="00A1709D" w:rsidP="002643B1">
            <w:pPr>
              <w:keepNext/>
              <w:keepLines/>
              <w:spacing w:before="70" w:after="70"/>
              <w:rPr>
                <w:b/>
                <w:i/>
                <w:iCs/>
                <w:color w:val="000000"/>
                <w:sz w:val="20"/>
                <w:szCs w:val="20"/>
              </w:rPr>
            </w:pPr>
            <w:r w:rsidRPr="008B4C5B">
              <w:rPr>
                <w:b/>
                <w:sz w:val="20"/>
                <w:szCs w:val="20"/>
              </w:rPr>
              <w:t>Impact on fiscal and underlying cash balances</w:t>
            </w:r>
          </w:p>
        </w:tc>
      </w:tr>
      <w:tr w:rsidR="00A1709D" w:rsidTr="008C7879">
        <w:tc>
          <w:tcPr>
            <w:tcW w:w="1554" w:type="pct"/>
            <w:vAlign w:val="center"/>
          </w:tcPr>
          <w:p w:rsidR="00A1709D" w:rsidRPr="008B4C5B" w:rsidRDefault="00A1709D" w:rsidP="002643B1">
            <w:pPr>
              <w:keepNext/>
              <w:keepLines/>
              <w:spacing w:before="70" w:after="70"/>
              <w:rPr>
                <w:iCs/>
                <w:color w:val="000000"/>
                <w:sz w:val="20"/>
                <w:szCs w:val="20"/>
              </w:rPr>
            </w:pPr>
            <w:r w:rsidRPr="008B4C5B">
              <w:rPr>
                <w:iCs/>
                <w:color w:val="000000"/>
                <w:sz w:val="20"/>
                <w:szCs w:val="20"/>
              </w:rPr>
              <w:t>Administered</w:t>
            </w:r>
          </w:p>
        </w:tc>
        <w:tc>
          <w:tcPr>
            <w:tcW w:w="689" w:type="pct"/>
            <w:vAlign w:val="center"/>
          </w:tcPr>
          <w:p w:rsidR="00A1709D" w:rsidRPr="008C7879" w:rsidRDefault="00A1709D" w:rsidP="002643B1">
            <w:pPr>
              <w:pStyle w:val="TableTextRight"/>
              <w:keepNext/>
              <w:keepLines/>
              <w:rPr>
                <w:i/>
              </w:rPr>
            </w:pPr>
            <w:r w:rsidRPr="008C7879">
              <w:rPr>
                <w:i/>
              </w:rPr>
              <w:t>-4.8</w:t>
            </w:r>
          </w:p>
        </w:tc>
        <w:tc>
          <w:tcPr>
            <w:tcW w:w="689" w:type="pct"/>
            <w:vAlign w:val="center"/>
          </w:tcPr>
          <w:p w:rsidR="00A1709D" w:rsidRPr="008C7879" w:rsidRDefault="00A1709D" w:rsidP="002643B1">
            <w:pPr>
              <w:pStyle w:val="TableTextRight"/>
              <w:keepNext/>
              <w:keepLines/>
              <w:rPr>
                <w:i/>
              </w:rPr>
            </w:pPr>
            <w:r w:rsidRPr="008C7879">
              <w:rPr>
                <w:i/>
              </w:rPr>
              <w:t>-9.5</w:t>
            </w:r>
          </w:p>
        </w:tc>
        <w:tc>
          <w:tcPr>
            <w:tcW w:w="689" w:type="pct"/>
            <w:vAlign w:val="center"/>
          </w:tcPr>
          <w:p w:rsidR="00A1709D" w:rsidRPr="008C7879" w:rsidRDefault="00A1709D" w:rsidP="002643B1">
            <w:pPr>
              <w:pStyle w:val="TableTextRight"/>
              <w:keepNext/>
              <w:keepLines/>
              <w:rPr>
                <w:i/>
              </w:rPr>
            </w:pPr>
            <w:r w:rsidRPr="008C7879">
              <w:rPr>
                <w:i/>
              </w:rPr>
              <w:t>-9.5</w:t>
            </w:r>
          </w:p>
        </w:tc>
        <w:tc>
          <w:tcPr>
            <w:tcW w:w="689" w:type="pct"/>
            <w:vAlign w:val="center"/>
          </w:tcPr>
          <w:p w:rsidR="00A1709D" w:rsidRPr="008C7879" w:rsidRDefault="00A1709D" w:rsidP="002643B1">
            <w:pPr>
              <w:pStyle w:val="TableTextRight"/>
              <w:keepNext/>
              <w:keepLines/>
              <w:rPr>
                <w:i/>
              </w:rPr>
            </w:pPr>
            <w:r w:rsidRPr="008C7879">
              <w:rPr>
                <w:i/>
              </w:rPr>
              <w:t>-4.8</w:t>
            </w:r>
          </w:p>
        </w:tc>
        <w:tc>
          <w:tcPr>
            <w:tcW w:w="690" w:type="pct"/>
            <w:vAlign w:val="center"/>
          </w:tcPr>
          <w:p w:rsidR="00A1709D" w:rsidRPr="008C7879" w:rsidRDefault="00A1709D" w:rsidP="002643B1">
            <w:pPr>
              <w:pStyle w:val="TableTextRight"/>
              <w:keepNext/>
              <w:keepLines/>
              <w:rPr>
                <w:i/>
              </w:rPr>
            </w:pPr>
            <w:r w:rsidRPr="008C7879">
              <w:rPr>
                <w:i/>
              </w:rPr>
              <w:t>-28.6</w:t>
            </w:r>
          </w:p>
        </w:tc>
      </w:tr>
      <w:tr w:rsidR="00A1709D" w:rsidTr="008C7879">
        <w:tc>
          <w:tcPr>
            <w:tcW w:w="1554" w:type="pct"/>
            <w:vAlign w:val="center"/>
          </w:tcPr>
          <w:p w:rsidR="00A1709D" w:rsidRPr="008B4C5B" w:rsidRDefault="00A1709D" w:rsidP="002643B1">
            <w:pPr>
              <w:keepNext/>
              <w:keepLines/>
              <w:spacing w:before="70" w:after="70"/>
              <w:rPr>
                <w:i/>
                <w:iCs/>
                <w:color w:val="000000"/>
                <w:sz w:val="20"/>
                <w:szCs w:val="20"/>
              </w:rPr>
            </w:pPr>
            <w:r w:rsidRPr="008B4C5B">
              <w:rPr>
                <w:iCs/>
                <w:color w:val="000000"/>
                <w:sz w:val="20"/>
                <w:szCs w:val="20"/>
              </w:rPr>
              <w:t>Departmental</w:t>
            </w:r>
          </w:p>
        </w:tc>
        <w:tc>
          <w:tcPr>
            <w:tcW w:w="689" w:type="pct"/>
            <w:vAlign w:val="center"/>
          </w:tcPr>
          <w:p w:rsidR="00A1709D" w:rsidRPr="008C7879" w:rsidRDefault="00A1709D" w:rsidP="002643B1">
            <w:pPr>
              <w:pStyle w:val="TableTextRight"/>
              <w:keepNext/>
              <w:keepLines/>
              <w:rPr>
                <w:i/>
              </w:rPr>
            </w:pPr>
            <w:r w:rsidRPr="008C7879">
              <w:rPr>
                <w:i/>
              </w:rPr>
              <w:t>-0.2</w:t>
            </w:r>
          </w:p>
        </w:tc>
        <w:tc>
          <w:tcPr>
            <w:tcW w:w="689" w:type="pct"/>
            <w:vAlign w:val="center"/>
          </w:tcPr>
          <w:p w:rsidR="00A1709D" w:rsidRPr="008C7879" w:rsidRDefault="00A1709D" w:rsidP="002643B1">
            <w:pPr>
              <w:pStyle w:val="TableTextRight"/>
              <w:keepNext/>
              <w:keepLines/>
              <w:rPr>
                <w:i/>
              </w:rPr>
            </w:pPr>
            <w:r w:rsidRPr="008C7879">
              <w:rPr>
                <w:i/>
              </w:rPr>
              <w:t>-0.5</w:t>
            </w:r>
          </w:p>
        </w:tc>
        <w:tc>
          <w:tcPr>
            <w:tcW w:w="689" w:type="pct"/>
            <w:vAlign w:val="center"/>
          </w:tcPr>
          <w:p w:rsidR="00A1709D" w:rsidRPr="008C7879" w:rsidRDefault="00A1709D" w:rsidP="002643B1">
            <w:pPr>
              <w:pStyle w:val="TableTextRight"/>
              <w:keepNext/>
              <w:keepLines/>
              <w:rPr>
                <w:i/>
              </w:rPr>
            </w:pPr>
            <w:r w:rsidRPr="008C7879">
              <w:rPr>
                <w:i/>
              </w:rPr>
              <w:t>-0.5</w:t>
            </w:r>
          </w:p>
        </w:tc>
        <w:tc>
          <w:tcPr>
            <w:tcW w:w="689" w:type="pct"/>
            <w:vAlign w:val="center"/>
          </w:tcPr>
          <w:p w:rsidR="00A1709D" w:rsidRPr="008C7879" w:rsidRDefault="00A1709D" w:rsidP="002643B1">
            <w:pPr>
              <w:pStyle w:val="TableTextRight"/>
              <w:keepNext/>
              <w:keepLines/>
              <w:rPr>
                <w:i/>
              </w:rPr>
            </w:pPr>
            <w:r w:rsidRPr="008C7879">
              <w:rPr>
                <w:i/>
              </w:rPr>
              <w:t>-0.2</w:t>
            </w:r>
          </w:p>
        </w:tc>
        <w:tc>
          <w:tcPr>
            <w:tcW w:w="690" w:type="pct"/>
            <w:vAlign w:val="center"/>
          </w:tcPr>
          <w:p w:rsidR="00A1709D" w:rsidRPr="008C7879" w:rsidRDefault="00A1709D" w:rsidP="002643B1">
            <w:pPr>
              <w:pStyle w:val="TableTextRight"/>
              <w:keepNext/>
              <w:keepLines/>
              <w:rPr>
                <w:i/>
              </w:rPr>
            </w:pPr>
            <w:r w:rsidRPr="008C7879">
              <w:rPr>
                <w:i/>
              </w:rPr>
              <w:t>-1.4</w:t>
            </w:r>
          </w:p>
        </w:tc>
      </w:tr>
      <w:tr w:rsidR="00A1709D" w:rsidRPr="007C2713" w:rsidTr="008C7879">
        <w:tc>
          <w:tcPr>
            <w:tcW w:w="1554" w:type="pct"/>
            <w:shd w:val="clear" w:color="auto" w:fill="D7DDE9" w:themeFill="accent3"/>
            <w:vAlign w:val="center"/>
          </w:tcPr>
          <w:p w:rsidR="00A1709D" w:rsidRPr="008B4C5B" w:rsidRDefault="00A1709D" w:rsidP="002643B1">
            <w:pPr>
              <w:keepNext/>
              <w:keepLines/>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A1709D" w:rsidRPr="00035BC0" w:rsidRDefault="00A1709D" w:rsidP="002643B1">
            <w:pPr>
              <w:pStyle w:val="TableTextRight"/>
              <w:keepNext/>
              <w:keepLines/>
              <w:rPr>
                <w:b/>
                <w:bCs/>
              </w:rPr>
            </w:pPr>
            <w:r w:rsidRPr="00035BC0">
              <w:rPr>
                <w:b/>
                <w:bCs/>
              </w:rPr>
              <w:t>-5.0</w:t>
            </w:r>
          </w:p>
        </w:tc>
        <w:tc>
          <w:tcPr>
            <w:tcW w:w="689" w:type="pct"/>
            <w:shd w:val="clear" w:color="auto" w:fill="D7DDE9" w:themeFill="accent3"/>
            <w:vAlign w:val="center"/>
          </w:tcPr>
          <w:p w:rsidR="00A1709D" w:rsidRPr="00035BC0" w:rsidRDefault="00A1709D" w:rsidP="002643B1">
            <w:pPr>
              <w:pStyle w:val="TableTextRight"/>
              <w:keepNext/>
              <w:keepLines/>
              <w:rPr>
                <w:b/>
                <w:bCs/>
              </w:rPr>
            </w:pPr>
            <w:r w:rsidRPr="00035BC0">
              <w:rPr>
                <w:b/>
                <w:bCs/>
              </w:rPr>
              <w:t>-10.0</w:t>
            </w:r>
          </w:p>
        </w:tc>
        <w:tc>
          <w:tcPr>
            <w:tcW w:w="689" w:type="pct"/>
            <w:shd w:val="clear" w:color="auto" w:fill="D7DDE9" w:themeFill="accent3"/>
            <w:vAlign w:val="center"/>
          </w:tcPr>
          <w:p w:rsidR="00A1709D" w:rsidRPr="00035BC0" w:rsidRDefault="00A1709D" w:rsidP="002643B1">
            <w:pPr>
              <w:pStyle w:val="TableTextRight"/>
              <w:keepNext/>
              <w:keepLines/>
              <w:rPr>
                <w:b/>
                <w:bCs/>
              </w:rPr>
            </w:pPr>
            <w:r w:rsidRPr="00035BC0">
              <w:rPr>
                <w:b/>
                <w:bCs/>
              </w:rPr>
              <w:t>-10.0</w:t>
            </w:r>
          </w:p>
        </w:tc>
        <w:tc>
          <w:tcPr>
            <w:tcW w:w="689" w:type="pct"/>
            <w:shd w:val="clear" w:color="auto" w:fill="D7DDE9" w:themeFill="accent3"/>
            <w:vAlign w:val="center"/>
          </w:tcPr>
          <w:p w:rsidR="00A1709D" w:rsidRPr="00035BC0" w:rsidRDefault="00A1709D" w:rsidP="002643B1">
            <w:pPr>
              <w:pStyle w:val="TableTextRight"/>
              <w:keepNext/>
              <w:keepLines/>
              <w:rPr>
                <w:b/>
                <w:bCs/>
              </w:rPr>
            </w:pPr>
            <w:r w:rsidRPr="00035BC0">
              <w:rPr>
                <w:b/>
                <w:bCs/>
              </w:rPr>
              <w:t>-5.0</w:t>
            </w:r>
          </w:p>
        </w:tc>
        <w:tc>
          <w:tcPr>
            <w:tcW w:w="690" w:type="pct"/>
            <w:shd w:val="clear" w:color="auto" w:fill="D7DDE9" w:themeFill="accent3"/>
            <w:vAlign w:val="center"/>
          </w:tcPr>
          <w:p w:rsidR="00A1709D" w:rsidRPr="00035BC0" w:rsidRDefault="00A1709D" w:rsidP="002643B1">
            <w:pPr>
              <w:pStyle w:val="TableTextRight"/>
              <w:keepNext/>
              <w:keepLines/>
              <w:rPr>
                <w:b/>
                <w:bCs/>
              </w:rPr>
            </w:pPr>
            <w:r w:rsidRPr="00035BC0">
              <w:rPr>
                <w:b/>
                <w:bCs/>
              </w:rPr>
              <w:t>-30.0</w:t>
            </w:r>
          </w:p>
        </w:tc>
      </w:tr>
    </w:tbl>
    <w:p w:rsidR="00A1709D" w:rsidRPr="00A1709D" w:rsidRDefault="00A1709D" w:rsidP="007A2A7B">
      <w:pPr>
        <w:pStyle w:val="Footnotes"/>
        <w:keepNext/>
        <w:keepLines/>
        <w:numPr>
          <w:ilvl w:val="0"/>
          <w:numId w:val="76"/>
        </w:numPr>
        <w:ind w:left="284" w:hanging="284"/>
      </w:pPr>
      <w:r w:rsidRPr="00A1709D">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420CF4" w:rsidRPr="00A1709D" w:rsidRDefault="00A1709D" w:rsidP="007A2A7B">
      <w:pPr>
        <w:pStyle w:val="Footnotes"/>
        <w:keepNext/>
        <w:keepLines/>
        <w:ind w:left="284" w:hanging="284"/>
      </w:pPr>
      <w:r w:rsidRPr="00A1709D">
        <w:t>Figures may not sum to totals due to rounding.</w:t>
      </w:r>
    </w:p>
    <w:p w:rsidR="00A1709D" w:rsidRDefault="00A1709D" w:rsidP="00A1709D">
      <w:pPr>
        <w:pStyle w:val="Caption"/>
        <w:rPr>
          <w:vertAlign w:val="superscript"/>
        </w:rPr>
      </w:pPr>
      <w:r w:rsidRPr="00FC5643">
        <w:t xml:space="preserve">Table </w:t>
      </w:r>
      <w:r>
        <w:t>A4</w:t>
      </w:r>
      <w:r w:rsidRPr="00FC5643">
        <w:t xml:space="preserve">: </w:t>
      </w:r>
      <w:r w:rsidRPr="00F1750C">
        <w:t>Component 3</w:t>
      </w:r>
      <w:r>
        <w:t xml:space="preserve"> </w:t>
      </w:r>
      <w:r w:rsidR="00E51946">
        <w:t>–</w:t>
      </w:r>
      <w:r w:rsidRPr="00F1750C">
        <w:t xml:space="preserve"> Provide funding to schools for scholarships to teachers</w:t>
      </w:r>
      <w:r>
        <w:t>—Financial implications</w:t>
      </w:r>
      <w:r w:rsidRPr="00EF53BE">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A1709D"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A1709D" w:rsidRPr="007C2713" w:rsidRDefault="00A1709D" w:rsidP="008C7879">
            <w:pPr>
              <w:pStyle w:val="TableText"/>
              <w:rPr>
                <w:b w:val="0"/>
              </w:rPr>
            </w:pPr>
            <w:r>
              <w:t>($m)</w:t>
            </w:r>
          </w:p>
        </w:tc>
        <w:tc>
          <w:tcPr>
            <w:tcW w:w="689" w:type="pct"/>
            <w:vAlign w:val="center"/>
          </w:tcPr>
          <w:p w:rsidR="00A1709D" w:rsidRDefault="00A1709D" w:rsidP="008C7879">
            <w:pPr>
              <w:pStyle w:val="TableTextRight"/>
              <w:rPr>
                <w:b w:val="0"/>
              </w:rPr>
            </w:pPr>
            <w:r>
              <w:t>2016–17</w:t>
            </w:r>
          </w:p>
        </w:tc>
        <w:tc>
          <w:tcPr>
            <w:tcW w:w="689" w:type="pct"/>
            <w:vAlign w:val="center"/>
          </w:tcPr>
          <w:p w:rsidR="00A1709D" w:rsidRDefault="00A1709D" w:rsidP="008C7879">
            <w:pPr>
              <w:pStyle w:val="TableTextRight"/>
              <w:rPr>
                <w:b w:val="0"/>
              </w:rPr>
            </w:pPr>
            <w:r>
              <w:t>2017–18</w:t>
            </w:r>
          </w:p>
        </w:tc>
        <w:tc>
          <w:tcPr>
            <w:tcW w:w="689" w:type="pct"/>
            <w:vAlign w:val="center"/>
          </w:tcPr>
          <w:p w:rsidR="00A1709D" w:rsidRDefault="00A1709D" w:rsidP="008C7879">
            <w:pPr>
              <w:pStyle w:val="TableTextRight"/>
              <w:rPr>
                <w:b w:val="0"/>
              </w:rPr>
            </w:pPr>
            <w:r>
              <w:t>2018–19</w:t>
            </w:r>
          </w:p>
        </w:tc>
        <w:tc>
          <w:tcPr>
            <w:tcW w:w="689" w:type="pct"/>
            <w:vAlign w:val="center"/>
          </w:tcPr>
          <w:p w:rsidR="00A1709D" w:rsidRDefault="00A1709D" w:rsidP="008C7879">
            <w:pPr>
              <w:pStyle w:val="TableTextRight"/>
              <w:rPr>
                <w:b w:val="0"/>
              </w:rPr>
            </w:pPr>
            <w:r>
              <w:t>2019–20</w:t>
            </w:r>
          </w:p>
        </w:tc>
        <w:tc>
          <w:tcPr>
            <w:tcW w:w="690" w:type="pct"/>
            <w:vAlign w:val="center"/>
          </w:tcPr>
          <w:p w:rsidR="00A1709D" w:rsidRDefault="00A1709D" w:rsidP="008C7879">
            <w:pPr>
              <w:pStyle w:val="TableTextRight"/>
            </w:pPr>
            <w:r>
              <w:t>Total to 2019–20</w:t>
            </w:r>
          </w:p>
        </w:tc>
      </w:tr>
      <w:tr w:rsidR="00A1709D" w:rsidTr="008C7879">
        <w:tc>
          <w:tcPr>
            <w:tcW w:w="5000" w:type="pct"/>
            <w:gridSpan w:val="6"/>
            <w:shd w:val="clear" w:color="auto" w:fill="E9ECF3" w:themeFill="accent2" w:themeFillTint="33"/>
            <w:vAlign w:val="center"/>
          </w:tcPr>
          <w:p w:rsidR="00A1709D" w:rsidRPr="006A0DF5" w:rsidRDefault="00A1709D" w:rsidP="008C7879">
            <w:pPr>
              <w:spacing w:before="70" w:after="70"/>
              <w:rPr>
                <w:b/>
                <w:i/>
                <w:iCs/>
                <w:color w:val="000000"/>
                <w:sz w:val="20"/>
                <w:szCs w:val="20"/>
              </w:rPr>
            </w:pPr>
            <w:r w:rsidRPr="008B4C5B">
              <w:rPr>
                <w:b/>
                <w:sz w:val="20"/>
                <w:szCs w:val="20"/>
              </w:rPr>
              <w:t>Impact on fiscal and underlying cash balances</w:t>
            </w:r>
          </w:p>
        </w:tc>
      </w:tr>
      <w:tr w:rsidR="00A1709D" w:rsidTr="008C7879">
        <w:tc>
          <w:tcPr>
            <w:tcW w:w="1554" w:type="pct"/>
            <w:vAlign w:val="center"/>
          </w:tcPr>
          <w:p w:rsidR="00A1709D" w:rsidRPr="008B4C5B" w:rsidRDefault="00A1709D"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A1709D" w:rsidRPr="008C7879" w:rsidRDefault="00A1709D" w:rsidP="008C7879">
            <w:pPr>
              <w:pStyle w:val="TableTextRight"/>
              <w:rPr>
                <w:i/>
                <w:szCs w:val="24"/>
              </w:rPr>
            </w:pPr>
            <w:r w:rsidRPr="008C7879">
              <w:rPr>
                <w:i/>
              </w:rPr>
              <w:t>-6.4</w:t>
            </w:r>
          </w:p>
        </w:tc>
        <w:tc>
          <w:tcPr>
            <w:tcW w:w="689" w:type="pct"/>
            <w:vAlign w:val="center"/>
          </w:tcPr>
          <w:p w:rsidR="00A1709D" w:rsidRPr="008C7879" w:rsidRDefault="00A1709D" w:rsidP="008C7879">
            <w:pPr>
              <w:pStyle w:val="TableTextRight"/>
              <w:rPr>
                <w:i/>
                <w:szCs w:val="24"/>
              </w:rPr>
            </w:pPr>
            <w:r w:rsidRPr="008C7879">
              <w:rPr>
                <w:i/>
              </w:rPr>
              <w:t>-12.9</w:t>
            </w:r>
          </w:p>
        </w:tc>
        <w:tc>
          <w:tcPr>
            <w:tcW w:w="689" w:type="pct"/>
            <w:vAlign w:val="center"/>
          </w:tcPr>
          <w:p w:rsidR="00A1709D" w:rsidRPr="008C7879" w:rsidRDefault="00A1709D" w:rsidP="008C7879">
            <w:pPr>
              <w:pStyle w:val="TableTextRight"/>
              <w:rPr>
                <w:i/>
                <w:szCs w:val="24"/>
              </w:rPr>
            </w:pPr>
            <w:r w:rsidRPr="008C7879">
              <w:rPr>
                <w:i/>
              </w:rPr>
              <w:t>-12.9</w:t>
            </w:r>
          </w:p>
        </w:tc>
        <w:tc>
          <w:tcPr>
            <w:tcW w:w="689" w:type="pct"/>
            <w:vAlign w:val="center"/>
          </w:tcPr>
          <w:p w:rsidR="00A1709D" w:rsidRPr="008C7879" w:rsidRDefault="00A1709D" w:rsidP="008C7879">
            <w:pPr>
              <w:pStyle w:val="TableTextRight"/>
              <w:rPr>
                <w:i/>
                <w:szCs w:val="24"/>
              </w:rPr>
            </w:pPr>
            <w:r w:rsidRPr="008C7879">
              <w:rPr>
                <w:i/>
              </w:rPr>
              <w:t>-6.4</w:t>
            </w:r>
          </w:p>
        </w:tc>
        <w:tc>
          <w:tcPr>
            <w:tcW w:w="690" w:type="pct"/>
            <w:vAlign w:val="center"/>
          </w:tcPr>
          <w:p w:rsidR="00A1709D" w:rsidRPr="008C7879" w:rsidRDefault="00A1709D" w:rsidP="008C7879">
            <w:pPr>
              <w:pStyle w:val="TableTextRight"/>
              <w:rPr>
                <w:b/>
                <w:i/>
                <w:szCs w:val="24"/>
              </w:rPr>
            </w:pPr>
            <w:r w:rsidRPr="008C7879">
              <w:rPr>
                <w:b/>
                <w:i/>
              </w:rPr>
              <w:t>-38.6</w:t>
            </w:r>
          </w:p>
        </w:tc>
      </w:tr>
      <w:tr w:rsidR="00A1709D" w:rsidTr="008C7879">
        <w:tc>
          <w:tcPr>
            <w:tcW w:w="1554" w:type="pct"/>
            <w:vAlign w:val="center"/>
          </w:tcPr>
          <w:p w:rsidR="00A1709D" w:rsidRPr="008B4C5B" w:rsidRDefault="00A1709D"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A1709D" w:rsidRPr="008C7879" w:rsidRDefault="00A1709D" w:rsidP="008C7879">
            <w:pPr>
              <w:pStyle w:val="TableTextRight"/>
              <w:rPr>
                <w:i/>
                <w:szCs w:val="24"/>
              </w:rPr>
            </w:pPr>
            <w:r w:rsidRPr="008C7879">
              <w:rPr>
                <w:i/>
              </w:rPr>
              <w:t>-0.2</w:t>
            </w:r>
          </w:p>
        </w:tc>
        <w:tc>
          <w:tcPr>
            <w:tcW w:w="689" w:type="pct"/>
            <w:vAlign w:val="center"/>
          </w:tcPr>
          <w:p w:rsidR="00A1709D" w:rsidRPr="008C7879" w:rsidRDefault="00A1709D" w:rsidP="008C7879">
            <w:pPr>
              <w:pStyle w:val="TableTextRight"/>
              <w:rPr>
                <w:i/>
                <w:szCs w:val="24"/>
              </w:rPr>
            </w:pPr>
            <w:r w:rsidRPr="008C7879">
              <w:rPr>
                <w:i/>
              </w:rPr>
              <w:t>-0.5</w:t>
            </w:r>
          </w:p>
        </w:tc>
        <w:tc>
          <w:tcPr>
            <w:tcW w:w="689" w:type="pct"/>
            <w:vAlign w:val="center"/>
          </w:tcPr>
          <w:p w:rsidR="00A1709D" w:rsidRPr="008C7879" w:rsidRDefault="00A1709D" w:rsidP="008C7879">
            <w:pPr>
              <w:pStyle w:val="TableTextRight"/>
              <w:rPr>
                <w:i/>
                <w:szCs w:val="24"/>
              </w:rPr>
            </w:pPr>
            <w:r w:rsidRPr="008C7879">
              <w:rPr>
                <w:i/>
              </w:rPr>
              <w:t>-0.5</w:t>
            </w:r>
          </w:p>
        </w:tc>
        <w:tc>
          <w:tcPr>
            <w:tcW w:w="689" w:type="pct"/>
            <w:vAlign w:val="center"/>
          </w:tcPr>
          <w:p w:rsidR="00A1709D" w:rsidRPr="008C7879" w:rsidRDefault="00A1709D" w:rsidP="008C7879">
            <w:pPr>
              <w:pStyle w:val="TableTextRight"/>
              <w:rPr>
                <w:i/>
                <w:szCs w:val="24"/>
              </w:rPr>
            </w:pPr>
            <w:r w:rsidRPr="008C7879">
              <w:rPr>
                <w:i/>
              </w:rPr>
              <w:t>-0.2</w:t>
            </w:r>
          </w:p>
        </w:tc>
        <w:tc>
          <w:tcPr>
            <w:tcW w:w="690" w:type="pct"/>
            <w:vAlign w:val="center"/>
          </w:tcPr>
          <w:p w:rsidR="00A1709D" w:rsidRPr="008C7879" w:rsidRDefault="00A1709D" w:rsidP="008C7879">
            <w:pPr>
              <w:pStyle w:val="TableTextRight"/>
              <w:rPr>
                <w:b/>
                <w:i/>
                <w:szCs w:val="24"/>
              </w:rPr>
            </w:pPr>
            <w:r w:rsidRPr="008C7879">
              <w:rPr>
                <w:b/>
                <w:i/>
              </w:rPr>
              <w:t>-1.4</w:t>
            </w:r>
          </w:p>
        </w:tc>
      </w:tr>
      <w:tr w:rsidR="00A1709D" w:rsidRPr="007C2713" w:rsidTr="008C7879">
        <w:tc>
          <w:tcPr>
            <w:tcW w:w="1554" w:type="pct"/>
            <w:shd w:val="clear" w:color="auto" w:fill="D7DDE9" w:themeFill="accent3"/>
            <w:vAlign w:val="center"/>
          </w:tcPr>
          <w:p w:rsidR="00A1709D" w:rsidRPr="008B4C5B" w:rsidRDefault="00A1709D"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A1709D" w:rsidRPr="00F1750C" w:rsidRDefault="00A1709D" w:rsidP="008C7879">
            <w:pPr>
              <w:pStyle w:val="TableTextRight"/>
              <w:rPr>
                <w:b/>
                <w:bCs/>
                <w:szCs w:val="24"/>
              </w:rPr>
            </w:pPr>
            <w:r w:rsidRPr="00F1750C">
              <w:rPr>
                <w:b/>
                <w:bCs/>
              </w:rPr>
              <w:t>-6.</w:t>
            </w:r>
            <w:r>
              <w:rPr>
                <w:b/>
                <w:bCs/>
              </w:rPr>
              <w:t>6</w:t>
            </w:r>
          </w:p>
        </w:tc>
        <w:tc>
          <w:tcPr>
            <w:tcW w:w="689" w:type="pct"/>
            <w:shd w:val="clear" w:color="auto" w:fill="D7DDE9" w:themeFill="accent3"/>
            <w:vAlign w:val="center"/>
          </w:tcPr>
          <w:p w:rsidR="00A1709D" w:rsidRPr="00F1750C" w:rsidRDefault="00A1709D" w:rsidP="008C7879">
            <w:pPr>
              <w:pStyle w:val="TableTextRight"/>
              <w:rPr>
                <w:b/>
                <w:bCs/>
                <w:szCs w:val="24"/>
              </w:rPr>
            </w:pPr>
            <w:r>
              <w:rPr>
                <w:b/>
                <w:bCs/>
              </w:rPr>
              <w:t>-13.4</w:t>
            </w:r>
          </w:p>
        </w:tc>
        <w:tc>
          <w:tcPr>
            <w:tcW w:w="689" w:type="pct"/>
            <w:shd w:val="clear" w:color="auto" w:fill="D7DDE9" w:themeFill="accent3"/>
            <w:vAlign w:val="center"/>
          </w:tcPr>
          <w:p w:rsidR="00A1709D" w:rsidRPr="00F1750C" w:rsidRDefault="00A1709D" w:rsidP="008C7879">
            <w:pPr>
              <w:pStyle w:val="TableTextRight"/>
              <w:rPr>
                <w:b/>
                <w:bCs/>
                <w:szCs w:val="24"/>
              </w:rPr>
            </w:pPr>
            <w:r>
              <w:rPr>
                <w:b/>
                <w:bCs/>
              </w:rPr>
              <w:t>-13.4</w:t>
            </w:r>
          </w:p>
        </w:tc>
        <w:tc>
          <w:tcPr>
            <w:tcW w:w="689" w:type="pct"/>
            <w:shd w:val="clear" w:color="auto" w:fill="D7DDE9" w:themeFill="accent3"/>
            <w:vAlign w:val="center"/>
          </w:tcPr>
          <w:p w:rsidR="00A1709D" w:rsidRPr="00F1750C" w:rsidRDefault="00A1709D" w:rsidP="008C7879">
            <w:pPr>
              <w:pStyle w:val="TableTextRight"/>
              <w:rPr>
                <w:b/>
                <w:bCs/>
                <w:szCs w:val="24"/>
              </w:rPr>
            </w:pPr>
            <w:r>
              <w:rPr>
                <w:b/>
                <w:bCs/>
              </w:rPr>
              <w:t>-6.6</w:t>
            </w:r>
          </w:p>
        </w:tc>
        <w:tc>
          <w:tcPr>
            <w:tcW w:w="690" w:type="pct"/>
            <w:shd w:val="clear" w:color="auto" w:fill="D7DDE9" w:themeFill="accent3"/>
            <w:vAlign w:val="center"/>
          </w:tcPr>
          <w:p w:rsidR="00A1709D" w:rsidRPr="00F1750C" w:rsidRDefault="00A1709D" w:rsidP="008C7879">
            <w:pPr>
              <w:pStyle w:val="TableTextRight"/>
              <w:rPr>
                <w:b/>
                <w:bCs/>
                <w:szCs w:val="24"/>
              </w:rPr>
            </w:pPr>
            <w:r w:rsidRPr="00F1750C">
              <w:rPr>
                <w:b/>
                <w:bCs/>
              </w:rPr>
              <w:t>-40.0</w:t>
            </w:r>
          </w:p>
        </w:tc>
      </w:tr>
    </w:tbl>
    <w:p w:rsidR="00A1709D" w:rsidRPr="00107754" w:rsidRDefault="00A1709D" w:rsidP="007A2A7B">
      <w:pPr>
        <w:pStyle w:val="Footnotes"/>
        <w:numPr>
          <w:ilvl w:val="0"/>
          <w:numId w:val="77"/>
        </w:numPr>
        <w:ind w:left="284" w:hanging="284"/>
      </w:pPr>
      <w:r w:rsidRPr="00107754">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A1709D" w:rsidRPr="00107754" w:rsidRDefault="00A1709D" w:rsidP="007A2A7B">
      <w:pPr>
        <w:pStyle w:val="Footnotes"/>
        <w:ind w:left="284" w:hanging="284"/>
      </w:pPr>
      <w:r w:rsidRPr="00107754">
        <w:t>Figures may not sum to totals due to rounding.</w:t>
      </w:r>
    </w:p>
    <w:p w:rsidR="00107754" w:rsidRDefault="00107754" w:rsidP="00107754">
      <w:pPr>
        <w:pStyle w:val="Caption"/>
        <w:rPr>
          <w:vertAlign w:val="superscript"/>
        </w:rPr>
      </w:pPr>
      <w:r w:rsidRPr="00FC5643">
        <w:t xml:space="preserve">Table </w:t>
      </w:r>
      <w:r>
        <w:t>A5</w:t>
      </w:r>
      <w:r w:rsidRPr="00FC5643">
        <w:t xml:space="preserve">: </w:t>
      </w:r>
      <w:r w:rsidRPr="00F1750C">
        <w:t>Component 4</w:t>
      </w:r>
      <w:r>
        <w:t xml:space="preserve"> </w:t>
      </w:r>
      <w:r w:rsidR="00E51946">
        <w:t>–</w:t>
      </w:r>
      <w:r w:rsidRPr="00F1750C">
        <w:t xml:space="preserve"> Provide funding to schools for programs to reduce bullying against students with</w:t>
      </w:r>
      <w:r>
        <w:t xml:space="preserve"> a</w:t>
      </w:r>
      <w:r w:rsidRPr="00F1750C">
        <w:t xml:space="preserve"> disability</w:t>
      </w:r>
      <w:r>
        <w:t>—Financial implications</w:t>
      </w:r>
      <w:r w:rsidRPr="00EF53BE">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10775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107754" w:rsidRPr="007C2713" w:rsidRDefault="00107754" w:rsidP="008C7879">
            <w:pPr>
              <w:pStyle w:val="TableText"/>
              <w:rPr>
                <w:b w:val="0"/>
              </w:rPr>
            </w:pPr>
            <w:r>
              <w:t>($m)</w:t>
            </w:r>
          </w:p>
        </w:tc>
        <w:tc>
          <w:tcPr>
            <w:tcW w:w="689" w:type="pct"/>
            <w:vAlign w:val="center"/>
          </w:tcPr>
          <w:p w:rsidR="00107754" w:rsidRDefault="00107754" w:rsidP="008C7879">
            <w:pPr>
              <w:pStyle w:val="TableTextRight"/>
              <w:rPr>
                <w:b w:val="0"/>
              </w:rPr>
            </w:pPr>
            <w:r>
              <w:t>2016–17</w:t>
            </w:r>
          </w:p>
        </w:tc>
        <w:tc>
          <w:tcPr>
            <w:tcW w:w="689" w:type="pct"/>
            <w:vAlign w:val="center"/>
          </w:tcPr>
          <w:p w:rsidR="00107754" w:rsidRDefault="00107754" w:rsidP="008C7879">
            <w:pPr>
              <w:pStyle w:val="TableTextRight"/>
              <w:rPr>
                <w:b w:val="0"/>
              </w:rPr>
            </w:pPr>
            <w:r>
              <w:t>2017–18</w:t>
            </w:r>
          </w:p>
        </w:tc>
        <w:tc>
          <w:tcPr>
            <w:tcW w:w="689" w:type="pct"/>
            <w:vAlign w:val="center"/>
          </w:tcPr>
          <w:p w:rsidR="00107754" w:rsidRDefault="00107754" w:rsidP="008C7879">
            <w:pPr>
              <w:pStyle w:val="TableTextRight"/>
              <w:rPr>
                <w:b w:val="0"/>
              </w:rPr>
            </w:pPr>
            <w:r>
              <w:t>2018–19</w:t>
            </w:r>
          </w:p>
        </w:tc>
        <w:tc>
          <w:tcPr>
            <w:tcW w:w="689" w:type="pct"/>
            <w:vAlign w:val="center"/>
          </w:tcPr>
          <w:p w:rsidR="00107754" w:rsidRDefault="00107754" w:rsidP="008C7879">
            <w:pPr>
              <w:pStyle w:val="TableTextRight"/>
              <w:rPr>
                <w:b w:val="0"/>
              </w:rPr>
            </w:pPr>
            <w:r>
              <w:t>2019–20</w:t>
            </w:r>
          </w:p>
        </w:tc>
        <w:tc>
          <w:tcPr>
            <w:tcW w:w="690" w:type="pct"/>
            <w:vAlign w:val="center"/>
          </w:tcPr>
          <w:p w:rsidR="00107754" w:rsidRDefault="00107754" w:rsidP="008C7879">
            <w:pPr>
              <w:pStyle w:val="TableTextRight"/>
            </w:pPr>
            <w:r>
              <w:t>Total to 2019–20</w:t>
            </w:r>
          </w:p>
        </w:tc>
      </w:tr>
      <w:tr w:rsidR="00107754" w:rsidTr="008C7879">
        <w:tc>
          <w:tcPr>
            <w:tcW w:w="5000" w:type="pct"/>
            <w:gridSpan w:val="6"/>
            <w:shd w:val="clear" w:color="auto" w:fill="E9ECF3" w:themeFill="accent2" w:themeFillTint="33"/>
            <w:vAlign w:val="center"/>
          </w:tcPr>
          <w:p w:rsidR="00107754" w:rsidRPr="006A0DF5" w:rsidRDefault="00107754" w:rsidP="008C7879">
            <w:pPr>
              <w:spacing w:before="70" w:after="70"/>
              <w:rPr>
                <w:b/>
                <w:i/>
                <w:iCs/>
                <w:color w:val="000000"/>
                <w:sz w:val="20"/>
                <w:szCs w:val="20"/>
              </w:rPr>
            </w:pPr>
            <w:r w:rsidRPr="008B4C5B">
              <w:rPr>
                <w:b/>
                <w:sz w:val="20"/>
                <w:szCs w:val="20"/>
              </w:rPr>
              <w:t>Impact on fiscal and underlying cash balances</w:t>
            </w:r>
          </w:p>
        </w:tc>
      </w:tr>
      <w:tr w:rsidR="00107754" w:rsidTr="008C7879">
        <w:tc>
          <w:tcPr>
            <w:tcW w:w="1554" w:type="pct"/>
            <w:vAlign w:val="center"/>
          </w:tcPr>
          <w:p w:rsidR="00107754" w:rsidRPr="008B4C5B" w:rsidRDefault="00107754"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107754" w:rsidRPr="008C7879" w:rsidRDefault="00107754" w:rsidP="008C7879">
            <w:pPr>
              <w:pStyle w:val="TableTextRight"/>
              <w:rPr>
                <w:i/>
                <w:szCs w:val="24"/>
              </w:rPr>
            </w:pPr>
            <w:r w:rsidRPr="008C7879">
              <w:rPr>
                <w:i/>
              </w:rPr>
              <w:t xml:space="preserve">-0.8 </w:t>
            </w:r>
          </w:p>
        </w:tc>
        <w:tc>
          <w:tcPr>
            <w:tcW w:w="689" w:type="pct"/>
            <w:vAlign w:val="center"/>
          </w:tcPr>
          <w:p w:rsidR="00107754" w:rsidRPr="008C7879" w:rsidRDefault="00107754" w:rsidP="008C7879">
            <w:pPr>
              <w:pStyle w:val="TableTextRight"/>
              <w:rPr>
                <w:i/>
                <w:szCs w:val="24"/>
              </w:rPr>
            </w:pPr>
            <w:r w:rsidRPr="008C7879">
              <w:rPr>
                <w:i/>
              </w:rPr>
              <w:t xml:space="preserve">-1.6 </w:t>
            </w:r>
          </w:p>
        </w:tc>
        <w:tc>
          <w:tcPr>
            <w:tcW w:w="689" w:type="pct"/>
            <w:vAlign w:val="center"/>
          </w:tcPr>
          <w:p w:rsidR="00107754" w:rsidRPr="008C7879" w:rsidRDefault="00107754" w:rsidP="008C7879">
            <w:pPr>
              <w:pStyle w:val="TableTextRight"/>
              <w:rPr>
                <w:i/>
                <w:szCs w:val="24"/>
              </w:rPr>
            </w:pPr>
            <w:r w:rsidRPr="008C7879">
              <w:rPr>
                <w:i/>
              </w:rPr>
              <w:t xml:space="preserve">-1.6 </w:t>
            </w:r>
          </w:p>
        </w:tc>
        <w:tc>
          <w:tcPr>
            <w:tcW w:w="689" w:type="pct"/>
            <w:vAlign w:val="center"/>
          </w:tcPr>
          <w:p w:rsidR="00107754" w:rsidRPr="008C7879" w:rsidRDefault="00107754" w:rsidP="008C7879">
            <w:pPr>
              <w:pStyle w:val="TableTextRight"/>
              <w:rPr>
                <w:i/>
                <w:szCs w:val="24"/>
              </w:rPr>
            </w:pPr>
            <w:r w:rsidRPr="008C7879">
              <w:rPr>
                <w:i/>
              </w:rPr>
              <w:t xml:space="preserve">-0.8 </w:t>
            </w:r>
          </w:p>
        </w:tc>
        <w:tc>
          <w:tcPr>
            <w:tcW w:w="690" w:type="pct"/>
            <w:vAlign w:val="center"/>
          </w:tcPr>
          <w:p w:rsidR="00107754" w:rsidRPr="008C7879" w:rsidRDefault="00107754" w:rsidP="008C7879">
            <w:pPr>
              <w:pStyle w:val="TableTextRight"/>
              <w:rPr>
                <w:b/>
                <w:i/>
                <w:szCs w:val="24"/>
              </w:rPr>
            </w:pPr>
            <w:r w:rsidRPr="008C7879">
              <w:rPr>
                <w:b/>
                <w:i/>
              </w:rPr>
              <w:t xml:space="preserve">-4.8 </w:t>
            </w:r>
          </w:p>
        </w:tc>
      </w:tr>
      <w:tr w:rsidR="00107754" w:rsidTr="008C7879">
        <w:tc>
          <w:tcPr>
            <w:tcW w:w="1554" w:type="pct"/>
            <w:vAlign w:val="center"/>
          </w:tcPr>
          <w:p w:rsidR="00107754" w:rsidRPr="008B4C5B" w:rsidRDefault="00107754"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107754" w:rsidRPr="008C7879" w:rsidRDefault="00107754" w:rsidP="008C7879">
            <w:pPr>
              <w:pStyle w:val="TableTextRight"/>
              <w:rPr>
                <w:i/>
                <w:szCs w:val="24"/>
              </w:rPr>
            </w:pPr>
            <w:r w:rsidRPr="008C7879">
              <w:rPr>
                <w:i/>
              </w:rPr>
              <w:t xml:space="preserve">-0.9 </w:t>
            </w:r>
          </w:p>
        </w:tc>
        <w:tc>
          <w:tcPr>
            <w:tcW w:w="689" w:type="pct"/>
            <w:vAlign w:val="center"/>
          </w:tcPr>
          <w:p w:rsidR="00107754" w:rsidRPr="008C7879" w:rsidRDefault="00107754" w:rsidP="008C7879">
            <w:pPr>
              <w:pStyle w:val="TableTextRight"/>
              <w:rPr>
                <w:i/>
                <w:szCs w:val="24"/>
              </w:rPr>
            </w:pPr>
            <w:r w:rsidRPr="008C7879">
              <w:rPr>
                <w:i/>
              </w:rPr>
              <w:t xml:space="preserve">-1.7 </w:t>
            </w:r>
          </w:p>
        </w:tc>
        <w:tc>
          <w:tcPr>
            <w:tcW w:w="689" w:type="pct"/>
            <w:vAlign w:val="center"/>
          </w:tcPr>
          <w:p w:rsidR="00107754" w:rsidRPr="008C7879" w:rsidRDefault="00107754" w:rsidP="008C7879">
            <w:pPr>
              <w:pStyle w:val="TableTextRight"/>
              <w:rPr>
                <w:i/>
                <w:szCs w:val="24"/>
              </w:rPr>
            </w:pPr>
            <w:r w:rsidRPr="008C7879">
              <w:rPr>
                <w:i/>
              </w:rPr>
              <w:t xml:space="preserve">-1.7 </w:t>
            </w:r>
          </w:p>
        </w:tc>
        <w:tc>
          <w:tcPr>
            <w:tcW w:w="689" w:type="pct"/>
            <w:vAlign w:val="center"/>
          </w:tcPr>
          <w:p w:rsidR="00107754" w:rsidRPr="008C7879" w:rsidRDefault="00107754" w:rsidP="008C7879">
            <w:pPr>
              <w:pStyle w:val="TableTextRight"/>
              <w:rPr>
                <w:i/>
                <w:szCs w:val="24"/>
              </w:rPr>
            </w:pPr>
            <w:r w:rsidRPr="008C7879">
              <w:rPr>
                <w:i/>
              </w:rPr>
              <w:t xml:space="preserve">-0.9 </w:t>
            </w:r>
          </w:p>
        </w:tc>
        <w:tc>
          <w:tcPr>
            <w:tcW w:w="690" w:type="pct"/>
            <w:vAlign w:val="center"/>
          </w:tcPr>
          <w:p w:rsidR="00107754" w:rsidRPr="008C7879" w:rsidRDefault="00107754" w:rsidP="008C7879">
            <w:pPr>
              <w:pStyle w:val="TableTextRight"/>
              <w:rPr>
                <w:b/>
                <w:i/>
                <w:szCs w:val="24"/>
              </w:rPr>
            </w:pPr>
            <w:r w:rsidRPr="008C7879">
              <w:rPr>
                <w:b/>
                <w:i/>
              </w:rPr>
              <w:t xml:space="preserve">-5.2 </w:t>
            </w:r>
          </w:p>
        </w:tc>
      </w:tr>
      <w:tr w:rsidR="00107754" w:rsidRPr="007C2713" w:rsidTr="008C7879">
        <w:tc>
          <w:tcPr>
            <w:tcW w:w="1554" w:type="pct"/>
            <w:shd w:val="clear" w:color="auto" w:fill="D7DDE9" w:themeFill="accent3"/>
            <w:vAlign w:val="center"/>
          </w:tcPr>
          <w:p w:rsidR="00107754" w:rsidRPr="008B4C5B" w:rsidRDefault="00107754"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107754" w:rsidRPr="00F1750C" w:rsidRDefault="00107754" w:rsidP="008C7879">
            <w:pPr>
              <w:pStyle w:val="TableTextRight"/>
              <w:rPr>
                <w:b/>
                <w:bCs/>
                <w:szCs w:val="24"/>
              </w:rPr>
            </w:pPr>
            <w:r w:rsidRPr="00F1750C">
              <w:rPr>
                <w:b/>
                <w:bCs/>
              </w:rPr>
              <w:t xml:space="preserve">-1.7 </w:t>
            </w:r>
          </w:p>
        </w:tc>
        <w:tc>
          <w:tcPr>
            <w:tcW w:w="689" w:type="pct"/>
            <w:shd w:val="clear" w:color="auto" w:fill="D7DDE9" w:themeFill="accent3"/>
            <w:vAlign w:val="center"/>
          </w:tcPr>
          <w:p w:rsidR="00107754" w:rsidRPr="00F1750C" w:rsidRDefault="00107754" w:rsidP="008C7879">
            <w:pPr>
              <w:pStyle w:val="TableTextRight"/>
              <w:rPr>
                <w:b/>
                <w:bCs/>
                <w:szCs w:val="24"/>
              </w:rPr>
            </w:pPr>
            <w:r w:rsidRPr="00F1750C">
              <w:rPr>
                <w:b/>
                <w:bCs/>
              </w:rPr>
              <w:t xml:space="preserve">-3.3 </w:t>
            </w:r>
          </w:p>
        </w:tc>
        <w:tc>
          <w:tcPr>
            <w:tcW w:w="689" w:type="pct"/>
            <w:shd w:val="clear" w:color="auto" w:fill="D7DDE9" w:themeFill="accent3"/>
            <w:vAlign w:val="center"/>
          </w:tcPr>
          <w:p w:rsidR="00107754" w:rsidRPr="00F1750C" w:rsidRDefault="00107754" w:rsidP="008C7879">
            <w:pPr>
              <w:pStyle w:val="TableTextRight"/>
              <w:rPr>
                <w:b/>
                <w:bCs/>
                <w:szCs w:val="24"/>
              </w:rPr>
            </w:pPr>
            <w:r w:rsidRPr="00F1750C">
              <w:rPr>
                <w:b/>
                <w:bCs/>
              </w:rPr>
              <w:t xml:space="preserve">-3.3 </w:t>
            </w:r>
          </w:p>
        </w:tc>
        <w:tc>
          <w:tcPr>
            <w:tcW w:w="689" w:type="pct"/>
            <w:shd w:val="clear" w:color="auto" w:fill="D7DDE9" w:themeFill="accent3"/>
            <w:vAlign w:val="center"/>
          </w:tcPr>
          <w:p w:rsidR="00107754" w:rsidRPr="00F1750C" w:rsidRDefault="00107754" w:rsidP="008C7879">
            <w:pPr>
              <w:pStyle w:val="TableTextRight"/>
              <w:rPr>
                <w:b/>
                <w:bCs/>
                <w:szCs w:val="24"/>
              </w:rPr>
            </w:pPr>
            <w:r w:rsidRPr="00F1750C">
              <w:rPr>
                <w:b/>
                <w:bCs/>
              </w:rPr>
              <w:t xml:space="preserve">-1.7 </w:t>
            </w:r>
          </w:p>
        </w:tc>
        <w:tc>
          <w:tcPr>
            <w:tcW w:w="690" w:type="pct"/>
            <w:shd w:val="clear" w:color="auto" w:fill="D7DDE9" w:themeFill="accent3"/>
            <w:vAlign w:val="center"/>
          </w:tcPr>
          <w:p w:rsidR="00107754" w:rsidRPr="00F1750C" w:rsidRDefault="00107754" w:rsidP="008C7879">
            <w:pPr>
              <w:pStyle w:val="TableTextRight"/>
              <w:rPr>
                <w:b/>
                <w:bCs/>
                <w:szCs w:val="24"/>
              </w:rPr>
            </w:pPr>
            <w:r w:rsidRPr="00F1750C">
              <w:rPr>
                <w:b/>
                <w:bCs/>
              </w:rPr>
              <w:t xml:space="preserve">-10.0 </w:t>
            </w:r>
          </w:p>
        </w:tc>
      </w:tr>
    </w:tbl>
    <w:p w:rsidR="00107754" w:rsidRPr="00107754" w:rsidRDefault="00107754" w:rsidP="007A2A7B">
      <w:pPr>
        <w:pStyle w:val="Footnotes"/>
        <w:numPr>
          <w:ilvl w:val="0"/>
          <w:numId w:val="78"/>
        </w:numPr>
        <w:ind w:left="284" w:hanging="284"/>
      </w:pPr>
      <w:r w:rsidRPr="00107754">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107754" w:rsidRDefault="00107754" w:rsidP="007A2A7B">
      <w:pPr>
        <w:pStyle w:val="Footnotes"/>
        <w:ind w:left="284" w:hanging="284"/>
      </w:pPr>
      <w:r w:rsidRPr="00107754">
        <w:t>Figures may not sum to totals due to rounding.</w:t>
      </w:r>
    </w:p>
    <w:p w:rsidR="00107754" w:rsidRPr="00FC6579" w:rsidRDefault="00107754" w:rsidP="00107754">
      <w:pPr>
        <w:pStyle w:val="Caption"/>
      </w:pPr>
      <w:r w:rsidRPr="00FC5643">
        <w:t xml:space="preserve">Table </w:t>
      </w:r>
      <w:r>
        <w:t>A6</w:t>
      </w:r>
      <w:r w:rsidRPr="00FC5643">
        <w:t xml:space="preserve">: </w:t>
      </w:r>
      <w:r w:rsidRPr="00F1750C">
        <w:t>Component 5</w:t>
      </w:r>
      <w:r>
        <w:t xml:space="preserve"> </w:t>
      </w:r>
      <w:r w:rsidR="00E51946">
        <w:t>–</w:t>
      </w:r>
      <w:r w:rsidRPr="00F1750C">
        <w:t xml:space="preserve"> Provide funding to Children with a Disability Australia</w:t>
      </w:r>
      <w:r>
        <w:t>—Financial</w:t>
      </w:r>
      <w:r w:rsidR="008F4C8F">
        <w:t> </w:t>
      </w:r>
      <w:r>
        <w:t>implications</w:t>
      </w:r>
      <w:r w:rsidRPr="00F1750C">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10775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107754" w:rsidRPr="007C2713" w:rsidRDefault="00107754" w:rsidP="008C7879">
            <w:pPr>
              <w:pStyle w:val="TableText"/>
              <w:rPr>
                <w:b w:val="0"/>
              </w:rPr>
            </w:pPr>
            <w:r>
              <w:t>($m)</w:t>
            </w:r>
          </w:p>
        </w:tc>
        <w:tc>
          <w:tcPr>
            <w:tcW w:w="689" w:type="pct"/>
            <w:vAlign w:val="center"/>
          </w:tcPr>
          <w:p w:rsidR="00107754" w:rsidRDefault="00107754" w:rsidP="008C7879">
            <w:pPr>
              <w:pStyle w:val="TableTextRight"/>
              <w:rPr>
                <w:b w:val="0"/>
              </w:rPr>
            </w:pPr>
            <w:r>
              <w:t>2016–17</w:t>
            </w:r>
          </w:p>
        </w:tc>
        <w:tc>
          <w:tcPr>
            <w:tcW w:w="689" w:type="pct"/>
            <w:vAlign w:val="center"/>
          </w:tcPr>
          <w:p w:rsidR="00107754" w:rsidRDefault="00107754" w:rsidP="008C7879">
            <w:pPr>
              <w:pStyle w:val="TableTextRight"/>
              <w:rPr>
                <w:b w:val="0"/>
              </w:rPr>
            </w:pPr>
            <w:r>
              <w:t>2017–18</w:t>
            </w:r>
          </w:p>
        </w:tc>
        <w:tc>
          <w:tcPr>
            <w:tcW w:w="689" w:type="pct"/>
            <w:vAlign w:val="center"/>
          </w:tcPr>
          <w:p w:rsidR="00107754" w:rsidRDefault="00107754" w:rsidP="008C7879">
            <w:pPr>
              <w:pStyle w:val="TableTextRight"/>
              <w:rPr>
                <w:b w:val="0"/>
              </w:rPr>
            </w:pPr>
            <w:r>
              <w:t>2018–19</w:t>
            </w:r>
          </w:p>
        </w:tc>
        <w:tc>
          <w:tcPr>
            <w:tcW w:w="689" w:type="pct"/>
            <w:vAlign w:val="center"/>
          </w:tcPr>
          <w:p w:rsidR="00107754" w:rsidRDefault="00107754" w:rsidP="008C7879">
            <w:pPr>
              <w:pStyle w:val="TableTextRight"/>
              <w:rPr>
                <w:b w:val="0"/>
              </w:rPr>
            </w:pPr>
            <w:r>
              <w:t>2019–20</w:t>
            </w:r>
          </w:p>
        </w:tc>
        <w:tc>
          <w:tcPr>
            <w:tcW w:w="690" w:type="pct"/>
            <w:vAlign w:val="center"/>
          </w:tcPr>
          <w:p w:rsidR="00107754" w:rsidRDefault="00107754" w:rsidP="008C7879">
            <w:pPr>
              <w:pStyle w:val="TableTextRight"/>
            </w:pPr>
            <w:r>
              <w:t>Total to 2019–20</w:t>
            </w:r>
          </w:p>
        </w:tc>
      </w:tr>
      <w:tr w:rsidR="00107754" w:rsidTr="008C7879">
        <w:tc>
          <w:tcPr>
            <w:tcW w:w="5000" w:type="pct"/>
            <w:gridSpan w:val="6"/>
            <w:shd w:val="clear" w:color="auto" w:fill="E9ECF3" w:themeFill="accent2" w:themeFillTint="33"/>
            <w:vAlign w:val="center"/>
          </w:tcPr>
          <w:p w:rsidR="00107754" w:rsidRPr="006A0DF5" w:rsidRDefault="00107754" w:rsidP="008C7879">
            <w:pPr>
              <w:spacing w:before="70" w:after="70"/>
              <w:rPr>
                <w:b/>
                <w:i/>
                <w:iCs/>
                <w:color w:val="000000"/>
                <w:sz w:val="20"/>
                <w:szCs w:val="20"/>
              </w:rPr>
            </w:pPr>
            <w:r w:rsidRPr="008B4C5B">
              <w:rPr>
                <w:b/>
                <w:sz w:val="20"/>
                <w:szCs w:val="20"/>
              </w:rPr>
              <w:t>Impact on fiscal and underlying cash balances</w:t>
            </w:r>
          </w:p>
        </w:tc>
      </w:tr>
      <w:tr w:rsidR="00107754" w:rsidTr="008C7879">
        <w:tc>
          <w:tcPr>
            <w:tcW w:w="1554" w:type="pct"/>
            <w:vAlign w:val="center"/>
          </w:tcPr>
          <w:p w:rsidR="00107754" w:rsidRPr="008B4C5B" w:rsidRDefault="00107754"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-0.1</w:t>
            </w:r>
          </w:p>
        </w:tc>
        <w:tc>
          <w:tcPr>
            <w:tcW w:w="689" w:type="pct"/>
            <w:vAlign w:val="center"/>
          </w:tcPr>
          <w:p w:rsidR="00107754" w:rsidRPr="008C7879" w:rsidRDefault="00107754" w:rsidP="008C7879">
            <w:pPr>
              <w:pStyle w:val="TableTextRight"/>
              <w:rPr>
                <w:i/>
              </w:rPr>
            </w:pPr>
            <w:r w:rsidRPr="008C7879">
              <w:rPr>
                <w:i/>
              </w:rPr>
              <w:t>-0.1</w:t>
            </w:r>
          </w:p>
        </w:tc>
        <w:tc>
          <w:tcPr>
            <w:tcW w:w="689" w:type="pct"/>
            <w:vAlign w:val="center"/>
          </w:tcPr>
          <w:p w:rsidR="00107754" w:rsidRPr="008C7879" w:rsidRDefault="00107754" w:rsidP="008C7879">
            <w:pPr>
              <w:pStyle w:val="TableTextRight"/>
              <w:rPr>
                <w:i/>
              </w:rPr>
            </w:pPr>
            <w:r w:rsidRPr="008C7879">
              <w:rPr>
                <w:i/>
              </w:rPr>
              <w:t>-0.1</w:t>
            </w:r>
          </w:p>
        </w:tc>
        <w:tc>
          <w:tcPr>
            <w:tcW w:w="690" w:type="pct"/>
            <w:vAlign w:val="center"/>
          </w:tcPr>
          <w:p w:rsidR="00107754" w:rsidRPr="008C7879" w:rsidRDefault="00107754" w:rsidP="008C7879">
            <w:pPr>
              <w:pStyle w:val="TableTextRight"/>
              <w:rPr>
                <w:b/>
                <w:i/>
              </w:rPr>
            </w:pPr>
            <w:r w:rsidRPr="008C7879">
              <w:rPr>
                <w:b/>
                <w:i/>
              </w:rPr>
              <w:t>-0.4</w:t>
            </w:r>
          </w:p>
        </w:tc>
      </w:tr>
      <w:tr w:rsidR="00107754" w:rsidTr="008C7879">
        <w:tc>
          <w:tcPr>
            <w:tcW w:w="1554" w:type="pct"/>
            <w:vAlign w:val="center"/>
          </w:tcPr>
          <w:p w:rsidR="00107754" w:rsidRPr="008B4C5B" w:rsidRDefault="00107754"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90" w:type="pct"/>
            <w:vAlign w:val="center"/>
          </w:tcPr>
          <w:p w:rsidR="00107754" w:rsidRPr="008C7879" w:rsidRDefault="00107754" w:rsidP="008C7879">
            <w:pPr>
              <w:pStyle w:val="TableTextRight"/>
              <w:rPr>
                <w:b/>
                <w:i/>
              </w:rPr>
            </w:pPr>
            <w:r w:rsidRPr="008C7879">
              <w:rPr>
                <w:b/>
                <w:i/>
              </w:rPr>
              <w:t>..</w:t>
            </w:r>
          </w:p>
        </w:tc>
      </w:tr>
      <w:tr w:rsidR="00107754" w:rsidRPr="007C2713" w:rsidTr="008C7879">
        <w:tc>
          <w:tcPr>
            <w:tcW w:w="1554" w:type="pct"/>
            <w:shd w:val="clear" w:color="auto" w:fill="D7DDE9" w:themeFill="accent3"/>
            <w:vAlign w:val="center"/>
          </w:tcPr>
          <w:p w:rsidR="00107754" w:rsidRPr="008B4C5B" w:rsidRDefault="00107754"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107754" w:rsidRPr="00C02940" w:rsidRDefault="00107754" w:rsidP="008C7879">
            <w:pPr>
              <w:pStyle w:val="TableTextRight"/>
              <w:rPr>
                <w:b/>
                <w:bCs/>
              </w:rPr>
            </w:pPr>
            <w:r w:rsidRPr="00C02940">
              <w:rPr>
                <w:b/>
                <w:bCs/>
              </w:rPr>
              <w:t>-</w:t>
            </w:r>
          </w:p>
        </w:tc>
        <w:tc>
          <w:tcPr>
            <w:tcW w:w="689" w:type="pct"/>
            <w:shd w:val="clear" w:color="auto" w:fill="D7DDE9" w:themeFill="accent3"/>
            <w:vAlign w:val="center"/>
          </w:tcPr>
          <w:p w:rsidR="00107754" w:rsidRPr="00C02940" w:rsidRDefault="00107754" w:rsidP="008C7879">
            <w:pPr>
              <w:pStyle w:val="TableTextRight"/>
              <w:rPr>
                <w:b/>
              </w:rPr>
            </w:pPr>
            <w:r w:rsidRPr="00C02940">
              <w:rPr>
                <w:b/>
              </w:rPr>
              <w:t>-0.</w:t>
            </w:r>
            <w:r>
              <w:rPr>
                <w:b/>
              </w:rPr>
              <w:t>2</w:t>
            </w:r>
          </w:p>
        </w:tc>
        <w:tc>
          <w:tcPr>
            <w:tcW w:w="689" w:type="pct"/>
            <w:shd w:val="clear" w:color="auto" w:fill="D7DDE9" w:themeFill="accent3"/>
            <w:vAlign w:val="center"/>
          </w:tcPr>
          <w:p w:rsidR="00107754" w:rsidRPr="00C02940" w:rsidRDefault="00107754" w:rsidP="008C7879">
            <w:pPr>
              <w:pStyle w:val="TableTextRight"/>
              <w:rPr>
                <w:b/>
              </w:rPr>
            </w:pPr>
            <w:r w:rsidRPr="00C02940">
              <w:rPr>
                <w:b/>
              </w:rPr>
              <w:t>-0.</w:t>
            </w:r>
            <w:r>
              <w:rPr>
                <w:b/>
              </w:rPr>
              <w:t>2</w:t>
            </w:r>
          </w:p>
        </w:tc>
        <w:tc>
          <w:tcPr>
            <w:tcW w:w="689" w:type="pct"/>
            <w:shd w:val="clear" w:color="auto" w:fill="D7DDE9" w:themeFill="accent3"/>
            <w:vAlign w:val="center"/>
          </w:tcPr>
          <w:p w:rsidR="00107754" w:rsidRPr="00C02940" w:rsidRDefault="00107754" w:rsidP="008C7879">
            <w:pPr>
              <w:pStyle w:val="TableTextRight"/>
              <w:rPr>
                <w:b/>
              </w:rPr>
            </w:pPr>
            <w:r w:rsidRPr="00C02940">
              <w:rPr>
                <w:b/>
              </w:rPr>
              <w:t>-0.</w:t>
            </w:r>
            <w:r>
              <w:rPr>
                <w:b/>
              </w:rPr>
              <w:t>2</w:t>
            </w:r>
          </w:p>
        </w:tc>
        <w:tc>
          <w:tcPr>
            <w:tcW w:w="690" w:type="pct"/>
            <w:shd w:val="clear" w:color="auto" w:fill="D7DDE9" w:themeFill="accent3"/>
            <w:vAlign w:val="center"/>
          </w:tcPr>
          <w:p w:rsidR="00107754" w:rsidRPr="006A0DF5" w:rsidRDefault="00107754" w:rsidP="008C7879">
            <w:pPr>
              <w:pStyle w:val="TableTextRight"/>
              <w:rPr>
                <w:b/>
              </w:rPr>
            </w:pPr>
            <w:r w:rsidRPr="006A0DF5">
              <w:rPr>
                <w:b/>
              </w:rPr>
              <w:t>-0.</w:t>
            </w:r>
            <w:r>
              <w:rPr>
                <w:b/>
              </w:rPr>
              <w:t>5</w:t>
            </w:r>
          </w:p>
        </w:tc>
      </w:tr>
    </w:tbl>
    <w:p w:rsidR="00107754" w:rsidRPr="00107754" w:rsidRDefault="00107754" w:rsidP="007A2A7B">
      <w:pPr>
        <w:pStyle w:val="Footnotes"/>
        <w:numPr>
          <w:ilvl w:val="0"/>
          <w:numId w:val="79"/>
        </w:numPr>
        <w:ind w:left="284" w:hanging="284"/>
      </w:pPr>
      <w:r w:rsidRPr="00107754">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107754" w:rsidRPr="00107754" w:rsidRDefault="00107754" w:rsidP="007A2A7B">
      <w:pPr>
        <w:pStyle w:val="Footnotes"/>
        <w:ind w:left="284" w:hanging="284"/>
      </w:pPr>
      <w:r w:rsidRPr="00107754">
        <w:t>Figures may not sum to totals due to rounding.</w:t>
      </w:r>
    </w:p>
    <w:p w:rsidR="00107754" w:rsidRPr="00107754" w:rsidRDefault="00107754" w:rsidP="007A2A7B">
      <w:pPr>
        <w:pStyle w:val="Footnotes"/>
        <w:numPr>
          <w:ilvl w:val="0"/>
          <w:numId w:val="0"/>
        </w:numPr>
        <w:ind w:left="284" w:hanging="284"/>
      </w:pPr>
      <w:r w:rsidRPr="00107754">
        <w:t>..</w:t>
      </w:r>
      <w:r w:rsidRPr="00107754">
        <w:tab/>
        <w:t>Indicates the value is not zero, but rounded to zero.</w:t>
      </w:r>
    </w:p>
    <w:p w:rsidR="00107754" w:rsidRPr="00107754" w:rsidRDefault="00107754" w:rsidP="00107754">
      <w:pPr>
        <w:pStyle w:val="Caption"/>
      </w:pPr>
      <w:r w:rsidRPr="00107754">
        <w:t>Table A7: Reverse the 2016-17 Budget measure, School Funding – additional funding for students with a disability—Financial implications</w:t>
      </w:r>
      <w:r w:rsidRPr="00107754">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10775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107754" w:rsidRPr="007C2713" w:rsidRDefault="00107754" w:rsidP="008C7879">
            <w:pPr>
              <w:pStyle w:val="TableText"/>
              <w:rPr>
                <w:b w:val="0"/>
              </w:rPr>
            </w:pPr>
            <w:r>
              <w:t>($m)</w:t>
            </w:r>
          </w:p>
        </w:tc>
        <w:tc>
          <w:tcPr>
            <w:tcW w:w="689" w:type="pct"/>
            <w:vAlign w:val="center"/>
          </w:tcPr>
          <w:p w:rsidR="00107754" w:rsidRDefault="00107754" w:rsidP="008C7879">
            <w:pPr>
              <w:pStyle w:val="TableTextRight"/>
              <w:rPr>
                <w:b w:val="0"/>
              </w:rPr>
            </w:pPr>
            <w:r>
              <w:t>2016–17</w:t>
            </w:r>
          </w:p>
        </w:tc>
        <w:tc>
          <w:tcPr>
            <w:tcW w:w="689" w:type="pct"/>
            <w:vAlign w:val="center"/>
          </w:tcPr>
          <w:p w:rsidR="00107754" w:rsidRDefault="00107754" w:rsidP="008C7879">
            <w:pPr>
              <w:pStyle w:val="TableTextRight"/>
              <w:rPr>
                <w:b w:val="0"/>
              </w:rPr>
            </w:pPr>
            <w:r>
              <w:t>2017–18</w:t>
            </w:r>
          </w:p>
        </w:tc>
        <w:tc>
          <w:tcPr>
            <w:tcW w:w="689" w:type="pct"/>
            <w:vAlign w:val="center"/>
          </w:tcPr>
          <w:p w:rsidR="00107754" w:rsidRDefault="00107754" w:rsidP="008C7879">
            <w:pPr>
              <w:pStyle w:val="TableTextRight"/>
              <w:rPr>
                <w:b w:val="0"/>
              </w:rPr>
            </w:pPr>
            <w:r>
              <w:t>2018–19</w:t>
            </w:r>
          </w:p>
        </w:tc>
        <w:tc>
          <w:tcPr>
            <w:tcW w:w="689" w:type="pct"/>
            <w:vAlign w:val="center"/>
          </w:tcPr>
          <w:p w:rsidR="00107754" w:rsidRDefault="00107754" w:rsidP="008C7879">
            <w:pPr>
              <w:pStyle w:val="TableTextRight"/>
              <w:rPr>
                <w:b w:val="0"/>
              </w:rPr>
            </w:pPr>
            <w:r>
              <w:t>2019–20</w:t>
            </w:r>
          </w:p>
        </w:tc>
        <w:tc>
          <w:tcPr>
            <w:tcW w:w="690" w:type="pct"/>
            <w:vAlign w:val="center"/>
          </w:tcPr>
          <w:p w:rsidR="00107754" w:rsidRDefault="00107754" w:rsidP="008C7879">
            <w:pPr>
              <w:pStyle w:val="TableTextRight"/>
            </w:pPr>
            <w:r>
              <w:t>Total to 2019–20</w:t>
            </w:r>
          </w:p>
        </w:tc>
      </w:tr>
      <w:tr w:rsidR="00107754" w:rsidTr="008C7879">
        <w:tc>
          <w:tcPr>
            <w:tcW w:w="5000" w:type="pct"/>
            <w:gridSpan w:val="6"/>
            <w:shd w:val="clear" w:color="auto" w:fill="E9ECF3" w:themeFill="accent2" w:themeFillTint="33"/>
            <w:vAlign w:val="center"/>
          </w:tcPr>
          <w:p w:rsidR="00107754" w:rsidRPr="006A0DF5" w:rsidRDefault="00107754" w:rsidP="008C7879">
            <w:pPr>
              <w:spacing w:before="70" w:after="70"/>
              <w:rPr>
                <w:b/>
                <w:i/>
                <w:iCs/>
                <w:color w:val="000000"/>
                <w:sz w:val="20"/>
                <w:szCs w:val="20"/>
              </w:rPr>
            </w:pPr>
            <w:r w:rsidRPr="008B4C5B">
              <w:rPr>
                <w:b/>
                <w:sz w:val="20"/>
                <w:szCs w:val="20"/>
              </w:rPr>
              <w:t>Impact on fiscal and underlying cash balances</w:t>
            </w:r>
          </w:p>
        </w:tc>
      </w:tr>
      <w:tr w:rsidR="00107754" w:rsidTr="008C7879">
        <w:tc>
          <w:tcPr>
            <w:tcW w:w="1554" w:type="pct"/>
            <w:vAlign w:val="center"/>
          </w:tcPr>
          <w:p w:rsidR="00107754" w:rsidRPr="008B4C5B" w:rsidRDefault="00107754" w:rsidP="008C7879">
            <w:pPr>
              <w:spacing w:before="70" w:after="70"/>
              <w:rPr>
                <w:iCs/>
                <w:color w:val="000000"/>
                <w:sz w:val="20"/>
                <w:szCs w:val="20"/>
              </w:rPr>
            </w:pPr>
            <w:r w:rsidRPr="008B4C5B">
              <w:rPr>
                <w:iCs/>
                <w:color w:val="000000"/>
                <w:sz w:val="20"/>
                <w:szCs w:val="20"/>
              </w:rPr>
              <w:t>Administered</w:t>
            </w:r>
          </w:p>
        </w:tc>
        <w:tc>
          <w:tcPr>
            <w:tcW w:w="689" w:type="pct"/>
            <w:vAlign w:val="center"/>
          </w:tcPr>
          <w:p w:rsidR="00107754" w:rsidRPr="008C7879" w:rsidRDefault="00107754" w:rsidP="008C7879">
            <w:pPr>
              <w:pStyle w:val="TableTextRight"/>
              <w:rPr>
                <w:i/>
              </w:rPr>
            </w:pPr>
            <w:r w:rsidRPr="008C7879">
              <w:rPr>
                <w:i/>
              </w:rPr>
              <w:t>86.7</w:t>
            </w:r>
          </w:p>
        </w:tc>
        <w:tc>
          <w:tcPr>
            <w:tcW w:w="689" w:type="pct"/>
            <w:vAlign w:val="center"/>
          </w:tcPr>
          <w:p w:rsidR="00107754" w:rsidRPr="008C7879" w:rsidRDefault="00107754" w:rsidP="008C7879">
            <w:pPr>
              <w:pStyle w:val="TableTextRight"/>
              <w:rPr>
                <w:i/>
              </w:rPr>
            </w:pPr>
            <w:r w:rsidRPr="008C7879">
              <w:rPr>
                <w:i/>
              </w:rPr>
              <w:t>31.6</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90" w:type="pct"/>
            <w:vAlign w:val="center"/>
          </w:tcPr>
          <w:p w:rsidR="00107754" w:rsidRPr="008C7879" w:rsidRDefault="00107754" w:rsidP="008C7879">
            <w:pPr>
              <w:pStyle w:val="TableTextRight"/>
              <w:rPr>
                <w:b/>
                <w:i/>
              </w:rPr>
            </w:pPr>
            <w:r w:rsidRPr="008C7879">
              <w:rPr>
                <w:b/>
                <w:i/>
              </w:rPr>
              <w:t>118.3</w:t>
            </w:r>
          </w:p>
        </w:tc>
      </w:tr>
      <w:tr w:rsidR="00107754" w:rsidTr="008C7879">
        <w:tc>
          <w:tcPr>
            <w:tcW w:w="1554" w:type="pct"/>
            <w:vAlign w:val="center"/>
          </w:tcPr>
          <w:p w:rsidR="00107754" w:rsidRPr="008B4C5B" w:rsidRDefault="00107754" w:rsidP="008C7879">
            <w:pPr>
              <w:spacing w:before="70" w:after="70"/>
              <w:rPr>
                <w:i/>
                <w:iCs/>
                <w:color w:val="000000"/>
                <w:sz w:val="20"/>
                <w:szCs w:val="20"/>
              </w:rPr>
            </w:pPr>
            <w:r w:rsidRPr="008B4C5B">
              <w:rPr>
                <w:iCs/>
                <w:color w:val="000000"/>
                <w:sz w:val="20"/>
                <w:szCs w:val="20"/>
              </w:rPr>
              <w:t>Departmental</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89" w:type="pct"/>
            <w:vAlign w:val="center"/>
          </w:tcPr>
          <w:p w:rsidR="00107754" w:rsidRPr="008C7879" w:rsidRDefault="00107754" w:rsidP="008C7879">
            <w:pPr>
              <w:pStyle w:val="TableTextRight"/>
              <w:rPr>
                <w:i/>
              </w:rPr>
            </w:pPr>
            <w:r w:rsidRPr="008C7879">
              <w:rPr>
                <w:i/>
              </w:rPr>
              <w:t>-</w:t>
            </w:r>
          </w:p>
        </w:tc>
        <w:tc>
          <w:tcPr>
            <w:tcW w:w="690" w:type="pct"/>
            <w:vAlign w:val="center"/>
          </w:tcPr>
          <w:p w:rsidR="00107754" w:rsidRPr="008C7879" w:rsidRDefault="00107754" w:rsidP="008C7879">
            <w:pPr>
              <w:pStyle w:val="TableTextRight"/>
              <w:rPr>
                <w:b/>
                <w:i/>
              </w:rPr>
            </w:pPr>
            <w:r w:rsidRPr="008C7879">
              <w:rPr>
                <w:b/>
                <w:i/>
              </w:rPr>
              <w:t>-</w:t>
            </w:r>
          </w:p>
        </w:tc>
      </w:tr>
      <w:tr w:rsidR="00107754" w:rsidRPr="007C2713" w:rsidTr="008C7879">
        <w:tc>
          <w:tcPr>
            <w:tcW w:w="1554" w:type="pct"/>
            <w:shd w:val="clear" w:color="auto" w:fill="D7DDE9" w:themeFill="accent3"/>
            <w:vAlign w:val="center"/>
          </w:tcPr>
          <w:p w:rsidR="00107754" w:rsidRPr="008B4C5B" w:rsidRDefault="00107754" w:rsidP="008C7879">
            <w:pPr>
              <w:spacing w:before="70" w:after="70"/>
              <w:rPr>
                <w:b/>
                <w:bCs/>
                <w:color w:val="000000"/>
                <w:sz w:val="20"/>
                <w:szCs w:val="20"/>
              </w:rPr>
            </w:pPr>
            <w:r w:rsidRPr="008B4C5B">
              <w:rPr>
                <w:b/>
                <w:bCs/>
                <w:color w:val="000000"/>
                <w:sz w:val="20"/>
                <w:szCs w:val="20"/>
              </w:rPr>
              <w:t xml:space="preserve">Total </w:t>
            </w:r>
          </w:p>
        </w:tc>
        <w:tc>
          <w:tcPr>
            <w:tcW w:w="689" w:type="pct"/>
            <w:shd w:val="clear" w:color="auto" w:fill="D7DDE9" w:themeFill="accent3"/>
            <w:vAlign w:val="center"/>
          </w:tcPr>
          <w:p w:rsidR="00107754" w:rsidRPr="00F1750C" w:rsidRDefault="00107754" w:rsidP="008C7879">
            <w:pPr>
              <w:pStyle w:val="TableTextRight"/>
              <w:rPr>
                <w:b/>
                <w:bCs/>
              </w:rPr>
            </w:pPr>
            <w:r>
              <w:rPr>
                <w:b/>
                <w:bCs/>
              </w:rPr>
              <w:t>86.7</w:t>
            </w:r>
          </w:p>
        </w:tc>
        <w:tc>
          <w:tcPr>
            <w:tcW w:w="689" w:type="pct"/>
            <w:shd w:val="clear" w:color="auto" w:fill="D7DDE9" w:themeFill="accent3"/>
            <w:vAlign w:val="center"/>
          </w:tcPr>
          <w:p w:rsidR="00107754" w:rsidRPr="00F1750C" w:rsidRDefault="00107754" w:rsidP="008C7879">
            <w:pPr>
              <w:pStyle w:val="TableTextRight"/>
              <w:rPr>
                <w:b/>
                <w:bCs/>
              </w:rPr>
            </w:pPr>
            <w:r>
              <w:rPr>
                <w:b/>
                <w:bCs/>
              </w:rPr>
              <w:t>31.6</w:t>
            </w:r>
          </w:p>
        </w:tc>
        <w:tc>
          <w:tcPr>
            <w:tcW w:w="689" w:type="pct"/>
            <w:shd w:val="clear" w:color="auto" w:fill="D7DDE9" w:themeFill="accent3"/>
            <w:vAlign w:val="center"/>
          </w:tcPr>
          <w:p w:rsidR="00107754" w:rsidRPr="00F1750C" w:rsidRDefault="00107754" w:rsidP="008C7879">
            <w:pPr>
              <w:pStyle w:val="TableTextRight"/>
              <w:rPr>
                <w:b/>
                <w:bCs/>
              </w:rPr>
            </w:pPr>
            <w:r>
              <w:rPr>
                <w:b/>
                <w:bCs/>
              </w:rPr>
              <w:t>-</w:t>
            </w:r>
          </w:p>
        </w:tc>
        <w:tc>
          <w:tcPr>
            <w:tcW w:w="689" w:type="pct"/>
            <w:shd w:val="clear" w:color="auto" w:fill="D7DDE9" w:themeFill="accent3"/>
            <w:vAlign w:val="center"/>
          </w:tcPr>
          <w:p w:rsidR="00107754" w:rsidRPr="00F1750C" w:rsidRDefault="00107754" w:rsidP="008C7879">
            <w:pPr>
              <w:pStyle w:val="TableTextRight"/>
              <w:rPr>
                <w:b/>
                <w:bCs/>
              </w:rPr>
            </w:pPr>
            <w:r>
              <w:rPr>
                <w:b/>
                <w:bCs/>
              </w:rPr>
              <w:t>-</w:t>
            </w:r>
          </w:p>
        </w:tc>
        <w:tc>
          <w:tcPr>
            <w:tcW w:w="690" w:type="pct"/>
            <w:shd w:val="clear" w:color="auto" w:fill="D7DDE9" w:themeFill="accent3"/>
            <w:vAlign w:val="center"/>
          </w:tcPr>
          <w:p w:rsidR="00107754" w:rsidRPr="00F1750C" w:rsidRDefault="00107754" w:rsidP="008C7879">
            <w:pPr>
              <w:pStyle w:val="TableTextRight"/>
              <w:rPr>
                <w:b/>
                <w:bCs/>
              </w:rPr>
            </w:pPr>
            <w:r>
              <w:rPr>
                <w:b/>
                <w:bCs/>
              </w:rPr>
              <w:t>118.3</w:t>
            </w:r>
          </w:p>
        </w:tc>
      </w:tr>
    </w:tbl>
    <w:p w:rsidR="00107754" w:rsidRPr="00107754" w:rsidRDefault="00107754" w:rsidP="007A2A7B">
      <w:pPr>
        <w:pStyle w:val="Footnotes"/>
        <w:numPr>
          <w:ilvl w:val="0"/>
          <w:numId w:val="80"/>
        </w:numPr>
        <w:ind w:left="284" w:hanging="284"/>
      </w:pPr>
      <w:r w:rsidRPr="0010775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107754" w:rsidRPr="00107754" w:rsidRDefault="00107754" w:rsidP="007A2A7B">
      <w:pPr>
        <w:pStyle w:val="Footnotes"/>
        <w:ind w:left="284" w:hanging="284"/>
      </w:pPr>
      <w:r w:rsidRPr="00107754">
        <w:t>Figures may not sum to totals due to rounding.</w:t>
      </w:r>
    </w:p>
    <w:p w:rsidR="00A1709D" w:rsidRPr="00951305" w:rsidRDefault="00107754" w:rsidP="007A2A7B">
      <w:pPr>
        <w:pStyle w:val="Footnotes"/>
        <w:numPr>
          <w:ilvl w:val="0"/>
          <w:numId w:val="0"/>
        </w:numPr>
        <w:ind w:left="284" w:hanging="284"/>
      </w:pPr>
      <w:r w:rsidRPr="00107754">
        <w:t>-</w:t>
      </w:r>
      <w:r w:rsidRPr="00107754">
        <w:tab/>
        <w:t>Indicates nil.</w:t>
      </w:r>
    </w:p>
    <w:p w:rsidR="00420CF4" w:rsidRDefault="00420CF4" w:rsidP="007A2A7B">
      <w:pPr>
        <w:pStyle w:val="BodyText"/>
        <w:ind w:left="284" w:hanging="284"/>
        <w:contextualSpacing/>
        <w:sectPr w:rsidR="00420CF4" w:rsidSect="007A2A7B">
          <w:footnotePr>
            <w:numRestart w:val="eachSect"/>
          </w:footnotePr>
          <w:pgSz w:w="11906" w:h="16838" w:code="9"/>
          <w:pgMar w:top="1361" w:right="1797" w:bottom="1474" w:left="1797" w:header="283" w:footer="454" w:gutter="0"/>
          <w:cols w:space="708"/>
          <w:docGrid w:linePitch="360"/>
        </w:sectPr>
      </w:pPr>
    </w:p>
    <w:p w:rsidR="00297CCF" w:rsidRDefault="00297CCF" w:rsidP="00297CCF">
      <w:pPr>
        <w:pStyle w:val="Heading5"/>
        <w:ind w:left="1080" w:hanging="1080"/>
      </w:pPr>
      <w:bookmarkStart w:id="45" w:name="_Toc458081665"/>
      <w:r>
        <w:t>ALP04</w:t>
      </w:r>
      <w:r w:rsidR="00D84B6F">
        <w:t>1</w:t>
      </w:r>
      <w:r>
        <w:t>: ATSI Teaching Scholarships</w:t>
      </w:r>
      <w:bookmarkEnd w:id="45"/>
    </w:p>
    <w:p w:rsidR="00967B83" w:rsidRDefault="00967B83" w:rsidP="00967B83">
      <w:pPr>
        <w:pStyle w:val="BodyText"/>
      </w:pPr>
      <w:r>
        <w:rPr>
          <w:noProof/>
          <w:lang w:eastAsia="en-AU"/>
        </w:rPr>
        <w:drawing>
          <wp:inline distT="0" distB="0" distL="0" distR="0" wp14:anchorId="7B611855" wp14:editId="56EF7754">
            <wp:extent cx="2696845" cy="572135"/>
            <wp:effectExtent l="0" t="0" r="8255" b="0"/>
            <wp:docPr id="329" name="Picture 32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297CCF" w:rsidRDefault="00297CCF" w:rsidP="00297CCF">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297CCF" w:rsidRPr="00E51946" w:rsidTr="009830EF">
        <w:trPr>
          <w:cnfStyle w:val="100000000000" w:firstRow="1" w:lastRow="0" w:firstColumn="0" w:lastColumn="0" w:oddVBand="0" w:evenVBand="0" w:oddHBand="0" w:evenHBand="0" w:firstRowFirstColumn="0" w:firstRowLastColumn="0" w:lastRowFirstColumn="0" w:lastRowLastColumn="0"/>
        </w:trPr>
        <w:tc>
          <w:tcPr>
            <w:tcW w:w="1809" w:type="pct"/>
          </w:tcPr>
          <w:p w:rsidR="00297CCF" w:rsidRPr="00E51946" w:rsidRDefault="00297CCF" w:rsidP="00BC1A2A">
            <w:pPr>
              <w:pStyle w:val="PullOutBoxHeading"/>
              <w:rPr>
                <w:b/>
              </w:rPr>
            </w:pPr>
            <w:r w:rsidRPr="00E51946">
              <w:rPr>
                <w:b/>
              </w:rPr>
              <w:t>Name of proposal:</w:t>
            </w:r>
          </w:p>
        </w:tc>
        <w:tc>
          <w:tcPr>
            <w:tcW w:w="3191" w:type="pct"/>
          </w:tcPr>
          <w:p w:rsidR="00297CCF" w:rsidRPr="00E51946" w:rsidRDefault="00097567" w:rsidP="00C21EBE">
            <w:pPr>
              <w:pStyle w:val="PullOutBoxHeading"/>
              <w:rPr>
                <w:b/>
              </w:rPr>
            </w:pPr>
            <w:r>
              <w:rPr>
                <w:b/>
              </w:rPr>
              <w:t>ATSI</w:t>
            </w:r>
            <w:r w:rsidR="00FD2A07" w:rsidRPr="00E51946">
              <w:rPr>
                <w:b/>
              </w:rPr>
              <w:t xml:space="preserve"> Teaching Scholarships</w:t>
            </w:r>
          </w:p>
        </w:tc>
      </w:tr>
      <w:tr w:rsidR="00297CCF" w:rsidRPr="00B45F94" w:rsidTr="009830EF">
        <w:tc>
          <w:tcPr>
            <w:tcW w:w="1809" w:type="pct"/>
          </w:tcPr>
          <w:p w:rsidR="00297CCF" w:rsidRPr="00B45F94" w:rsidRDefault="00297CCF" w:rsidP="00BC1A2A">
            <w:pPr>
              <w:pStyle w:val="PullOutBoxBodyText"/>
            </w:pPr>
            <w:r w:rsidRPr="00B45F94">
              <w:t>Summary of proposal:</w:t>
            </w:r>
          </w:p>
        </w:tc>
        <w:tc>
          <w:tcPr>
            <w:tcW w:w="3191" w:type="pct"/>
          </w:tcPr>
          <w:p w:rsidR="00FD2A07" w:rsidRDefault="00FD2A07" w:rsidP="00BC1A2A">
            <w:pPr>
              <w:pStyle w:val="PullOutBoxBodyText"/>
            </w:pPr>
            <w:r>
              <w:t>This proposal would provide 400 teacher training scholarships to increase the number of Indigenous teachers in classrooms.</w:t>
            </w:r>
          </w:p>
          <w:p w:rsidR="00FD2A07" w:rsidRDefault="00FD2A07" w:rsidP="00BC1A2A">
            <w:pPr>
              <w:pStyle w:val="PullOutBoxBodyText"/>
            </w:pPr>
            <w:r>
              <w:t>Scholarships would be valued at $5,000 per year of full time study and would be available for up to four years of continuous study.</w:t>
            </w:r>
          </w:p>
          <w:p w:rsidR="00FD2A07" w:rsidRDefault="00FD2A07" w:rsidP="00BC1A2A">
            <w:pPr>
              <w:pStyle w:val="PullOutBoxBodyText"/>
            </w:pPr>
            <w:r>
              <w:t>One hundred scholarships would be offered per year starting from 1 January 2017.</w:t>
            </w:r>
          </w:p>
          <w:p w:rsidR="00297CCF" w:rsidRPr="00B45F94" w:rsidRDefault="00FD2A07" w:rsidP="00BC1A2A">
            <w:pPr>
              <w:pStyle w:val="PullOutBoxBodyText"/>
            </w:pPr>
            <w:r>
              <w:t>Departmental expenditure of $200,000 per annum would be provided to administer the program.</w:t>
            </w:r>
          </w:p>
        </w:tc>
      </w:tr>
      <w:tr w:rsidR="00297CCF" w:rsidRPr="00B45F94" w:rsidTr="009830EF">
        <w:tc>
          <w:tcPr>
            <w:tcW w:w="1809" w:type="pct"/>
          </w:tcPr>
          <w:p w:rsidR="00297CCF" w:rsidRPr="00B45F94" w:rsidRDefault="00297CCF" w:rsidP="00BC1A2A">
            <w:pPr>
              <w:pStyle w:val="PullOutBoxBodyText"/>
            </w:pPr>
            <w:r>
              <w:t>Party:</w:t>
            </w:r>
          </w:p>
        </w:tc>
        <w:tc>
          <w:tcPr>
            <w:tcW w:w="3191" w:type="pct"/>
          </w:tcPr>
          <w:p w:rsidR="00297CCF" w:rsidRPr="00B45F94" w:rsidRDefault="00297CCF" w:rsidP="00BC1A2A">
            <w:pPr>
              <w:pStyle w:val="PullOutBoxBodyText"/>
            </w:pPr>
            <w:r>
              <w:t>Australian Labor Party</w:t>
            </w:r>
          </w:p>
        </w:tc>
      </w:tr>
      <w:tr w:rsidR="00297CCF" w:rsidRPr="00B45F94" w:rsidTr="009830EF">
        <w:tc>
          <w:tcPr>
            <w:tcW w:w="1809" w:type="pct"/>
          </w:tcPr>
          <w:p w:rsidR="00297CCF" w:rsidRPr="00B45F94" w:rsidRDefault="00297CCF" w:rsidP="00BC1A2A">
            <w:pPr>
              <w:pStyle w:val="PullOutBoxBodyText"/>
            </w:pPr>
            <w:r w:rsidRPr="00B45F94">
              <w:t>Expiry date for the costing:</w:t>
            </w:r>
          </w:p>
        </w:tc>
        <w:tc>
          <w:tcPr>
            <w:tcW w:w="3191" w:type="pct"/>
          </w:tcPr>
          <w:p w:rsidR="00297CCF" w:rsidRPr="00B45F94" w:rsidRDefault="00297CCF" w:rsidP="00BC1A2A">
            <w:pPr>
              <w:pStyle w:val="PullOutBoxBodyText"/>
            </w:pPr>
            <w:r>
              <w:t>R</w:t>
            </w:r>
            <w:r w:rsidRPr="0064604B">
              <w:t xml:space="preserve">elease of the </w:t>
            </w:r>
            <w:r>
              <w:t>next economic and fiscal update</w:t>
            </w:r>
          </w:p>
        </w:tc>
      </w:tr>
    </w:tbl>
    <w:p w:rsidR="00297CCF" w:rsidRDefault="00297CCF" w:rsidP="00297CCF">
      <w:pPr>
        <w:pStyle w:val="CostingsH7"/>
      </w:pPr>
      <w:r w:rsidRPr="00BF1EE6">
        <w:t>Costing overview</w:t>
      </w:r>
    </w:p>
    <w:p w:rsidR="00FD2A07" w:rsidRDefault="00FD2A07" w:rsidP="00FD2A07">
      <w:pPr>
        <w:pStyle w:val="BodyText"/>
      </w:pPr>
      <w:r>
        <w:t>This proposal would be expected to decrease the fiscal and underlying cash balances by $4.8 million over the 2016</w:t>
      </w:r>
      <w:r>
        <w:noBreakHyphen/>
        <w:t>17 Budget forward estimates period.  This impact reflects an increase in administered expenses of $4 million and an increase in departmental expenses of $0.8 million over this period.</w:t>
      </w:r>
    </w:p>
    <w:p w:rsidR="00FD2A07" w:rsidRDefault="00FD2A07" w:rsidP="00FD2A07">
      <w:pPr>
        <w:pStyle w:val="BodyText"/>
      </w:pPr>
      <w:r>
        <w:t>This proposal would have an impact beyond the forward estimates period that would decline over time as students complete their four years of full time study.  The proposal would have no financial impact beyond 2023</w:t>
      </w:r>
      <w:r>
        <w:noBreakHyphen/>
        <w:t>24.</w:t>
      </w:r>
    </w:p>
    <w:p w:rsidR="00FD2A07" w:rsidRPr="00FD2A07" w:rsidRDefault="00FD2A07" w:rsidP="00FD2A07">
      <w:pPr>
        <w:pStyle w:val="BodyText"/>
      </w:pPr>
      <w:r>
        <w:t>The costing is considered to be of high reliability as it is based on a specified level of payment to a specified number of recipients and specified departmental funding.</w:t>
      </w:r>
    </w:p>
    <w:p w:rsidR="00297CCF" w:rsidRDefault="00297CCF" w:rsidP="000C09EE">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297CCF" w:rsidRPr="00D264E1" w:rsidTr="009830EF">
        <w:trPr>
          <w:cnfStyle w:val="100000000000" w:firstRow="1" w:lastRow="0" w:firstColumn="0" w:lastColumn="0" w:oddVBand="0" w:evenVBand="0" w:oddHBand="0" w:evenHBand="0" w:firstRowFirstColumn="0" w:firstRowLastColumn="0" w:lastRowFirstColumn="0" w:lastRowLastColumn="0"/>
        </w:trPr>
        <w:tc>
          <w:tcPr>
            <w:tcW w:w="1393" w:type="pct"/>
          </w:tcPr>
          <w:p w:rsidR="00297CCF" w:rsidRPr="00D264E1" w:rsidRDefault="00297CCF" w:rsidP="000C09EE">
            <w:pPr>
              <w:pStyle w:val="TableHeading"/>
            </w:pPr>
            <w:r>
              <w:t>Impact on</w:t>
            </w:r>
            <w:r w:rsidR="00FD2A07">
              <w:t xml:space="preserve"> ($m)</w:t>
            </w:r>
          </w:p>
        </w:tc>
        <w:tc>
          <w:tcPr>
            <w:tcW w:w="721" w:type="pct"/>
          </w:tcPr>
          <w:p w:rsidR="00297CCF" w:rsidRPr="00FC1F1C" w:rsidRDefault="00297CCF" w:rsidP="000C09EE">
            <w:pPr>
              <w:pStyle w:val="TableHeadingRight"/>
            </w:pPr>
            <w:r>
              <w:t>2016–17</w:t>
            </w:r>
          </w:p>
        </w:tc>
        <w:tc>
          <w:tcPr>
            <w:tcW w:w="721" w:type="pct"/>
          </w:tcPr>
          <w:p w:rsidR="00297CCF" w:rsidRPr="00FC1F1C" w:rsidRDefault="00297CCF" w:rsidP="000C09EE">
            <w:pPr>
              <w:pStyle w:val="TableHeadingRight"/>
            </w:pPr>
            <w:r>
              <w:t>2017–18</w:t>
            </w:r>
          </w:p>
        </w:tc>
        <w:tc>
          <w:tcPr>
            <w:tcW w:w="722" w:type="pct"/>
          </w:tcPr>
          <w:p w:rsidR="00297CCF" w:rsidRPr="00FC1F1C" w:rsidRDefault="00297CCF" w:rsidP="000C09EE">
            <w:pPr>
              <w:pStyle w:val="TableHeadingRight"/>
            </w:pPr>
            <w:r>
              <w:t>2018–19</w:t>
            </w:r>
          </w:p>
        </w:tc>
        <w:tc>
          <w:tcPr>
            <w:tcW w:w="721" w:type="pct"/>
          </w:tcPr>
          <w:p w:rsidR="00297CCF" w:rsidRPr="00FC1F1C" w:rsidRDefault="00297CCF" w:rsidP="000C09EE">
            <w:pPr>
              <w:pStyle w:val="TableHeadingRight"/>
            </w:pPr>
            <w:r>
              <w:t>2019–20</w:t>
            </w:r>
          </w:p>
        </w:tc>
        <w:tc>
          <w:tcPr>
            <w:tcW w:w="722" w:type="pct"/>
          </w:tcPr>
          <w:p w:rsidR="00297CCF" w:rsidRDefault="00297CCF" w:rsidP="000C09EE">
            <w:pPr>
              <w:pStyle w:val="TableTextRight"/>
              <w:keepNext/>
              <w:keepLines/>
            </w:pPr>
            <w:r>
              <w:t>Total</w:t>
            </w:r>
          </w:p>
        </w:tc>
      </w:tr>
      <w:tr w:rsidR="00FD2A07" w:rsidTr="008C45AA">
        <w:tc>
          <w:tcPr>
            <w:tcW w:w="1393" w:type="pct"/>
          </w:tcPr>
          <w:p w:rsidR="00FD2A07" w:rsidRDefault="00FD2A07" w:rsidP="000C09EE">
            <w:pPr>
              <w:pStyle w:val="TableText"/>
              <w:keepNext/>
              <w:keepLines/>
            </w:pPr>
            <w:r>
              <w:t>Fiscal balance</w:t>
            </w:r>
          </w:p>
        </w:tc>
        <w:tc>
          <w:tcPr>
            <w:tcW w:w="721" w:type="pct"/>
            <w:vAlign w:val="bottom"/>
          </w:tcPr>
          <w:p w:rsidR="00FD2A07" w:rsidRPr="003A3459" w:rsidRDefault="00FD2A07" w:rsidP="000C09EE">
            <w:pPr>
              <w:pStyle w:val="TableTextRight"/>
              <w:keepNext/>
              <w:keepLines/>
              <w:rPr>
                <w:szCs w:val="20"/>
              </w:rPr>
            </w:pPr>
            <w:r>
              <w:t>-0.5</w:t>
            </w:r>
          </w:p>
        </w:tc>
        <w:tc>
          <w:tcPr>
            <w:tcW w:w="721" w:type="pct"/>
            <w:vAlign w:val="bottom"/>
          </w:tcPr>
          <w:p w:rsidR="00FD2A07" w:rsidRPr="003A3459" w:rsidRDefault="00FD2A07" w:rsidP="000C09EE">
            <w:pPr>
              <w:pStyle w:val="TableTextRight"/>
              <w:keepNext/>
              <w:keepLines/>
              <w:rPr>
                <w:szCs w:val="20"/>
              </w:rPr>
            </w:pPr>
            <w:r>
              <w:t>-1.0</w:t>
            </w:r>
          </w:p>
        </w:tc>
        <w:tc>
          <w:tcPr>
            <w:tcW w:w="722" w:type="pct"/>
            <w:vAlign w:val="bottom"/>
          </w:tcPr>
          <w:p w:rsidR="00FD2A07" w:rsidRPr="003A3459" w:rsidRDefault="00FD2A07" w:rsidP="000C09EE">
            <w:pPr>
              <w:pStyle w:val="TableTextRight"/>
              <w:keepNext/>
              <w:keepLines/>
              <w:rPr>
                <w:szCs w:val="20"/>
              </w:rPr>
            </w:pPr>
            <w:r>
              <w:t>-1.5</w:t>
            </w:r>
          </w:p>
        </w:tc>
        <w:tc>
          <w:tcPr>
            <w:tcW w:w="721" w:type="pct"/>
            <w:vAlign w:val="bottom"/>
          </w:tcPr>
          <w:p w:rsidR="00FD2A07" w:rsidRPr="003A3459" w:rsidRDefault="00FD2A07" w:rsidP="000C09EE">
            <w:pPr>
              <w:pStyle w:val="TableTextRight"/>
              <w:keepNext/>
              <w:keepLines/>
              <w:rPr>
                <w:szCs w:val="20"/>
              </w:rPr>
            </w:pPr>
            <w:r>
              <w:t>-2.0</w:t>
            </w:r>
          </w:p>
        </w:tc>
        <w:tc>
          <w:tcPr>
            <w:tcW w:w="722" w:type="pct"/>
            <w:vAlign w:val="bottom"/>
          </w:tcPr>
          <w:p w:rsidR="00FD2A07" w:rsidRPr="00C363AE" w:rsidRDefault="00FD2A07" w:rsidP="000C09EE">
            <w:pPr>
              <w:pStyle w:val="TableTextRight"/>
              <w:keepNext/>
              <w:keepLines/>
              <w:rPr>
                <w:b/>
                <w:szCs w:val="20"/>
              </w:rPr>
            </w:pPr>
            <w:r>
              <w:rPr>
                <w:b/>
                <w:bCs/>
              </w:rPr>
              <w:t>-4.8</w:t>
            </w:r>
          </w:p>
        </w:tc>
      </w:tr>
      <w:tr w:rsidR="00FD2A07" w:rsidTr="008C45AA">
        <w:tc>
          <w:tcPr>
            <w:tcW w:w="1393" w:type="pct"/>
          </w:tcPr>
          <w:p w:rsidR="00FD2A07" w:rsidRDefault="00FD2A07" w:rsidP="000C09EE">
            <w:pPr>
              <w:pStyle w:val="TableText"/>
              <w:keepNext/>
              <w:keepLines/>
            </w:pPr>
            <w:r>
              <w:t>Underlying cash balance</w:t>
            </w:r>
          </w:p>
        </w:tc>
        <w:tc>
          <w:tcPr>
            <w:tcW w:w="721" w:type="pct"/>
            <w:vAlign w:val="bottom"/>
          </w:tcPr>
          <w:p w:rsidR="00FD2A07" w:rsidRPr="003A3459" w:rsidRDefault="00FD2A07" w:rsidP="000C09EE">
            <w:pPr>
              <w:pStyle w:val="TableTextRight"/>
              <w:keepNext/>
              <w:keepLines/>
              <w:rPr>
                <w:szCs w:val="20"/>
              </w:rPr>
            </w:pPr>
            <w:r>
              <w:t>-0.5</w:t>
            </w:r>
          </w:p>
        </w:tc>
        <w:tc>
          <w:tcPr>
            <w:tcW w:w="721" w:type="pct"/>
            <w:vAlign w:val="bottom"/>
          </w:tcPr>
          <w:p w:rsidR="00FD2A07" w:rsidRPr="003A3459" w:rsidRDefault="00FD2A07" w:rsidP="000C09EE">
            <w:pPr>
              <w:pStyle w:val="TableTextRight"/>
              <w:keepNext/>
              <w:keepLines/>
              <w:rPr>
                <w:szCs w:val="20"/>
              </w:rPr>
            </w:pPr>
            <w:r>
              <w:t>-1.0</w:t>
            </w:r>
          </w:p>
        </w:tc>
        <w:tc>
          <w:tcPr>
            <w:tcW w:w="722" w:type="pct"/>
            <w:vAlign w:val="bottom"/>
          </w:tcPr>
          <w:p w:rsidR="00FD2A07" w:rsidRPr="003A3459" w:rsidRDefault="00FD2A07" w:rsidP="000C09EE">
            <w:pPr>
              <w:pStyle w:val="TableTextRight"/>
              <w:keepNext/>
              <w:keepLines/>
              <w:rPr>
                <w:szCs w:val="20"/>
              </w:rPr>
            </w:pPr>
            <w:r>
              <w:t>-1.5</w:t>
            </w:r>
          </w:p>
        </w:tc>
        <w:tc>
          <w:tcPr>
            <w:tcW w:w="721" w:type="pct"/>
            <w:vAlign w:val="bottom"/>
          </w:tcPr>
          <w:p w:rsidR="00FD2A07" w:rsidRPr="003A3459" w:rsidRDefault="00FD2A07" w:rsidP="000C09EE">
            <w:pPr>
              <w:pStyle w:val="TableTextRight"/>
              <w:keepNext/>
              <w:keepLines/>
              <w:rPr>
                <w:szCs w:val="20"/>
              </w:rPr>
            </w:pPr>
            <w:r>
              <w:t>-2.0</w:t>
            </w:r>
          </w:p>
        </w:tc>
        <w:tc>
          <w:tcPr>
            <w:tcW w:w="722" w:type="pct"/>
            <w:vAlign w:val="bottom"/>
          </w:tcPr>
          <w:p w:rsidR="00FD2A07" w:rsidRPr="00C363AE" w:rsidRDefault="00FD2A07" w:rsidP="000C09EE">
            <w:pPr>
              <w:pStyle w:val="TableTextRight"/>
              <w:keepNext/>
              <w:keepLines/>
              <w:rPr>
                <w:b/>
                <w:szCs w:val="20"/>
              </w:rPr>
            </w:pPr>
            <w:r>
              <w:rPr>
                <w:b/>
                <w:bCs/>
              </w:rPr>
              <w:t>-4.8</w:t>
            </w:r>
          </w:p>
        </w:tc>
      </w:tr>
    </w:tbl>
    <w:p w:rsidR="00297CCF" w:rsidRDefault="00297CCF" w:rsidP="000C09EE">
      <w:pPr>
        <w:pStyle w:val="Footnotes"/>
        <w:keepNext/>
        <w:keepLines/>
        <w:numPr>
          <w:ilvl w:val="0"/>
          <w:numId w:val="105"/>
        </w:numPr>
        <w:ind w:left="284" w:hanging="284"/>
      </w:pPr>
      <w:r>
        <w:t xml:space="preserve">A positive </w:t>
      </w:r>
      <w:r w:rsidRPr="00FC1F1C">
        <w:t>number indicates an increase in the relevant budget balance, a negative number a decrease.</w:t>
      </w:r>
    </w:p>
    <w:p w:rsidR="00297CCF" w:rsidRPr="000E063A" w:rsidRDefault="00297CCF" w:rsidP="00620505">
      <w:pPr>
        <w:pStyle w:val="Footnotes"/>
        <w:rPr>
          <w:rStyle w:val="FootnoteReference"/>
          <w:vertAlign w:val="baseline"/>
        </w:rPr>
      </w:pPr>
      <w:r w:rsidRPr="000E063A">
        <w:t>Figures may not sum to totals due to rounding.</w:t>
      </w:r>
    </w:p>
    <w:p w:rsidR="00297CCF" w:rsidRDefault="00297CCF" w:rsidP="00297CCF">
      <w:pPr>
        <w:pStyle w:val="CostingsH7"/>
      </w:pPr>
      <w:r>
        <w:t>Key assumptions</w:t>
      </w:r>
    </w:p>
    <w:p w:rsidR="00FD2A07" w:rsidRPr="00FD2A07" w:rsidRDefault="00FD2A07" w:rsidP="00FD2A07">
      <w:pPr>
        <w:pStyle w:val="BodyText"/>
      </w:pPr>
      <w:r w:rsidRPr="00FD2A07">
        <w:t>It was assumed that the scholarship program would be fully subscribed and students receiving scholarships would complete the full four years of study.</w:t>
      </w:r>
    </w:p>
    <w:p w:rsidR="00297CCF" w:rsidRDefault="00297CCF" w:rsidP="00297CCF">
      <w:pPr>
        <w:pStyle w:val="CostingsH7"/>
      </w:pPr>
      <w:r>
        <w:t>Methodology</w:t>
      </w:r>
    </w:p>
    <w:p w:rsidR="00FD2A07" w:rsidRDefault="00FD2A07" w:rsidP="00FD2A07">
      <w:pPr>
        <w:pStyle w:val="BodyText"/>
      </w:pPr>
      <w:r>
        <w:t>Administered expenses were estimated by multiplying the 100 scholarships provided for each commencement year by $5,000 per annum over the four years of full time study undertaken by each recipient.</w:t>
      </w:r>
    </w:p>
    <w:p w:rsidR="00FD2A07" w:rsidRDefault="00FD2A07" w:rsidP="00FD2A07">
      <w:pPr>
        <w:pStyle w:val="BodyText"/>
      </w:pPr>
      <w:r>
        <w:t>Departmental expenses are the specified amounts.</w:t>
      </w:r>
    </w:p>
    <w:p w:rsidR="000C09EE" w:rsidRDefault="000C09EE" w:rsidP="00FD2A07">
      <w:pPr>
        <w:pStyle w:val="BodyText"/>
      </w:pPr>
    </w:p>
    <w:p w:rsidR="000C09EE" w:rsidRDefault="000C09EE" w:rsidP="00FD2A07">
      <w:pPr>
        <w:pStyle w:val="BodyText"/>
        <w:sectPr w:rsidR="000C09EE" w:rsidSect="00967BCD">
          <w:footnotePr>
            <w:numRestart w:val="eachSect"/>
          </w:footnotePr>
          <w:pgSz w:w="11906" w:h="16838" w:code="9"/>
          <w:pgMar w:top="1361" w:right="1797" w:bottom="1474" w:left="1797" w:header="283" w:footer="454" w:gutter="0"/>
          <w:cols w:space="708"/>
          <w:docGrid w:linePitch="360"/>
        </w:sectPr>
      </w:pPr>
    </w:p>
    <w:p w:rsidR="00297CCF" w:rsidRDefault="00FD2A07" w:rsidP="00FD2A07">
      <w:pPr>
        <w:pStyle w:val="Heading6"/>
      </w:pPr>
      <w:r>
        <w:t xml:space="preserve">Attachment </w:t>
      </w:r>
      <w:r w:rsidRPr="00FD2A07">
        <w:t>A: ATSI Teaching Scholarships—financia</w:t>
      </w:r>
      <w:r>
        <w:t>l </w:t>
      </w:r>
      <w:r w:rsidRPr="00FD2A07">
        <w:t>implications</w:t>
      </w:r>
    </w:p>
    <w:p w:rsidR="00297CCF" w:rsidRDefault="00297CCF" w:rsidP="00297CCF">
      <w:pPr>
        <w:pStyle w:val="Caption"/>
      </w:pPr>
      <w:r w:rsidRPr="002B36F1">
        <w:t xml:space="preserve">Table </w:t>
      </w:r>
      <w:r>
        <w:t>A1</w:t>
      </w:r>
      <w:r w:rsidRPr="002B36F1">
        <w:t xml:space="preserve">: </w:t>
      </w:r>
      <w:r w:rsidR="00FD2A07">
        <w:t>ATSI Teaching Scholarships—Financial implications (outturn prices)</w:t>
      </w:r>
      <w:r w:rsidR="00FD2A07">
        <w:rPr>
          <w:vertAlign w:val="superscript"/>
        </w:rPr>
        <w:t>(</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297CCF"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297CCF" w:rsidRPr="007C2713" w:rsidRDefault="00297CCF" w:rsidP="008C7879">
            <w:pPr>
              <w:pStyle w:val="TableText"/>
              <w:rPr>
                <w:b w:val="0"/>
              </w:rPr>
            </w:pPr>
            <w:r>
              <w:t>($</w:t>
            </w:r>
            <w:r w:rsidR="00FD2A07">
              <w:t>m</w:t>
            </w:r>
            <w:r>
              <w:t>)</w:t>
            </w:r>
          </w:p>
        </w:tc>
        <w:tc>
          <w:tcPr>
            <w:tcW w:w="689" w:type="pct"/>
            <w:vAlign w:val="center"/>
          </w:tcPr>
          <w:p w:rsidR="00297CCF" w:rsidRDefault="00297CCF" w:rsidP="008C7879">
            <w:pPr>
              <w:pStyle w:val="TableTextRight"/>
              <w:rPr>
                <w:b w:val="0"/>
              </w:rPr>
            </w:pPr>
            <w:r>
              <w:t>2016–17</w:t>
            </w:r>
          </w:p>
        </w:tc>
        <w:tc>
          <w:tcPr>
            <w:tcW w:w="689" w:type="pct"/>
            <w:vAlign w:val="center"/>
          </w:tcPr>
          <w:p w:rsidR="00297CCF" w:rsidRDefault="00297CCF" w:rsidP="008C7879">
            <w:pPr>
              <w:pStyle w:val="TableTextRight"/>
              <w:rPr>
                <w:b w:val="0"/>
              </w:rPr>
            </w:pPr>
            <w:r>
              <w:t>2017–18</w:t>
            </w:r>
          </w:p>
        </w:tc>
        <w:tc>
          <w:tcPr>
            <w:tcW w:w="689" w:type="pct"/>
            <w:vAlign w:val="center"/>
          </w:tcPr>
          <w:p w:rsidR="00297CCF" w:rsidRDefault="00297CCF" w:rsidP="008C7879">
            <w:pPr>
              <w:pStyle w:val="TableTextRight"/>
              <w:rPr>
                <w:b w:val="0"/>
              </w:rPr>
            </w:pPr>
            <w:r>
              <w:t>2018–19</w:t>
            </w:r>
          </w:p>
        </w:tc>
        <w:tc>
          <w:tcPr>
            <w:tcW w:w="689" w:type="pct"/>
            <w:vAlign w:val="center"/>
          </w:tcPr>
          <w:p w:rsidR="00297CCF" w:rsidRDefault="00297CCF" w:rsidP="008C7879">
            <w:pPr>
              <w:pStyle w:val="TableTextRight"/>
              <w:rPr>
                <w:b w:val="0"/>
              </w:rPr>
            </w:pPr>
            <w:r>
              <w:t>2019–20</w:t>
            </w:r>
          </w:p>
        </w:tc>
        <w:tc>
          <w:tcPr>
            <w:tcW w:w="690" w:type="pct"/>
            <w:vAlign w:val="center"/>
          </w:tcPr>
          <w:p w:rsidR="00297CCF" w:rsidRDefault="00297CCF" w:rsidP="008C7879">
            <w:pPr>
              <w:pStyle w:val="TableTextRight"/>
            </w:pPr>
            <w:r>
              <w:t>Total</w:t>
            </w:r>
            <w:r w:rsidR="00FD2A07">
              <w:t xml:space="preserve"> to 2019–20</w:t>
            </w:r>
          </w:p>
        </w:tc>
      </w:tr>
      <w:tr w:rsidR="00FD2A07" w:rsidTr="008C7879">
        <w:tc>
          <w:tcPr>
            <w:tcW w:w="5000" w:type="pct"/>
            <w:gridSpan w:val="6"/>
            <w:shd w:val="clear" w:color="auto" w:fill="E9ECF3" w:themeFill="accent2" w:themeFillTint="33"/>
            <w:vAlign w:val="center"/>
          </w:tcPr>
          <w:p w:rsidR="00FD2A07" w:rsidRPr="00FD2A07" w:rsidRDefault="00FD2A07" w:rsidP="008C7879">
            <w:pPr>
              <w:pStyle w:val="TableTextRight"/>
              <w:jc w:val="left"/>
              <w:rPr>
                <w:b/>
              </w:rPr>
            </w:pPr>
            <w:r w:rsidRPr="00FD2A07">
              <w:rPr>
                <w:b/>
              </w:rPr>
              <w:t>Fiscal and underlying cash balances</w:t>
            </w:r>
          </w:p>
        </w:tc>
      </w:tr>
      <w:tr w:rsidR="00FD2A07" w:rsidTr="008C7879">
        <w:tc>
          <w:tcPr>
            <w:tcW w:w="1554" w:type="pct"/>
            <w:vAlign w:val="center"/>
          </w:tcPr>
          <w:p w:rsidR="00FD2A07" w:rsidRPr="00027340" w:rsidRDefault="00FD2A07" w:rsidP="008C7879">
            <w:pPr>
              <w:pStyle w:val="TableTextCentred"/>
              <w:keepNext/>
              <w:keepLines/>
              <w:spacing w:line="240" w:lineRule="auto"/>
              <w:jc w:val="left"/>
              <w:rPr>
                <w:szCs w:val="20"/>
              </w:rPr>
            </w:pPr>
            <w:r>
              <w:rPr>
                <w:szCs w:val="20"/>
              </w:rPr>
              <w:t>Administered</w:t>
            </w:r>
          </w:p>
        </w:tc>
        <w:tc>
          <w:tcPr>
            <w:tcW w:w="689" w:type="pct"/>
            <w:vAlign w:val="center"/>
          </w:tcPr>
          <w:p w:rsidR="00FD2A07" w:rsidRPr="008C7879" w:rsidRDefault="00FD2A07" w:rsidP="008C7879">
            <w:pPr>
              <w:pStyle w:val="TableTextRight"/>
              <w:rPr>
                <w:i/>
              </w:rPr>
            </w:pPr>
            <w:r w:rsidRPr="008C7879">
              <w:rPr>
                <w:i/>
              </w:rPr>
              <w:t>-0.3</w:t>
            </w:r>
          </w:p>
        </w:tc>
        <w:tc>
          <w:tcPr>
            <w:tcW w:w="689" w:type="pct"/>
            <w:vAlign w:val="center"/>
          </w:tcPr>
          <w:p w:rsidR="00FD2A07" w:rsidRPr="008C7879" w:rsidRDefault="00FD2A07" w:rsidP="008C7879">
            <w:pPr>
              <w:pStyle w:val="TableTextRight"/>
              <w:rPr>
                <w:i/>
              </w:rPr>
            </w:pPr>
            <w:r w:rsidRPr="008C7879">
              <w:rPr>
                <w:i/>
              </w:rPr>
              <w:t>- 0.8</w:t>
            </w:r>
          </w:p>
        </w:tc>
        <w:tc>
          <w:tcPr>
            <w:tcW w:w="689" w:type="pct"/>
            <w:vAlign w:val="center"/>
          </w:tcPr>
          <w:p w:rsidR="00FD2A07" w:rsidRPr="008C7879" w:rsidRDefault="00FD2A07" w:rsidP="008C7879">
            <w:pPr>
              <w:pStyle w:val="TableTextRight"/>
              <w:rPr>
                <w:i/>
              </w:rPr>
            </w:pPr>
            <w:r w:rsidRPr="008C7879">
              <w:rPr>
                <w:i/>
              </w:rPr>
              <w:t>-1.3</w:t>
            </w:r>
          </w:p>
        </w:tc>
        <w:tc>
          <w:tcPr>
            <w:tcW w:w="689" w:type="pct"/>
            <w:vAlign w:val="center"/>
          </w:tcPr>
          <w:p w:rsidR="00FD2A07" w:rsidRPr="008C7879" w:rsidRDefault="00FD2A07" w:rsidP="008C7879">
            <w:pPr>
              <w:pStyle w:val="TableTextRight"/>
              <w:rPr>
                <w:i/>
              </w:rPr>
            </w:pPr>
            <w:r w:rsidRPr="008C7879">
              <w:rPr>
                <w:i/>
              </w:rPr>
              <w:t>-1.8</w:t>
            </w:r>
          </w:p>
        </w:tc>
        <w:tc>
          <w:tcPr>
            <w:tcW w:w="690" w:type="pct"/>
            <w:vAlign w:val="center"/>
          </w:tcPr>
          <w:p w:rsidR="00FD2A07" w:rsidRPr="00ED1D90" w:rsidRDefault="00FD2A07" w:rsidP="008C7879">
            <w:pPr>
              <w:pStyle w:val="TableTextRight"/>
              <w:rPr>
                <w:b/>
                <w:i/>
              </w:rPr>
            </w:pPr>
            <w:r w:rsidRPr="00ED1D90">
              <w:rPr>
                <w:b/>
                <w:i/>
              </w:rPr>
              <w:t>-4.0</w:t>
            </w:r>
          </w:p>
        </w:tc>
      </w:tr>
      <w:tr w:rsidR="00FD2A07" w:rsidTr="008C7879">
        <w:tc>
          <w:tcPr>
            <w:tcW w:w="1554" w:type="pct"/>
            <w:vAlign w:val="center"/>
          </w:tcPr>
          <w:p w:rsidR="00FD2A07" w:rsidRPr="00027340" w:rsidRDefault="00FD2A07" w:rsidP="008C7879">
            <w:pPr>
              <w:pStyle w:val="TableTextCentred"/>
              <w:keepNext/>
              <w:keepLines/>
              <w:spacing w:line="240" w:lineRule="auto"/>
              <w:jc w:val="left"/>
              <w:rPr>
                <w:szCs w:val="20"/>
              </w:rPr>
            </w:pPr>
            <w:r>
              <w:rPr>
                <w:szCs w:val="20"/>
              </w:rPr>
              <w:t>Departmental</w:t>
            </w:r>
          </w:p>
        </w:tc>
        <w:tc>
          <w:tcPr>
            <w:tcW w:w="689" w:type="pct"/>
            <w:vAlign w:val="center"/>
          </w:tcPr>
          <w:p w:rsidR="00FD2A07" w:rsidRPr="008C7879" w:rsidRDefault="00FD2A07" w:rsidP="008C7879">
            <w:pPr>
              <w:pStyle w:val="TableTextRight"/>
              <w:rPr>
                <w:i/>
              </w:rPr>
            </w:pPr>
            <w:r w:rsidRPr="008C7879">
              <w:rPr>
                <w:i/>
              </w:rPr>
              <w:t>-0.2</w:t>
            </w:r>
          </w:p>
        </w:tc>
        <w:tc>
          <w:tcPr>
            <w:tcW w:w="689" w:type="pct"/>
            <w:vAlign w:val="center"/>
          </w:tcPr>
          <w:p w:rsidR="00FD2A07" w:rsidRPr="008C7879" w:rsidRDefault="00FD2A07" w:rsidP="008C7879">
            <w:pPr>
              <w:pStyle w:val="TableTextRight"/>
              <w:rPr>
                <w:i/>
              </w:rPr>
            </w:pPr>
            <w:r w:rsidRPr="008C7879">
              <w:rPr>
                <w:i/>
              </w:rPr>
              <w:t>-0.2</w:t>
            </w:r>
          </w:p>
        </w:tc>
        <w:tc>
          <w:tcPr>
            <w:tcW w:w="689" w:type="pct"/>
            <w:vAlign w:val="center"/>
          </w:tcPr>
          <w:p w:rsidR="00FD2A07" w:rsidRPr="008C7879" w:rsidRDefault="00FD2A07" w:rsidP="008C7879">
            <w:pPr>
              <w:pStyle w:val="TableTextRight"/>
              <w:rPr>
                <w:i/>
              </w:rPr>
            </w:pPr>
            <w:r w:rsidRPr="008C7879">
              <w:rPr>
                <w:i/>
              </w:rPr>
              <w:t>-0.2</w:t>
            </w:r>
          </w:p>
        </w:tc>
        <w:tc>
          <w:tcPr>
            <w:tcW w:w="689" w:type="pct"/>
            <w:vAlign w:val="center"/>
          </w:tcPr>
          <w:p w:rsidR="00FD2A07" w:rsidRPr="008C7879" w:rsidRDefault="00FD2A07" w:rsidP="008C7879">
            <w:pPr>
              <w:pStyle w:val="TableTextRight"/>
              <w:rPr>
                <w:i/>
              </w:rPr>
            </w:pPr>
            <w:r w:rsidRPr="008C7879">
              <w:rPr>
                <w:i/>
              </w:rPr>
              <w:t>-0.2</w:t>
            </w:r>
          </w:p>
        </w:tc>
        <w:tc>
          <w:tcPr>
            <w:tcW w:w="690" w:type="pct"/>
            <w:vAlign w:val="center"/>
          </w:tcPr>
          <w:p w:rsidR="00FD2A07" w:rsidRPr="00ED1D90" w:rsidRDefault="00FD2A07" w:rsidP="008C7879">
            <w:pPr>
              <w:pStyle w:val="TableTextRight"/>
              <w:rPr>
                <w:b/>
                <w:i/>
              </w:rPr>
            </w:pPr>
            <w:r w:rsidRPr="00ED1D90">
              <w:rPr>
                <w:b/>
                <w:i/>
              </w:rPr>
              <w:t>-0.8</w:t>
            </w:r>
          </w:p>
        </w:tc>
      </w:tr>
      <w:tr w:rsidR="00FD2A07" w:rsidRPr="007C2713" w:rsidTr="008C7879">
        <w:tc>
          <w:tcPr>
            <w:tcW w:w="1554" w:type="pct"/>
            <w:shd w:val="clear" w:color="auto" w:fill="D7DDE9" w:themeFill="accent3"/>
            <w:vAlign w:val="center"/>
          </w:tcPr>
          <w:p w:rsidR="00FD2A07" w:rsidRPr="007C2713" w:rsidRDefault="00FD2A07" w:rsidP="008C7879">
            <w:pPr>
              <w:pStyle w:val="TableText"/>
              <w:rPr>
                <w:b/>
              </w:rPr>
            </w:pPr>
            <w:r w:rsidRPr="007C2713">
              <w:rPr>
                <w:b/>
              </w:rPr>
              <w:t>Total</w:t>
            </w:r>
          </w:p>
        </w:tc>
        <w:tc>
          <w:tcPr>
            <w:tcW w:w="689" w:type="pct"/>
            <w:shd w:val="clear" w:color="auto" w:fill="D7DDE9" w:themeFill="accent3"/>
            <w:vAlign w:val="center"/>
          </w:tcPr>
          <w:p w:rsidR="00FD2A07" w:rsidRPr="008C7879" w:rsidRDefault="00FD2A07" w:rsidP="008C7879">
            <w:pPr>
              <w:pStyle w:val="TableTextRight"/>
              <w:rPr>
                <w:b/>
              </w:rPr>
            </w:pPr>
            <w:r w:rsidRPr="008C7879">
              <w:rPr>
                <w:b/>
              </w:rPr>
              <w:t>-0.5</w:t>
            </w:r>
          </w:p>
        </w:tc>
        <w:tc>
          <w:tcPr>
            <w:tcW w:w="689" w:type="pct"/>
            <w:shd w:val="clear" w:color="auto" w:fill="D7DDE9" w:themeFill="accent3"/>
            <w:vAlign w:val="center"/>
          </w:tcPr>
          <w:p w:rsidR="00FD2A07" w:rsidRPr="008C7879" w:rsidRDefault="00FD2A07" w:rsidP="008C7879">
            <w:pPr>
              <w:pStyle w:val="TableTextRight"/>
              <w:rPr>
                <w:b/>
              </w:rPr>
            </w:pPr>
            <w:r w:rsidRPr="008C7879">
              <w:rPr>
                <w:b/>
              </w:rPr>
              <w:t>-1.0</w:t>
            </w:r>
          </w:p>
        </w:tc>
        <w:tc>
          <w:tcPr>
            <w:tcW w:w="689" w:type="pct"/>
            <w:shd w:val="clear" w:color="auto" w:fill="D7DDE9" w:themeFill="accent3"/>
            <w:vAlign w:val="center"/>
          </w:tcPr>
          <w:p w:rsidR="00FD2A07" w:rsidRPr="008C7879" w:rsidRDefault="00FD2A07" w:rsidP="008C7879">
            <w:pPr>
              <w:pStyle w:val="TableTextRight"/>
              <w:rPr>
                <w:b/>
              </w:rPr>
            </w:pPr>
            <w:r w:rsidRPr="008C7879">
              <w:rPr>
                <w:b/>
              </w:rPr>
              <w:t>-1.5</w:t>
            </w:r>
          </w:p>
        </w:tc>
        <w:tc>
          <w:tcPr>
            <w:tcW w:w="689" w:type="pct"/>
            <w:shd w:val="clear" w:color="auto" w:fill="D7DDE9" w:themeFill="accent3"/>
            <w:vAlign w:val="center"/>
          </w:tcPr>
          <w:p w:rsidR="00FD2A07" w:rsidRPr="008C7879" w:rsidRDefault="00FD2A07" w:rsidP="008C7879">
            <w:pPr>
              <w:pStyle w:val="TableTextRight"/>
              <w:rPr>
                <w:b/>
              </w:rPr>
            </w:pPr>
            <w:r w:rsidRPr="008C7879">
              <w:rPr>
                <w:b/>
              </w:rPr>
              <w:t>-2.0</w:t>
            </w:r>
          </w:p>
        </w:tc>
        <w:tc>
          <w:tcPr>
            <w:tcW w:w="690" w:type="pct"/>
            <w:shd w:val="clear" w:color="auto" w:fill="D7DDE9" w:themeFill="accent3"/>
            <w:vAlign w:val="center"/>
          </w:tcPr>
          <w:p w:rsidR="00FD2A07" w:rsidRPr="008C7879" w:rsidRDefault="00FD2A07" w:rsidP="008C7879">
            <w:pPr>
              <w:pStyle w:val="TableTextRight"/>
              <w:rPr>
                <w:b/>
              </w:rPr>
            </w:pPr>
            <w:r w:rsidRPr="008C7879">
              <w:rPr>
                <w:b/>
              </w:rPr>
              <w:t>-4.8</w:t>
            </w:r>
          </w:p>
        </w:tc>
      </w:tr>
    </w:tbl>
    <w:p w:rsidR="00FD2A07" w:rsidRDefault="00FD2A07" w:rsidP="002C43F8">
      <w:pPr>
        <w:pStyle w:val="Footnotes"/>
        <w:numPr>
          <w:ilvl w:val="0"/>
          <w:numId w:val="106"/>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297CCF" w:rsidRPr="00951305" w:rsidRDefault="00FD2A07" w:rsidP="00BC1A2A">
      <w:pPr>
        <w:pStyle w:val="Footnotes"/>
        <w:ind w:left="284" w:hanging="284"/>
      </w:pPr>
      <w:r>
        <w:t>Figures may not sum to totals due to rounding.</w:t>
      </w:r>
    </w:p>
    <w:p w:rsidR="00297CCF" w:rsidRDefault="00297CCF" w:rsidP="00BC1A2A">
      <w:pPr>
        <w:pStyle w:val="Footnotes"/>
        <w:ind w:left="284" w:hanging="284"/>
        <w:sectPr w:rsidR="00297CCF" w:rsidSect="00967BCD">
          <w:footnotePr>
            <w:numRestart w:val="eachSect"/>
          </w:footnotePr>
          <w:pgSz w:w="11906" w:h="16838" w:code="9"/>
          <w:pgMar w:top="1361" w:right="1797" w:bottom="1474" w:left="1797" w:header="283" w:footer="454" w:gutter="0"/>
          <w:cols w:space="708"/>
          <w:docGrid w:linePitch="360"/>
        </w:sectPr>
      </w:pPr>
    </w:p>
    <w:p w:rsidR="00420CF4" w:rsidRDefault="00297CCF" w:rsidP="00420CF4">
      <w:pPr>
        <w:pStyle w:val="Heading5"/>
        <w:ind w:left="1080" w:hanging="1080"/>
      </w:pPr>
      <w:bookmarkStart w:id="46" w:name="_Toc458081666"/>
      <w:r>
        <w:t>ALP04</w:t>
      </w:r>
      <w:r w:rsidR="00D84B6F">
        <w:t>2</w:t>
      </w:r>
      <w:r w:rsidR="00420CF4">
        <w:t xml:space="preserve">: Child care </w:t>
      </w:r>
      <w:r w:rsidR="00D84B6F">
        <w:t>–</w:t>
      </w:r>
      <w:r w:rsidR="00420CF4">
        <w:t xml:space="preserve"> more assistance for families sooner</w:t>
      </w:r>
      <w:bookmarkEnd w:id="46"/>
    </w:p>
    <w:p w:rsidR="00967B83" w:rsidRDefault="00967B83" w:rsidP="00967B83">
      <w:pPr>
        <w:pStyle w:val="BodyText"/>
      </w:pPr>
      <w:r>
        <w:rPr>
          <w:noProof/>
          <w:lang w:eastAsia="en-AU"/>
        </w:rPr>
        <w:drawing>
          <wp:inline distT="0" distB="0" distL="0" distR="0" wp14:anchorId="3BC1B47F" wp14:editId="113643F5">
            <wp:extent cx="2696845" cy="572135"/>
            <wp:effectExtent l="0" t="0" r="8255" b="0"/>
            <wp:docPr id="327" name="Picture 32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BC1A2A">
            <w:pPr>
              <w:pStyle w:val="PullOutBoxHeading"/>
              <w:rPr>
                <w:b/>
              </w:rPr>
            </w:pPr>
            <w:r w:rsidRPr="00E51946">
              <w:rPr>
                <w:b/>
              </w:rPr>
              <w:t>Name of proposal:</w:t>
            </w:r>
          </w:p>
        </w:tc>
        <w:tc>
          <w:tcPr>
            <w:tcW w:w="3191" w:type="pct"/>
          </w:tcPr>
          <w:p w:rsidR="00420CF4" w:rsidRPr="00E51946" w:rsidRDefault="00F95230" w:rsidP="00BC1A2A">
            <w:pPr>
              <w:pStyle w:val="PullOutBoxHeading"/>
              <w:rPr>
                <w:b/>
              </w:rPr>
            </w:pPr>
            <w:r w:rsidRPr="00F95230">
              <w:rPr>
                <w:b/>
              </w:rPr>
              <w:t>Child care – more assistance for families sooner</w:t>
            </w:r>
          </w:p>
        </w:tc>
      </w:tr>
      <w:tr w:rsidR="00420CF4" w:rsidRPr="00B45F94" w:rsidTr="00967BCD">
        <w:tc>
          <w:tcPr>
            <w:tcW w:w="1809" w:type="pct"/>
          </w:tcPr>
          <w:p w:rsidR="00420CF4" w:rsidRPr="00B45F94" w:rsidRDefault="00420CF4" w:rsidP="00BC1A2A">
            <w:pPr>
              <w:pStyle w:val="PullOutBoxBodyText"/>
            </w:pPr>
            <w:r w:rsidRPr="00B45F94">
              <w:t>Summary of proposal:</w:t>
            </w:r>
          </w:p>
        </w:tc>
        <w:tc>
          <w:tcPr>
            <w:tcW w:w="3191" w:type="pct"/>
          </w:tcPr>
          <w:p w:rsidR="00F95230" w:rsidRPr="00F95230" w:rsidRDefault="00F95230" w:rsidP="00F95230">
            <w:pPr>
              <w:pStyle w:val="PullOutBoxBodyText"/>
            </w:pPr>
            <w:r w:rsidRPr="00F95230">
              <w:t>The proposal has the following components:</w:t>
            </w:r>
          </w:p>
          <w:p w:rsidR="00F95230" w:rsidRDefault="00F95230" w:rsidP="00F95230">
            <w:pPr>
              <w:pStyle w:val="PullOutBoxBullet"/>
            </w:pPr>
            <w:r>
              <w:t xml:space="preserve">Do not proceed with Child Care Subsidy (CCS) system due to commence on 1 July 2018 (except for the Inclusion Support </w:t>
            </w:r>
            <w:r w:rsidRPr="0073724B">
              <w:t>Program</w:t>
            </w:r>
            <w:r>
              <w:t>) and instead:</w:t>
            </w:r>
          </w:p>
          <w:p w:rsidR="00F95230" w:rsidRPr="0073724B" w:rsidRDefault="00F95230" w:rsidP="00F95230">
            <w:pPr>
              <w:pStyle w:val="PullOutBoxBullet2"/>
            </w:pPr>
            <w:r>
              <w:t xml:space="preserve">provide </w:t>
            </w:r>
            <w:r w:rsidRPr="0073724B">
              <w:t>a one-off increase to the Child Care Benefit (CCB) rate of 15 per cent from 1 January 2017</w:t>
            </w:r>
          </w:p>
          <w:p w:rsidR="00F95230" w:rsidRDefault="00F95230" w:rsidP="00F95230">
            <w:pPr>
              <w:pStyle w:val="PullOutBoxBullet2"/>
            </w:pPr>
            <w:r w:rsidRPr="0073724B">
              <w:t>increase the Child Care Rebate (CCR) annual cap from $7,500 to</w:t>
            </w:r>
            <w:r>
              <w:t xml:space="preserve"> $10,000 from 1 January 2017.</w:t>
            </w:r>
          </w:p>
          <w:p w:rsidR="00F95230" w:rsidRPr="0073724B" w:rsidRDefault="00F95230" w:rsidP="00F95230">
            <w:pPr>
              <w:pStyle w:val="PullOutBoxBullet"/>
            </w:pPr>
            <w:r>
              <w:t xml:space="preserve">Increase funding for Family Day Care Services by a </w:t>
            </w:r>
            <w:r w:rsidRPr="0073724B">
              <w:t xml:space="preserve">capped amount of $50 million over the forward estimates </w:t>
            </w:r>
            <w:r>
              <w:t xml:space="preserve">period </w:t>
            </w:r>
            <w:r w:rsidRPr="0073724B">
              <w:t>from 1 July 2017.</w:t>
            </w:r>
          </w:p>
          <w:p w:rsidR="00F95230" w:rsidRPr="0073724B" w:rsidRDefault="00F95230" w:rsidP="00F95230">
            <w:pPr>
              <w:pStyle w:val="PullOutBoxBullet"/>
            </w:pPr>
            <w:r w:rsidRPr="0073724B">
              <w:t>Provide $63.2 million in capped capital grants (of up to $50,000 each) to establish or expand Outside School Hours Care for three years from 1 July 2017.</w:t>
            </w:r>
          </w:p>
          <w:p w:rsidR="00F95230" w:rsidRPr="0073724B" w:rsidRDefault="00F95230" w:rsidP="00F95230">
            <w:pPr>
              <w:pStyle w:val="PullOutBoxBullet"/>
            </w:pPr>
            <w:r w:rsidRPr="0073724B">
              <w:t xml:space="preserve">Provide a 15 per cent increase in funding for Budget Base Funded (BBF) </w:t>
            </w:r>
            <w:r>
              <w:t>i</w:t>
            </w:r>
            <w:r w:rsidRPr="0073724B">
              <w:t>ndigenous and mobile services from 1 January 2017.</w:t>
            </w:r>
          </w:p>
          <w:p w:rsidR="00F95230" w:rsidRPr="0073724B" w:rsidRDefault="00F95230" w:rsidP="00F95230">
            <w:pPr>
              <w:pStyle w:val="PullOutBoxBullet"/>
            </w:pPr>
            <w:r w:rsidRPr="0073724B">
              <w:t>Provide capped funding</w:t>
            </w:r>
            <w:r w:rsidRPr="00636DB7">
              <w:t xml:space="preserve"> of $25 million over the forward estimates period from 1 July 2017</w:t>
            </w:r>
            <w:r w:rsidRPr="0073724B">
              <w:t xml:space="preserve"> for capital improvements to BBF services.</w:t>
            </w:r>
          </w:p>
          <w:p w:rsidR="00F95230" w:rsidRPr="0073724B" w:rsidRDefault="00F95230" w:rsidP="00F95230">
            <w:pPr>
              <w:pStyle w:val="PullOutBoxBullet"/>
            </w:pPr>
            <w:r w:rsidRPr="0073724B">
              <w:t>Provide capped funding</w:t>
            </w:r>
            <w:r w:rsidRPr="00636DB7">
              <w:t xml:space="preserve"> of $6 million over the forward estimates period from 1 July</w:t>
            </w:r>
            <w:r w:rsidRPr="00636DB7">
              <w:rPr>
                <w:rStyle w:val="CommentReference"/>
              </w:rPr>
              <w:t> </w:t>
            </w:r>
            <w:r w:rsidRPr="00636DB7">
              <w:t>2017</w:t>
            </w:r>
            <w:r w:rsidRPr="0073724B">
              <w:t xml:space="preserve"> for the expansion of mobile BBF services.</w:t>
            </w:r>
          </w:p>
          <w:p w:rsidR="00F95230" w:rsidRDefault="00F95230" w:rsidP="00F95230">
            <w:pPr>
              <w:pStyle w:val="PullOutBoxBullet"/>
            </w:pPr>
            <w:r w:rsidRPr="0073724B">
              <w:t xml:space="preserve">Provide capped funding </w:t>
            </w:r>
            <w:r>
              <w:t>of $100 million over the forward estimates period from 1 July 2017 for</w:t>
            </w:r>
            <w:r w:rsidRPr="0073724B">
              <w:t xml:space="preserve"> early education and care services</w:t>
            </w:r>
            <w:r>
              <w:t xml:space="preserve"> to reduce waiting lists in areas of very high demand.</w:t>
            </w:r>
          </w:p>
          <w:p w:rsidR="00420CF4" w:rsidRPr="00F95230" w:rsidRDefault="00F95230" w:rsidP="00F95230">
            <w:pPr>
              <w:pStyle w:val="PullOutBoxBodyText"/>
            </w:pPr>
            <w:r w:rsidRPr="00F95230">
              <w:t>The overall proposal would commence 1 January 2017, with start dates as specified.</w:t>
            </w:r>
          </w:p>
        </w:tc>
      </w:tr>
      <w:tr w:rsidR="00420CF4" w:rsidRPr="00B45F94" w:rsidTr="00967BCD">
        <w:tc>
          <w:tcPr>
            <w:tcW w:w="1809" w:type="pct"/>
          </w:tcPr>
          <w:p w:rsidR="00420CF4" w:rsidRPr="00B45F94" w:rsidRDefault="00420CF4" w:rsidP="00BC1A2A">
            <w:pPr>
              <w:pStyle w:val="PullOutBoxBodyText"/>
            </w:pPr>
            <w:r>
              <w:t>Party:</w:t>
            </w:r>
          </w:p>
        </w:tc>
        <w:tc>
          <w:tcPr>
            <w:tcW w:w="3191" w:type="pct"/>
          </w:tcPr>
          <w:p w:rsidR="00420CF4" w:rsidRPr="00B45F94" w:rsidRDefault="00420CF4" w:rsidP="00BC1A2A">
            <w:pPr>
              <w:pStyle w:val="PullOutBoxBodyText"/>
            </w:pPr>
            <w:r>
              <w:t>Australian Labor Party</w:t>
            </w:r>
          </w:p>
        </w:tc>
      </w:tr>
      <w:tr w:rsidR="00420CF4" w:rsidRPr="00B45F94" w:rsidTr="00967BCD">
        <w:tc>
          <w:tcPr>
            <w:tcW w:w="1809" w:type="pct"/>
          </w:tcPr>
          <w:p w:rsidR="00420CF4" w:rsidRPr="00B45F94" w:rsidRDefault="00420CF4" w:rsidP="00BC1A2A">
            <w:pPr>
              <w:pStyle w:val="PullOutBoxBodyText"/>
            </w:pPr>
            <w:r w:rsidRPr="00B45F94">
              <w:t>Expiry date for the costing:</w:t>
            </w:r>
          </w:p>
        </w:tc>
        <w:tc>
          <w:tcPr>
            <w:tcW w:w="3191" w:type="pct"/>
          </w:tcPr>
          <w:p w:rsidR="00420CF4" w:rsidRPr="00B45F94" w:rsidRDefault="00EC102A" w:rsidP="00BC1A2A">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D75DE2" w:rsidRDefault="00D75DE2" w:rsidP="00D75DE2">
      <w:pPr>
        <w:pStyle w:val="BodyText"/>
      </w:pPr>
      <w:r>
        <w:t xml:space="preserve">This proposal would be expected to increase the fiscal balance by $59.6 million and increase the underlying cash balance by $171.4 million over the 2016-17 Budget forward estimates period.  The fiscal balance impact reflects an increase in administered expenses of $101 million and a decrease in departmental expenses of $160 million over this period.  A breakdown of the financial implications over the 2016-17 Budget forward estimates period is provided at </w:t>
      </w:r>
      <w:r w:rsidRPr="00D75DE2">
        <w:rPr>
          <w:u w:val="single"/>
        </w:rPr>
        <w:t>Attachment A</w:t>
      </w:r>
      <w:r>
        <w:t>.</w:t>
      </w:r>
    </w:p>
    <w:p w:rsidR="00D75DE2" w:rsidRDefault="00D75DE2" w:rsidP="00D75DE2">
      <w:pPr>
        <w:pStyle w:val="BodyText"/>
      </w:pPr>
      <w:r>
        <w:t>This proposal would have an ongoing impact beyond the 2016-17 Budget forward estimates period.  The components related to not proceeding with the CCS, and increasing  the CCB rate, the CCR cap and BBF funding to indigenous and mobile services would have an ongoing impact beyond the 2016-17 Budget forward estimates period.  The ongoing financial implications beyond the forward estimates would be expected to be in the order of $700 million per year, growing in line with growth in underlying parameters, including the take-up rate of child care places and costs of child care.</w:t>
      </w:r>
    </w:p>
    <w:p w:rsidR="00D75DE2" w:rsidRDefault="00D75DE2" w:rsidP="00D75DE2">
      <w:pPr>
        <w:pStyle w:val="BodyText"/>
      </w:pPr>
      <w:r>
        <w:t>Financial implications on the fiscal balance and underlying cash balance are different due to reconciliation arrangements within the child care payment system that require some payments owing in one financial year to be held over to the subsequent financial year.</w:t>
      </w:r>
    </w:p>
    <w:p w:rsidR="00D75DE2" w:rsidRPr="00D75DE2" w:rsidRDefault="00D75DE2" w:rsidP="00D75DE2">
      <w:pPr>
        <w:pStyle w:val="BodyText"/>
      </w:pPr>
      <w:r>
        <w:t>This costing is considered to be of medium to low reliability.  While the costing is based on detailed administrative data on children in approved child care, the Parliamentary Budget Office (PBO) has made assumptions about child care usage and the fees charged by child care providers over the 2016-17 Budget forward estimates period and the medium term.  For components with specified capped amounts or with expansion of funding to existing programs, there is uncertainty regarding the flow-on impacts to the broader child care system.</w:t>
      </w:r>
    </w:p>
    <w:p w:rsidR="00420CF4" w:rsidRDefault="00420CF4" w:rsidP="00D75DE2">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D75DE2">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20CF4" w:rsidRPr="00D264E1" w:rsidRDefault="00420CF4" w:rsidP="00D75DE2">
            <w:pPr>
              <w:pStyle w:val="TableHeading"/>
            </w:pPr>
            <w:r>
              <w:t>Impact on</w:t>
            </w:r>
          </w:p>
        </w:tc>
        <w:tc>
          <w:tcPr>
            <w:tcW w:w="721" w:type="pct"/>
            <w:vAlign w:val="center"/>
          </w:tcPr>
          <w:p w:rsidR="00420CF4" w:rsidRPr="00FC1F1C" w:rsidRDefault="00420CF4" w:rsidP="00D75DE2">
            <w:pPr>
              <w:pStyle w:val="TableHeadingRight"/>
            </w:pPr>
            <w:r>
              <w:t>2016–17</w:t>
            </w:r>
          </w:p>
        </w:tc>
        <w:tc>
          <w:tcPr>
            <w:tcW w:w="721" w:type="pct"/>
            <w:vAlign w:val="center"/>
          </w:tcPr>
          <w:p w:rsidR="00420CF4" w:rsidRPr="00FC1F1C" w:rsidRDefault="00420CF4" w:rsidP="00D75DE2">
            <w:pPr>
              <w:pStyle w:val="TableHeadingRight"/>
            </w:pPr>
            <w:r>
              <w:t>2017–18</w:t>
            </w:r>
          </w:p>
        </w:tc>
        <w:tc>
          <w:tcPr>
            <w:tcW w:w="722" w:type="pct"/>
            <w:vAlign w:val="center"/>
          </w:tcPr>
          <w:p w:rsidR="00420CF4" w:rsidRPr="00FC1F1C" w:rsidRDefault="00420CF4" w:rsidP="00D75DE2">
            <w:pPr>
              <w:pStyle w:val="TableHeadingRight"/>
            </w:pPr>
            <w:r>
              <w:t>2018–19</w:t>
            </w:r>
          </w:p>
        </w:tc>
        <w:tc>
          <w:tcPr>
            <w:tcW w:w="721" w:type="pct"/>
            <w:vAlign w:val="center"/>
          </w:tcPr>
          <w:p w:rsidR="00420CF4" w:rsidRPr="00FC1F1C" w:rsidRDefault="00420CF4" w:rsidP="00D75DE2">
            <w:pPr>
              <w:pStyle w:val="TableHeadingRight"/>
            </w:pPr>
            <w:r>
              <w:t>2019–20</w:t>
            </w:r>
          </w:p>
        </w:tc>
        <w:tc>
          <w:tcPr>
            <w:tcW w:w="722" w:type="pct"/>
            <w:vAlign w:val="center"/>
          </w:tcPr>
          <w:p w:rsidR="00420CF4" w:rsidRDefault="00420CF4" w:rsidP="00D75DE2">
            <w:pPr>
              <w:pStyle w:val="TableTextRight"/>
              <w:keepNext/>
              <w:keepLines/>
            </w:pPr>
            <w:r>
              <w:t>Total to 2019–20</w:t>
            </w:r>
          </w:p>
        </w:tc>
      </w:tr>
      <w:tr w:rsidR="00D75DE2" w:rsidTr="00D75DE2">
        <w:tc>
          <w:tcPr>
            <w:tcW w:w="1393" w:type="pct"/>
            <w:vAlign w:val="center"/>
          </w:tcPr>
          <w:p w:rsidR="00D75DE2" w:rsidRDefault="00D75DE2" w:rsidP="00D75DE2">
            <w:pPr>
              <w:pStyle w:val="TableText"/>
              <w:keepNext/>
              <w:keepLines/>
            </w:pPr>
            <w:r>
              <w:t>Fiscal balance</w:t>
            </w:r>
          </w:p>
        </w:tc>
        <w:tc>
          <w:tcPr>
            <w:tcW w:w="721" w:type="pct"/>
            <w:vAlign w:val="center"/>
          </w:tcPr>
          <w:p w:rsidR="00D75DE2" w:rsidRPr="003A3459" w:rsidRDefault="00D75DE2" w:rsidP="00D75DE2">
            <w:pPr>
              <w:pStyle w:val="TableTextRight"/>
            </w:pPr>
            <w:r>
              <w:t>-293.0</w:t>
            </w:r>
          </w:p>
        </w:tc>
        <w:tc>
          <w:tcPr>
            <w:tcW w:w="721" w:type="pct"/>
            <w:vAlign w:val="center"/>
          </w:tcPr>
          <w:p w:rsidR="00D75DE2" w:rsidRPr="003A3459" w:rsidRDefault="00D75DE2" w:rsidP="00D75DE2">
            <w:pPr>
              <w:pStyle w:val="TableTextRight"/>
            </w:pPr>
            <w:r>
              <w:t>-651.7</w:t>
            </w:r>
          </w:p>
        </w:tc>
        <w:tc>
          <w:tcPr>
            <w:tcW w:w="722" w:type="pct"/>
            <w:vAlign w:val="center"/>
          </w:tcPr>
          <w:p w:rsidR="00D75DE2" w:rsidRPr="003A3459" w:rsidRDefault="00D75DE2" w:rsidP="00D75DE2">
            <w:pPr>
              <w:pStyle w:val="TableTextRight"/>
            </w:pPr>
            <w:r>
              <w:t>431.2</w:t>
            </w:r>
          </w:p>
        </w:tc>
        <w:tc>
          <w:tcPr>
            <w:tcW w:w="721" w:type="pct"/>
            <w:vAlign w:val="center"/>
          </w:tcPr>
          <w:p w:rsidR="00D75DE2" w:rsidRPr="003A3459" w:rsidRDefault="00D75DE2" w:rsidP="00D75DE2">
            <w:pPr>
              <w:pStyle w:val="TableTextRight"/>
            </w:pPr>
            <w:r>
              <w:t>573.1</w:t>
            </w:r>
          </w:p>
        </w:tc>
        <w:tc>
          <w:tcPr>
            <w:tcW w:w="722" w:type="pct"/>
            <w:vAlign w:val="center"/>
          </w:tcPr>
          <w:p w:rsidR="00D75DE2" w:rsidRPr="00C363AE" w:rsidRDefault="00D75DE2" w:rsidP="00D75DE2">
            <w:pPr>
              <w:pStyle w:val="TableTextRight"/>
              <w:rPr>
                <w:b/>
              </w:rPr>
            </w:pPr>
            <w:r>
              <w:rPr>
                <w:b/>
              </w:rPr>
              <w:t>59.6</w:t>
            </w:r>
          </w:p>
        </w:tc>
      </w:tr>
      <w:tr w:rsidR="00D75DE2" w:rsidTr="00D75DE2">
        <w:tc>
          <w:tcPr>
            <w:tcW w:w="1393" w:type="pct"/>
            <w:vAlign w:val="center"/>
          </w:tcPr>
          <w:p w:rsidR="00D75DE2" w:rsidRDefault="00D75DE2" w:rsidP="00D75DE2">
            <w:pPr>
              <w:pStyle w:val="TableText"/>
              <w:keepNext/>
              <w:keepLines/>
            </w:pPr>
            <w:r>
              <w:t>Underlying cash balance</w:t>
            </w:r>
          </w:p>
        </w:tc>
        <w:tc>
          <w:tcPr>
            <w:tcW w:w="721" w:type="pct"/>
            <w:vAlign w:val="center"/>
          </w:tcPr>
          <w:p w:rsidR="00D75DE2" w:rsidRPr="003A3459" w:rsidRDefault="00D75DE2" w:rsidP="00D75DE2">
            <w:pPr>
              <w:pStyle w:val="TableTextRight"/>
            </w:pPr>
            <w:r>
              <w:t>-284.7</w:t>
            </w:r>
          </w:p>
        </w:tc>
        <w:tc>
          <w:tcPr>
            <w:tcW w:w="721" w:type="pct"/>
            <w:vAlign w:val="center"/>
          </w:tcPr>
          <w:p w:rsidR="00D75DE2" w:rsidRPr="003A3459" w:rsidRDefault="00D75DE2" w:rsidP="00D75DE2">
            <w:pPr>
              <w:pStyle w:val="TableTextRight"/>
            </w:pPr>
            <w:r>
              <w:t>-642.0</w:t>
            </w:r>
          </w:p>
        </w:tc>
        <w:tc>
          <w:tcPr>
            <w:tcW w:w="722" w:type="pct"/>
            <w:vAlign w:val="center"/>
          </w:tcPr>
          <w:p w:rsidR="00D75DE2" w:rsidRPr="003A3459" w:rsidRDefault="00D75DE2" w:rsidP="00D75DE2">
            <w:pPr>
              <w:pStyle w:val="TableTextRight"/>
            </w:pPr>
            <w:r>
              <w:t>440.7</w:t>
            </w:r>
          </w:p>
        </w:tc>
        <w:tc>
          <w:tcPr>
            <w:tcW w:w="721" w:type="pct"/>
            <w:vAlign w:val="center"/>
          </w:tcPr>
          <w:p w:rsidR="00D75DE2" w:rsidRPr="003A3459" w:rsidRDefault="00D75DE2" w:rsidP="00D75DE2">
            <w:pPr>
              <w:pStyle w:val="TableTextRight"/>
            </w:pPr>
            <w:r>
              <w:t>657.6</w:t>
            </w:r>
          </w:p>
        </w:tc>
        <w:tc>
          <w:tcPr>
            <w:tcW w:w="722" w:type="pct"/>
            <w:vAlign w:val="center"/>
          </w:tcPr>
          <w:p w:rsidR="00D75DE2" w:rsidRPr="00C363AE" w:rsidRDefault="00D75DE2" w:rsidP="00D75DE2">
            <w:pPr>
              <w:pStyle w:val="TableTextRight"/>
              <w:rPr>
                <w:b/>
              </w:rPr>
            </w:pPr>
            <w:r>
              <w:rPr>
                <w:b/>
              </w:rPr>
              <w:t>171.4</w:t>
            </w:r>
          </w:p>
        </w:tc>
      </w:tr>
    </w:tbl>
    <w:p w:rsidR="00420CF4" w:rsidRDefault="00420CF4" w:rsidP="001F0DB5">
      <w:pPr>
        <w:pStyle w:val="Footnotes"/>
        <w:keepNext/>
        <w:keepLines/>
        <w:numPr>
          <w:ilvl w:val="0"/>
          <w:numId w:val="184"/>
        </w:numPr>
        <w:ind w:left="284" w:hanging="284"/>
      </w:pPr>
      <w:r>
        <w:t xml:space="preserve">A positive </w:t>
      </w:r>
      <w:r w:rsidRPr="00FC1F1C">
        <w:t>number indicates an increase in the relevant budget balance, a negative number a decrease.</w:t>
      </w:r>
    </w:p>
    <w:p w:rsidR="00D75DE2" w:rsidRDefault="00D75DE2" w:rsidP="001F0DB5">
      <w:pPr>
        <w:pStyle w:val="Footnotes"/>
        <w:numPr>
          <w:ilvl w:val="0"/>
          <w:numId w:val="184"/>
        </w:numPr>
        <w:ind w:left="284" w:hanging="284"/>
      </w:pPr>
      <w:r w:rsidRPr="000E063A">
        <w:t>Figures may not sum to totals due to rounding.</w:t>
      </w:r>
    </w:p>
    <w:p w:rsidR="00420CF4" w:rsidRDefault="00420CF4" w:rsidP="00420CF4">
      <w:pPr>
        <w:pStyle w:val="CostingsH7"/>
      </w:pPr>
      <w:r>
        <w:t>Key assumptions</w:t>
      </w:r>
    </w:p>
    <w:p w:rsidR="00D75DE2" w:rsidRPr="00D75DE2" w:rsidRDefault="00D75DE2" w:rsidP="00D75DE2">
      <w:pPr>
        <w:pStyle w:val="BodyText"/>
      </w:pPr>
      <w:r w:rsidRPr="00D75DE2">
        <w:t>The costing assumes that all additional child care places created due to expanded services would be utilised.</w:t>
      </w:r>
    </w:p>
    <w:p w:rsidR="00420CF4" w:rsidRDefault="00420CF4" w:rsidP="00420CF4">
      <w:pPr>
        <w:pStyle w:val="CostingsH7"/>
      </w:pPr>
      <w:r>
        <w:t>Methodology</w:t>
      </w:r>
    </w:p>
    <w:p w:rsidR="00D75DE2" w:rsidRDefault="00D75DE2" w:rsidP="00D75DE2">
      <w:pPr>
        <w:pStyle w:val="ListBullet"/>
      </w:pPr>
      <w:r>
        <w:t>The financial implications of not proceeding with the CCS system were estimated based on extracts from the Central Budget Management System (CBMS) provided by the Department of Finance.</w:t>
      </w:r>
    </w:p>
    <w:p w:rsidR="00D75DE2" w:rsidRDefault="00D75DE2" w:rsidP="00D75DE2">
      <w:pPr>
        <w:pStyle w:val="ListBullet"/>
      </w:pPr>
      <w:r>
        <w:t>For the CCB rate and CCR cap increases, child care models based on unit record administrative data were used to simulate entitlements under both the current child care system and the proposal over the forward estimates period.  The differences in entitlements represent the financial implications of the proposal.</w:t>
      </w:r>
    </w:p>
    <w:p w:rsidR="00D75DE2" w:rsidRDefault="00D75DE2" w:rsidP="00D75DE2">
      <w:pPr>
        <w:pStyle w:val="ListBullet"/>
      </w:pPr>
      <w:r>
        <w:t>The flow-on costs to the child care system due to increased places were estimated by multiplying the expected increase in the number of children by the average cost per child care place.  The estimated additional number of child care places was calculated by dividing the grant funding amounts by the average capital costs required to expand child care facilities.</w:t>
      </w:r>
    </w:p>
    <w:p w:rsidR="00D75DE2" w:rsidRPr="00D75DE2" w:rsidRDefault="00D75DE2" w:rsidP="00D75DE2">
      <w:pPr>
        <w:pStyle w:val="ListBullet"/>
      </w:pPr>
      <w:r>
        <w:t>The departmental expenditure estimates are based on other similar initiatives and estimates account for the net effect of indexation parameters and the efficiency dividend, in accordance with the Department of Finance’s costing practices.</w:t>
      </w:r>
    </w:p>
    <w:p w:rsidR="00420CF4" w:rsidRDefault="00420CF4" w:rsidP="00420CF4">
      <w:pPr>
        <w:pStyle w:val="CostingsH7"/>
      </w:pPr>
      <w:r>
        <w:t>Data sources</w:t>
      </w:r>
    </w:p>
    <w:p w:rsidR="00D75DE2" w:rsidRDefault="006C0AA1" w:rsidP="0073534F">
      <w:pPr>
        <w:pStyle w:val="ListBullet"/>
      </w:pPr>
      <w:r>
        <w:t xml:space="preserve">The </w:t>
      </w:r>
      <w:r w:rsidR="00D75DE2">
        <w:t>Department of Education and Training provided child care models and underlying unit record data of child care fee assistance recipients, and estimates and cost breakdown for the BBF program.</w:t>
      </w:r>
    </w:p>
    <w:p w:rsidR="00D75DE2" w:rsidRDefault="006C0AA1" w:rsidP="0073534F">
      <w:pPr>
        <w:pStyle w:val="ListBullet"/>
      </w:pPr>
      <w:r>
        <w:t xml:space="preserve">The </w:t>
      </w:r>
      <w:r w:rsidR="00D75DE2">
        <w:t>Department of Human Services provided the average departmental costs for child care.</w:t>
      </w:r>
    </w:p>
    <w:p w:rsidR="00D75DE2" w:rsidRDefault="006C0AA1" w:rsidP="0073534F">
      <w:pPr>
        <w:pStyle w:val="ListBullet"/>
      </w:pPr>
      <w:r>
        <w:t xml:space="preserve">The </w:t>
      </w:r>
      <w:r w:rsidR="00D75DE2">
        <w:t>Department of Finance provided information from the CBMS and indexation and efficiency dividend parameters.</w:t>
      </w:r>
    </w:p>
    <w:p w:rsidR="008B2EF9" w:rsidRDefault="008B2EF9" w:rsidP="008B2EF9">
      <w:pPr>
        <w:pStyle w:val="BodyText"/>
      </w:pPr>
    </w:p>
    <w:p w:rsidR="008B2EF9" w:rsidRDefault="008B2EF9" w:rsidP="008B2EF9">
      <w:pPr>
        <w:pStyle w:val="BodyText"/>
        <w:sectPr w:rsidR="008B2EF9" w:rsidSect="00967BCD">
          <w:footnotePr>
            <w:numRestart w:val="eachSect"/>
          </w:footnotePr>
          <w:pgSz w:w="11906" w:h="16838" w:code="9"/>
          <w:pgMar w:top="1361" w:right="1797" w:bottom="1474" w:left="1797" w:header="283" w:footer="454" w:gutter="0"/>
          <w:cols w:space="708"/>
          <w:docGrid w:linePitch="360"/>
        </w:sectPr>
      </w:pPr>
    </w:p>
    <w:p w:rsidR="00BC1A2A" w:rsidRDefault="00BC1A2A" w:rsidP="00082EAD">
      <w:pPr>
        <w:pStyle w:val="Heading6"/>
        <w:numPr>
          <w:ilvl w:val="0"/>
          <w:numId w:val="10"/>
        </w:numPr>
        <w:tabs>
          <w:tab w:val="right" w:pos="1418"/>
          <w:tab w:val="right" w:pos="1701"/>
          <w:tab w:val="right" w:pos="1985"/>
        </w:tabs>
        <w:spacing w:before="480"/>
      </w:pPr>
      <w:r>
        <w:t xml:space="preserve">Attachment </w:t>
      </w:r>
      <w:r w:rsidR="00D75DE2">
        <w:t>A</w:t>
      </w:r>
      <w:r>
        <w:t xml:space="preserve">: </w:t>
      </w:r>
      <w:r w:rsidR="00D75DE2">
        <w:t>Child care – more assistance for families sooner</w:t>
      </w:r>
      <w:r>
        <w:t>—</w:t>
      </w:r>
      <w:r w:rsidR="0080154C">
        <w:t>financial implications</w:t>
      </w:r>
    </w:p>
    <w:p w:rsidR="00BC1A2A" w:rsidRDefault="00BC1A2A" w:rsidP="00082EAD">
      <w:pPr>
        <w:pStyle w:val="Caption"/>
        <w:keepLines/>
      </w:pPr>
      <w:r w:rsidRPr="002B36F1">
        <w:t xml:space="preserve">Table </w:t>
      </w:r>
      <w:r>
        <w:t>A1</w:t>
      </w:r>
      <w:r w:rsidRPr="002B36F1">
        <w:t>:</w:t>
      </w:r>
      <w:r>
        <w:t xml:space="preserve"> </w:t>
      </w:r>
      <w:r w:rsidR="00D75DE2" w:rsidRPr="00D75DE2">
        <w:t>Child care – more assistance for families sooner</w:t>
      </w:r>
      <w:r>
        <w:t>—Fiscal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C1A2A" w:rsidTr="00B76CAC">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C1A2A" w:rsidRPr="007C2713" w:rsidRDefault="00BC1A2A" w:rsidP="00082EAD">
            <w:pPr>
              <w:pStyle w:val="TableText"/>
              <w:keepNext/>
              <w:keepLines/>
              <w:rPr>
                <w:b w:val="0"/>
              </w:rPr>
            </w:pPr>
            <w:r>
              <w:t>($)</w:t>
            </w:r>
          </w:p>
        </w:tc>
        <w:tc>
          <w:tcPr>
            <w:tcW w:w="689" w:type="pct"/>
            <w:vAlign w:val="center"/>
          </w:tcPr>
          <w:p w:rsidR="00BC1A2A" w:rsidRDefault="00BC1A2A" w:rsidP="00082EAD">
            <w:pPr>
              <w:pStyle w:val="TableTextRight"/>
              <w:keepNext/>
              <w:keepLines/>
              <w:rPr>
                <w:b w:val="0"/>
              </w:rPr>
            </w:pPr>
            <w:r>
              <w:t>2016–17</w:t>
            </w:r>
          </w:p>
        </w:tc>
        <w:tc>
          <w:tcPr>
            <w:tcW w:w="689" w:type="pct"/>
            <w:vAlign w:val="center"/>
          </w:tcPr>
          <w:p w:rsidR="00BC1A2A" w:rsidRDefault="00BC1A2A" w:rsidP="00082EAD">
            <w:pPr>
              <w:pStyle w:val="TableTextRight"/>
              <w:keepNext/>
              <w:keepLines/>
              <w:rPr>
                <w:b w:val="0"/>
              </w:rPr>
            </w:pPr>
            <w:r>
              <w:t>2017–18</w:t>
            </w:r>
          </w:p>
        </w:tc>
        <w:tc>
          <w:tcPr>
            <w:tcW w:w="689" w:type="pct"/>
            <w:vAlign w:val="center"/>
          </w:tcPr>
          <w:p w:rsidR="00BC1A2A" w:rsidRDefault="00BC1A2A" w:rsidP="00082EAD">
            <w:pPr>
              <w:pStyle w:val="TableTextRight"/>
              <w:keepNext/>
              <w:keepLines/>
              <w:rPr>
                <w:b w:val="0"/>
              </w:rPr>
            </w:pPr>
            <w:r>
              <w:t>2018–19</w:t>
            </w:r>
          </w:p>
        </w:tc>
        <w:tc>
          <w:tcPr>
            <w:tcW w:w="689" w:type="pct"/>
            <w:vAlign w:val="center"/>
          </w:tcPr>
          <w:p w:rsidR="00BC1A2A" w:rsidRDefault="00BC1A2A" w:rsidP="00082EAD">
            <w:pPr>
              <w:pStyle w:val="TableTextRight"/>
              <w:keepNext/>
              <w:keepLines/>
              <w:rPr>
                <w:b w:val="0"/>
              </w:rPr>
            </w:pPr>
            <w:r>
              <w:t>2019–20</w:t>
            </w:r>
          </w:p>
        </w:tc>
        <w:tc>
          <w:tcPr>
            <w:tcW w:w="690" w:type="pct"/>
            <w:vAlign w:val="center"/>
          </w:tcPr>
          <w:p w:rsidR="00BC1A2A" w:rsidRDefault="00BC1A2A" w:rsidP="00082EAD">
            <w:pPr>
              <w:pStyle w:val="TableTextRight"/>
              <w:keepNext/>
              <w:keepLines/>
            </w:pPr>
            <w:r>
              <w:t>Total to 2019–20</w:t>
            </w:r>
          </w:p>
        </w:tc>
      </w:tr>
      <w:tr w:rsidR="00082EAD" w:rsidTr="00082EAD">
        <w:tc>
          <w:tcPr>
            <w:tcW w:w="1554" w:type="pct"/>
            <w:vAlign w:val="center"/>
          </w:tcPr>
          <w:p w:rsidR="00082EAD" w:rsidRPr="003A3459" w:rsidRDefault="00082EAD" w:rsidP="00082EAD">
            <w:pPr>
              <w:pStyle w:val="TableText"/>
              <w:keepNext/>
              <w:keepLines/>
            </w:pPr>
            <w:r>
              <w:t>Administered</w:t>
            </w:r>
          </w:p>
        </w:tc>
        <w:tc>
          <w:tcPr>
            <w:tcW w:w="689" w:type="pct"/>
            <w:vAlign w:val="center"/>
          </w:tcPr>
          <w:p w:rsidR="00082EAD" w:rsidRPr="00082EAD" w:rsidRDefault="00082EAD" w:rsidP="00082EAD">
            <w:pPr>
              <w:pStyle w:val="TableTextRight"/>
              <w:keepNext/>
              <w:keepLines/>
              <w:rPr>
                <w:i/>
              </w:rPr>
            </w:pPr>
            <w:r w:rsidRPr="00082EAD">
              <w:rPr>
                <w:i/>
              </w:rPr>
              <w:t>-293.0</w:t>
            </w:r>
          </w:p>
        </w:tc>
        <w:tc>
          <w:tcPr>
            <w:tcW w:w="689" w:type="pct"/>
            <w:vAlign w:val="center"/>
          </w:tcPr>
          <w:p w:rsidR="00082EAD" w:rsidRPr="00082EAD" w:rsidRDefault="00082EAD" w:rsidP="00082EAD">
            <w:pPr>
              <w:pStyle w:val="TableTextRight"/>
              <w:keepNext/>
              <w:keepLines/>
              <w:rPr>
                <w:i/>
              </w:rPr>
            </w:pPr>
            <w:r w:rsidRPr="00082EAD">
              <w:rPr>
                <w:i/>
              </w:rPr>
              <w:t>-696.2</w:t>
            </w:r>
          </w:p>
        </w:tc>
        <w:tc>
          <w:tcPr>
            <w:tcW w:w="689" w:type="pct"/>
            <w:vAlign w:val="center"/>
          </w:tcPr>
          <w:p w:rsidR="00082EAD" w:rsidRPr="00082EAD" w:rsidRDefault="00082EAD" w:rsidP="00082EAD">
            <w:pPr>
              <w:pStyle w:val="TableTextRight"/>
              <w:keepNext/>
              <w:keepLines/>
              <w:rPr>
                <w:i/>
              </w:rPr>
            </w:pPr>
            <w:r w:rsidRPr="00082EAD">
              <w:rPr>
                <w:i/>
              </w:rPr>
              <w:t>371.2</w:t>
            </w:r>
          </w:p>
        </w:tc>
        <w:tc>
          <w:tcPr>
            <w:tcW w:w="689" w:type="pct"/>
            <w:vAlign w:val="center"/>
          </w:tcPr>
          <w:p w:rsidR="00082EAD" w:rsidRPr="00082EAD" w:rsidRDefault="00082EAD" w:rsidP="00082EAD">
            <w:pPr>
              <w:pStyle w:val="TableTextRight"/>
              <w:keepNext/>
              <w:keepLines/>
              <w:rPr>
                <w:i/>
              </w:rPr>
            </w:pPr>
            <w:r w:rsidRPr="00082EAD">
              <w:rPr>
                <w:i/>
              </w:rPr>
              <w:t>517.5</w:t>
            </w:r>
          </w:p>
        </w:tc>
        <w:tc>
          <w:tcPr>
            <w:tcW w:w="690" w:type="pct"/>
            <w:vAlign w:val="center"/>
          </w:tcPr>
          <w:p w:rsidR="00082EAD" w:rsidRPr="00082EAD" w:rsidRDefault="00082EAD" w:rsidP="00082EAD">
            <w:pPr>
              <w:pStyle w:val="TableTextRight"/>
              <w:keepNext/>
              <w:keepLines/>
              <w:rPr>
                <w:b/>
                <w:i/>
              </w:rPr>
            </w:pPr>
            <w:r w:rsidRPr="00082EAD">
              <w:rPr>
                <w:b/>
                <w:i/>
              </w:rPr>
              <w:t>-100.5</w:t>
            </w:r>
          </w:p>
        </w:tc>
      </w:tr>
      <w:tr w:rsidR="00082EAD" w:rsidTr="00082EAD">
        <w:tc>
          <w:tcPr>
            <w:tcW w:w="1554" w:type="pct"/>
            <w:vAlign w:val="center"/>
          </w:tcPr>
          <w:p w:rsidR="00082EAD" w:rsidRPr="003A3459" w:rsidRDefault="00082EAD" w:rsidP="00082EAD">
            <w:pPr>
              <w:pStyle w:val="TableText"/>
              <w:keepNext/>
              <w:keepLines/>
            </w:pPr>
            <w:r>
              <w:t>Departmental</w:t>
            </w:r>
          </w:p>
        </w:tc>
        <w:tc>
          <w:tcPr>
            <w:tcW w:w="689" w:type="pct"/>
            <w:vAlign w:val="center"/>
          </w:tcPr>
          <w:p w:rsidR="00082EAD" w:rsidRPr="00082EAD" w:rsidRDefault="00082EAD" w:rsidP="00082EAD">
            <w:pPr>
              <w:pStyle w:val="TableTextRight"/>
              <w:keepNext/>
              <w:keepLines/>
              <w:rPr>
                <w:i/>
              </w:rPr>
            </w:pPr>
            <w:r w:rsidRPr="00082EAD">
              <w:rPr>
                <w:i/>
              </w:rPr>
              <w:t>-</w:t>
            </w:r>
          </w:p>
        </w:tc>
        <w:tc>
          <w:tcPr>
            <w:tcW w:w="689" w:type="pct"/>
            <w:vAlign w:val="center"/>
          </w:tcPr>
          <w:p w:rsidR="00082EAD" w:rsidRPr="00082EAD" w:rsidRDefault="00082EAD" w:rsidP="00082EAD">
            <w:pPr>
              <w:pStyle w:val="TableTextRight"/>
              <w:keepNext/>
              <w:keepLines/>
              <w:rPr>
                <w:i/>
              </w:rPr>
            </w:pPr>
            <w:r w:rsidRPr="00082EAD">
              <w:rPr>
                <w:i/>
              </w:rPr>
              <w:t>44.5</w:t>
            </w:r>
          </w:p>
        </w:tc>
        <w:tc>
          <w:tcPr>
            <w:tcW w:w="689" w:type="pct"/>
            <w:vAlign w:val="center"/>
          </w:tcPr>
          <w:p w:rsidR="00082EAD" w:rsidRPr="00082EAD" w:rsidRDefault="00082EAD" w:rsidP="00082EAD">
            <w:pPr>
              <w:pStyle w:val="TableTextRight"/>
              <w:keepNext/>
              <w:keepLines/>
              <w:rPr>
                <w:i/>
              </w:rPr>
            </w:pPr>
            <w:r w:rsidRPr="00082EAD">
              <w:rPr>
                <w:i/>
              </w:rPr>
              <w:t>60.0</w:t>
            </w:r>
          </w:p>
        </w:tc>
        <w:tc>
          <w:tcPr>
            <w:tcW w:w="689" w:type="pct"/>
            <w:vAlign w:val="center"/>
          </w:tcPr>
          <w:p w:rsidR="00082EAD" w:rsidRPr="00082EAD" w:rsidRDefault="00082EAD" w:rsidP="00082EAD">
            <w:pPr>
              <w:pStyle w:val="TableTextRight"/>
              <w:keepNext/>
              <w:keepLines/>
              <w:rPr>
                <w:i/>
              </w:rPr>
            </w:pPr>
            <w:r w:rsidRPr="00082EAD">
              <w:rPr>
                <w:i/>
              </w:rPr>
              <w:t>55.6</w:t>
            </w:r>
          </w:p>
        </w:tc>
        <w:tc>
          <w:tcPr>
            <w:tcW w:w="690" w:type="pct"/>
            <w:vAlign w:val="center"/>
          </w:tcPr>
          <w:p w:rsidR="00082EAD" w:rsidRPr="00082EAD" w:rsidRDefault="00082EAD" w:rsidP="00082EAD">
            <w:pPr>
              <w:pStyle w:val="TableTextRight"/>
              <w:keepNext/>
              <w:keepLines/>
              <w:rPr>
                <w:b/>
                <w:i/>
              </w:rPr>
            </w:pPr>
            <w:r w:rsidRPr="00082EAD">
              <w:rPr>
                <w:b/>
                <w:i/>
              </w:rPr>
              <w:t>160.1</w:t>
            </w:r>
          </w:p>
        </w:tc>
      </w:tr>
      <w:tr w:rsidR="00082EAD" w:rsidRPr="007C2713" w:rsidTr="00082EAD">
        <w:tc>
          <w:tcPr>
            <w:tcW w:w="1554" w:type="pct"/>
            <w:shd w:val="clear" w:color="auto" w:fill="D7DDE9" w:themeFill="accent3"/>
            <w:vAlign w:val="center"/>
          </w:tcPr>
          <w:p w:rsidR="00082EAD" w:rsidRPr="0055406D" w:rsidRDefault="00082EAD" w:rsidP="00082EAD">
            <w:pPr>
              <w:pStyle w:val="TableText"/>
              <w:keepNext/>
              <w:keepLines/>
              <w:rPr>
                <w:b/>
              </w:rPr>
            </w:pPr>
            <w:r w:rsidRPr="0055406D">
              <w:rPr>
                <w:b/>
              </w:rPr>
              <w:t>Total</w:t>
            </w:r>
          </w:p>
        </w:tc>
        <w:tc>
          <w:tcPr>
            <w:tcW w:w="689" w:type="pct"/>
            <w:shd w:val="clear" w:color="auto" w:fill="D7DDE9" w:themeFill="accent3"/>
            <w:vAlign w:val="center"/>
          </w:tcPr>
          <w:p w:rsidR="00082EAD" w:rsidRPr="00082EAD" w:rsidRDefault="00082EAD" w:rsidP="00082EAD">
            <w:pPr>
              <w:pStyle w:val="TableTextRight"/>
              <w:keepNext/>
              <w:keepLines/>
              <w:rPr>
                <w:b/>
              </w:rPr>
            </w:pPr>
            <w:r w:rsidRPr="00082EAD">
              <w:rPr>
                <w:b/>
              </w:rPr>
              <w:t>-293.0</w:t>
            </w:r>
          </w:p>
        </w:tc>
        <w:tc>
          <w:tcPr>
            <w:tcW w:w="689" w:type="pct"/>
            <w:shd w:val="clear" w:color="auto" w:fill="D7DDE9" w:themeFill="accent3"/>
            <w:vAlign w:val="center"/>
          </w:tcPr>
          <w:p w:rsidR="00082EAD" w:rsidRPr="00082EAD" w:rsidRDefault="00082EAD" w:rsidP="00082EAD">
            <w:pPr>
              <w:pStyle w:val="TableTextRight"/>
              <w:keepNext/>
              <w:keepLines/>
              <w:rPr>
                <w:b/>
              </w:rPr>
            </w:pPr>
            <w:r w:rsidRPr="00082EAD">
              <w:rPr>
                <w:b/>
              </w:rPr>
              <w:t>-651.7</w:t>
            </w:r>
          </w:p>
        </w:tc>
        <w:tc>
          <w:tcPr>
            <w:tcW w:w="689" w:type="pct"/>
            <w:shd w:val="clear" w:color="auto" w:fill="D7DDE9" w:themeFill="accent3"/>
            <w:vAlign w:val="center"/>
          </w:tcPr>
          <w:p w:rsidR="00082EAD" w:rsidRPr="00082EAD" w:rsidRDefault="00082EAD" w:rsidP="00082EAD">
            <w:pPr>
              <w:pStyle w:val="TableTextRight"/>
              <w:keepNext/>
              <w:keepLines/>
              <w:rPr>
                <w:b/>
              </w:rPr>
            </w:pPr>
            <w:r w:rsidRPr="00082EAD">
              <w:rPr>
                <w:b/>
              </w:rPr>
              <w:t>431.2</w:t>
            </w:r>
          </w:p>
        </w:tc>
        <w:tc>
          <w:tcPr>
            <w:tcW w:w="689" w:type="pct"/>
            <w:shd w:val="clear" w:color="auto" w:fill="D7DDE9" w:themeFill="accent3"/>
            <w:vAlign w:val="center"/>
          </w:tcPr>
          <w:p w:rsidR="00082EAD" w:rsidRPr="00082EAD" w:rsidRDefault="00082EAD" w:rsidP="00082EAD">
            <w:pPr>
              <w:pStyle w:val="TableTextRight"/>
              <w:keepNext/>
              <w:keepLines/>
              <w:rPr>
                <w:b/>
              </w:rPr>
            </w:pPr>
            <w:r w:rsidRPr="00082EAD">
              <w:rPr>
                <w:b/>
              </w:rPr>
              <w:t>573.1</w:t>
            </w:r>
          </w:p>
        </w:tc>
        <w:tc>
          <w:tcPr>
            <w:tcW w:w="690" w:type="pct"/>
            <w:shd w:val="clear" w:color="auto" w:fill="D7DDE9" w:themeFill="accent3"/>
            <w:vAlign w:val="center"/>
          </w:tcPr>
          <w:p w:rsidR="00082EAD" w:rsidRPr="00082EAD" w:rsidRDefault="00082EAD" w:rsidP="00082EAD">
            <w:pPr>
              <w:pStyle w:val="TableTextRight"/>
              <w:keepNext/>
              <w:keepLines/>
              <w:rPr>
                <w:b/>
              </w:rPr>
            </w:pPr>
            <w:r w:rsidRPr="00082EAD">
              <w:rPr>
                <w:b/>
              </w:rPr>
              <w:t>59.6</w:t>
            </w:r>
          </w:p>
        </w:tc>
      </w:tr>
    </w:tbl>
    <w:p w:rsidR="00082EAD" w:rsidRPr="00082EAD" w:rsidRDefault="00082EAD" w:rsidP="002C43F8">
      <w:pPr>
        <w:pStyle w:val="Footnotes"/>
        <w:keepNext/>
        <w:keepLines/>
        <w:numPr>
          <w:ilvl w:val="0"/>
          <w:numId w:val="131"/>
        </w:numPr>
        <w:ind w:left="284" w:hanging="284"/>
      </w:pPr>
      <w:r w:rsidRPr="00082EAD">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BC1A2A" w:rsidRDefault="00BC1A2A" w:rsidP="00082EAD">
      <w:pPr>
        <w:pStyle w:val="Footnotes"/>
        <w:keepNext/>
        <w:keepLines/>
        <w:spacing w:after="120"/>
        <w:ind w:left="284" w:hanging="284"/>
      </w:pPr>
      <w:r w:rsidRPr="005F544A">
        <w:t>Figures may not sum to totals due to rounding.</w:t>
      </w:r>
    </w:p>
    <w:p w:rsidR="00037F23" w:rsidRPr="005F544A" w:rsidRDefault="00037F23" w:rsidP="00ED1D90">
      <w:pPr>
        <w:pStyle w:val="Footnotes"/>
        <w:keepNext/>
        <w:keepLines/>
        <w:numPr>
          <w:ilvl w:val="0"/>
          <w:numId w:val="65"/>
        </w:numPr>
        <w:spacing w:after="120"/>
        <w:ind w:left="584" w:hanging="227"/>
      </w:pPr>
      <w:r>
        <w:t>Indicates nil.</w:t>
      </w:r>
    </w:p>
    <w:p w:rsidR="00BC1A2A" w:rsidRDefault="00BC1A2A" w:rsidP="00082EAD">
      <w:pPr>
        <w:pStyle w:val="Caption"/>
        <w:keepLines/>
      </w:pPr>
      <w:r w:rsidRPr="002B36F1">
        <w:t xml:space="preserve">Table </w:t>
      </w:r>
      <w:r>
        <w:t>A2</w:t>
      </w:r>
      <w:r w:rsidRPr="002B36F1">
        <w:t>:</w:t>
      </w:r>
      <w:r w:rsidR="00082EAD" w:rsidRPr="00082EAD">
        <w:t xml:space="preserve"> </w:t>
      </w:r>
      <w:r w:rsidR="00082EAD" w:rsidRPr="00D75DE2">
        <w:t>Child care – more assistance for families sooner</w:t>
      </w:r>
      <w:r>
        <w:t>—Underlying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C1A2A" w:rsidTr="00B76CAC">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C1A2A" w:rsidRPr="007C2713" w:rsidRDefault="00BC1A2A" w:rsidP="00082EAD">
            <w:pPr>
              <w:pStyle w:val="TableText"/>
              <w:keepNext/>
              <w:keepLines/>
              <w:rPr>
                <w:b w:val="0"/>
              </w:rPr>
            </w:pPr>
            <w:r>
              <w:t>($)</w:t>
            </w:r>
          </w:p>
        </w:tc>
        <w:tc>
          <w:tcPr>
            <w:tcW w:w="689" w:type="pct"/>
            <w:vAlign w:val="center"/>
          </w:tcPr>
          <w:p w:rsidR="00BC1A2A" w:rsidRDefault="00BC1A2A" w:rsidP="00082EAD">
            <w:pPr>
              <w:pStyle w:val="TableTextRight"/>
              <w:keepNext/>
              <w:keepLines/>
              <w:rPr>
                <w:b w:val="0"/>
              </w:rPr>
            </w:pPr>
            <w:r>
              <w:t>2016–17</w:t>
            </w:r>
          </w:p>
        </w:tc>
        <w:tc>
          <w:tcPr>
            <w:tcW w:w="689" w:type="pct"/>
            <w:vAlign w:val="center"/>
          </w:tcPr>
          <w:p w:rsidR="00BC1A2A" w:rsidRDefault="00BC1A2A" w:rsidP="00082EAD">
            <w:pPr>
              <w:pStyle w:val="TableTextRight"/>
              <w:keepNext/>
              <w:keepLines/>
              <w:rPr>
                <w:b w:val="0"/>
              </w:rPr>
            </w:pPr>
            <w:r>
              <w:t>2017–18</w:t>
            </w:r>
          </w:p>
        </w:tc>
        <w:tc>
          <w:tcPr>
            <w:tcW w:w="689" w:type="pct"/>
            <w:vAlign w:val="center"/>
          </w:tcPr>
          <w:p w:rsidR="00BC1A2A" w:rsidRDefault="00BC1A2A" w:rsidP="00082EAD">
            <w:pPr>
              <w:pStyle w:val="TableTextRight"/>
              <w:keepNext/>
              <w:keepLines/>
              <w:rPr>
                <w:b w:val="0"/>
              </w:rPr>
            </w:pPr>
            <w:r>
              <w:t>2018–19</w:t>
            </w:r>
          </w:p>
        </w:tc>
        <w:tc>
          <w:tcPr>
            <w:tcW w:w="689" w:type="pct"/>
            <w:vAlign w:val="center"/>
          </w:tcPr>
          <w:p w:rsidR="00BC1A2A" w:rsidRDefault="00BC1A2A" w:rsidP="00082EAD">
            <w:pPr>
              <w:pStyle w:val="TableTextRight"/>
              <w:keepNext/>
              <w:keepLines/>
              <w:rPr>
                <w:b w:val="0"/>
              </w:rPr>
            </w:pPr>
            <w:r>
              <w:t>2019–20</w:t>
            </w:r>
          </w:p>
        </w:tc>
        <w:tc>
          <w:tcPr>
            <w:tcW w:w="690" w:type="pct"/>
            <w:vAlign w:val="center"/>
          </w:tcPr>
          <w:p w:rsidR="00BC1A2A" w:rsidRDefault="00BC1A2A" w:rsidP="00082EAD">
            <w:pPr>
              <w:pStyle w:val="TableTextRight"/>
              <w:keepNext/>
              <w:keepLines/>
            </w:pPr>
            <w:r>
              <w:t>Total to 2019–20</w:t>
            </w:r>
          </w:p>
        </w:tc>
      </w:tr>
      <w:tr w:rsidR="00082EAD" w:rsidTr="00082EAD">
        <w:tc>
          <w:tcPr>
            <w:tcW w:w="1554" w:type="pct"/>
            <w:vAlign w:val="center"/>
          </w:tcPr>
          <w:p w:rsidR="00082EAD" w:rsidRPr="003A3459" w:rsidRDefault="00082EAD" w:rsidP="00082EAD">
            <w:pPr>
              <w:pStyle w:val="TableText"/>
              <w:keepNext/>
              <w:keepLines/>
            </w:pPr>
            <w:r>
              <w:t>Administered</w:t>
            </w:r>
          </w:p>
        </w:tc>
        <w:tc>
          <w:tcPr>
            <w:tcW w:w="689" w:type="pct"/>
            <w:vAlign w:val="center"/>
          </w:tcPr>
          <w:p w:rsidR="00082EAD" w:rsidRPr="00082EAD" w:rsidRDefault="00082EAD" w:rsidP="00082EAD">
            <w:pPr>
              <w:pStyle w:val="TableTextRight"/>
              <w:rPr>
                <w:i/>
              </w:rPr>
            </w:pPr>
            <w:r w:rsidRPr="00082EAD">
              <w:rPr>
                <w:i/>
              </w:rPr>
              <w:t>-284.7</w:t>
            </w:r>
          </w:p>
        </w:tc>
        <w:tc>
          <w:tcPr>
            <w:tcW w:w="689" w:type="pct"/>
            <w:vAlign w:val="center"/>
          </w:tcPr>
          <w:p w:rsidR="00082EAD" w:rsidRPr="00082EAD" w:rsidRDefault="00082EAD" w:rsidP="00082EAD">
            <w:pPr>
              <w:pStyle w:val="TableTextRight"/>
              <w:rPr>
                <w:i/>
              </w:rPr>
            </w:pPr>
            <w:r w:rsidRPr="00082EAD">
              <w:rPr>
                <w:i/>
              </w:rPr>
              <w:t>-685.9</w:t>
            </w:r>
          </w:p>
        </w:tc>
        <w:tc>
          <w:tcPr>
            <w:tcW w:w="689" w:type="pct"/>
            <w:vAlign w:val="center"/>
          </w:tcPr>
          <w:p w:rsidR="00082EAD" w:rsidRPr="00082EAD" w:rsidRDefault="00082EAD" w:rsidP="00082EAD">
            <w:pPr>
              <w:pStyle w:val="TableTextRight"/>
              <w:rPr>
                <w:i/>
              </w:rPr>
            </w:pPr>
            <w:r w:rsidRPr="00082EAD">
              <w:rPr>
                <w:i/>
              </w:rPr>
              <w:t>382.3</w:t>
            </w:r>
          </w:p>
        </w:tc>
        <w:tc>
          <w:tcPr>
            <w:tcW w:w="689" w:type="pct"/>
            <w:vAlign w:val="center"/>
          </w:tcPr>
          <w:p w:rsidR="00082EAD" w:rsidRPr="00082EAD" w:rsidRDefault="00082EAD" w:rsidP="00082EAD">
            <w:pPr>
              <w:pStyle w:val="TableTextRight"/>
              <w:rPr>
                <w:i/>
              </w:rPr>
            </w:pPr>
            <w:r w:rsidRPr="00082EAD">
              <w:rPr>
                <w:i/>
              </w:rPr>
              <w:t>603.7</w:t>
            </w:r>
          </w:p>
        </w:tc>
        <w:tc>
          <w:tcPr>
            <w:tcW w:w="690" w:type="pct"/>
            <w:vAlign w:val="center"/>
          </w:tcPr>
          <w:p w:rsidR="00082EAD" w:rsidRPr="00082EAD" w:rsidRDefault="00082EAD" w:rsidP="00082EAD">
            <w:pPr>
              <w:pStyle w:val="TableTextRight"/>
              <w:rPr>
                <w:b/>
                <w:i/>
              </w:rPr>
            </w:pPr>
            <w:r w:rsidRPr="00082EAD">
              <w:rPr>
                <w:b/>
                <w:i/>
              </w:rPr>
              <w:t>15.3</w:t>
            </w:r>
          </w:p>
        </w:tc>
      </w:tr>
      <w:tr w:rsidR="00082EAD" w:rsidTr="00082EAD">
        <w:tc>
          <w:tcPr>
            <w:tcW w:w="1554" w:type="pct"/>
            <w:vAlign w:val="center"/>
          </w:tcPr>
          <w:p w:rsidR="00082EAD" w:rsidRPr="003A3459" w:rsidRDefault="00082EAD" w:rsidP="00082EAD">
            <w:pPr>
              <w:pStyle w:val="TableText"/>
              <w:keepNext/>
              <w:keepLines/>
            </w:pPr>
            <w:r>
              <w:t>Departmental</w:t>
            </w:r>
          </w:p>
        </w:tc>
        <w:tc>
          <w:tcPr>
            <w:tcW w:w="689" w:type="pct"/>
            <w:vAlign w:val="center"/>
          </w:tcPr>
          <w:p w:rsidR="00082EAD" w:rsidRPr="00082EAD" w:rsidRDefault="00082EAD" w:rsidP="00082EAD">
            <w:pPr>
              <w:pStyle w:val="TableTextRight"/>
              <w:rPr>
                <w:i/>
              </w:rPr>
            </w:pPr>
            <w:r w:rsidRPr="00082EAD">
              <w:rPr>
                <w:i/>
              </w:rPr>
              <w:t>-</w:t>
            </w:r>
          </w:p>
        </w:tc>
        <w:tc>
          <w:tcPr>
            <w:tcW w:w="689" w:type="pct"/>
            <w:vAlign w:val="center"/>
          </w:tcPr>
          <w:p w:rsidR="00082EAD" w:rsidRPr="00082EAD" w:rsidRDefault="00082EAD" w:rsidP="00082EAD">
            <w:pPr>
              <w:pStyle w:val="TableTextRight"/>
              <w:rPr>
                <w:i/>
              </w:rPr>
            </w:pPr>
            <w:r w:rsidRPr="00082EAD">
              <w:rPr>
                <w:i/>
              </w:rPr>
              <w:t>43.9</w:t>
            </w:r>
          </w:p>
        </w:tc>
        <w:tc>
          <w:tcPr>
            <w:tcW w:w="689" w:type="pct"/>
            <w:vAlign w:val="center"/>
          </w:tcPr>
          <w:p w:rsidR="00082EAD" w:rsidRPr="00082EAD" w:rsidRDefault="00082EAD" w:rsidP="00082EAD">
            <w:pPr>
              <w:pStyle w:val="TableTextRight"/>
              <w:rPr>
                <w:i/>
              </w:rPr>
            </w:pPr>
            <w:r w:rsidRPr="00082EAD">
              <w:rPr>
                <w:i/>
              </w:rPr>
              <w:t>58.4</w:t>
            </w:r>
          </w:p>
        </w:tc>
        <w:tc>
          <w:tcPr>
            <w:tcW w:w="689" w:type="pct"/>
            <w:vAlign w:val="center"/>
          </w:tcPr>
          <w:p w:rsidR="00082EAD" w:rsidRPr="00082EAD" w:rsidRDefault="00082EAD" w:rsidP="00082EAD">
            <w:pPr>
              <w:pStyle w:val="TableTextRight"/>
              <w:rPr>
                <w:i/>
              </w:rPr>
            </w:pPr>
            <w:r w:rsidRPr="00082EAD">
              <w:rPr>
                <w:i/>
              </w:rPr>
              <w:t>53.9</w:t>
            </w:r>
          </w:p>
        </w:tc>
        <w:tc>
          <w:tcPr>
            <w:tcW w:w="690" w:type="pct"/>
            <w:vAlign w:val="center"/>
          </w:tcPr>
          <w:p w:rsidR="00082EAD" w:rsidRPr="00082EAD" w:rsidRDefault="00082EAD" w:rsidP="00082EAD">
            <w:pPr>
              <w:pStyle w:val="TableTextRight"/>
              <w:rPr>
                <w:b/>
                <w:i/>
              </w:rPr>
            </w:pPr>
            <w:r w:rsidRPr="00082EAD">
              <w:rPr>
                <w:b/>
                <w:i/>
              </w:rPr>
              <w:t>156.1</w:t>
            </w:r>
          </w:p>
        </w:tc>
      </w:tr>
      <w:tr w:rsidR="00082EAD" w:rsidRPr="007C2713" w:rsidTr="00082EAD">
        <w:tc>
          <w:tcPr>
            <w:tcW w:w="1554" w:type="pct"/>
            <w:shd w:val="clear" w:color="auto" w:fill="D7DDE9" w:themeFill="accent3"/>
            <w:vAlign w:val="center"/>
          </w:tcPr>
          <w:p w:rsidR="00082EAD" w:rsidRPr="0055406D" w:rsidRDefault="00082EAD" w:rsidP="00082EAD">
            <w:pPr>
              <w:pStyle w:val="TableText"/>
              <w:keepNext/>
              <w:keepLines/>
              <w:rPr>
                <w:b/>
              </w:rPr>
            </w:pPr>
            <w:r w:rsidRPr="0055406D">
              <w:rPr>
                <w:b/>
              </w:rPr>
              <w:t>Total</w:t>
            </w:r>
          </w:p>
        </w:tc>
        <w:tc>
          <w:tcPr>
            <w:tcW w:w="689" w:type="pct"/>
            <w:shd w:val="clear" w:color="auto" w:fill="D7DDE9" w:themeFill="accent3"/>
            <w:vAlign w:val="center"/>
          </w:tcPr>
          <w:p w:rsidR="00082EAD" w:rsidRPr="00082EAD" w:rsidRDefault="00082EAD" w:rsidP="00082EAD">
            <w:pPr>
              <w:pStyle w:val="TableTextRight"/>
              <w:rPr>
                <w:b/>
              </w:rPr>
            </w:pPr>
            <w:r w:rsidRPr="00082EAD">
              <w:rPr>
                <w:b/>
              </w:rPr>
              <w:t>-284.7</w:t>
            </w:r>
          </w:p>
        </w:tc>
        <w:tc>
          <w:tcPr>
            <w:tcW w:w="689" w:type="pct"/>
            <w:shd w:val="clear" w:color="auto" w:fill="D7DDE9" w:themeFill="accent3"/>
            <w:vAlign w:val="center"/>
          </w:tcPr>
          <w:p w:rsidR="00082EAD" w:rsidRPr="00082EAD" w:rsidRDefault="00082EAD" w:rsidP="00082EAD">
            <w:pPr>
              <w:pStyle w:val="TableTextRight"/>
              <w:rPr>
                <w:b/>
              </w:rPr>
            </w:pPr>
            <w:r w:rsidRPr="00082EAD">
              <w:rPr>
                <w:b/>
              </w:rPr>
              <w:t>-642.0</w:t>
            </w:r>
          </w:p>
        </w:tc>
        <w:tc>
          <w:tcPr>
            <w:tcW w:w="689" w:type="pct"/>
            <w:shd w:val="clear" w:color="auto" w:fill="D7DDE9" w:themeFill="accent3"/>
            <w:vAlign w:val="center"/>
          </w:tcPr>
          <w:p w:rsidR="00082EAD" w:rsidRPr="00082EAD" w:rsidRDefault="00082EAD" w:rsidP="00082EAD">
            <w:pPr>
              <w:pStyle w:val="TableTextRight"/>
              <w:rPr>
                <w:b/>
              </w:rPr>
            </w:pPr>
            <w:r w:rsidRPr="00082EAD">
              <w:rPr>
                <w:b/>
              </w:rPr>
              <w:t>440.7</w:t>
            </w:r>
          </w:p>
        </w:tc>
        <w:tc>
          <w:tcPr>
            <w:tcW w:w="689" w:type="pct"/>
            <w:shd w:val="clear" w:color="auto" w:fill="D7DDE9" w:themeFill="accent3"/>
            <w:vAlign w:val="center"/>
          </w:tcPr>
          <w:p w:rsidR="00082EAD" w:rsidRPr="00082EAD" w:rsidRDefault="00082EAD" w:rsidP="00082EAD">
            <w:pPr>
              <w:pStyle w:val="TableTextRight"/>
              <w:rPr>
                <w:b/>
              </w:rPr>
            </w:pPr>
            <w:r w:rsidRPr="00082EAD">
              <w:rPr>
                <w:b/>
              </w:rPr>
              <w:t>657.6</w:t>
            </w:r>
          </w:p>
        </w:tc>
        <w:tc>
          <w:tcPr>
            <w:tcW w:w="690" w:type="pct"/>
            <w:shd w:val="clear" w:color="auto" w:fill="D7DDE9" w:themeFill="accent3"/>
            <w:vAlign w:val="center"/>
          </w:tcPr>
          <w:p w:rsidR="00082EAD" w:rsidRPr="00082EAD" w:rsidRDefault="00082EAD" w:rsidP="00082EAD">
            <w:pPr>
              <w:pStyle w:val="TableTextRight"/>
              <w:rPr>
                <w:b/>
              </w:rPr>
            </w:pPr>
            <w:r w:rsidRPr="00082EAD">
              <w:rPr>
                <w:b/>
              </w:rPr>
              <w:t>171.4</w:t>
            </w:r>
          </w:p>
        </w:tc>
      </w:tr>
    </w:tbl>
    <w:p w:rsidR="00082EAD" w:rsidRPr="00082EAD" w:rsidRDefault="00082EAD" w:rsidP="002C43F8">
      <w:pPr>
        <w:pStyle w:val="Footnotes"/>
        <w:numPr>
          <w:ilvl w:val="0"/>
          <w:numId w:val="132"/>
        </w:numPr>
        <w:ind w:left="284" w:hanging="284"/>
      </w:pPr>
      <w:r w:rsidRPr="00082EAD">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420CF4" w:rsidRPr="00951305" w:rsidRDefault="00BC1A2A" w:rsidP="00B65C00">
      <w:pPr>
        <w:pStyle w:val="Footnotes"/>
        <w:spacing w:after="120"/>
        <w:ind w:left="284" w:hanging="284"/>
      </w:pPr>
      <w:r w:rsidRPr="005F544A">
        <w:t>Figures may not sum to totals due to rounding.</w:t>
      </w:r>
    </w:p>
    <w:p w:rsidR="00037F23" w:rsidRPr="005F544A" w:rsidRDefault="00037F23" w:rsidP="00037F23">
      <w:pPr>
        <w:pStyle w:val="Footnotes"/>
        <w:keepNext/>
        <w:keepLines/>
        <w:numPr>
          <w:ilvl w:val="0"/>
          <w:numId w:val="65"/>
        </w:numPr>
        <w:spacing w:after="120"/>
        <w:ind w:left="584" w:hanging="227"/>
      </w:pPr>
      <w:r>
        <w:t>Indicates nil.</w:t>
      </w: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47" w:name="_Toc458081667"/>
      <w:r>
        <w:t>ALP04</w:t>
      </w:r>
      <w:r w:rsidR="00A00D61">
        <w:t>3</w:t>
      </w:r>
      <w:r>
        <w:t>: National Parks Trigger</w:t>
      </w:r>
      <w:bookmarkEnd w:id="47"/>
    </w:p>
    <w:p w:rsidR="00967B83" w:rsidRDefault="00967B83" w:rsidP="00967B83">
      <w:pPr>
        <w:pStyle w:val="BodyText"/>
      </w:pPr>
      <w:r>
        <w:rPr>
          <w:noProof/>
          <w:lang w:eastAsia="en-AU"/>
        </w:rPr>
        <w:drawing>
          <wp:inline distT="0" distB="0" distL="0" distR="0" wp14:anchorId="69D9BCFB" wp14:editId="6133E51D">
            <wp:extent cx="2696845" cy="572135"/>
            <wp:effectExtent l="0" t="0" r="8255" b="0"/>
            <wp:docPr id="324" name="Picture 32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421B35">
            <w:pPr>
              <w:pStyle w:val="PullOutBoxHeading"/>
              <w:rPr>
                <w:b/>
              </w:rPr>
            </w:pPr>
            <w:r w:rsidRPr="00E51946">
              <w:rPr>
                <w:b/>
              </w:rPr>
              <w:t>Name of proposal:</w:t>
            </w:r>
          </w:p>
        </w:tc>
        <w:tc>
          <w:tcPr>
            <w:tcW w:w="3191" w:type="pct"/>
          </w:tcPr>
          <w:p w:rsidR="00420CF4" w:rsidRPr="00E51946" w:rsidRDefault="0051488A" w:rsidP="00421B35">
            <w:pPr>
              <w:pStyle w:val="PullOutBoxHeading"/>
              <w:rPr>
                <w:b/>
              </w:rPr>
            </w:pPr>
            <w:r w:rsidRPr="00E51946">
              <w:rPr>
                <w:b/>
              </w:rPr>
              <w:t>National Parks trigger</w:t>
            </w:r>
          </w:p>
        </w:tc>
      </w:tr>
      <w:tr w:rsidR="00420CF4" w:rsidRPr="00B45F94" w:rsidTr="00967BCD">
        <w:tc>
          <w:tcPr>
            <w:tcW w:w="1809" w:type="pct"/>
          </w:tcPr>
          <w:p w:rsidR="00420CF4" w:rsidRPr="00B45F94" w:rsidRDefault="00420CF4" w:rsidP="00421B35">
            <w:pPr>
              <w:pStyle w:val="PullOutBoxBodyText"/>
            </w:pPr>
            <w:r w:rsidRPr="00B45F94">
              <w:t>Summary of proposal:</w:t>
            </w:r>
          </w:p>
        </w:tc>
        <w:tc>
          <w:tcPr>
            <w:tcW w:w="3191" w:type="pct"/>
          </w:tcPr>
          <w:p w:rsidR="0051488A" w:rsidRPr="0051488A" w:rsidRDefault="0051488A" w:rsidP="00421B35">
            <w:pPr>
              <w:pStyle w:val="PullOutBoxBodyText"/>
            </w:pPr>
            <w:r w:rsidRPr="0051488A">
              <w:t xml:space="preserve">The proposal would legislate for a national parks trigger in the </w:t>
            </w:r>
            <w:r w:rsidRPr="0051488A">
              <w:rPr>
                <w:i/>
              </w:rPr>
              <w:t>Environmental Protection and Biodiversity Conservation Act 1999</w:t>
            </w:r>
            <w:r w:rsidRPr="0051488A">
              <w:t xml:space="preserve"> (the EPBC Act) to ensure any proposed developments in a national park would be subject to the EPBC Act approval process.</w:t>
            </w:r>
          </w:p>
          <w:p w:rsidR="0051488A" w:rsidRPr="0051488A" w:rsidRDefault="0051488A" w:rsidP="00421B35">
            <w:pPr>
              <w:pStyle w:val="PullOutBoxBodyText"/>
            </w:pPr>
            <w:r w:rsidRPr="0051488A">
              <w:t>The policy would ensure that any development within a national park (including marine parks) would be subject to an assessment by the Department of the Environment and approval from the Minister for the Environment.</w:t>
            </w:r>
          </w:p>
          <w:p w:rsidR="0051488A" w:rsidRPr="0051488A" w:rsidRDefault="0051488A" w:rsidP="00421B35">
            <w:pPr>
              <w:pStyle w:val="PullOutBoxBodyText"/>
            </w:pPr>
            <w:r w:rsidRPr="0051488A">
              <w:t>Through this process, any possible risks to the national parks would be identified and the Minister would then have the power to impose specific conditions on projects to ensure the park is protected.</w:t>
            </w:r>
          </w:p>
          <w:p w:rsidR="00420CF4" w:rsidRPr="00B45F94" w:rsidRDefault="0051488A" w:rsidP="00421B35">
            <w:pPr>
              <w:pStyle w:val="PullOutBoxBodyText"/>
            </w:pPr>
            <w:r w:rsidRPr="0051488A">
              <w:t>The proposal would have effect from 1 July 2017.</w:t>
            </w:r>
          </w:p>
        </w:tc>
      </w:tr>
      <w:tr w:rsidR="00420CF4" w:rsidRPr="00B45F94" w:rsidTr="00967BCD">
        <w:tc>
          <w:tcPr>
            <w:tcW w:w="1809" w:type="pct"/>
          </w:tcPr>
          <w:p w:rsidR="00420CF4" w:rsidRPr="00B45F94" w:rsidRDefault="00420CF4" w:rsidP="00421B35">
            <w:pPr>
              <w:pStyle w:val="PullOutBoxBodyText"/>
            </w:pPr>
            <w:r>
              <w:t>Party:</w:t>
            </w:r>
          </w:p>
        </w:tc>
        <w:tc>
          <w:tcPr>
            <w:tcW w:w="3191" w:type="pct"/>
          </w:tcPr>
          <w:p w:rsidR="00420CF4" w:rsidRPr="00B45F94" w:rsidRDefault="00420CF4" w:rsidP="00421B35">
            <w:pPr>
              <w:pStyle w:val="PullOutBoxBodyText"/>
            </w:pPr>
            <w:r>
              <w:t>Australian Labor Party</w:t>
            </w:r>
          </w:p>
        </w:tc>
      </w:tr>
      <w:tr w:rsidR="00420CF4" w:rsidRPr="00B45F94" w:rsidTr="00967BCD">
        <w:tc>
          <w:tcPr>
            <w:tcW w:w="1809" w:type="pct"/>
          </w:tcPr>
          <w:p w:rsidR="00420CF4" w:rsidRPr="00B45F94" w:rsidRDefault="00420CF4" w:rsidP="00421B35">
            <w:pPr>
              <w:pStyle w:val="PullOutBoxBodyText"/>
            </w:pPr>
            <w:r w:rsidRPr="00B45F94">
              <w:t>Expiry date for the costing:</w:t>
            </w:r>
          </w:p>
        </w:tc>
        <w:tc>
          <w:tcPr>
            <w:tcW w:w="3191" w:type="pct"/>
          </w:tcPr>
          <w:p w:rsidR="00420CF4" w:rsidRPr="00B45F94" w:rsidRDefault="00EC102A" w:rsidP="00421B35">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2F2F23" w:rsidRPr="002F2F23" w:rsidRDefault="002F2F23" w:rsidP="002F2F23">
      <w:pPr>
        <w:pStyle w:val="BodyText"/>
      </w:pPr>
      <w:r w:rsidRPr="002F2F23">
        <w:t>The proposal would be expected to decrease both the fiscal and underlying cash balances by $14.9 million over the 2016-17 Budget forward estimates period.  This impact is due to an increase in departmental expenses of $34.2 million, mainly relating to compliance activities, and an increase in administered expenses of $1.4 million.  This would be partially offset by an increase in revenue of $20.8 million from cost recovery of certain mechanisms of the EPBC</w:t>
      </w:r>
      <w:r>
        <w:t> </w:t>
      </w:r>
      <w:r w:rsidRPr="002F2F23">
        <w:t>Act.</w:t>
      </w:r>
    </w:p>
    <w:p w:rsidR="002F2F23" w:rsidRPr="002F2F23" w:rsidRDefault="002F2F23" w:rsidP="002F2F23">
      <w:pPr>
        <w:pStyle w:val="BodyText"/>
      </w:pPr>
      <w:r w:rsidRPr="002F2F23">
        <w:t xml:space="preserve">The proposal would have an ongoing impact beyond the 2016-17 Budget forward estimates period growing in line with indexation.  A breakdown of the impact of the proposal across the 2016-17 budget forward estimates is provided at </w:t>
      </w:r>
      <w:r w:rsidRPr="002F2F23">
        <w:rPr>
          <w:u w:val="single"/>
        </w:rPr>
        <w:t>Attachment A</w:t>
      </w:r>
      <w:r w:rsidRPr="002F2F23">
        <w:t>.</w:t>
      </w:r>
    </w:p>
    <w:p w:rsidR="002F2F23" w:rsidRPr="002F2F23" w:rsidRDefault="002F2F23" w:rsidP="002F2F23">
      <w:pPr>
        <w:pStyle w:val="BodyText"/>
      </w:pPr>
      <w:r w:rsidRPr="002F2F23">
        <w:t>The financial implications are considered to be of medium reliability as, while the cost estimates are based on a previous amendment to the EPBC Act for the water trigger, the Department of the Environment has advised that there is uncertainty as to the number of new proposals that are likely to be referred and require assessment as a result of the new trigger and the staff time involved in additional compliance monitoring, auditing and inves</w:t>
      </w:r>
      <w:r>
        <w:t>tigations for the new trigger.</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2F2F23">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Pr="008C7879" w:rsidRDefault="00420CF4" w:rsidP="002F2F23">
            <w:pPr>
              <w:pStyle w:val="TableTextRight"/>
            </w:pPr>
            <w:r w:rsidRPr="008C7879">
              <w:t>Total</w:t>
            </w:r>
          </w:p>
        </w:tc>
      </w:tr>
      <w:tr w:rsidR="002F2F23" w:rsidTr="00967BCD">
        <w:tc>
          <w:tcPr>
            <w:tcW w:w="1393" w:type="pct"/>
          </w:tcPr>
          <w:p w:rsidR="002F2F23" w:rsidRDefault="002F2F23" w:rsidP="00967BCD">
            <w:pPr>
              <w:pStyle w:val="TableText"/>
            </w:pPr>
            <w:r>
              <w:t>Fiscal balance</w:t>
            </w:r>
          </w:p>
        </w:tc>
        <w:tc>
          <w:tcPr>
            <w:tcW w:w="721" w:type="pct"/>
          </w:tcPr>
          <w:p w:rsidR="002F2F23" w:rsidRPr="00F34E78" w:rsidRDefault="002F2F23" w:rsidP="002F2F23">
            <w:pPr>
              <w:pStyle w:val="TableTextRight"/>
            </w:pPr>
            <w:r w:rsidRPr="00F34E78">
              <w:t>-</w:t>
            </w:r>
          </w:p>
        </w:tc>
        <w:tc>
          <w:tcPr>
            <w:tcW w:w="721" w:type="pct"/>
          </w:tcPr>
          <w:p w:rsidR="002F2F23" w:rsidRPr="00F34E78" w:rsidRDefault="002F2F23" w:rsidP="002F2F23">
            <w:pPr>
              <w:pStyle w:val="TableTextRight"/>
              <w:rPr>
                <w:color w:val="000000"/>
              </w:rPr>
            </w:pPr>
            <w:r w:rsidRPr="00F34E78">
              <w:rPr>
                <w:color w:val="000000"/>
              </w:rPr>
              <w:t>-4.5</w:t>
            </w:r>
          </w:p>
        </w:tc>
        <w:tc>
          <w:tcPr>
            <w:tcW w:w="722" w:type="pct"/>
          </w:tcPr>
          <w:p w:rsidR="002F2F23" w:rsidRPr="00F34E78" w:rsidRDefault="002F2F23" w:rsidP="002F2F23">
            <w:pPr>
              <w:pStyle w:val="TableTextRight"/>
              <w:rPr>
                <w:color w:val="000000"/>
              </w:rPr>
            </w:pPr>
            <w:r w:rsidRPr="00F34E78">
              <w:rPr>
                <w:color w:val="000000"/>
              </w:rPr>
              <w:t>-5.3</w:t>
            </w:r>
          </w:p>
        </w:tc>
        <w:tc>
          <w:tcPr>
            <w:tcW w:w="721" w:type="pct"/>
          </w:tcPr>
          <w:p w:rsidR="002F2F23" w:rsidRPr="00F34E78" w:rsidRDefault="002F2F23" w:rsidP="002F2F23">
            <w:pPr>
              <w:pStyle w:val="TableTextRight"/>
              <w:rPr>
                <w:color w:val="000000"/>
              </w:rPr>
            </w:pPr>
            <w:r w:rsidRPr="00F34E78">
              <w:rPr>
                <w:color w:val="000000"/>
              </w:rPr>
              <w:t>-5.0</w:t>
            </w:r>
          </w:p>
        </w:tc>
        <w:tc>
          <w:tcPr>
            <w:tcW w:w="722" w:type="pct"/>
          </w:tcPr>
          <w:p w:rsidR="002F2F23" w:rsidRPr="008C7879" w:rsidRDefault="002F2F23" w:rsidP="002F2F23">
            <w:pPr>
              <w:pStyle w:val="TableTextRight"/>
              <w:rPr>
                <w:b/>
                <w:color w:val="000000"/>
              </w:rPr>
            </w:pPr>
            <w:r w:rsidRPr="008C7879">
              <w:rPr>
                <w:b/>
                <w:color w:val="000000"/>
              </w:rPr>
              <w:t>-14.9</w:t>
            </w:r>
          </w:p>
        </w:tc>
      </w:tr>
      <w:tr w:rsidR="002F2F23" w:rsidTr="00967BCD">
        <w:tc>
          <w:tcPr>
            <w:tcW w:w="1393" w:type="pct"/>
          </w:tcPr>
          <w:p w:rsidR="002F2F23" w:rsidRDefault="002F2F23" w:rsidP="00967BCD">
            <w:pPr>
              <w:pStyle w:val="TableText"/>
            </w:pPr>
            <w:r>
              <w:t>Underlying cash balance</w:t>
            </w:r>
          </w:p>
        </w:tc>
        <w:tc>
          <w:tcPr>
            <w:tcW w:w="721" w:type="pct"/>
          </w:tcPr>
          <w:p w:rsidR="002F2F23" w:rsidRPr="00F34E78" w:rsidRDefault="002F2F23" w:rsidP="002F2F23">
            <w:pPr>
              <w:pStyle w:val="TableTextRight"/>
            </w:pPr>
            <w:r w:rsidRPr="00F34E78">
              <w:t>-</w:t>
            </w:r>
          </w:p>
        </w:tc>
        <w:tc>
          <w:tcPr>
            <w:tcW w:w="721" w:type="pct"/>
          </w:tcPr>
          <w:p w:rsidR="002F2F23" w:rsidRPr="00F34E78" w:rsidRDefault="002F2F23" w:rsidP="002F2F23">
            <w:pPr>
              <w:pStyle w:val="TableTextRight"/>
              <w:rPr>
                <w:color w:val="000000"/>
              </w:rPr>
            </w:pPr>
            <w:r w:rsidRPr="00F34E78">
              <w:rPr>
                <w:color w:val="000000"/>
              </w:rPr>
              <w:t>-4.5</w:t>
            </w:r>
          </w:p>
        </w:tc>
        <w:tc>
          <w:tcPr>
            <w:tcW w:w="722" w:type="pct"/>
          </w:tcPr>
          <w:p w:rsidR="002F2F23" w:rsidRPr="00F34E78" w:rsidRDefault="002F2F23" w:rsidP="002F2F23">
            <w:pPr>
              <w:pStyle w:val="TableTextRight"/>
              <w:rPr>
                <w:color w:val="000000"/>
              </w:rPr>
            </w:pPr>
            <w:r w:rsidRPr="00F34E78">
              <w:rPr>
                <w:color w:val="000000"/>
              </w:rPr>
              <w:t>-5.3</w:t>
            </w:r>
          </w:p>
        </w:tc>
        <w:tc>
          <w:tcPr>
            <w:tcW w:w="721" w:type="pct"/>
          </w:tcPr>
          <w:p w:rsidR="002F2F23" w:rsidRPr="00F34E78" w:rsidRDefault="002F2F23" w:rsidP="002F2F23">
            <w:pPr>
              <w:pStyle w:val="TableTextRight"/>
              <w:rPr>
                <w:color w:val="000000"/>
              </w:rPr>
            </w:pPr>
            <w:r w:rsidRPr="00F34E78">
              <w:rPr>
                <w:color w:val="000000"/>
              </w:rPr>
              <w:t>-5.0</w:t>
            </w:r>
          </w:p>
        </w:tc>
        <w:tc>
          <w:tcPr>
            <w:tcW w:w="722" w:type="pct"/>
          </w:tcPr>
          <w:p w:rsidR="002F2F23" w:rsidRPr="008C7879" w:rsidRDefault="002F2F23" w:rsidP="002F2F23">
            <w:pPr>
              <w:pStyle w:val="TableTextRight"/>
              <w:rPr>
                <w:b/>
                <w:color w:val="000000"/>
              </w:rPr>
            </w:pPr>
            <w:r w:rsidRPr="008C7879">
              <w:rPr>
                <w:b/>
                <w:color w:val="000000"/>
              </w:rPr>
              <w:t>-14.9</w:t>
            </w:r>
          </w:p>
        </w:tc>
      </w:tr>
    </w:tbl>
    <w:p w:rsidR="002F2F23" w:rsidRPr="002F2F23" w:rsidRDefault="002F2F23" w:rsidP="00484098">
      <w:pPr>
        <w:pStyle w:val="Footnotes"/>
        <w:numPr>
          <w:ilvl w:val="0"/>
          <w:numId w:val="218"/>
        </w:numPr>
        <w:ind w:left="284" w:hanging="284"/>
      </w:pPr>
      <w:r w:rsidRPr="002F2F23">
        <w:t>A positive number indicates an increase in the relevant budget balance, a negative number a decrease.</w:t>
      </w:r>
    </w:p>
    <w:p w:rsidR="002F2F23" w:rsidRPr="002F2F23" w:rsidRDefault="002F2F23" w:rsidP="00484098">
      <w:pPr>
        <w:pStyle w:val="Footnotes"/>
        <w:ind w:left="284" w:hanging="284"/>
      </w:pPr>
      <w:r w:rsidRPr="002F2F23">
        <w:t>Figures may not sum to totals due to rounding.</w:t>
      </w:r>
    </w:p>
    <w:p w:rsidR="002F2F23" w:rsidRDefault="002F2F23" w:rsidP="00484098">
      <w:pPr>
        <w:pStyle w:val="Footnotes"/>
        <w:numPr>
          <w:ilvl w:val="0"/>
          <w:numId w:val="82"/>
        </w:numPr>
        <w:spacing w:before="0"/>
        <w:ind w:left="284" w:hanging="284"/>
      </w:pPr>
      <w:r>
        <w:t>Indicates nil.</w:t>
      </w:r>
    </w:p>
    <w:p w:rsidR="00420CF4" w:rsidRDefault="00420CF4" w:rsidP="00420CF4">
      <w:pPr>
        <w:pStyle w:val="CostingsH7"/>
      </w:pPr>
      <w:r>
        <w:t>Key assumptions</w:t>
      </w:r>
    </w:p>
    <w:p w:rsidR="001C1573" w:rsidRPr="001C1573" w:rsidRDefault="001C1573" w:rsidP="001C1573">
      <w:pPr>
        <w:pStyle w:val="BodyText"/>
      </w:pPr>
      <w:r w:rsidRPr="001C1573">
        <w:t>It has been assumed that:</w:t>
      </w:r>
    </w:p>
    <w:p w:rsidR="001C1573" w:rsidRDefault="001C1573" w:rsidP="001C1573">
      <w:pPr>
        <w:pStyle w:val="ListBullet"/>
      </w:pPr>
      <w:r>
        <w:t>the introduction of a national parks trigger would have a similar impact as the introduction of the water trigger</w:t>
      </w:r>
    </w:p>
    <w:p w:rsidR="001C1573" w:rsidRPr="001C1573" w:rsidRDefault="001C1573" w:rsidP="001C1573">
      <w:pPr>
        <w:pStyle w:val="ListBullet"/>
      </w:pPr>
      <w:r>
        <w:t>costs associated with providing EPBC Act assessments and approvals under the national parks trigger would be subject to the current EPBC Act cost-recovery arrangements.</w:t>
      </w:r>
    </w:p>
    <w:p w:rsidR="00420CF4" w:rsidRDefault="00420CF4" w:rsidP="00420CF4">
      <w:pPr>
        <w:pStyle w:val="CostingsH7"/>
      </w:pPr>
      <w:r>
        <w:t>Methodology</w:t>
      </w:r>
    </w:p>
    <w:p w:rsidR="004D2EC9" w:rsidRPr="004D2EC9" w:rsidRDefault="004D2EC9" w:rsidP="004D2EC9">
      <w:pPr>
        <w:pStyle w:val="BodyText"/>
      </w:pPr>
      <w:r w:rsidRPr="004D2EC9">
        <w:t>The impact of the proposal was derived by projecting Commonwealth cost estimates based on a previous amendment to the EPBC Act for the water trigger by appropriate indexation rates.</w:t>
      </w:r>
    </w:p>
    <w:p w:rsidR="00420CF4" w:rsidRDefault="00420CF4" w:rsidP="00420CF4">
      <w:pPr>
        <w:pStyle w:val="CostingsH7"/>
      </w:pPr>
      <w:r>
        <w:t>Data sources</w:t>
      </w:r>
    </w:p>
    <w:p w:rsidR="004D2EC9" w:rsidRDefault="004D2EC9" w:rsidP="004D2EC9">
      <w:pPr>
        <w:pStyle w:val="BodyText"/>
      </w:pPr>
      <w:r>
        <w:t>The Department of the Environment provided:</w:t>
      </w:r>
    </w:p>
    <w:p w:rsidR="004D2EC9" w:rsidRDefault="004D2EC9" w:rsidP="004D2EC9">
      <w:pPr>
        <w:pStyle w:val="ListBullet"/>
      </w:pPr>
      <w:r>
        <w:t>Commonwealth costs for the introduction of the water trigger</w:t>
      </w:r>
    </w:p>
    <w:p w:rsidR="004D2EC9" w:rsidRDefault="004D2EC9" w:rsidP="004D2EC9">
      <w:pPr>
        <w:pStyle w:val="ListBullet"/>
      </w:pPr>
      <w:r>
        <w:t>advice on the cost-recovery process of the EPBC Act approval process.</w:t>
      </w:r>
    </w:p>
    <w:p w:rsidR="00484098" w:rsidRDefault="00484098" w:rsidP="00484098">
      <w:pPr>
        <w:pStyle w:val="BodyText"/>
      </w:pPr>
    </w:p>
    <w:p w:rsidR="00484098" w:rsidRDefault="00484098" w:rsidP="00484098">
      <w:pPr>
        <w:pStyle w:val="BodyText"/>
        <w:sectPr w:rsidR="00484098" w:rsidSect="00967BCD">
          <w:footnotePr>
            <w:numRestart w:val="eachSect"/>
          </w:footnotePr>
          <w:pgSz w:w="11906" w:h="16838" w:code="9"/>
          <w:pgMar w:top="1361" w:right="1797" w:bottom="1474" w:left="1797" w:header="283" w:footer="454" w:gutter="0"/>
          <w:cols w:space="708"/>
          <w:docGrid w:linePitch="360"/>
        </w:sectPr>
      </w:pPr>
    </w:p>
    <w:p w:rsidR="004D2EC9" w:rsidRPr="004D2EC9" w:rsidRDefault="004D2EC9" w:rsidP="008C7879">
      <w:pPr>
        <w:pStyle w:val="Heading6"/>
      </w:pPr>
      <w:r>
        <w:t xml:space="preserve">Attachment </w:t>
      </w:r>
      <w:r w:rsidRPr="004D2EC9">
        <w:t>A: National Parks Trigger—financial implications</w:t>
      </w:r>
    </w:p>
    <w:p w:rsidR="00420CF4" w:rsidRDefault="00420CF4" w:rsidP="008C7879">
      <w:pPr>
        <w:pStyle w:val="Caption"/>
        <w:keepLines/>
      </w:pPr>
      <w:r w:rsidRPr="002B36F1">
        <w:t xml:space="preserve">Table </w:t>
      </w:r>
      <w:r>
        <w:t>A1</w:t>
      </w:r>
      <w:r w:rsidRPr="002B36F1">
        <w:t xml:space="preserve">: </w:t>
      </w:r>
      <w:r w:rsidR="004D2EC9">
        <w:t>National Parks Trigger—</w:t>
      </w:r>
      <w:r w:rsidR="004D2EC9" w:rsidRPr="00BC7091">
        <w:t>Financial implications (outturn prices</w:t>
      </w:r>
      <w:r w:rsidR="004D2EC9">
        <w:t>)</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8C7879">
            <w:pPr>
              <w:pStyle w:val="TableText"/>
              <w:keepNext/>
              <w:keepLines/>
              <w:rPr>
                <w:b w:val="0"/>
              </w:rPr>
            </w:pPr>
            <w:r>
              <w:t>($</w:t>
            </w:r>
            <w:r w:rsidR="004D2EC9">
              <w:t>m</w:t>
            </w:r>
            <w:r>
              <w:t>)</w:t>
            </w:r>
          </w:p>
        </w:tc>
        <w:tc>
          <w:tcPr>
            <w:tcW w:w="689" w:type="pct"/>
            <w:vAlign w:val="center"/>
          </w:tcPr>
          <w:p w:rsidR="00420CF4" w:rsidRDefault="00420CF4" w:rsidP="008C7879">
            <w:pPr>
              <w:pStyle w:val="TableTextRight"/>
              <w:keepNext/>
              <w:keepLines/>
              <w:rPr>
                <w:b w:val="0"/>
              </w:rPr>
            </w:pPr>
            <w:r>
              <w:t>2016–17</w:t>
            </w:r>
          </w:p>
        </w:tc>
        <w:tc>
          <w:tcPr>
            <w:tcW w:w="689" w:type="pct"/>
            <w:vAlign w:val="center"/>
          </w:tcPr>
          <w:p w:rsidR="00420CF4" w:rsidRDefault="00420CF4" w:rsidP="008C7879">
            <w:pPr>
              <w:pStyle w:val="TableTextRight"/>
              <w:keepNext/>
              <w:keepLines/>
              <w:rPr>
                <w:b w:val="0"/>
              </w:rPr>
            </w:pPr>
            <w:r>
              <w:t>2017–18</w:t>
            </w:r>
          </w:p>
        </w:tc>
        <w:tc>
          <w:tcPr>
            <w:tcW w:w="689" w:type="pct"/>
            <w:vAlign w:val="center"/>
          </w:tcPr>
          <w:p w:rsidR="00420CF4" w:rsidRDefault="00420CF4" w:rsidP="008C7879">
            <w:pPr>
              <w:pStyle w:val="TableTextRight"/>
              <w:keepNext/>
              <w:keepLines/>
              <w:rPr>
                <w:b w:val="0"/>
              </w:rPr>
            </w:pPr>
            <w:r>
              <w:t>2018–19</w:t>
            </w:r>
          </w:p>
        </w:tc>
        <w:tc>
          <w:tcPr>
            <w:tcW w:w="689" w:type="pct"/>
            <w:vAlign w:val="center"/>
          </w:tcPr>
          <w:p w:rsidR="00420CF4" w:rsidRDefault="00420CF4" w:rsidP="008C7879">
            <w:pPr>
              <w:pStyle w:val="TableTextRight"/>
              <w:keepNext/>
              <w:keepLines/>
              <w:rPr>
                <w:b w:val="0"/>
              </w:rPr>
            </w:pPr>
            <w:r>
              <w:t>2019–20</w:t>
            </w:r>
          </w:p>
        </w:tc>
        <w:tc>
          <w:tcPr>
            <w:tcW w:w="690" w:type="pct"/>
            <w:vAlign w:val="center"/>
          </w:tcPr>
          <w:p w:rsidR="00420CF4" w:rsidRDefault="00420CF4" w:rsidP="008C7879">
            <w:pPr>
              <w:pStyle w:val="TableTextRight"/>
              <w:keepNext/>
              <w:keepLines/>
            </w:pPr>
            <w:r>
              <w:t>Total</w:t>
            </w:r>
            <w:r w:rsidR="004D2EC9">
              <w:t xml:space="preserve"> to 2019–20</w:t>
            </w:r>
          </w:p>
        </w:tc>
      </w:tr>
      <w:tr w:rsidR="004D2EC9" w:rsidTr="008C7879">
        <w:tc>
          <w:tcPr>
            <w:tcW w:w="5000" w:type="pct"/>
            <w:gridSpan w:val="6"/>
            <w:shd w:val="clear" w:color="auto" w:fill="E9ECF3" w:themeFill="accent2" w:themeFillTint="33"/>
            <w:vAlign w:val="center"/>
          </w:tcPr>
          <w:p w:rsidR="004D2EC9" w:rsidRDefault="004D2EC9" w:rsidP="008C7879">
            <w:pPr>
              <w:pStyle w:val="TableTextRight"/>
              <w:keepNext/>
              <w:keepLines/>
              <w:jc w:val="left"/>
            </w:pPr>
            <w:r w:rsidRPr="00793B67">
              <w:rPr>
                <w:b/>
              </w:rPr>
              <w:t xml:space="preserve">Fiscal and </w:t>
            </w:r>
            <w:r>
              <w:rPr>
                <w:b/>
              </w:rPr>
              <w:t>underlying cash balances</w:t>
            </w:r>
          </w:p>
        </w:tc>
      </w:tr>
      <w:tr w:rsidR="004D2EC9" w:rsidTr="008C7879">
        <w:tc>
          <w:tcPr>
            <w:tcW w:w="1554" w:type="pct"/>
            <w:vAlign w:val="center"/>
          </w:tcPr>
          <w:p w:rsidR="004D2EC9" w:rsidRDefault="004D2EC9" w:rsidP="008C7879">
            <w:pPr>
              <w:keepNext/>
              <w:keepLines/>
              <w:spacing w:before="70" w:after="70"/>
            </w:pPr>
            <w:r>
              <w:t>Revenue</w:t>
            </w:r>
          </w:p>
        </w:tc>
        <w:tc>
          <w:tcPr>
            <w:tcW w:w="689" w:type="pct"/>
            <w:vAlign w:val="center"/>
          </w:tcPr>
          <w:p w:rsidR="004D2EC9" w:rsidRPr="008C7879" w:rsidRDefault="004D2EC9" w:rsidP="008C7879">
            <w:pPr>
              <w:pStyle w:val="TableTextRight"/>
              <w:rPr>
                <w:i/>
              </w:rPr>
            </w:pPr>
            <w:r w:rsidRPr="008C7879">
              <w:rPr>
                <w:i/>
              </w:rPr>
              <w:t>-</w:t>
            </w:r>
          </w:p>
        </w:tc>
        <w:tc>
          <w:tcPr>
            <w:tcW w:w="689" w:type="pct"/>
            <w:vAlign w:val="center"/>
          </w:tcPr>
          <w:p w:rsidR="004D2EC9" w:rsidRPr="008C7879" w:rsidRDefault="004D2EC9" w:rsidP="008C7879">
            <w:pPr>
              <w:pStyle w:val="TableTextRight"/>
              <w:rPr>
                <w:i/>
              </w:rPr>
            </w:pPr>
            <w:r w:rsidRPr="008C7879">
              <w:rPr>
                <w:i/>
              </w:rPr>
              <w:t>6.0</w:t>
            </w:r>
          </w:p>
        </w:tc>
        <w:tc>
          <w:tcPr>
            <w:tcW w:w="689" w:type="pct"/>
            <w:vAlign w:val="center"/>
          </w:tcPr>
          <w:p w:rsidR="004D2EC9" w:rsidRPr="008C7879" w:rsidRDefault="004D2EC9" w:rsidP="008C7879">
            <w:pPr>
              <w:pStyle w:val="TableTextRight"/>
              <w:rPr>
                <w:i/>
              </w:rPr>
            </w:pPr>
            <w:r w:rsidRPr="008C7879">
              <w:rPr>
                <w:i/>
              </w:rPr>
              <w:t>7.3</w:t>
            </w:r>
          </w:p>
        </w:tc>
        <w:tc>
          <w:tcPr>
            <w:tcW w:w="689" w:type="pct"/>
            <w:vAlign w:val="center"/>
          </w:tcPr>
          <w:p w:rsidR="004D2EC9" w:rsidRPr="008C7879" w:rsidRDefault="004D2EC9" w:rsidP="008C7879">
            <w:pPr>
              <w:pStyle w:val="TableTextRight"/>
              <w:rPr>
                <w:i/>
              </w:rPr>
            </w:pPr>
            <w:r w:rsidRPr="008C7879">
              <w:rPr>
                <w:i/>
              </w:rPr>
              <w:t>7.4</w:t>
            </w:r>
          </w:p>
        </w:tc>
        <w:tc>
          <w:tcPr>
            <w:tcW w:w="690" w:type="pct"/>
            <w:vAlign w:val="center"/>
          </w:tcPr>
          <w:p w:rsidR="004D2EC9" w:rsidRPr="008C7879" w:rsidRDefault="004D2EC9" w:rsidP="008C7879">
            <w:pPr>
              <w:pStyle w:val="TableTextRight"/>
              <w:rPr>
                <w:i/>
              </w:rPr>
            </w:pPr>
            <w:r w:rsidRPr="008C7879">
              <w:rPr>
                <w:i/>
              </w:rPr>
              <w:t>20.8</w:t>
            </w:r>
          </w:p>
        </w:tc>
      </w:tr>
      <w:tr w:rsidR="004D2EC9" w:rsidTr="008C7879">
        <w:tc>
          <w:tcPr>
            <w:tcW w:w="1554" w:type="pct"/>
            <w:vAlign w:val="center"/>
          </w:tcPr>
          <w:p w:rsidR="004D2EC9" w:rsidRDefault="004D2EC9" w:rsidP="008C7879">
            <w:pPr>
              <w:keepNext/>
              <w:keepLines/>
              <w:spacing w:before="70" w:after="70"/>
            </w:pPr>
            <w:r>
              <w:t>Expenses</w:t>
            </w:r>
          </w:p>
        </w:tc>
        <w:tc>
          <w:tcPr>
            <w:tcW w:w="689" w:type="pct"/>
            <w:vAlign w:val="center"/>
          </w:tcPr>
          <w:p w:rsidR="004D2EC9" w:rsidRPr="008C7879" w:rsidRDefault="004D2EC9" w:rsidP="008C7879">
            <w:pPr>
              <w:pStyle w:val="TableTextRight"/>
              <w:rPr>
                <w:i/>
              </w:rPr>
            </w:pPr>
          </w:p>
        </w:tc>
        <w:tc>
          <w:tcPr>
            <w:tcW w:w="689" w:type="pct"/>
            <w:vAlign w:val="center"/>
          </w:tcPr>
          <w:p w:rsidR="004D2EC9" w:rsidRPr="008C7879" w:rsidRDefault="004D2EC9" w:rsidP="008C7879">
            <w:pPr>
              <w:pStyle w:val="TableTextRight"/>
              <w:rPr>
                <w:i/>
              </w:rPr>
            </w:pPr>
          </w:p>
        </w:tc>
        <w:tc>
          <w:tcPr>
            <w:tcW w:w="689" w:type="pct"/>
            <w:vAlign w:val="center"/>
          </w:tcPr>
          <w:p w:rsidR="004D2EC9" w:rsidRPr="008C7879" w:rsidRDefault="004D2EC9" w:rsidP="008C7879">
            <w:pPr>
              <w:pStyle w:val="TableTextRight"/>
              <w:rPr>
                <w:i/>
              </w:rPr>
            </w:pPr>
          </w:p>
        </w:tc>
        <w:tc>
          <w:tcPr>
            <w:tcW w:w="689" w:type="pct"/>
            <w:vAlign w:val="center"/>
          </w:tcPr>
          <w:p w:rsidR="004D2EC9" w:rsidRPr="008C7879" w:rsidRDefault="004D2EC9" w:rsidP="008C7879">
            <w:pPr>
              <w:pStyle w:val="TableTextRight"/>
              <w:rPr>
                <w:i/>
              </w:rPr>
            </w:pPr>
          </w:p>
        </w:tc>
        <w:tc>
          <w:tcPr>
            <w:tcW w:w="690" w:type="pct"/>
            <w:vAlign w:val="center"/>
          </w:tcPr>
          <w:p w:rsidR="004D2EC9" w:rsidRPr="008C7879" w:rsidRDefault="004D2EC9" w:rsidP="008C7879">
            <w:pPr>
              <w:pStyle w:val="TableTextRight"/>
              <w:rPr>
                <w:i/>
              </w:rPr>
            </w:pPr>
          </w:p>
        </w:tc>
      </w:tr>
      <w:tr w:rsidR="004D2EC9" w:rsidTr="008C7879">
        <w:tc>
          <w:tcPr>
            <w:tcW w:w="1554" w:type="pct"/>
            <w:vAlign w:val="center"/>
          </w:tcPr>
          <w:p w:rsidR="004D2EC9" w:rsidRPr="00234035" w:rsidRDefault="004D2EC9" w:rsidP="008C7879">
            <w:pPr>
              <w:keepNext/>
              <w:keepLines/>
              <w:spacing w:before="70" w:after="70"/>
              <w:rPr>
                <w:i/>
              </w:rPr>
            </w:pPr>
            <w:r w:rsidRPr="00234035">
              <w:rPr>
                <w:i/>
              </w:rPr>
              <w:t>Administered</w:t>
            </w:r>
          </w:p>
        </w:tc>
        <w:tc>
          <w:tcPr>
            <w:tcW w:w="689" w:type="pct"/>
            <w:vAlign w:val="center"/>
          </w:tcPr>
          <w:p w:rsidR="004D2EC9" w:rsidRPr="008C7879" w:rsidRDefault="004D2EC9" w:rsidP="008C7879">
            <w:pPr>
              <w:pStyle w:val="TableTextRight"/>
              <w:rPr>
                <w:i/>
              </w:rPr>
            </w:pPr>
            <w:r w:rsidRPr="008C7879">
              <w:rPr>
                <w:i/>
              </w:rPr>
              <w:t>-</w:t>
            </w:r>
          </w:p>
        </w:tc>
        <w:tc>
          <w:tcPr>
            <w:tcW w:w="689" w:type="pct"/>
            <w:vAlign w:val="center"/>
          </w:tcPr>
          <w:p w:rsidR="004D2EC9" w:rsidRPr="008C7879" w:rsidRDefault="004D2EC9" w:rsidP="008C7879">
            <w:pPr>
              <w:pStyle w:val="TableTextRight"/>
              <w:rPr>
                <w:i/>
              </w:rPr>
            </w:pPr>
            <w:r w:rsidRPr="008C7879">
              <w:rPr>
                <w:i/>
              </w:rPr>
              <w:t>-0.4</w:t>
            </w:r>
          </w:p>
        </w:tc>
        <w:tc>
          <w:tcPr>
            <w:tcW w:w="689" w:type="pct"/>
            <w:vAlign w:val="center"/>
          </w:tcPr>
          <w:p w:rsidR="004D2EC9" w:rsidRPr="008C7879" w:rsidRDefault="004D2EC9" w:rsidP="008C7879">
            <w:pPr>
              <w:pStyle w:val="TableTextRight"/>
              <w:rPr>
                <w:i/>
              </w:rPr>
            </w:pPr>
            <w:r w:rsidRPr="008C7879">
              <w:rPr>
                <w:i/>
              </w:rPr>
              <w:t>-0.5</w:t>
            </w:r>
          </w:p>
        </w:tc>
        <w:tc>
          <w:tcPr>
            <w:tcW w:w="689" w:type="pct"/>
            <w:vAlign w:val="center"/>
          </w:tcPr>
          <w:p w:rsidR="004D2EC9" w:rsidRPr="008C7879" w:rsidRDefault="004D2EC9" w:rsidP="008C7879">
            <w:pPr>
              <w:pStyle w:val="TableTextRight"/>
              <w:rPr>
                <w:i/>
              </w:rPr>
            </w:pPr>
            <w:r w:rsidRPr="008C7879">
              <w:rPr>
                <w:i/>
              </w:rPr>
              <w:t>-0.5</w:t>
            </w:r>
          </w:p>
        </w:tc>
        <w:tc>
          <w:tcPr>
            <w:tcW w:w="690" w:type="pct"/>
            <w:vAlign w:val="center"/>
          </w:tcPr>
          <w:p w:rsidR="004D2EC9" w:rsidRPr="008C7879" w:rsidRDefault="004D2EC9" w:rsidP="008C7879">
            <w:pPr>
              <w:pStyle w:val="TableTextRight"/>
              <w:rPr>
                <w:i/>
              </w:rPr>
            </w:pPr>
            <w:r w:rsidRPr="008C7879">
              <w:rPr>
                <w:i/>
              </w:rPr>
              <w:t>-1.4</w:t>
            </w:r>
          </w:p>
        </w:tc>
      </w:tr>
      <w:tr w:rsidR="004D2EC9" w:rsidTr="008C7879">
        <w:tc>
          <w:tcPr>
            <w:tcW w:w="1554" w:type="pct"/>
            <w:vAlign w:val="center"/>
          </w:tcPr>
          <w:p w:rsidR="004D2EC9" w:rsidRPr="00234035" w:rsidRDefault="004D2EC9" w:rsidP="008C7879">
            <w:pPr>
              <w:keepNext/>
              <w:keepLines/>
              <w:spacing w:before="70" w:after="70"/>
              <w:rPr>
                <w:i/>
              </w:rPr>
            </w:pPr>
            <w:r w:rsidRPr="00234035">
              <w:rPr>
                <w:i/>
              </w:rPr>
              <w:t>Departmental</w:t>
            </w:r>
          </w:p>
        </w:tc>
        <w:tc>
          <w:tcPr>
            <w:tcW w:w="689" w:type="pct"/>
            <w:vAlign w:val="center"/>
          </w:tcPr>
          <w:p w:rsidR="004D2EC9" w:rsidRPr="008C7879" w:rsidRDefault="004D2EC9" w:rsidP="008C7879">
            <w:pPr>
              <w:pStyle w:val="TableTextRight"/>
              <w:rPr>
                <w:i/>
              </w:rPr>
            </w:pPr>
            <w:r w:rsidRPr="008C7879">
              <w:rPr>
                <w:i/>
              </w:rPr>
              <w:t>-</w:t>
            </w:r>
          </w:p>
        </w:tc>
        <w:tc>
          <w:tcPr>
            <w:tcW w:w="689" w:type="pct"/>
            <w:vAlign w:val="center"/>
          </w:tcPr>
          <w:p w:rsidR="004D2EC9" w:rsidRPr="008C7879" w:rsidRDefault="004D2EC9" w:rsidP="008C7879">
            <w:pPr>
              <w:pStyle w:val="TableTextRight"/>
              <w:rPr>
                <w:i/>
              </w:rPr>
            </w:pPr>
            <w:r w:rsidRPr="008C7879">
              <w:rPr>
                <w:i/>
              </w:rPr>
              <w:t>-10.2</w:t>
            </w:r>
          </w:p>
        </w:tc>
        <w:tc>
          <w:tcPr>
            <w:tcW w:w="689" w:type="pct"/>
            <w:vAlign w:val="center"/>
          </w:tcPr>
          <w:p w:rsidR="004D2EC9" w:rsidRPr="008C7879" w:rsidRDefault="004D2EC9" w:rsidP="008C7879">
            <w:pPr>
              <w:pStyle w:val="TableTextRight"/>
              <w:rPr>
                <w:i/>
              </w:rPr>
            </w:pPr>
            <w:r w:rsidRPr="008C7879">
              <w:rPr>
                <w:i/>
              </w:rPr>
              <w:t>-12.2</w:t>
            </w:r>
          </w:p>
        </w:tc>
        <w:tc>
          <w:tcPr>
            <w:tcW w:w="689" w:type="pct"/>
            <w:vAlign w:val="center"/>
          </w:tcPr>
          <w:p w:rsidR="004D2EC9" w:rsidRPr="008C7879" w:rsidRDefault="004D2EC9" w:rsidP="008C7879">
            <w:pPr>
              <w:pStyle w:val="TableTextRight"/>
              <w:rPr>
                <w:i/>
              </w:rPr>
            </w:pPr>
            <w:r w:rsidRPr="008C7879">
              <w:rPr>
                <w:i/>
              </w:rPr>
              <w:t>-11.9</w:t>
            </w:r>
          </w:p>
        </w:tc>
        <w:tc>
          <w:tcPr>
            <w:tcW w:w="690" w:type="pct"/>
            <w:vAlign w:val="center"/>
          </w:tcPr>
          <w:p w:rsidR="004D2EC9" w:rsidRPr="008C7879" w:rsidRDefault="004D2EC9" w:rsidP="008C7879">
            <w:pPr>
              <w:pStyle w:val="TableTextRight"/>
              <w:rPr>
                <w:i/>
              </w:rPr>
            </w:pPr>
            <w:r w:rsidRPr="008C7879">
              <w:rPr>
                <w:i/>
              </w:rPr>
              <w:t>-34.2</w:t>
            </w:r>
          </w:p>
        </w:tc>
      </w:tr>
      <w:tr w:rsidR="000934B4" w:rsidRPr="007C2713" w:rsidTr="008C7879">
        <w:tc>
          <w:tcPr>
            <w:tcW w:w="1554" w:type="pct"/>
            <w:shd w:val="clear" w:color="auto" w:fill="D7DDE9" w:themeFill="accent3"/>
            <w:vAlign w:val="center"/>
          </w:tcPr>
          <w:p w:rsidR="000934B4" w:rsidRPr="007C2713" w:rsidRDefault="000934B4" w:rsidP="008C7879">
            <w:pPr>
              <w:pStyle w:val="TableText"/>
              <w:rPr>
                <w:b/>
              </w:rPr>
            </w:pPr>
            <w:r w:rsidRPr="007C2713">
              <w:rPr>
                <w:b/>
              </w:rPr>
              <w:t>Total</w:t>
            </w:r>
          </w:p>
        </w:tc>
        <w:tc>
          <w:tcPr>
            <w:tcW w:w="689" w:type="pct"/>
            <w:shd w:val="clear" w:color="auto" w:fill="D7DDE9" w:themeFill="accent3"/>
            <w:vAlign w:val="center"/>
          </w:tcPr>
          <w:p w:rsidR="000934B4" w:rsidRPr="008C7879" w:rsidRDefault="000934B4" w:rsidP="008C7879">
            <w:pPr>
              <w:pStyle w:val="TableTextRight"/>
              <w:rPr>
                <w:b/>
              </w:rPr>
            </w:pPr>
            <w:r w:rsidRPr="008C7879">
              <w:rPr>
                <w:b/>
              </w:rPr>
              <w:t>-</w:t>
            </w:r>
          </w:p>
        </w:tc>
        <w:tc>
          <w:tcPr>
            <w:tcW w:w="689" w:type="pct"/>
            <w:shd w:val="clear" w:color="auto" w:fill="D7DDE9" w:themeFill="accent3"/>
            <w:vAlign w:val="center"/>
          </w:tcPr>
          <w:p w:rsidR="000934B4" w:rsidRPr="008C7879" w:rsidRDefault="000934B4" w:rsidP="008C7879">
            <w:pPr>
              <w:pStyle w:val="TableTextRight"/>
              <w:rPr>
                <w:b/>
              </w:rPr>
            </w:pPr>
            <w:r w:rsidRPr="008C7879">
              <w:rPr>
                <w:b/>
              </w:rPr>
              <w:t>-4.5</w:t>
            </w:r>
          </w:p>
        </w:tc>
        <w:tc>
          <w:tcPr>
            <w:tcW w:w="689" w:type="pct"/>
            <w:shd w:val="clear" w:color="auto" w:fill="D7DDE9" w:themeFill="accent3"/>
            <w:vAlign w:val="center"/>
          </w:tcPr>
          <w:p w:rsidR="000934B4" w:rsidRPr="008C7879" w:rsidRDefault="000934B4" w:rsidP="008C7879">
            <w:pPr>
              <w:pStyle w:val="TableTextRight"/>
              <w:rPr>
                <w:b/>
              </w:rPr>
            </w:pPr>
            <w:r w:rsidRPr="008C7879">
              <w:rPr>
                <w:b/>
              </w:rPr>
              <w:t>-5.3</w:t>
            </w:r>
          </w:p>
        </w:tc>
        <w:tc>
          <w:tcPr>
            <w:tcW w:w="689" w:type="pct"/>
            <w:shd w:val="clear" w:color="auto" w:fill="D7DDE9" w:themeFill="accent3"/>
            <w:vAlign w:val="center"/>
          </w:tcPr>
          <w:p w:rsidR="000934B4" w:rsidRPr="008C7879" w:rsidRDefault="000934B4" w:rsidP="008C7879">
            <w:pPr>
              <w:pStyle w:val="TableTextRight"/>
              <w:rPr>
                <w:b/>
              </w:rPr>
            </w:pPr>
            <w:r w:rsidRPr="008C7879">
              <w:rPr>
                <w:b/>
              </w:rPr>
              <w:t>-5.0</w:t>
            </w:r>
          </w:p>
        </w:tc>
        <w:tc>
          <w:tcPr>
            <w:tcW w:w="690" w:type="pct"/>
            <w:shd w:val="clear" w:color="auto" w:fill="D7DDE9" w:themeFill="accent3"/>
            <w:vAlign w:val="center"/>
          </w:tcPr>
          <w:p w:rsidR="000934B4" w:rsidRPr="008C7879" w:rsidRDefault="000934B4" w:rsidP="008C7879">
            <w:pPr>
              <w:pStyle w:val="TableTextRight"/>
              <w:rPr>
                <w:b/>
              </w:rPr>
            </w:pPr>
            <w:r w:rsidRPr="008C7879">
              <w:rPr>
                <w:b/>
              </w:rPr>
              <w:t>-14.9</w:t>
            </w:r>
          </w:p>
        </w:tc>
      </w:tr>
    </w:tbl>
    <w:p w:rsidR="004D2EC9" w:rsidRDefault="004D2EC9" w:rsidP="002C43F8">
      <w:pPr>
        <w:pStyle w:val="Footnotes"/>
        <w:numPr>
          <w:ilvl w:val="0"/>
          <w:numId w:val="83"/>
        </w:numPr>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4D2EC9" w:rsidRDefault="004D2EC9" w:rsidP="008C7879">
      <w:pPr>
        <w:pStyle w:val="Footnotes"/>
        <w:ind w:left="284" w:hanging="284"/>
      </w:pPr>
      <w:r>
        <w:t>Figures may not sum to totals due to rounding.</w:t>
      </w:r>
    </w:p>
    <w:p w:rsidR="00420CF4" w:rsidRPr="00951305" w:rsidRDefault="004D2EC9" w:rsidP="004D2EC9">
      <w:pPr>
        <w:pStyle w:val="Footnotes"/>
        <w:numPr>
          <w:ilvl w:val="0"/>
          <w:numId w:val="0"/>
        </w:numPr>
        <w:tabs>
          <w:tab w:val="left" w:pos="720"/>
          <w:tab w:val="left" w:pos="1836"/>
        </w:tabs>
        <w:ind w:left="284" w:hanging="284"/>
      </w:pPr>
      <w:r>
        <w:t>-</w:t>
      </w:r>
      <w:r>
        <w:tab/>
        <w:t>Indicates nil.</w:t>
      </w: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48" w:name="_Toc458081668"/>
      <w:r>
        <w:t>ALP04</w:t>
      </w:r>
      <w:r w:rsidR="00A00D61">
        <w:t>4</w:t>
      </w:r>
      <w:r>
        <w:t>: Retaining the Climate Change Authority</w:t>
      </w:r>
      <w:bookmarkEnd w:id="48"/>
    </w:p>
    <w:p w:rsidR="00967B83" w:rsidRDefault="00967B83" w:rsidP="00967B83">
      <w:pPr>
        <w:pStyle w:val="BodyText"/>
      </w:pPr>
      <w:r>
        <w:rPr>
          <w:noProof/>
          <w:lang w:eastAsia="en-AU"/>
        </w:rPr>
        <w:drawing>
          <wp:inline distT="0" distB="0" distL="0" distR="0" wp14:anchorId="1EE97403" wp14:editId="7D144ED5">
            <wp:extent cx="2696845" cy="572135"/>
            <wp:effectExtent l="0" t="0" r="8255" b="0"/>
            <wp:docPr id="320" name="Picture 32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8C7879">
            <w:pPr>
              <w:pStyle w:val="PullOutBoxHeading"/>
              <w:rPr>
                <w:b/>
              </w:rPr>
            </w:pPr>
            <w:r w:rsidRPr="00E51946">
              <w:rPr>
                <w:b/>
              </w:rPr>
              <w:t>Name of proposal:</w:t>
            </w:r>
          </w:p>
        </w:tc>
        <w:tc>
          <w:tcPr>
            <w:tcW w:w="3191" w:type="pct"/>
          </w:tcPr>
          <w:p w:rsidR="00420CF4" w:rsidRPr="00E51946" w:rsidRDefault="001B14F6" w:rsidP="008C7879">
            <w:pPr>
              <w:pStyle w:val="PullOutBoxHeading"/>
              <w:rPr>
                <w:b/>
              </w:rPr>
            </w:pPr>
            <w:r w:rsidRPr="00E51946">
              <w:rPr>
                <w:b/>
              </w:rPr>
              <w:t>Retaining the Climate Change Authority</w:t>
            </w:r>
          </w:p>
        </w:tc>
      </w:tr>
      <w:tr w:rsidR="00420CF4" w:rsidRPr="00B45F94" w:rsidTr="00967BCD">
        <w:tc>
          <w:tcPr>
            <w:tcW w:w="1809" w:type="pct"/>
          </w:tcPr>
          <w:p w:rsidR="00420CF4" w:rsidRPr="00B45F94" w:rsidRDefault="00420CF4" w:rsidP="008C7879">
            <w:pPr>
              <w:pStyle w:val="PullOutBoxBodyText"/>
            </w:pPr>
            <w:r w:rsidRPr="00B45F94">
              <w:t>Summary of proposal:</w:t>
            </w:r>
          </w:p>
        </w:tc>
        <w:tc>
          <w:tcPr>
            <w:tcW w:w="3191" w:type="pct"/>
          </w:tcPr>
          <w:p w:rsidR="001B14F6" w:rsidRDefault="001B14F6" w:rsidP="008C7879">
            <w:pPr>
              <w:pStyle w:val="PullOutBoxBodyText"/>
            </w:pPr>
            <w:r>
              <w:t xml:space="preserve">The proposal would reverse the abolition of the Climate Change Authority (CCA). </w:t>
            </w:r>
          </w:p>
          <w:p w:rsidR="00420CF4" w:rsidRPr="00B45F94" w:rsidRDefault="001B14F6" w:rsidP="008C7879">
            <w:pPr>
              <w:pStyle w:val="PullOutBoxBodyText"/>
            </w:pPr>
            <w:r>
              <w:t>The proposal would have effect from 1 July 2017.</w:t>
            </w:r>
          </w:p>
        </w:tc>
      </w:tr>
      <w:tr w:rsidR="00420CF4" w:rsidRPr="00B45F94" w:rsidTr="00967BCD">
        <w:tc>
          <w:tcPr>
            <w:tcW w:w="1809" w:type="pct"/>
          </w:tcPr>
          <w:p w:rsidR="00420CF4" w:rsidRPr="00B45F94" w:rsidRDefault="00420CF4" w:rsidP="008C7879">
            <w:pPr>
              <w:pStyle w:val="PullOutBoxBodyText"/>
            </w:pPr>
            <w:r>
              <w:t>Party:</w:t>
            </w:r>
          </w:p>
        </w:tc>
        <w:tc>
          <w:tcPr>
            <w:tcW w:w="3191" w:type="pct"/>
          </w:tcPr>
          <w:p w:rsidR="00420CF4" w:rsidRPr="00B45F94" w:rsidRDefault="00420CF4" w:rsidP="008C7879">
            <w:pPr>
              <w:pStyle w:val="PullOutBoxBodyText"/>
            </w:pPr>
            <w:r>
              <w:t>Australian Labor Party</w:t>
            </w:r>
          </w:p>
        </w:tc>
      </w:tr>
      <w:tr w:rsidR="00420CF4" w:rsidRPr="00B45F94" w:rsidTr="00967BCD">
        <w:tc>
          <w:tcPr>
            <w:tcW w:w="1809" w:type="pct"/>
          </w:tcPr>
          <w:p w:rsidR="00420CF4" w:rsidRPr="00B45F94" w:rsidRDefault="00420CF4" w:rsidP="008C7879">
            <w:pPr>
              <w:pStyle w:val="PullOutBoxBodyText"/>
            </w:pPr>
            <w:r w:rsidRPr="00B45F94">
              <w:t>Expiry date for the costing:</w:t>
            </w:r>
          </w:p>
        </w:tc>
        <w:tc>
          <w:tcPr>
            <w:tcW w:w="3191" w:type="pct"/>
          </w:tcPr>
          <w:p w:rsidR="00420CF4" w:rsidRPr="00B45F94" w:rsidRDefault="00EC102A" w:rsidP="008C78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1B14F6" w:rsidRPr="001B14F6" w:rsidRDefault="001B14F6" w:rsidP="001B14F6">
      <w:pPr>
        <w:pStyle w:val="BodyText"/>
      </w:pPr>
      <w:r w:rsidRPr="001B14F6">
        <w:t>The 2016</w:t>
      </w:r>
      <w:r>
        <w:noBreakHyphen/>
      </w:r>
      <w:r w:rsidRPr="001B14F6">
        <w:t>17 Budget papers reflect the assumed closure of the CCA on 31 December 2016.</w:t>
      </w:r>
    </w:p>
    <w:p w:rsidR="001B14F6" w:rsidRPr="001B14F6" w:rsidRDefault="001B14F6" w:rsidP="001B14F6">
      <w:pPr>
        <w:pStyle w:val="BodyText"/>
      </w:pPr>
      <w:r w:rsidRPr="001B14F6">
        <w:t>This proposal would decrease the fiscal and underlying cash balances by $25.6 million over the 2016-17 Budget forward estimates.  This is entirely due to an inc</w:t>
      </w:r>
      <w:r>
        <w:t>rease in departmental expenses.</w:t>
      </w:r>
    </w:p>
    <w:p w:rsidR="001B14F6" w:rsidRPr="001B14F6" w:rsidRDefault="001B14F6" w:rsidP="001B14F6">
      <w:pPr>
        <w:pStyle w:val="BodyText"/>
      </w:pPr>
      <w:r w:rsidRPr="001B14F6">
        <w:t>This proposal would have an ongoing financial impact beyond the 2016-17 Bu</w:t>
      </w:r>
      <w:r>
        <w:t>dget forward estimates period.</w:t>
      </w:r>
    </w:p>
    <w:p w:rsidR="001B14F6" w:rsidRPr="001B14F6" w:rsidRDefault="001B14F6" w:rsidP="001B14F6">
      <w:pPr>
        <w:pStyle w:val="BodyText"/>
      </w:pPr>
      <w:r w:rsidRPr="001B14F6">
        <w:t>This costing is considered to be of high reliability as it is based on the CCA departmental appropriation prior to the announcement of its abolition (adjusted for changes in parameters).</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1B14F6">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1B14F6">
            <w:pPr>
              <w:pStyle w:val="TableTextRight"/>
            </w:pPr>
            <w:r>
              <w:t>Total</w:t>
            </w:r>
          </w:p>
        </w:tc>
      </w:tr>
      <w:tr w:rsidR="001B14F6" w:rsidTr="00967BCD">
        <w:tc>
          <w:tcPr>
            <w:tcW w:w="1393" w:type="pct"/>
          </w:tcPr>
          <w:p w:rsidR="001B14F6" w:rsidRDefault="001B14F6" w:rsidP="00967BCD">
            <w:pPr>
              <w:pStyle w:val="TableText"/>
            </w:pPr>
            <w:r>
              <w:t>Fiscal balance</w:t>
            </w:r>
          </w:p>
        </w:tc>
        <w:tc>
          <w:tcPr>
            <w:tcW w:w="721" w:type="pct"/>
          </w:tcPr>
          <w:p w:rsidR="001B14F6" w:rsidRPr="003A3459" w:rsidRDefault="001B14F6" w:rsidP="001B14F6">
            <w:pPr>
              <w:pStyle w:val="TableTextRight"/>
            </w:pPr>
            <w:r>
              <w:t>-</w:t>
            </w:r>
          </w:p>
        </w:tc>
        <w:tc>
          <w:tcPr>
            <w:tcW w:w="721" w:type="pct"/>
          </w:tcPr>
          <w:p w:rsidR="001B14F6" w:rsidRPr="003A3459" w:rsidRDefault="001B14F6" w:rsidP="001B14F6">
            <w:pPr>
              <w:pStyle w:val="TableTextRight"/>
            </w:pPr>
            <w:r>
              <w:t>-8.6</w:t>
            </w:r>
          </w:p>
        </w:tc>
        <w:tc>
          <w:tcPr>
            <w:tcW w:w="722" w:type="pct"/>
          </w:tcPr>
          <w:p w:rsidR="001B14F6" w:rsidRPr="00B73AC8" w:rsidRDefault="001B14F6" w:rsidP="001B14F6">
            <w:pPr>
              <w:pStyle w:val="TableTextRight"/>
            </w:pPr>
            <w:r>
              <w:t>-8.5</w:t>
            </w:r>
          </w:p>
        </w:tc>
        <w:tc>
          <w:tcPr>
            <w:tcW w:w="721" w:type="pct"/>
          </w:tcPr>
          <w:p w:rsidR="001B14F6" w:rsidRPr="00B73AC8" w:rsidRDefault="001B14F6" w:rsidP="001B14F6">
            <w:pPr>
              <w:pStyle w:val="TableTextRight"/>
            </w:pPr>
            <w:r>
              <w:t>-8.5</w:t>
            </w:r>
          </w:p>
        </w:tc>
        <w:tc>
          <w:tcPr>
            <w:tcW w:w="722" w:type="pct"/>
          </w:tcPr>
          <w:p w:rsidR="001B14F6" w:rsidRPr="00F97DFF" w:rsidRDefault="001B14F6" w:rsidP="001B14F6">
            <w:pPr>
              <w:pStyle w:val="TableTextRight"/>
              <w:rPr>
                <w:b/>
              </w:rPr>
            </w:pPr>
            <w:r>
              <w:rPr>
                <w:b/>
              </w:rPr>
              <w:t>-25.6</w:t>
            </w:r>
          </w:p>
        </w:tc>
      </w:tr>
      <w:tr w:rsidR="001B14F6" w:rsidTr="00967BCD">
        <w:tc>
          <w:tcPr>
            <w:tcW w:w="1393" w:type="pct"/>
          </w:tcPr>
          <w:p w:rsidR="001B14F6" w:rsidRDefault="001B14F6" w:rsidP="00967BCD">
            <w:pPr>
              <w:pStyle w:val="TableText"/>
            </w:pPr>
            <w:r>
              <w:t>Underlying cash balance</w:t>
            </w:r>
          </w:p>
        </w:tc>
        <w:tc>
          <w:tcPr>
            <w:tcW w:w="721" w:type="pct"/>
          </w:tcPr>
          <w:p w:rsidR="001B14F6" w:rsidRPr="003A3459" w:rsidRDefault="001B14F6" w:rsidP="001B14F6">
            <w:pPr>
              <w:pStyle w:val="TableTextRight"/>
            </w:pPr>
            <w:r>
              <w:t>-</w:t>
            </w:r>
          </w:p>
        </w:tc>
        <w:tc>
          <w:tcPr>
            <w:tcW w:w="721" w:type="pct"/>
          </w:tcPr>
          <w:p w:rsidR="001B14F6" w:rsidRPr="003A3459" w:rsidRDefault="001B14F6" w:rsidP="001B14F6">
            <w:pPr>
              <w:pStyle w:val="TableTextRight"/>
            </w:pPr>
            <w:r>
              <w:t>-8.6</w:t>
            </w:r>
          </w:p>
        </w:tc>
        <w:tc>
          <w:tcPr>
            <w:tcW w:w="722" w:type="pct"/>
          </w:tcPr>
          <w:p w:rsidR="001B14F6" w:rsidRPr="00B73AC8" w:rsidRDefault="001B14F6" w:rsidP="001B14F6">
            <w:pPr>
              <w:pStyle w:val="TableTextRight"/>
            </w:pPr>
            <w:r>
              <w:t>-8.5</w:t>
            </w:r>
          </w:p>
        </w:tc>
        <w:tc>
          <w:tcPr>
            <w:tcW w:w="721" w:type="pct"/>
          </w:tcPr>
          <w:p w:rsidR="001B14F6" w:rsidRPr="00B73AC8" w:rsidRDefault="001B14F6" w:rsidP="001B14F6">
            <w:pPr>
              <w:pStyle w:val="TableTextRight"/>
            </w:pPr>
            <w:r>
              <w:t>-8.5</w:t>
            </w:r>
          </w:p>
        </w:tc>
        <w:tc>
          <w:tcPr>
            <w:tcW w:w="722" w:type="pct"/>
          </w:tcPr>
          <w:p w:rsidR="001B14F6" w:rsidRPr="00F97DFF" w:rsidRDefault="001B14F6" w:rsidP="001B14F6">
            <w:pPr>
              <w:pStyle w:val="TableTextRight"/>
              <w:rPr>
                <w:b/>
              </w:rPr>
            </w:pPr>
            <w:r>
              <w:rPr>
                <w:b/>
              </w:rPr>
              <w:t>-25.6</w:t>
            </w:r>
          </w:p>
        </w:tc>
      </w:tr>
    </w:tbl>
    <w:p w:rsidR="001B14F6" w:rsidRPr="001B14F6" w:rsidRDefault="001B14F6" w:rsidP="002C43F8">
      <w:pPr>
        <w:pStyle w:val="Footnotes"/>
        <w:numPr>
          <w:ilvl w:val="0"/>
          <w:numId w:val="84"/>
        </w:numPr>
        <w:ind w:left="284" w:hanging="284"/>
      </w:pPr>
      <w:r w:rsidRPr="001B14F6">
        <w:t xml:space="preserve">A positive number represents an increase in the relevant budget balance, a negative number represents a decrease.  </w:t>
      </w:r>
    </w:p>
    <w:p w:rsidR="001B14F6" w:rsidRPr="001B14F6" w:rsidRDefault="001B14F6" w:rsidP="008C7879">
      <w:pPr>
        <w:pStyle w:val="Footnotes"/>
        <w:ind w:left="284" w:hanging="284"/>
      </w:pPr>
      <w:r w:rsidRPr="001B14F6">
        <w:t>Figures may not sum to totals due to rounding.</w:t>
      </w:r>
    </w:p>
    <w:p w:rsidR="00420CF4" w:rsidRPr="001B14F6" w:rsidRDefault="001B14F6" w:rsidP="001B14F6">
      <w:pPr>
        <w:pStyle w:val="Footnotes"/>
        <w:numPr>
          <w:ilvl w:val="0"/>
          <w:numId w:val="0"/>
        </w:numPr>
        <w:ind w:left="284" w:hanging="284"/>
        <w:rPr>
          <w:rStyle w:val="FootnoteReference"/>
          <w:vertAlign w:val="baseline"/>
        </w:rPr>
      </w:pPr>
      <w:r w:rsidRPr="001B14F6">
        <w:t>-</w:t>
      </w:r>
      <w:r w:rsidRPr="001B14F6">
        <w:tab/>
        <w:t>Indicates nil.</w:t>
      </w:r>
    </w:p>
    <w:p w:rsidR="00420CF4" w:rsidRDefault="00420CF4" w:rsidP="00420CF4">
      <w:pPr>
        <w:pStyle w:val="CostingsH7"/>
      </w:pPr>
      <w:r>
        <w:t>Methodology</w:t>
      </w:r>
    </w:p>
    <w:p w:rsidR="001B14F6" w:rsidRPr="001B14F6" w:rsidRDefault="001B14F6" w:rsidP="001B14F6">
      <w:pPr>
        <w:pStyle w:val="BodyText"/>
      </w:pPr>
      <w:r w:rsidRPr="001B14F6">
        <w:t>This costing restores the departmental appropriation to the levels previously projected prior to the proposed abolition of the agency in the 2014</w:t>
      </w:r>
      <w:r>
        <w:noBreakHyphen/>
      </w:r>
      <w:r w:rsidRPr="001B14F6">
        <w:t>15 Mid-Year Economic and Fiscal Outlook (MYEFO), updated for changes to parameters.</w:t>
      </w:r>
    </w:p>
    <w:p w:rsidR="00420CF4" w:rsidRDefault="00420CF4" w:rsidP="00420CF4">
      <w:pPr>
        <w:pStyle w:val="CostingsH7"/>
      </w:pPr>
      <w:r>
        <w:t>Data sources</w:t>
      </w:r>
    </w:p>
    <w:p w:rsidR="001B14F6" w:rsidRPr="001B14F6" w:rsidRDefault="001B14F6" w:rsidP="001B14F6">
      <w:pPr>
        <w:pStyle w:val="BodyText"/>
      </w:pPr>
      <w:r w:rsidRPr="001B14F6">
        <w:t>The Department of Finance provided the Central Budget Management System data for the 2014-15 MYEFO.</w:t>
      </w:r>
    </w:p>
    <w:p w:rsidR="00420CF4" w:rsidRPr="00951305" w:rsidRDefault="001B14F6" w:rsidP="00420CF4">
      <w:pPr>
        <w:pStyle w:val="BodyText"/>
      </w:pPr>
      <w:r w:rsidRPr="001B14F6">
        <w:t>Department of the Environment</w:t>
      </w:r>
      <w:r w:rsidR="006C0AA1">
        <w:t xml:space="preserve"> 2016</w:t>
      </w:r>
      <w:r w:rsidRPr="001B14F6">
        <w:t xml:space="preserve">, </w:t>
      </w:r>
      <w:r w:rsidRPr="0073534F">
        <w:rPr>
          <w:i/>
        </w:rPr>
        <w:t>2016-17</w:t>
      </w:r>
      <w:r w:rsidR="006C0AA1" w:rsidRPr="0073534F">
        <w:rPr>
          <w:i/>
        </w:rPr>
        <w:t xml:space="preserve"> Portfolio Budget Statement</w:t>
      </w:r>
      <w:r w:rsidR="006C0AA1">
        <w:rPr>
          <w:i/>
        </w:rPr>
        <w:t>s</w:t>
      </w:r>
      <w:r w:rsidRPr="001B14F6">
        <w:t>.</w:t>
      </w: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49" w:name="_Toc458081669"/>
      <w:r>
        <w:t>ALP04</w:t>
      </w:r>
      <w:r w:rsidR="00A00D61">
        <w:t>5</w:t>
      </w:r>
      <w:r>
        <w:t>: Water Trigger</w:t>
      </w:r>
      <w:bookmarkEnd w:id="49"/>
    </w:p>
    <w:p w:rsidR="00967B83" w:rsidRDefault="00967B83" w:rsidP="00967B83">
      <w:pPr>
        <w:pStyle w:val="BodyText"/>
      </w:pPr>
      <w:r>
        <w:rPr>
          <w:noProof/>
          <w:lang w:eastAsia="en-AU"/>
        </w:rPr>
        <w:drawing>
          <wp:inline distT="0" distB="0" distL="0" distR="0" wp14:anchorId="0F2146FB" wp14:editId="0AACB991">
            <wp:extent cx="2696845" cy="572135"/>
            <wp:effectExtent l="0" t="0" r="8255" b="0"/>
            <wp:docPr id="60" name="Picture 6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8C7879">
            <w:pPr>
              <w:pStyle w:val="PullOutBoxHeading"/>
              <w:rPr>
                <w:b/>
              </w:rPr>
            </w:pPr>
            <w:r w:rsidRPr="00E51946">
              <w:rPr>
                <w:b/>
              </w:rPr>
              <w:t>Name of proposal:</w:t>
            </w:r>
          </w:p>
        </w:tc>
        <w:tc>
          <w:tcPr>
            <w:tcW w:w="3191" w:type="pct"/>
          </w:tcPr>
          <w:p w:rsidR="00420CF4" w:rsidRPr="00E51946" w:rsidRDefault="00AD048A" w:rsidP="008C7879">
            <w:pPr>
              <w:pStyle w:val="PullOutBoxHeading"/>
              <w:rPr>
                <w:b/>
              </w:rPr>
            </w:pPr>
            <w:r w:rsidRPr="00E51946">
              <w:rPr>
                <w:b/>
              </w:rPr>
              <w:t>Water Trigger</w:t>
            </w:r>
          </w:p>
        </w:tc>
      </w:tr>
      <w:tr w:rsidR="00420CF4" w:rsidRPr="00B45F94" w:rsidTr="00967BCD">
        <w:tc>
          <w:tcPr>
            <w:tcW w:w="1809" w:type="pct"/>
          </w:tcPr>
          <w:p w:rsidR="00420CF4" w:rsidRPr="00B45F94" w:rsidRDefault="00420CF4" w:rsidP="008C7879">
            <w:pPr>
              <w:pStyle w:val="PullOutBoxBodyText"/>
            </w:pPr>
            <w:r w:rsidRPr="00B45F94">
              <w:t>Summary of proposal:</w:t>
            </w:r>
          </w:p>
        </w:tc>
        <w:tc>
          <w:tcPr>
            <w:tcW w:w="3191" w:type="pct"/>
          </w:tcPr>
          <w:p w:rsidR="00AD048A" w:rsidRDefault="00AD048A" w:rsidP="008C7879">
            <w:pPr>
              <w:pStyle w:val="PullOutBoxBodyText"/>
            </w:pPr>
            <w:r>
              <w:t xml:space="preserve">The proposal would expand the Water Trigger within the </w:t>
            </w:r>
            <w:r w:rsidRPr="00AD048A">
              <w:rPr>
                <w:i/>
              </w:rPr>
              <w:t>Environmental Protection and Biodiversity Conservation Act 1999</w:t>
            </w:r>
            <w:r>
              <w:t xml:space="preserve"> (EPBC Act) to include shale gas projects.</w:t>
            </w:r>
          </w:p>
          <w:p w:rsidR="00420CF4" w:rsidRPr="00B45F94" w:rsidRDefault="00AD048A" w:rsidP="008C7879">
            <w:pPr>
              <w:pStyle w:val="PullOutBoxBodyText"/>
            </w:pPr>
            <w:r>
              <w:t>The proposal would have effect from 1 July 2017.</w:t>
            </w:r>
          </w:p>
        </w:tc>
      </w:tr>
      <w:tr w:rsidR="00420CF4" w:rsidRPr="00B45F94" w:rsidTr="00967BCD">
        <w:tc>
          <w:tcPr>
            <w:tcW w:w="1809" w:type="pct"/>
          </w:tcPr>
          <w:p w:rsidR="00420CF4" w:rsidRPr="00B45F94" w:rsidRDefault="00420CF4" w:rsidP="008C7879">
            <w:pPr>
              <w:pStyle w:val="PullOutBoxBodyText"/>
            </w:pPr>
            <w:r>
              <w:t>Party:</w:t>
            </w:r>
          </w:p>
        </w:tc>
        <w:tc>
          <w:tcPr>
            <w:tcW w:w="3191" w:type="pct"/>
          </w:tcPr>
          <w:p w:rsidR="00420CF4" w:rsidRPr="00B45F94" w:rsidRDefault="00420CF4" w:rsidP="008C7879">
            <w:pPr>
              <w:pStyle w:val="PullOutBoxBodyText"/>
            </w:pPr>
            <w:r>
              <w:t>Australian Labor Party</w:t>
            </w:r>
          </w:p>
        </w:tc>
      </w:tr>
      <w:tr w:rsidR="00420CF4" w:rsidRPr="00B45F94" w:rsidTr="00967BCD">
        <w:tc>
          <w:tcPr>
            <w:tcW w:w="1809" w:type="pct"/>
          </w:tcPr>
          <w:p w:rsidR="00420CF4" w:rsidRPr="00B45F94" w:rsidRDefault="00420CF4" w:rsidP="008C7879">
            <w:pPr>
              <w:pStyle w:val="PullOutBoxBodyText"/>
            </w:pPr>
            <w:r w:rsidRPr="00B45F94">
              <w:t>Expiry date for the costing:</w:t>
            </w:r>
          </w:p>
        </w:tc>
        <w:tc>
          <w:tcPr>
            <w:tcW w:w="3191" w:type="pct"/>
          </w:tcPr>
          <w:p w:rsidR="00420CF4" w:rsidRPr="00B45F94" w:rsidRDefault="00EC102A" w:rsidP="008C78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AD048A" w:rsidRPr="00AD048A" w:rsidRDefault="00AD048A" w:rsidP="00AD048A">
      <w:pPr>
        <w:pStyle w:val="BodyText"/>
      </w:pPr>
      <w:r w:rsidRPr="00AD048A">
        <w:t>The proposal would be expected to decrease both the fiscal and underlying cash balances by $1.3 million over the 2016-17 Budget forward estimates period.  This reflects an increase in departmental expenses of $3.2 million, mainly relating to compliance activities, and an increase in administered expenses of $0.1 million.  This would be partially offset by an increase in revenue of $2.0 million from cost recovery of certain mechanisms of the EPBC Act.</w:t>
      </w:r>
    </w:p>
    <w:p w:rsidR="00AD048A" w:rsidRPr="00AD048A" w:rsidRDefault="00AD048A" w:rsidP="00AD048A">
      <w:pPr>
        <w:pStyle w:val="BodyText"/>
      </w:pPr>
      <w:r w:rsidRPr="00AD048A">
        <w:t>The proposal would have ongoing financial implications beyond the 2016-17 Budget forward estimates period.  A breakdown of the financial implications over the 2016-17 Budget forward estima</w:t>
      </w:r>
      <w:r>
        <w:t xml:space="preserve">tes period is at </w:t>
      </w:r>
      <w:r w:rsidRPr="00AD048A">
        <w:rPr>
          <w:u w:val="single"/>
        </w:rPr>
        <w:t>Attachment A</w:t>
      </w:r>
      <w:r>
        <w:t>.</w:t>
      </w:r>
    </w:p>
    <w:p w:rsidR="00AD048A" w:rsidRPr="00AD048A" w:rsidRDefault="00AD048A" w:rsidP="00AD048A">
      <w:pPr>
        <w:pStyle w:val="BodyText"/>
      </w:pPr>
      <w:r w:rsidRPr="00AD048A">
        <w:t>The financial implications are considered to be of medium reliability as, while the cost estimates are based on a previous amendment to the EPBC Act for the Water Trigger and departmental estimates of the number of expected projects, the Department of the Environment has advised that there is uncertainty as to the number of new proposals that are likely to be referred and require assessment as a result of the new trigger and the staff time involved in additional compliance monitoring, auditing and investigations for the new trigger.</w:t>
      </w:r>
    </w:p>
    <w:p w:rsidR="00420CF4" w:rsidRDefault="00420CF4" w:rsidP="00ED1D90">
      <w:pPr>
        <w:pStyle w:val="Caption"/>
        <w:spacing w:before="240"/>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967BCD">
            <w:pPr>
              <w:pStyle w:val="TableTextRight"/>
            </w:pPr>
            <w:r>
              <w:t>Total to 2019–20</w:t>
            </w:r>
          </w:p>
        </w:tc>
      </w:tr>
      <w:tr w:rsidR="00D66C65" w:rsidTr="00967BCD">
        <w:tc>
          <w:tcPr>
            <w:tcW w:w="1393" w:type="pct"/>
          </w:tcPr>
          <w:p w:rsidR="00D66C65" w:rsidRDefault="00D66C65" w:rsidP="00967BCD">
            <w:pPr>
              <w:pStyle w:val="TableText"/>
            </w:pPr>
            <w:r>
              <w:t>Fiscal balance</w:t>
            </w:r>
          </w:p>
        </w:tc>
        <w:tc>
          <w:tcPr>
            <w:tcW w:w="721" w:type="pct"/>
          </w:tcPr>
          <w:p w:rsidR="00D66C65" w:rsidRPr="003A3459" w:rsidRDefault="00D66C65" w:rsidP="00D66C65">
            <w:pPr>
              <w:pStyle w:val="TableTextRight"/>
            </w:pPr>
            <w:r>
              <w:t>-</w:t>
            </w:r>
          </w:p>
        </w:tc>
        <w:tc>
          <w:tcPr>
            <w:tcW w:w="721" w:type="pct"/>
          </w:tcPr>
          <w:p w:rsidR="00D66C65" w:rsidRPr="003A3459" w:rsidRDefault="00D66C65" w:rsidP="00D66C65">
            <w:pPr>
              <w:pStyle w:val="TableTextRight"/>
            </w:pPr>
            <w:r>
              <w:t>-0.4</w:t>
            </w:r>
          </w:p>
        </w:tc>
        <w:tc>
          <w:tcPr>
            <w:tcW w:w="722" w:type="pct"/>
          </w:tcPr>
          <w:p w:rsidR="00D66C65" w:rsidRPr="003A3459" w:rsidRDefault="00D66C65" w:rsidP="00D66C65">
            <w:pPr>
              <w:pStyle w:val="TableTextRight"/>
            </w:pPr>
            <w:r>
              <w:t>-0.4</w:t>
            </w:r>
          </w:p>
        </w:tc>
        <w:tc>
          <w:tcPr>
            <w:tcW w:w="721" w:type="pct"/>
          </w:tcPr>
          <w:p w:rsidR="00D66C65" w:rsidRPr="003A3459" w:rsidRDefault="00D66C65" w:rsidP="00D66C65">
            <w:pPr>
              <w:pStyle w:val="TableTextRight"/>
            </w:pPr>
            <w:r>
              <w:t>-0.4</w:t>
            </w:r>
          </w:p>
        </w:tc>
        <w:tc>
          <w:tcPr>
            <w:tcW w:w="722" w:type="pct"/>
          </w:tcPr>
          <w:p w:rsidR="00D66C65" w:rsidRPr="00C363AE" w:rsidRDefault="00D66C65" w:rsidP="00D66C65">
            <w:pPr>
              <w:pStyle w:val="TableTextRight"/>
              <w:rPr>
                <w:b/>
              </w:rPr>
            </w:pPr>
            <w:r>
              <w:rPr>
                <w:b/>
              </w:rPr>
              <w:t>-1.3</w:t>
            </w:r>
          </w:p>
        </w:tc>
      </w:tr>
      <w:tr w:rsidR="00D66C65" w:rsidTr="00967BCD">
        <w:tc>
          <w:tcPr>
            <w:tcW w:w="1393" w:type="pct"/>
          </w:tcPr>
          <w:p w:rsidR="00D66C65" w:rsidRDefault="00D66C65" w:rsidP="00967BCD">
            <w:pPr>
              <w:pStyle w:val="TableText"/>
            </w:pPr>
            <w:r>
              <w:t>Underlying cash balance</w:t>
            </w:r>
          </w:p>
        </w:tc>
        <w:tc>
          <w:tcPr>
            <w:tcW w:w="721" w:type="pct"/>
          </w:tcPr>
          <w:p w:rsidR="00D66C65" w:rsidRPr="003A3459" w:rsidRDefault="00D66C65" w:rsidP="00D66C65">
            <w:pPr>
              <w:pStyle w:val="TableTextRight"/>
            </w:pPr>
            <w:r>
              <w:t>-</w:t>
            </w:r>
          </w:p>
        </w:tc>
        <w:tc>
          <w:tcPr>
            <w:tcW w:w="721" w:type="pct"/>
          </w:tcPr>
          <w:p w:rsidR="00D66C65" w:rsidRPr="003A3459" w:rsidRDefault="00D66C65" w:rsidP="00D66C65">
            <w:pPr>
              <w:pStyle w:val="TableTextRight"/>
            </w:pPr>
            <w:r>
              <w:t>-0.4</w:t>
            </w:r>
          </w:p>
        </w:tc>
        <w:tc>
          <w:tcPr>
            <w:tcW w:w="722" w:type="pct"/>
          </w:tcPr>
          <w:p w:rsidR="00D66C65" w:rsidRPr="003A3459" w:rsidRDefault="00D66C65" w:rsidP="00D66C65">
            <w:pPr>
              <w:pStyle w:val="TableTextRight"/>
            </w:pPr>
            <w:r>
              <w:t>-0.4</w:t>
            </w:r>
          </w:p>
        </w:tc>
        <w:tc>
          <w:tcPr>
            <w:tcW w:w="721" w:type="pct"/>
          </w:tcPr>
          <w:p w:rsidR="00D66C65" w:rsidRPr="003A3459" w:rsidRDefault="00D66C65" w:rsidP="00D66C65">
            <w:pPr>
              <w:pStyle w:val="TableTextRight"/>
            </w:pPr>
            <w:r>
              <w:t>-0.4</w:t>
            </w:r>
          </w:p>
        </w:tc>
        <w:tc>
          <w:tcPr>
            <w:tcW w:w="722" w:type="pct"/>
          </w:tcPr>
          <w:p w:rsidR="00D66C65" w:rsidRPr="00C363AE" w:rsidRDefault="00D66C65" w:rsidP="00D66C65">
            <w:pPr>
              <w:pStyle w:val="TableTextRight"/>
              <w:rPr>
                <w:b/>
              </w:rPr>
            </w:pPr>
            <w:r>
              <w:rPr>
                <w:b/>
              </w:rPr>
              <w:t>-1.3</w:t>
            </w:r>
          </w:p>
        </w:tc>
      </w:tr>
    </w:tbl>
    <w:p w:rsidR="00420CF4" w:rsidRPr="00D66C65" w:rsidRDefault="00420CF4" w:rsidP="002C43F8">
      <w:pPr>
        <w:pStyle w:val="Footnotes"/>
        <w:numPr>
          <w:ilvl w:val="0"/>
          <w:numId w:val="85"/>
        </w:numPr>
        <w:ind w:left="284" w:hanging="284"/>
      </w:pPr>
      <w:r w:rsidRPr="00D66C65">
        <w:t>A positive number indicates an increase in the relevant budget balance, a negative number a decrease.</w:t>
      </w:r>
    </w:p>
    <w:p w:rsidR="00116ECE" w:rsidRDefault="00420CF4" w:rsidP="008C7879">
      <w:pPr>
        <w:pStyle w:val="Footnotes"/>
        <w:ind w:left="284" w:hanging="284"/>
      </w:pPr>
      <w:r w:rsidRPr="00D66C65">
        <w:t>Figures may not sum to totals due to rounding.</w:t>
      </w:r>
    </w:p>
    <w:p w:rsidR="00420CF4" w:rsidRPr="00D66C65" w:rsidRDefault="00116ECE" w:rsidP="00ED1D90">
      <w:pPr>
        <w:pStyle w:val="Footnotes"/>
        <w:numPr>
          <w:ilvl w:val="0"/>
          <w:numId w:val="82"/>
        </w:numPr>
        <w:ind w:left="584" w:hanging="227"/>
        <w:rPr>
          <w:rStyle w:val="FootnoteReference"/>
          <w:rFonts w:cs="Times New Roman"/>
          <w:szCs w:val="22"/>
          <w:vertAlign w:val="baseline"/>
        </w:rPr>
      </w:pPr>
      <w:r>
        <w:t xml:space="preserve">Indicates nil. </w:t>
      </w:r>
    </w:p>
    <w:p w:rsidR="00420CF4" w:rsidRDefault="00420CF4" w:rsidP="00420CF4">
      <w:pPr>
        <w:pStyle w:val="CostingsH7"/>
      </w:pPr>
      <w:r>
        <w:t>Key assumptions</w:t>
      </w:r>
    </w:p>
    <w:p w:rsidR="00D66C65" w:rsidRPr="00D66C65" w:rsidRDefault="00D66C65" w:rsidP="00D66C65">
      <w:pPr>
        <w:pStyle w:val="BodyText"/>
      </w:pPr>
      <w:r w:rsidRPr="00D66C65">
        <w:t>It has been assumed that costs associated with providing EPBC Act assessments and approvals under the expanded Water Trigger would be subject to the current EPBC Act cost recovery arrangements.</w:t>
      </w:r>
    </w:p>
    <w:p w:rsidR="00420CF4" w:rsidRDefault="00420CF4" w:rsidP="00420CF4">
      <w:pPr>
        <w:pStyle w:val="CostingsH7"/>
      </w:pPr>
      <w:r>
        <w:t>Methodology</w:t>
      </w:r>
    </w:p>
    <w:p w:rsidR="00D66C65" w:rsidRPr="00D66C65" w:rsidRDefault="00D66C65" w:rsidP="00D66C65">
      <w:pPr>
        <w:pStyle w:val="BodyText"/>
      </w:pPr>
      <w:r w:rsidRPr="00D66C65">
        <w:t>The impact of the proposal was derived by projecting Commonwealth cost estimates based on a previous amendment to the EPBC Act for the Water Trigger by appropriate indexation rates, and scaling impacts for the specified trigger, based on advice from the Department of the Environment.</w:t>
      </w:r>
    </w:p>
    <w:p w:rsidR="00420CF4" w:rsidRDefault="00420CF4" w:rsidP="00420CF4">
      <w:pPr>
        <w:pStyle w:val="CostingsH7"/>
      </w:pPr>
      <w:r>
        <w:t>Data sources</w:t>
      </w:r>
    </w:p>
    <w:p w:rsidR="00D66C65" w:rsidRDefault="00D66C65" w:rsidP="00D66C65">
      <w:pPr>
        <w:pStyle w:val="BodyText"/>
      </w:pPr>
      <w:r>
        <w:t>The Department of the Environment provided:</w:t>
      </w:r>
    </w:p>
    <w:p w:rsidR="00D66C65" w:rsidRDefault="00D66C65" w:rsidP="00D66C65">
      <w:pPr>
        <w:pStyle w:val="ListBullet"/>
      </w:pPr>
      <w:r>
        <w:t>Commonwealth costs for the introduction of the Water Trigger</w:t>
      </w:r>
    </w:p>
    <w:p w:rsidR="00D66C65" w:rsidRDefault="00D66C65" w:rsidP="00D66C65">
      <w:pPr>
        <w:pStyle w:val="ListBullet"/>
      </w:pPr>
      <w:r>
        <w:t>estimates of the expected number of shale gas projects subject to the EPBC Act approval process</w:t>
      </w:r>
    </w:p>
    <w:p w:rsidR="00D66C65" w:rsidRDefault="00D66C65" w:rsidP="00D66C65">
      <w:pPr>
        <w:pStyle w:val="ListBullet"/>
      </w:pPr>
      <w:r>
        <w:t>advice on the cost-recovery process of the EPBC Act approval process.</w:t>
      </w:r>
    </w:p>
    <w:p w:rsidR="00D66C65" w:rsidRPr="00D66C65" w:rsidRDefault="00D66C65" w:rsidP="00D66C65">
      <w:pPr>
        <w:pStyle w:val="BodyText"/>
      </w:pPr>
      <w:r>
        <w:t>The Department of Finance provided indexation and efficiency dividend parameters.</w:t>
      </w:r>
    </w:p>
    <w:p w:rsidR="00196032" w:rsidRDefault="00196032" w:rsidP="00196032">
      <w:pPr>
        <w:pStyle w:val="BodyText"/>
      </w:pPr>
    </w:p>
    <w:p w:rsidR="00196032" w:rsidRDefault="00196032" w:rsidP="00196032">
      <w:pPr>
        <w:pStyle w:val="BodyText"/>
        <w:sectPr w:rsidR="00196032" w:rsidSect="00967BCD">
          <w:footnotePr>
            <w:numRestart w:val="eachSect"/>
          </w:footnotePr>
          <w:pgSz w:w="11906" w:h="16838" w:code="9"/>
          <w:pgMar w:top="1361" w:right="1797" w:bottom="1474" w:left="1797" w:header="283" w:footer="454" w:gutter="0"/>
          <w:cols w:space="708"/>
          <w:docGrid w:linePitch="360"/>
        </w:sectPr>
      </w:pPr>
    </w:p>
    <w:p w:rsidR="00420CF4" w:rsidRDefault="00D66C65" w:rsidP="00D66C65">
      <w:pPr>
        <w:pStyle w:val="Heading6"/>
        <w:spacing w:after="120"/>
      </w:pPr>
      <w:r>
        <w:t xml:space="preserve">Attachment </w:t>
      </w:r>
      <w:r w:rsidRPr="00D66C65">
        <w:t>A: Water Trigger—financial implications</w:t>
      </w:r>
    </w:p>
    <w:p w:rsidR="00D66C65" w:rsidRPr="00E30FB5" w:rsidRDefault="00420CF4" w:rsidP="00D66C65">
      <w:pPr>
        <w:pStyle w:val="Captionheading"/>
        <w:spacing w:before="120"/>
        <w:rPr>
          <w:vertAlign w:val="superscript"/>
        </w:rPr>
      </w:pPr>
      <w:r w:rsidRPr="002B36F1">
        <w:t xml:space="preserve">Table </w:t>
      </w:r>
      <w:r>
        <w:t>A1</w:t>
      </w:r>
      <w:r w:rsidRPr="002B36F1">
        <w:t xml:space="preserve">: </w:t>
      </w:r>
      <w:r w:rsidR="00D66C65">
        <w:t>Water Trigger—Fiscal and underlying cash balances</w:t>
      </w:r>
      <w:r w:rsidR="00D66C65" w:rsidRPr="00B46F22">
        <w:rPr>
          <w:vertAlign w:val="superscript"/>
        </w:rPr>
        <w:t>(a)</w:t>
      </w:r>
      <w:r w:rsidR="00D66C65">
        <w:rPr>
          <w:vertAlign w:val="superscript"/>
        </w:rPr>
        <w:t>(b)(c)</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967BCD">
        <w:trPr>
          <w:cnfStyle w:val="100000000000" w:firstRow="1" w:lastRow="0" w:firstColumn="0" w:lastColumn="0" w:oddVBand="0" w:evenVBand="0" w:oddHBand="0" w:evenHBand="0" w:firstRowFirstColumn="0" w:firstRowLastColumn="0" w:lastRowFirstColumn="0" w:lastRowLastColumn="0"/>
        </w:trPr>
        <w:tc>
          <w:tcPr>
            <w:tcW w:w="1554" w:type="pct"/>
          </w:tcPr>
          <w:p w:rsidR="00420CF4" w:rsidRPr="007C2713" w:rsidRDefault="00420CF4" w:rsidP="00967BCD">
            <w:pPr>
              <w:pStyle w:val="TableText"/>
              <w:rPr>
                <w:b w:val="0"/>
              </w:rPr>
            </w:pPr>
            <w:r>
              <w:t>($</w:t>
            </w:r>
            <w:r w:rsidR="00D66C65">
              <w:t>m</w:t>
            </w:r>
            <w:r>
              <w:t>)</w:t>
            </w:r>
          </w:p>
        </w:tc>
        <w:tc>
          <w:tcPr>
            <w:tcW w:w="689" w:type="pct"/>
          </w:tcPr>
          <w:p w:rsidR="00420CF4" w:rsidRDefault="00420CF4" w:rsidP="00967BCD">
            <w:pPr>
              <w:pStyle w:val="TableTextRight"/>
              <w:rPr>
                <w:b w:val="0"/>
              </w:rPr>
            </w:pPr>
            <w:r>
              <w:t>2016–17</w:t>
            </w:r>
          </w:p>
        </w:tc>
        <w:tc>
          <w:tcPr>
            <w:tcW w:w="689" w:type="pct"/>
          </w:tcPr>
          <w:p w:rsidR="00420CF4" w:rsidRDefault="00420CF4" w:rsidP="00967BCD">
            <w:pPr>
              <w:pStyle w:val="TableTextRight"/>
              <w:rPr>
                <w:b w:val="0"/>
              </w:rPr>
            </w:pPr>
            <w:r>
              <w:t>2017–18</w:t>
            </w:r>
          </w:p>
        </w:tc>
        <w:tc>
          <w:tcPr>
            <w:tcW w:w="689" w:type="pct"/>
          </w:tcPr>
          <w:p w:rsidR="00420CF4" w:rsidRDefault="00420CF4" w:rsidP="00967BCD">
            <w:pPr>
              <w:pStyle w:val="TableTextRight"/>
              <w:rPr>
                <w:b w:val="0"/>
              </w:rPr>
            </w:pPr>
            <w:r>
              <w:t>2018–19</w:t>
            </w:r>
          </w:p>
        </w:tc>
        <w:tc>
          <w:tcPr>
            <w:tcW w:w="689" w:type="pct"/>
          </w:tcPr>
          <w:p w:rsidR="00420CF4" w:rsidRDefault="00420CF4" w:rsidP="00967BCD">
            <w:pPr>
              <w:pStyle w:val="TableTextRight"/>
              <w:rPr>
                <w:b w:val="0"/>
              </w:rPr>
            </w:pPr>
            <w:r>
              <w:t>2019–20</w:t>
            </w:r>
          </w:p>
        </w:tc>
        <w:tc>
          <w:tcPr>
            <w:tcW w:w="690" w:type="pct"/>
          </w:tcPr>
          <w:p w:rsidR="00420CF4" w:rsidRDefault="00420CF4" w:rsidP="00967BCD">
            <w:pPr>
              <w:pStyle w:val="TableTextRight"/>
            </w:pPr>
            <w:r>
              <w:t>Total</w:t>
            </w:r>
            <w:r w:rsidR="00D66C65">
              <w:t xml:space="preserve"> to 2019–20</w:t>
            </w:r>
          </w:p>
        </w:tc>
      </w:tr>
      <w:tr w:rsidR="00D66C65" w:rsidTr="00D66C65">
        <w:tc>
          <w:tcPr>
            <w:tcW w:w="5000" w:type="pct"/>
            <w:gridSpan w:val="6"/>
            <w:shd w:val="clear" w:color="auto" w:fill="E9ECF3" w:themeFill="accent2" w:themeFillTint="33"/>
          </w:tcPr>
          <w:p w:rsidR="00D66C65" w:rsidRDefault="00D66C65" w:rsidP="00D66C65">
            <w:pPr>
              <w:pStyle w:val="TableTextRight"/>
              <w:jc w:val="left"/>
            </w:pPr>
            <w:r>
              <w:rPr>
                <w:b/>
              </w:rPr>
              <w:t>Impact on f</w:t>
            </w:r>
            <w:r w:rsidRPr="00C363AE">
              <w:rPr>
                <w:b/>
              </w:rPr>
              <w:t>isc</w:t>
            </w:r>
            <w:r>
              <w:rPr>
                <w:b/>
              </w:rPr>
              <w:t>al and underlying cash balances</w:t>
            </w:r>
          </w:p>
        </w:tc>
      </w:tr>
      <w:tr w:rsidR="00D66C65" w:rsidTr="00967BCD">
        <w:tc>
          <w:tcPr>
            <w:tcW w:w="1554" w:type="pct"/>
          </w:tcPr>
          <w:p w:rsidR="00D66C65" w:rsidRPr="003A3459" w:rsidRDefault="00D66C65" w:rsidP="00DF700E">
            <w:pPr>
              <w:pStyle w:val="TableTextCentred"/>
              <w:keepNext/>
              <w:keepLines/>
              <w:jc w:val="left"/>
              <w:rPr>
                <w:szCs w:val="20"/>
              </w:rPr>
            </w:pPr>
            <w:r>
              <w:rPr>
                <w:szCs w:val="20"/>
              </w:rPr>
              <w:t>Revenue</w:t>
            </w:r>
          </w:p>
        </w:tc>
        <w:tc>
          <w:tcPr>
            <w:tcW w:w="689" w:type="pct"/>
          </w:tcPr>
          <w:p w:rsidR="00D66C65" w:rsidRPr="008C7879" w:rsidRDefault="00D66C65" w:rsidP="008C7879">
            <w:pPr>
              <w:pStyle w:val="TableTextRight"/>
              <w:rPr>
                <w:i/>
              </w:rPr>
            </w:pPr>
            <w:r w:rsidRPr="008C7879">
              <w:rPr>
                <w:i/>
              </w:rPr>
              <w:t>-</w:t>
            </w:r>
          </w:p>
        </w:tc>
        <w:tc>
          <w:tcPr>
            <w:tcW w:w="689" w:type="pct"/>
          </w:tcPr>
          <w:p w:rsidR="00D66C65" w:rsidRPr="008C7879" w:rsidRDefault="00D66C65" w:rsidP="008C7879">
            <w:pPr>
              <w:pStyle w:val="TableTextRight"/>
              <w:rPr>
                <w:i/>
              </w:rPr>
            </w:pPr>
            <w:r w:rsidRPr="008C7879">
              <w:rPr>
                <w:i/>
              </w:rPr>
              <w:t>0.7</w:t>
            </w:r>
          </w:p>
        </w:tc>
        <w:tc>
          <w:tcPr>
            <w:tcW w:w="689" w:type="pct"/>
          </w:tcPr>
          <w:p w:rsidR="00D66C65" w:rsidRPr="008C7879" w:rsidRDefault="00D66C65" w:rsidP="008C7879">
            <w:pPr>
              <w:pStyle w:val="TableTextRight"/>
              <w:rPr>
                <w:i/>
              </w:rPr>
            </w:pPr>
            <w:r w:rsidRPr="008C7879">
              <w:rPr>
                <w:i/>
              </w:rPr>
              <w:t>0.7</w:t>
            </w:r>
          </w:p>
        </w:tc>
        <w:tc>
          <w:tcPr>
            <w:tcW w:w="689" w:type="pct"/>
          </w:tcPr>
          <w:p w:rsidR="00D66C65" w:rsidRPr="008C7879" w:rsidRDefault="00D66C65" w:rsidP="008C7879">
            <w:pPr>
              <w:pStyle w:val="TableTextRight"/>
              <w:rPr>
                <w:i/>
              </w:rPr>
            </w:pPr>
            <w:r w:rsidRPr="008C7879">
              <w:rPr>
                <w:i/>
              </w:rPr>
              <w:t>0.7</w:t>
            </w:r>
          </w:p>
        </w:tc>
        <w:tc>
          <w:tcPr>
            <w:tcW w:w="690" w:type="pct"/>
          </w:tcPr>
          <w:p w:rsidR="00D66C65" w:rsidRPr="003E0234" w:rsidRDefault="00D66C65" w:rsidP="008C7879">
            <w:pPr>
              <w:pStyle w:val="TableTextRight"/>
              <w:rPr>
                <w:b/>
                <w:i/>
              </w:rPr>
            </w:pPr>
            <w:r w:rsidRPr="003E0234">
              <w:rPr>
                <w:b/>
                <w:i/>
              </w:rPr>
              <w:t>2.0</w:t>
            </w:r>
          </w:p>
        </w:tc>
      </w:tr>
      <w:tr w:rsidR="00D66C65" w:rsidTr="00967BCD">
        <w:tc>
          <w:tcPr>
            <w:tcW w:w="1554" w:type="pct"/>
          </w:tcPr>
          <w:p w:rsidR="00D66C65" w:rsidRPr="003A3459" w:rsidRDefault="00D66C65" w:rsidP="00DF700E">
            <w:pPr>
              <w:pStyle w:val="TableTextCentred"/>
              <w:keepNext/>
              <w:keepLines/>
              <w:jc w:val="left"/>
              <w:rPr>
                <w:szCs w:val="20"/>
              </w:rPr>
            </w:pPr>
            <w:r>
              <w:rPr>
                <w:szCs w:val="20"/>
              </w:rPr>
              <w:t>Expenses</w:t>
            </w:r>
          </w:p>
        </w:tc>
        <w:tc>
          <w:tcPr>
            <w:tcW w:w="689" w:type="pct"/>
          </w:tcPr>
          <w:p w:rsidR="00D66C65" w:rsidRPr="008C7879" w:rsidRDefault="00D66C65" w:rsidP="008C7879">
            <w:pPr>
              <w:pStyle w:val="TableTextRight"/>
              <w:rPr>
                <w:i/>
              </w:rPr>
            </w:pPr>
          </w:p>
        </w:tc>
        <w:tc>
          <w:tcPr>
            <w:tcW w:w="689" w:type="pct"/>
          </w:tcPr>
          <w:p w:rsidR="00D66C65" w:rsidRPr="008C7879" w:rsidRDefault="00D66C65" w:rsidP="008C7879">
            <w:pPr>
              <w:pStyle w:val="TableTextRight"/>
              <w:rPr>
                <w:i/>
              </w:rPr>
            </w:pPr>
          </w:p>
        </w:tc>
        <w:tc>
          <w:tcPr>
            <w:tcW w:w="689" w:type="pct"/>
          </w:tcPr>
          <w:p w:rsidR="00D66C65" w:rsidRPr="008C7879" w:rsidRDefault="00D66C65" w:rsidP="008C7879">
            <w:pPr>
              <w:pStyle w:val="TableTextRight"/>
              <w:rPr>
                <w:i/>
              </w:rPr>
            </w:pPr>
          </w:p>
        </w:tc>
        <w:tc>
          <w:tcPr>
            <w:tcW w:w="689" w:type="pct"/>
          </w:tcPr>
          <w:p w:rsidR="00D66C65" w:rsidRPr="008C7879" w:rsidRDefault="00D66C65" w:rsidP="008C7879">
            <w:pPr>
              <w:pStyle w:val="TableTextRight"/>
              <w:rPr>
                <w:i/>
              </w:rPr>
            </w:pPr>
          </w:p>
        </w:tc>
        <w:tc>
          <w:tcPr>
            <w:tcW w:w="690" w:type="pct"/>
          </w:tcPr>
          <w:p w:rsidR="00D66C65" w:rsidRPr="003E0234" w:rsidRDefault="00D66C65" w:rsidP="008C7879">
            <w:pPr>
              <w:pStyle w:val="TableTextRight"/>
              <w:rPr>
                <w:b/>
                <w:i/>
              </w:rPr>
            </w:pPr>
          </w:p>
        </w:tc>
      </w:tr>
      <w:tr w:rsidR="00D66C65" w:rsidTr="00967BCD">
        <w:tc>
          <w:tcPr>
            <w:tcW w:w="1554" w:type="pct"/>
          </w:tcPr>
          <w:p w:rsidR="00D66C65" w:rsidRPr="00F34003" w:rsidRDefault="00D66C65" w:rsidP="00DF700E">
            <w:pPr>
              <w:pStyle w:val="TableTextCentred"/>
              <w:keepNext/>
              <w:keepLines/>
              <w:jc w:val="left"/>
              <w:rPr>
                <w:i/>
                <w:szCs w:val="20"/>
              </w:rPr>
            </w:pPr>
            <w:r w:rsidRPr="00F34003">
              <w:rPr>
                <w:i/>
                <w:szCs w:val="20"/>
              </w:rPr>
              <w:t>Administered</w:t>
            </w:r>
          </w:p>
        </w:tc>
        <w:tc>
          <w:tcPr>
            <w:tcW w:w="689" w:type="pct"/>
          </w:tcPr>
          <w:p w:rsidR="00D66C65" w:rsidRPr="008C7879" w:rsidRDefault="00D66C65" w:rsidP="008C7879">
            <w:pPr>
              <w:pStyle w:val="TableTextRight"/>
              <w:rPr>
                <w:i/>
              </w:rPr>
            </w:pPr>
            <w:r w:rsidRPr="008C7879">
              <w:rPr>
                <w:i/>
              </w:rPr>
              <w:t>-</w:t>
            </w:r>
          </w:p>
        </w:tc>
        <w:tc>
          <w:tcPr>
            <w:tcW w:w="689" w:type="pct"/>
          </w:tcPr>
          <w:p w:rsidR="00D66C65" w:rsidRPr="008C7879" w:rsidRDefault="00D66C65" w:rsidP="008C7879">
            <w:pPr>
              <w:pStyle w:val="TableTextRight"/>
              <w:rPr>
                <w:i/>
              </w:rPr>
            </w:pPr>
            <w:r w:rsidRPr="008C7879">
              <w:rPr>
                <w:i/>
              </w:rPr>
              <w:t>..</w:t>
            </w:r>
          </w:p>
        </w:tc>
        <w:tc>
          <w:tcPr>
            <w:tcW w:w="689" w:type="pct"/>
          </w:tcPr>
          <w:p w:rsidR="00D66C65" w:rsidRPr="008C7879" w:rsidRDefault="00D66C65" w:rsidP="008C7879">
            <w:pPr>
              <w:pStyle w:val="TableTextRight"/>
              <w:rPr>
                <w:i/>
              </w:rPr>
            </w:pPr>
            <w:r w:rsidRPr="008C7879">
              <w:rPr>
                <w:i/>
              </w:rPr>
              <w:t>..</w:t>
            </w:r>
          </w:p>
        </w:tc>
        <w:tc>
          <w:tcPr>
            <w:tcW w:w="689" w:type="pct"/>
          </w:tcPr>
          <w:p w:rsidR="00D66C65" w:rsidRPr="008C7879" w:rsidRDefault="00D66C65" w:rsidP="008C7879">
            <w:pPr>
              <w:pStyle w:val="TableTextRight"/>
              <w:rPr>
                <w:i/>
              </w:rPr>
            </w:pPr>
            <w:r w:rsidRPr="008C7879">
              <w:rPr>
                <w:i/>
              </w:rPr>
              <w:t>..</w:t>
            </w:r>
          </w:p>
        </w:tc>
        <w:tc>
          <w:tcPr>
            <w:tcW w:w="690" w:type="pct"/>
          </w:tcPr>
          <w:p w:rsidR="00D66C65" w:rsidRPr="003E0234" w:rsidRDefault="00D66C65" w:rsidP="008C7879">
            <w:pPr>
              <w:pStyle w:val="TableTextRight"/>
              <w:rPr>
                <w:b/>
                <w:i/>
              </w:rPr>
            </w:pPr>
            <w:r w:rsidRPr="003E0234">
              <w:rPr>
                <w:b/>
                <w:i/>
              </w:rPr>
              <w:t>-0.1</w:t>
            </w:r>
          </w:p>
        </w:tc>
      </w:tr>
      <w:tr w:rsidR="00D66C65" w:rsidTr="00967BCD">
        <w:tc>
          <w:tcPr>
            <w:tcW w:w="1554" w:type="pct"/>
          </w:tcPr>
          <w:p w:rsidR="00D66C65" w:rsidRPr="00F34003" w:rsidRDefault="00D66C65" w:rsidP="00DF700E">
            <w:pPr>
              <w:pStyle w:val="TableTextCentred"/>
              <w:keepNext/>
              <w:keepLines/>
              <w:jc w:val="left"/>
              <w:rPr>
                <w:i/>
                <w:szCs w:val="20"/>
              </w:rPr>
            </w:pPr>
            <w:r w:rsidRPr="00F34003">
              <w:rPr>
                <w:i/>
                <w:szCs w:val="20"/>
              </w:rPr>
              <w:t>Departmental</w:t>
            </w:r>
          </w:p>
        </w:tc>
        <w:tc>
          <w:tcPr>
            <w:tcW w:w="689" w:type="pct"/>
          </w:tcPr>
          <w:p w:rsidR="00D66C65" w:rsidRPr="008C7879" w:rsidRDefault="00D66C65" w:rsidP="008C7879">
            <w:pPr>
              <w:pStyle w:val="TableTextRight"/>
              <w:rPr>
                <w:i/>
              </w:rPr>
            </w:pPr>
            <w:r w:rsidRPr="008C7879">
              <w:rPr>
                <w:i/>
              </w:rPr>
              <w:t>-</w:t>
            </w:r>
          </w:p>
        </w:tc>
        <w:tc>
          <w:tcPr>
            <w:tcW w:w="689" w:type="pct"/>
          </w:tcPr>
          <w:p w:rsidR="00D66C65" w:rsidRPr="008C7879" w:rsidRDefault="00D66C65" w:rsidP="008C7879">
            <w:pPr>
              <w:pStyle w:val="TableTextRight"/>
              <w:rPr>
                <w:i/>
              </w:rPr>
            </w:pPr>
            <w:r w:rsidRPr="008C7879">
              <w:rPr>
                <w:i/>
              </w:rPr>
              <w:t>-1.1</w:t>
            </w:r>
          </w:p>
        </w:tc>
        <w:tc>
          <w:tcPr>
            <w:tcW w:w="689" w:type="pct"/>
          </w:tcPr>
          <w:p w:rsidR="00D66C65" w:rsidRPr="008C7879" w:rsidRDefault="00D66C65" w:rsidP="008C7879">
            <w:pPr>
              <w:pStyle w:val="TableTextRight"/>
              <w:rPr>
                <w:i/>
              </w:rPr>
            </w:pPr>
            <w:r w:rsidRPr="008C7879">
              <w:rPr>
                <w:i/>
              </w:rPr>
              <w:t>-1.1</w:t>
            </w:r>
          </w:p>
        </w:tc>
        <w:tc>
          <w:tcPr>
            <w:tcW w:w="689" w:type="pct"/>
          </w:tcPr>
          <w:p w:rsidR="00D66C65" w:rsidRPr="008C7879" w:rsidRDefault="00D66C65" w:rsidP="008C7879">
            <w:pPr>
              <w:pStyle w:val="TableTextRight"/>
              <w:rPr>
                <w:i/>
              </w:rPr>
            </w:pPr>
            <w:r w:rsidRPr="008C7879">
              <w:rPr>
                <w:i/>
              </w:rPr>
              <w:t>-1.1</w:t>
            </w:r>
          </w:p>
        </w:tc>
        <w:tc>
          <w:tcPr>
            <w:tcW w:w="690" w:type="pct"/>
          </w:tcPr>
          <w:p w:rsidR="00D66C65" w:rsidRPr="003E0234" w:rsidRDefault="00D66C65" w:rsidP="008C7879">
            <w:pPr>
              <w:pStyle w:val="TableTextRight"/>
              <w:rPr>
                <w:b/>
                <w:i/>
              </w:rPr>
            </w:pPr>
            <w:r w:rsidRPr="003E0234">
              <w:rPr>
                <w:b/>
                <w:i/>
              </w:rPr>
              <w:t>-3.2</w:t>
            </w:r>
          </w:p>
        </w:tc>
      </w:tr>
      <w:tr w:rsidR="00D66C65" w:rsidRPr="007C2713" w:rsidTr="00967BCD">
        <w:tc>
          <w:tcPr>
            <w:tcW w:w="1554" w:type="pct"/>
            <w:shd w:val="clear" w:color="auto" w:fill="D7DDE9" w:themeFill="accent3"/>
          </w:tcPr>
          <w:p w:rsidR="00D66C65" w:rsidRPr="0055406D" w:rsidRDefault="00D66C65" w:rsidP="00DF700E">
            <w:pPr>
              <w:pStyle w:val="TableTextCentred"/>
              <w:keepNext/>
              <w:keepLines/>
              <w:jc w:val="left"/>
              <w:rPr>
                <w:b/>
                <w:szCs w:val="20"/>
              </w:rPr>
            </w:pPr>
            <w:r w:rsidRPr="0055406D">
              <w:rPr>
                <w:b/>
                <w:szCs w:val="20"/>
              </w:rPr>
              <w:t>Total</w:t>
            </w:r>
          </w:p>
        </w:tc>
        <w:tc>
          <w:tcPr>
            <w:tcW w:w="689" w:type="pct"/>
            <w:shd w:val="clear" w:color="auto" w:fill="D7DDE9" w:themeFill="accent3"/>
          </w:tcPr>
          <w:p w:rsidR="00D66C65" w:rsidRPr="008C7879" w:rsidRDefault="00D66C65" w:rsidP="008C7879">
            <w:pPr>
              <w:pStyle w:val="TableTextRight"/>
              <w:rPr>
                <w:b/>
              </w:rPr>
            </w:pPr>
            <w:r w:rsidRPr="008C7879">
              <w:rPr>
                <w:b/>
              </w:rPr>
              <w:t>-</w:t>
            </w:r>
          </w:p>
        </w:tc>
        <w:tc>
          <w:tcPr>
            <w:tcW w:w="689" w:type="pct"/>
            <w:shd w:val="clear" w:color="auto" w:fill="D7DDE9" w:themeFill="accent3"/>
          </w:tcPr>
          <w:p w:rsidR="00D66C65" w:rsidRPr="008C7879" w:rsidRDefault="00D66C65" w:rsidP="008C7879">
            <w:pPr>
              <w:pStyle w:val="TableTextRight"/>
              <w:rPr>
                <w:b/>
              </w:rPr>
            </w:pPr>
            <w:r w:rsidRPr="008C7879">
              <w:rPr>
                <w:b/>
              </w:rPr>
              <w:t>-0.4</w:t>
            </w:r>
          </w:p>
        </w:tc>
        <w:tc>
          <w:tcPr>
            <w:tcW w:w="689" w:type="pct"/>
            <w:shd w:val="clear" w:color="auto" w:fill="D7DDE9" w:themeFill="accent3"/>
          </w:tcPr>
          <w:p w:rsidR="00D66C65" w:rsidRPr="008C7879" w:rsidRDefault="00D66C65" w:rsidP="008C7879">
            <w:pPr>
              <w:pStyle w:val="TableTextRight"/>
              <w:rPr>
                <w:b/>
              </w:rPr>
            </w:pPr>
            <w:r w:rsidRPr="008C7879">
              <w:rPr>
                <w:b/>
              </w:rPr>
              <w:t>-0.4</w:t>
            </w:r>
          </w:p>
        </w:tc>
        <w:tc>
          <w:tcPr>
            <w:tcW w:w="689" w:type="pct"/>
            <w:shd w:val="clear" w:color="auto" w:fill="D7DDE9" w:themeFill="accent3"/>
          </w:tcPr>
          <w:p w:rsidR="00D66C65" w:rsidRPr="008C7879" w:rsidRDefault="00D66C65" w:rsidP="008C7879">
            <w:pPr>
              <w:pStyle w:val="TableTextRight"/>
              <w:rPr>
                <w:b/>
              </w:rPr>
            </w:pPr>
            <w:r w:rsidRPr="008C7879">
              <w:rPr>
                <w:b/>
              </w:rPr>
              <w:t>-0.4</w:t>
            </w:r>
          </w:p>
        </w:tc>
        <w:tc>
          <w:tcPr>
            <w:tcW w:w="690" w:type="pct"/>
            <w:shd w:val="clear" w:color="auto" w:fill="D7DDE9" w:themeFill="accent3"/>
          </w:tcPr>
          <w:p w:rsidR="00D66C65" w:rsidRPr="008C7879" w:rsidRDefault="00D66C65" w:rsidP="008C7879">
            <w:pPr>
              <w:pStyle w:val="TableTextRight"/>
              <w:rPr>
                <w:b/>
              </w:rPr>
            </w:pPr>
            <w:r w:rsidRPr="008C7879">
              <w:rPr>
                <w:b/>
              </w:rPr>
              <w:t>-1.3</w:t>
            </w:r>
          </w:p>
        </w:tc>
      </w:tr>
    </w:tbl>
    <w:p w:rsidR="00D66C65" w:rsidRDefault="00D66C65" w:rsidP="000212A9">
      <w:pPr>
        <w:pStyle w:val="Footnotes"/>
        <w:numPr>
          <w:ilvl w:val="0"/>
          <w:numId w:val="86"/>
        </w:numPr>
        <w:ind w:left="284" w:right="-335"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D66C65" w:rsidRDefault="00D66C65" w:rsidP="000212A9">
      <w:pPr>
        <w:pStyle w:val="Footnotes"/>
        <w:ind w:left="284" w:right="-335" w:hanging="284"/>
      </w:pPr>
      <w:r>
        <w:t>Figures may not sum to totals due to rounding.</w:t>
      </w:r>
    </w:p>
    <w:p w:rsidR="00D66C65" w:rsidRDefault="00D66C65" w:rsidP="000212A9">
      <w:pPr>
        <w:pStyle w:val="Footnotes"/>
        <w:ind w:left="284" w:right="-335" w:hanging="284"/>
      </w:pPr>
      <w:r>
        <w:t>EPBC assessments are fully cost-recovered and therefore have no net impact on the budget.  As a result, an estimate of the change in revenue and departmental expenditure related to any increase in assessments has not been undertaken due to uncertainty around the increase in assessment volumes.</w:t>
      </w:r>
    </w:p>
    <w:p w:rsidR="00D66C65" w:rsidRDefault="00D66C65" w:rsidP="000212A9">
      <w:pPr>
        <w:pStyle w:val="Footnotes"/>
        <w:numPr>
          <w:ilvl w:val="0"/>
          <w:numId w:val="0"/>
        </w:numPr>
        <w:ind w:left="284" w:right="-335" w:hanging="284"/>
      </w:pPr>
      <w:r>
        <w:t>..</w:t>
      </w:r>
      <w:r>
        <w:tab/>
        <w:t>Not zero, but rounded to zero.</w:t>
      </w:r>
    </w:p>
    <w:p w:rsidR="00420CF4" w:rsidRPr="00951305" w:rsidRDefault="00D66C65" w:rsidP="000212A9">
      <w:pPr>
        <w:pStyle w:val="Footnotes"/>
        <w:numPr>
          <w:ilvl w:val="0"/>
          <w:numId w:val="0"/>
        </w:numPr>
        <w:ind w:left="284" w:right="-335" w:hanging="284"/>
      </w:pPr>
      <w:r w:rsidRPr="00D66C65">
        <w:t>-</w:t>
      </w:r>
      <w:r>
        <w:tab/>
        <w:t>Indicates nil</w:t>
      </w:r>
    </w:p>
    <w:p w:rsidR="00420CF4" w:rsidRDefault="00420CF4" w:rsidP="000212A9">
      <w:pPr>
        <w:pStyle w:val="BodyText"/>
        <w:ind w:left="284" w:hanging="284"/>
        <w:contextualSpacing/>
        <w:sectPr w:rsidR="00420CF4" w:rsidSect="00967BCD">
          <w:footnotePr>
            <w:numRestart w:val="eachSect"/>
          </w:footnotePr>
          <w:pgSz w:w="11906" w:h="16838" w:code="9"/>
          <w:pgMar w:top="1361" w:right="1797" w:bottom="1474" w:left="1797" w:header="283" w:footer="454" w:gutter="0"/>
          <w:cols w:space="708"/>
          <w:docGrid w:linePitch="360"/>
        </w:sectPr>
      </w:pPr>
    </w:p>
    <w:p w:rsidR="00420CF4" w:rsidRDefault="00420CF4" w:rsidP="00420CF4">
      <w:pPr>
        <w:pStyle w:val="Heading5"/>
        <w:ind w:left="1080" w:hanging="1080"/>
      </w:pPr>
      <w:bookmarkStart w:id="50" w:name="_Toc458081670"/>
      <w:r>
        <w:t>ALP04</w:t>
      </w:r>
      <w:r w:rsidR="00A00D61">
        <w:t>6</w:t>
      </w:r>
      <w:r>
        <w:t>: World Heritage Listings</w:t>
      </w:r>
      <w:bookmarkEnd w:id="50"/>
    </w:p>
    <w:p w:rsidR="00967B83" w:rsidRDefault="00967B83" w:rsidP="00967B83">
      <w:pPr>
        <w:pStyle w:val="BodyText"/>
      </w:pPr>
      <w:r>
        <w:rPr>
          <w:noProof/>
          <w:lang w:eastAsia="en-AU"/>
        </w:rPr>
        <w:drawing>
          <wp:inline distT="0" distB="0" distL="0" distR="0" wp14:anchorId="1F57B3DD" wp14:editId="029BE401">
            <wp:extent cx="2696845" cy="572135"/>
            <wp:effectExtent l="0" t="0" r="8255" b="0"/>
            <wp:docPr id="56" name="Picture 5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E51946"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E51946" w:rsidRDefault="00420CF4" w:rsidP="008C7879">
            <w:pPr>
              <w:pStyle w:val="PullOutBoxHeading"/>
              <w:rPr>
                <w:b/>
              </w:rPr>
            </w:pPr>
            <w:r w:rsidRPr="00E51946">
              <w:rPr>
                <w:b/>
              </w:rPr>
              <w:t>Name of proposal:</w:t>
            </w:r>
          </w:p>
        </w:tc>
        <w:tc>
          <w:tcPr>
            <w:tcW w:w="3191" w:type="pct"/>
          </w:tcPr>
          <w:p w:rsidR="00420CF4" w:rsidRPr="00E51946" w:rsidRDefault="00AE411A" w:rsidP="008C7879">
            <w:pPr>
              <w:pStyle w:val="PullOutBoxHeading"/>
              <w:rPr>
                <w:b/>
              </w:rPr>
            </w:pPr>
            <w:r w:rsidRPr="00E51946">
              <w:rPr>
                <w:b/>
              </w:rPr>
              <w:t>World Heritage Listings</w:t>
            </w:r>
          </w:p>
        </w:tc>
      </w:tr>
      <w:tr w:rsidR="00420CF4" w:rsidRPr="00B45F94" w:rsidTr="00967BCD">
        <w:tc>
          <w:tcPr>
            <w:tcW w:w="1809" w:type="pct"/>
          </w:tcPr>
          <w:p w:rsidR="00420CF4" w:rsidRPr="00B45F94" w:rsidRDefault="00420CF4" w:rsidP="008C7879">
            <w:pPr>
              <w:pStyle w:val="PullOutBoxBodyText"/>
            </w:pPr>
            <w:r w:rsidRPr="00B45F94">
              <w:t>Summary of proposal:</w:t>
            </w:r>
          </w:p>
        </w:tc>
        <w:tc>
          <w:tcPr>
            <w:tcW w:w="3191" w:type="pct"/>
          </w:tcPr>
          <w:p w:rsidR="00AE411A" w:rsidRPr="00AE411A" w:rsidRDefault="00AE411A" w:rsidP="008C7879">
            <w:pPr>
              <w:pStyle w:val="PullOutBoxBodyText"/>
            </w:pPr>
            <w:r w:rsidRPr="00AE411A">
              <w:t>The proposal would provide Commonwealth funding to support:</w:t>
            </w:r>
          </w:p>
          <w:p w:rsidR="00AE411A" w:rsidRDefault="00AE411A" w:rsidP="008C7879">
            <w:pPr>
              <w:pStyle w:val="PullOutBoxBullet"/>
            </w:pPr>
            <w:r>
              <w:t>nominating the Cape York Peninsula for World Heritage listing, subject to the consent of the traditional owners</w:t>
            </w:r>
          </w:p>
          <w:p w:rsidR="00AE411A" w:rsidRDefault="00AE411A" w:rsidP="008C7879">
            <w:pPr>
              <w:pStyle w:val="PullOutBoxBullet"/>
            </w:pPr>
            <w:r>
              <w:t>nominating the West Kimberley region (that was granted National Heritage listing) for World Heritage listing, subject to the consent of the traditional owners</w:t>
            </w:r>
          </w:p>
          <w:p w:rsidR="00AE411A" w:rsidRDefault="00AE411A" w:rsidP="008C7879">
            <w:pPr>
              <w:pStyle w:val="PullOutBoxBullet"/>
            </w:pPr>
            <w:r>
              <w:t>expanding the World Heritage listing for the Daintree</w:t>
            </w:r>
            <w:r w:rsidR="00DF700E">
              <w:t> </w:t>
            </w:r>
            <w:r>
              <w:t>Rainforest to include cultural values.</w:t>
            </w:r>
          </w:p>
          <w:p w:rsidR="00AE411A" w:rsidRPr="00AE411A" w:rsidRDefault="00AE411A" w:rsidP="008C7879">
            <w:pPr>
              <w:pStyle w:val="PullOutBoxBodyText"/>
            </w:pPr>
            <w:r w:rsidRPr="00AE411A">
              <w:t>Funding would be required to support consultation with the Indigenous communities in the three locations.</w:t>
            </w:r>
          </w:p>
          <w:p w:rsidR="00420CF4" w:rsidRPr="00B45F94" w:rsidRDefault="00AE411A" w:rsidP="008C7879">
            <w:pPr>
              <w:pStyle w:val="PullOutBoxBodyText"/>
            </w:pPr>
            <w:r w:rsidRPr="00AE411A">
              <w:t>The proposal would have effect from 1 July 2017.</w:t>
            </w:r>
          </w:p>
        </w:tc>
      </w:tr>
      <w:tr w:rsidR="00420CF4" w:rsidRPr="00B45F94" w:rsidTr="00967BCD">
        <w:tc>
          <w:tcPr>
            <w:tcW w:w="1809" w:type="pct"/>
          </w:tcPr>
          <w:p w:rsidR="00420CF4" w:rsidRPr="00B45F94" w:rsidRDefault="00420CF4" w:rsidP="008C7879">
            <w:pPr>
              <w:pStyle w:val="PullOutBoxBodyText"/>
            </w:pPr>
            <w:r>
              <w:t>Party:</w:t>
            </w:r>
          </w:p>
        </w:tc>
        <w:tc>
          <w:tcPr>
            <w:tcW w:w="3191" w:type="pct"/>
          </w:tcPr>
          <w:p w:rsidR="00420CF4" w:rsidRPr="00B45F94" w:rsidRDefault="00420CF4" w:rsidP="008C7879">
            <w:pPr>
              <w:pStyle w:val="PullOutBoxBodyText"/>
            </w:pPr>
            <w:r>
              <w:t>Australian Labor Party</w:t>
            </w:r>
          </w:p>
        </w:tc>
      </w:tr>
      <w:tr w:rsidR="00420CF4" w:rsidRPr="00B45F94" w:rsidTr="00967BCD">
        <w:tc>
          <w:tcPr>
            <w:tcW w:w="1809" w:type="pct"/>
          </w:tcPr>
          <w:p w:rsidR="00420CF4" w:rsidRPr="00B45F94" w:rsidRDefault="00420CF4" w:rsidP="008C7879">
            <w:pPr>
              <w:pStyle w:val="PullOutBoxBodyText"/>
            </w:pPr>
            <w:r w:rsidRPr="00B45F94">
              <w:t>Expiry date for the costing:</w:t>
            </w:r>
          </w:p>
        </w:tc>
        <w:tc>
          <w:tcPr>
            <w:tcW w:w="3191" w:type="pct"/>
          </w:tcPr>
          <w:p w:rsidR="00420CF4" w:rsidRPr="00B45F94" w:rsidRDefault="00EC102A" w:rsidP="008C7879">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DF700E" w:rsidRPr="00DF700E" w:rsidRDefault="00DF700E" w:rsidP="00DF700E">
      <w:pPr>
        <w:pStyle w:val="BodyText"/>
      </w:pPr>
      <w:r w:rsidRPr="00DF700E">
        <w:t>The proposal would be expected to decrease both the fiscal and underlying cash balances by $13.3 million over the 2016-17 Budget forward estimates period.  This impact is due to an increase in administered expenses of $8.0 million and an increase in departme</w:t>
      </w:r>
      <w:r>
        <w:t>ntal expenses of $5.3 million.</w:t>
      </w:r>
    </w:p>
    <w:p w:rsidR="00DF700E" w:rsidRPr="00DF700E" w:rsidRDefault="00DF700E" w:rsidP="00DF700E">
      <w:pPr>
        <w:pStyle w:val="BodyText"/>
      </w:pPr>
      <w:r w:rsidRPr="00DF700E">
        <w:t>The proposal would not be expected to have an</w:t>
      </w:r>
      <w:r>
        <w:t xml:space="preserve"> ongoing impact beyond the 2016</w:t>
      </w:r>
      <w:r>
        <w:noBreakHyphen/>
      </w:r>
      <w:r w:rsidRPr="00DF700E">
        <w:t>17 Budget forward estimates period as funding would terminate on 30 June 2020.  Detailed financial implication</w:t>
      </w:r>
      <w:r>
        <w:t xml:space="preserve">s are provided at </w:t>
      </w:r>
      <w:r w:rsidRPr="00B94892">
        <w:rPr>
          <w:u w:val="single"/>
        </w:rPr>
        <w:t>Attachment A</w:t>
      </w:r>
      <w:r>
        <w:t>.</w:t>
      </w:r>
    </w:p>
    <w:p w:rsidR="00DF700E" w:rsidRDefault="00DF700E" w:rsidP="00DF700E">
      <w:pPr>
        <w:pStyle w:val="BodyText"/>
      </w:pPr>
      <w:r w:rsidRPr="00DF700E">
        <w:t>This costing is considered to be of low reliability.  While the estimates are based on a previous World Heritage nomination, the Department of the Environment has advised that the process and cost of nominations varies considerably depending on the size of the region, the level of research and analysis required to define values and boundaries, and the number and diversity of stakehol</w:t>
      </w:r>
      <w:r>
        <w:t>ders required to be consulted.</w:t>
      </w:r>
    </w:p>
    <w:p w:rsidR="00DF700E" w:rsidRPr="00DF700E" w:rsidRDefault="00DF700E" w:rsidP="00967B83">
      <w:pPr>
        <w:pStyle w:val="BodyText"/>
        <w:keepNext/>
        <w:keepLines/>
      </w:pPr>
      <w:r w:rsidRPr="00DF700E">
        <w:t>Further, the cost to the Commonwealth would also depend on the costs covered by the relevant state or territory government.  The approach agreed by the Commonwealth and state and territory governments in the 2009 World Heritage Intergovernmental Agreement resolved that the state or territory in which the region is located would be responsible for the preparation of a World Heritage nomination in consu</w:t>
      </w:r>
      <w:r>
        <w:t>ltation with the Commonwealth.</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665B89">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665B89">
            <w:pPr>
              <w:pStyle w:val="TableTextRight"/>
            </w:pPr>
            <w:r>
              <w:t>Total</w:t>
            </w:r>
          </w:p>
        </w:tc>
      </w:tr>
      <w:tr w:rsidR="00DF700E" w:rsidTr="00967BCD">
        <w:tc>
          <w:tcPr>
            <w:tcW w:w="1393" w:type="pct"/>
          </w:tcPr>
          <w:p w:rsidR="00DF700E" w:rsidRDefault="00DF700E" w:rsidP="00967BCD">
            <w:pPr>
              <w:pStyle w:val="TableText"/>
            </w:pPr>
            <w:r>
              <w:t>Fiscal balance</w:t>
            </w:r>
          </w:p>
        </w:tc>
        <w:tc>
          <w:tcPr>
            <w:tcW w:w="721" w:type="pct"/>
          </w:tcPr>
          <w:p w:rsidR="00DF700E" w:rsidRPr="003A3459" w:rsidRDefault="00DF700E" w:rsidP="00DF700E">
            <w:pPr>
              <w:pStyle w:val="TableTextRight"/>
              <w:rPr>
                <w:szCs w:val="20"/>
              </w:rPr>
            </w:pPr>
            <w:r>
              <w:t>-</w:t>
            </w:r>
          </w:p>
        </w:tc>
        <w:tc>
          <w:tcPr>
            <w:tcW w:w="721" w:type="pct"/>
          </w:tcPr>
          <w:p w:rsidR="00DF700E" w:rsidRPr="003A3459" w:rsidRDefault="00DF700E" w:rsidP="00DF700E">
            <w:pPr>
              <w:pStyle w:val="TableTextRight"/>
              <w:rPr>
                <w:szCs w:val="20"/>
              </w:rPr>
            </w:pPr>
            <w:r w:rsidRPr="004F19C7">
              <w:t>-8.7</w:t>
            </w:r>
          </w:p>
        </w:tc>
        <w:tc>
          <w:tcPr>
            <w:tcW w:w="722" w:type="pct"/>
          </w:tcPr>
          <w:p w:rsidR="00DF700E" w:rsidRPr="003A3459" w:rsidRDefault="00DF700E" w:rsidP="00DF700E">
            <w:pPr>
              <w:pStyle w:val="TableTextRight"/>
              <w:rPr>
                <w:szCs w:val="20"/>
              </w:rPr>
            </w:pPr>
            <w:r w:rsidRPr="004F19C7">
              <w:t>-4.1</w:t>
            </w:r>
          </w:p>
        </w:tc>
        <w:tc>
          <w:tcPr>
            <w:tcW w:w="721" w:type="pct"/>
          </w:tcPr>
          <w:p w:rsidR="00DF700E" w:rsidRPr="003A3459" w:rsidRDefault="00DF700E" w:rsidP="00DF700E">
            <w:pPr>
              <w:pStyle w:val="TableTextRight"/>
              <w:rPr>
                <w:szCs w:val="20"/>
              </w:rPr>
            </w:pPr>
            <w:r w:rsidRPr="004F19C7">
              <w:t>-0.4</w:t>
            </w:r>
          </w:p>
        </w:tc>
        <w:tc>
          <w:tcPr>
            <w:tcW w:w="722" w:type="pct"/>
          </w:tcPr>
          <w:p w:rsidR="00DF700E" w:rsidRPr="00A945DD" w:rsidRDefault="00DF700E" w:rsidP="00DF700E">
            <w:pPr>
              <w:pStyle w:val="TableTextRight"/>
              <w:rPr>
                <w:b/>
                <w:szCs w:val="20"/>
              </w:rPr>
            </w:pPr>
            <w:r w:rsidRPr="00A945DD">
              <w:rPr>
                <w:b/>
              </w:rPr>
              <w:t>-13.3</w:t>
            </w:r>
          </w:p>
        </w:tc>
      </w:tr>
      <w:tr w:rsidR="00DF700E" w:rsidTr="00967BCD">
        <w:tc>
          <w:tcPr>
            <w:tcW w:w="1393" w:type="pct"/>
          </w:tcPr>
          <w:p w:rsidR="00DF700E" w:rsidRDefault="00DF700E" w:rsidP="00967BCD">
            <w:pPr>
              <w:pStyle w:val="TableText"/>
            </w:pPr>
            <w:r>
              <w:t>Underlying cash balance</w:t>
            </w:r>
          </w:p>
        </w:tc>
        <w:tc>
          <w:tcPr>
            <w:tcW w:w="721" w:type="pct"/>
          </w:tcPr>
          <w:p w:rsidR="00DF700E" w:rsidRPr="003A3459" w:rsidRDefault="00DF700E" w:rsidP="00DF700E">
            <w:pPr>
              <w:pStyle w:val="TableTextRight"/>
              <w:rPr>
                <w:szCs w:val="20"/>
              </w:rPr>
            </w:pPr>
            <w:r>
              <w:t>-</w:t>
            </w:r>
          </w:p>
        </w:tc>
        <w:tc>
          <w:tcPr>
            <w:tcW w:w="721" w:type="pct"/>
          </w:tcPr>
          <w:p w:rsidR="00DF700E" w:rsidRPr="003A3459" w:rsidRDefault="00DF700E" w:rsidP="00DF700E">
            <w:pPr>
              <w:pStyle w:val="TableTextRight"/>
              <w:rPr>
                <w:szCs w:val="20"/>
              </w:rPr>
            </w:pPr>
            <w:r w:rsidRPr="004F19C7">
              <w:t>-8.7</w:t>
            </w:r>
          </w:p>
        </w:tc>
        <w:tc>
          <w:tcPr>
            <w:tcW w:w="722" w:type="pct"/>
          </w:tcPr>
          <w:p w:rsidR="00DF700E" w:rsidRPr="003A3459" w:rsidRDefault="00DF700E" w:rsidP="00DF700E">
            <w:pPr>
              <w:pStyle w:val="TableTextRight"/>
              <w:rPr>
                <w:szCs w:val="20"/>
              </w:rPr>
            </w:pPr>
            <w:r w:rsidRPr="004F19C7">
              <w:t>-4.1</w:t>
            </w:r>
          </w:p>
        </w:tc>
        <w:tc>
          <w:tcPr>
            <w:tcW w:w="721" w:type="pct"/>
          </w:tcPr>
          <w:p w:rsidR="00DF700E" w:rsidRPr="003A3459" w:rsidRDefault="00DF700E" w:rsidP="00DF700E">
            <w:pPr>
              <w:pStyle w:val="TableTextRight"/>
              <w:rPr>
                <w:szCs w:val="20"/>
              </w:rPr>
            </w:pPr>
            <w:r w:rsidRPr="004F19C7">
              <w:t>-0.4</w:t>
            </w:r>
          </w:p>
        </w:tc>
        <w:tc>
          <w:tcPr>
            <w:tcW w:w="722" w:type="pct"/>
          </w:tcPr>
          <w:p w:rsidR="00DF700E" w:rsidRPr="00A945DD" w:rsidRDefault="00DF700E" w:rsidP="00DF700E">
            <w:pPr>
              <w:pStyle w:val="TableTextRight"/>
              <w:rPr>
                <w:b/>
                <w:szCs w:val="20"/>
              </w:rPr>
            </w:pPr>
            <w:r w:rsidRPr="00A945DD">
              <w:rPr>
                <w:b/>
              </w:rPr>
              <w:t>-13.3</w:t>
            </w:r>
          </w:p>
        </w:tc>
      </w:tr>
    </w:tbl>
    <w:p w:rsidR="00DF700E" w:rsidRPr="00DF700E" w:rsidRDefault="00DF700E" w:rsidP="002C43F8">
      <w:pPr>
        <w:pStyle w:val="Footnotes"/>
        <w:numPr>
          <w:ilvl w:val="0"/>
          <w:numId w:val="88"/>
        </w:numPr>
        <w:ind w:left="284" w:hanging="284"/>
      </w:pPr>
      <w:r w:rsidRPr="00DF700E">
        <w:t>A positive number indicates an increase in the relevant budget balance, a negative number a decrease.</w:t>
      </w:r>
    </w:p>
    <w:p w:rsidR="00DF700E" w:rsidRPr="00DF700E" w:rsidRDefault="00DF700E" w:rsidP="008C7879">
      <w:pPr>
        <w:pStyle w:val="Footnotes"/>
        <w:ind w:left="284" w:hanging="284"/>
      </w:pPr>
      <w:r w:rsidRPr="00DF700E">
        <w:t>Figures may not sum to totals due to rounding.</w:t>
      </w:r>
    </w:p>
    <w:p w:rsidR="00DF700E" w:rsidRPr="00DF700E" w:rsidRDefault="00DF700E" w:rsidP="002C43F8">
      <w:pPr>
        <w:pStyle w:val="Footnotes"/>
        <w:numPr>
          <w:ilvl w:val="0"/>
          <w:numId w:val="87"/>
        </w:numPr>
        <w:spacing w:before="0" w:after="113"/>
        <w:ind w:left="284" w:hanging="284"/>
        <w:contextualSpacing w:val="0"/>
        <w:rPr>
          <w:rStyle w:val="FootnoteReference"/>
          <w:vertAlign w:val="baseline"/>
        </w:rPr>
      </w:pPr>
      <w:r>
        <w:t>Indicates nil.</w:t>
      </w:r>
    </w:p>
    <w:p w:rsidR="00420CF4" w:rsidRDefault="00420CF4" w:rsidP="00420CF4">
      <w:pPr>
        <w:pStyle w:val="CostingsH7"/>
      </w:pPr>
      <w:r>
        <w:t>Key assumptions</w:t>
      </w:r>
    </w:p>
    <w:p w:rsidR="00DF700E" w:rsidRPr="00DF700E" w:rsidRDefault="00DF700E" w:rsidP="00DF700E">
      <w:pPr>
        <w:pStyle w:val="BodyText"/>
      </w:pPr>
      <w:r w:rsidRPr="00DF700E">
        <w:t>It has been assumed that the Commonwealth would provide contributions over three years to each of the three nominations in line with the amount of contribution made for the World</w:t>
      </w:r>
      <w:r>
        <w:t> </w:t>
      </w:r>
      <w:r w:rsidRPr="00DF700E">
        <w:t>Heritage nomination for Cape York 2012-13 to 2015-16, adjusted for size differences between the regions.</w:t>
      </w:r>
    </w:p>
    <w:p w:rsidR="00DF700E" w:rsidRDefault="00420CF4" w:rsidP="00420CF4">
      <w:pPr>
        <w:pStyle w:val="CostingsH7"/>
      </w:pPr>
      <w:r>
        <w:t>Methodology</w:t>
      </w:r>
    </w:p>
    <w:p w:rsidR="00DF700E" w:rsidRPr="00DF700E" w:rsidRDefault="00DF700E" w:rsidP="00DF700E">
      <w:pPr>
        <w:pStyle w:val="BodyText"/>
      </w:pPr>
      <w:r w:rsidRPr="00DF700E">
        <w:t xml:space="preserve">The impact of the proposal was derived by projecting Commonwealth costs for preparatory work on the World Heritage nomination for Cape York 2012-13 to 2015-16 (see </w:t>
      </w:r>
      <w:r w:rsidRPr="00DF700E">
        <w:rPr>
          <w:i/>
        </w:rPr>
        <w:t>Data sources</w:t>
      </w:r>
      <w:r w:rsidRPr="00DF700E">
        <w:t>) by appropriate indexation rates, accounting for the different sizes of each of the regions.</w:t>
      </w:r>
    </w:p>
    <w:p w:rsidR="00420CF4" w:rsidRDefault="00420CF4" w:rsidP="00420CF4">
      <w:pPr>
        <w:pStyle w:val="CostingsH7"/>
      </w:pPr>
      <w:r>
        <w:t>Data sources</w:t>
      </w:r>
    </w:p>
    <w:p w:rsidR="003200DA" w:rsidRDefault="00DF700E" w:rsidP="00DF700E">
      <w:pPr>
        <w:rPr>
          <w:rFonts w:cs="Times New Roman"/>
          <w:spacing w:val="-1"/>
        </w:rPr>
      </w:pPr>
      <w:r w:rsidRPr="00DF700E">
        <w:rPr>
          <w:rFonts w:cs="Times New Roman"/>
          <w:spacing w:val="-1"/>
        </w:rPr>
        <w:t>The Department of the Environment provided advice on the process and cost of World</w:t>
      </w:r>
      <w:r>
        <w:rPr>
          <w:rFonts w:cs="Times New Roman"/>
          <w:spacing w:val="-1"/>
        </w:rPr>
        <w:t> </w:t>
      </w:r>
      <w:r w:rsidRPr="00DF700E">
        <w:rPr>
          <w:rFonts w:cs="Times New Roman"/>
          <w:spacing w:val="-1"/>
        </w:rPr>
        <w:t>Heritage nominations and Commonwealth costs for preparatory work on the World</w:t>
      </w:r>
      <w:r>
        <w:rPr>
          <w:rFonts w:cs="Times New Roman"/>
          <w:spacing w:val="-1"/>
        </w:rPr>
        <w:t> </w:t>
      </w:r>
      <w:r w:rsidRPr="00DF700E">
        <w:rPr>
          <w:rFonts w:cs="Times New Roman"/>
          <w:spacing w:val="-1"/>
        </w:rPr>
        <w:t>Heritage nomination fo</w:t>
      </w:r>
      <w:r>
        <w:rPr>
          <w:rFonts w:cs="Times New Roman"/>
          <w:spacing w:val="-1"/>
        </w:rPr>
        <w:t>r Cape York 2012-13 to 2015-16.</w:t>
      </w:r>
    </w:p>
    <w:p w:rsidR="00A40B62" w:rsidRDefault="00A40B62" w:rsidP="00DF700E">
      <w:pPr>
        <w:rPr>
          <w:rFonts w:cs="Times New Roman"/>
          <w:spacing w:val="-1"/>
        </w:rPr>
      </w:pPr>
    </w:p>
    <w:p w:rsidR="00A40B62" w:rsidRDefault="00A40B62" w:rsidP="00DF700E">
      <w:pPr>
        <w:rPr>
          <w:rFonts w:cs="Times New Roman"/>
          <w:spacing w:val="-1"/>
        </w:rPr>
        <w:sectPr w:rsidR="00A40B62" w:rsidSect="00967BCD">
          <w:footnotePr>
            <w:numRestart w:val="eachSect"/>
          </w:footnotePr>
          <w:pgSz w:w="11906" w:h="16838" w:code="9"/>
          <w:pgMar w:top="1361" w:right="1797" w:bottom="1474" w:left="1797" w:header="283" w:footer="454" w:gutter="0"/>
          <w:cols w:space="708"/>
          <w:docGrid w:linePitch="360"/>
        </w:sectPr>
      </w:pPr>
    </w:p>
    <w:p w:rsidR="00420CF4" w:rsidRDefault="00DF700E" w:rsidP="008C7879">
      <w:pPr>
        <w:pStyle w:val="Heading6"/>
      </w:pPr>
      <w:r>
        <w:t xml:space="preserve">Attachment </w:t>
      </w:r>
      <w:r w:rsidRPr="00DF700E">
        <w:t>A: World Heritage Listings—financial</w:t>
      </w:r>
      <w:r w:rsidR="003200DA">
        <w:t> </w:t>
      </w:r>
      <w:r w:rsidRPr="00DF700E">
        <w:t>implications</w:t>
      </w:r>
    </w:p>
    <w:p w:rsidR="00420CF4" w:rsidRDefault="00420CF4" w:rsidP="008C7879">
      <w:pPr>
        <w:pStyle w:val="Caption"/>
        <w:keepLines/>
      </w:pPr>
      <w:r w:rsidRPr="002B36F1">
        <w:t xml:space="preserve">Table </w:t>
      </w:r>
      <w:r>
        <w:t>A1</w:t>
      </w:r>
      <w:r w:rsidRPr="002B36F1">
        <w:t xml:space="preserve">: </w:t>
      </w:r>
      <w:r w:rsidR="003200DA" w:rsidRPr="003200DA">
        <w:t>World Heritage Listings—Financial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20CF4" w:rsidTr="008C7879">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20CF4" w:rsidRPr="007C2713" w:rsidRDefault="00420CF4" w:rsidP="008C7879">
            <w:pPr>
              <w:pStyle w:val="TableText"/>
              <w:keepNext/>
              <w:keepLines/>
              <w:rPr>
                <w:b w:val="0"/>
              </w:rPr>
            </w:pPr>
            <w:r>
              <w:t>($</w:t>
            </w:r>
            <w:r w:rsidR="003200DA">
              <w:t>m</w:t>
            </w:r>
            <w:r>
              <w:t>)</w:t>
            </w:r>
          </w:p>
        </w:tc>
        <w:tc>
          <w:tcPr>
            <w:tcW w:w="689" w:type="pct"/>
            <w:vAlign w:val="center"/>
          </w:tcPr>
          <w:p w:rsidR="00420CF4" w:rsidRDefault="00420CF4" w:rsidP="008C7879">
            <w:pPr>
              <w:pStyle w:val="TableTextRight"/>
              <w:keepNext/>
              <w:keepLines/>
              <w:rPr>
                <w:b w:val="0"/>
              </w:rPr>
            </w:pPr>
            <w:r>
              <w:t>2016–17</w:t>
            </w:r>
          </w:p>
        </w:tc>
        <w:tc>
          <w:tcPr>
            <w:tcW w:w="689" w:type="pct"/>
            <w:vAlign w:val="center"/>
          </w:tcPr>
          <w:p w:rsidR="00420CF4" w:rsidRDefault="00420CF4" w:rsidP="008C7879">
            <w:pPr>
              <w:pStyle w:val="TableTextRight"/>
              <w:keepNext/>
              <w:keepLines/>
              <w:rPr>
                <w:b w:val="0"/>
              </w:rPr>
            </w:pPr>
            <w:r>
              <w:t>2017–18</w:t>
            </w:r>
          </w:p>
        </w:tc>
        <w:tc>
          <w:tcPr>
            <w:tcW w:w="689" w:type="pct"/>
            <w:vAlign w:val="center"/>
          </w:tcPr>
          <w:p w:rsidR="00420CF4" w:rsidRDefault="00420CF4" w:rsidP="008C7879">
            <w:pPr>
              <w:pStyle w:val="TableTextRight"/>
              <w:keepNext/>
              <w:keepLines/>
              <w:rPr>
                <w:b w:val="0"/>
              </w:rPr>
            </w:pPr>
            <w:r>
              <w:t>2018–19</w:t>
            </w:r>
          </w:p>
        </w:tc>
        <w:tc>
          <w:tcPr>
            <w:tcW w:w="689" w:type="pct"/>
            <w:vAlign w:val="center"/>
          </w:tcPr>
          <w:p w:rsidR="00420CF4" w:rsidRDefault="00420CF4" w:rsidP="008C7879">
            <w:pPr>
              <w:pStyle w:val="TableTextRight"/>
              <w:keepNext/>
              <w:keepLines/>
              <w:rPr>
                <w:b w:val="0"/>
              </w:rPr>
            </w:pPr>
            <w:r>
              <w:t>2019–20</w:t>
            </w:r>
          </w:p>
        </w:tc>
        <w:tc>
          <w:tcPr>
            <w:tcW w:w="690" w:type="pct"/>
            <w:vAlign w:val="center"/>
          </w:tcPr>
          <w:p w:rsidR="00420CF4" w:rsidRDefault="00420CF4" w:rsidP="008C7879">
            <w:pPr>
              <w:pStyle w:val="TableTextRight"/>
              <w:keepNext/>
              <w:keepLines/>
            </w:pPr>
            <w:r>
              <w:t>Total</w:t>
            </w:r>
            <w:r w:rsidR="003200DA">
              <w:t xml:space="preserve"> to 2019–20</w:t>
            </w:r>
          </w:p>
        </w:tc>
      </w:tr>
      <w:tr w:rsidR="003200DA" w:rsidTr="008C7879">
        <w:tc>
          <w:tcPr>
            <w:tcW w:w="5000" w:type="pct"/>
            <w:gridSpan w:val="6"/>
            <w:shd w:val="clear" w:color="auto" w:fill="E9ECF3" w:themeFill="accent2" w:themeFillTint="33"/>
            <w:vAlign w:val="center"/>
          </w:tcPr>
          <w:p w:rsidR="003200DA" w:rsidRDefault="003200DA" w:rsidP="008C7879">
            <w:pPr>
              <w:pStyle w:val="TableTextRight"/>
              <w:keepNext/>
              <w:keepLines/>
              <w:jc w:val="left"/>
            </w:pPr>
            <w:r w:rsidRPr="00F70562">
              <w:rPr>
                <w:b/>
              </w:rPr>
              <w:t>Fiscal and underlying cash balances</w:t>
            </w:r>
          </w:p>
        </w:tc>
      </w:tr>
      <w:tr w:rsidR="003200DA" w:rsidTr="008C7879">
        <w:tc>
          <w:tcPr>
            <w:tcW w:w="1554" w:type="pct"/>
            <w:vAlign w:val="center"/>
          </w:tcPr>
          <w:p w:rsidR="003200DA" w:rsidRPr="00027340" w:rsidRDefault="003200DA" w:rsidP="008C7879">
            <w:pPr>
              <w:pStyle w:val="TableTextCentred"/>
              <w:keepNext/>
              <w:keepLines/>
              <w:spacing w:line="240" w:lineRule="auto"/>
              <w:jc w:val="left"/>
              <w:rPr>
                <w:szCs w:val="20"/>
              </w:rPr>
            </w:pPr>
            <w:r w:rsidRPr="00B93A74">
              <w:t>Administered</w:t>
            </w:r>
          </w:p>
        </w:tc>
        <w:tc>
          <w:tcPr>
            <w:tcW w:w="689" w:type="pct"/>
            <w:vAlign w:val="center"/>
          </w:tcPr>
          <w:p w:rsidR="003200DA" w:rsidRPr="008C7879" w:rsidRDefault="003200DA" w:rsidP="008C7879">
            <w:pPr>
              <w:pStyle w:val="TableTextRight"/>
              <w:rPr>
                <w:i/>
              </w:rPr>
            </w:pPr>
            <w:r w:rsidRPr="008C7879">
              <w:rPr>
                <w:i/>
              </w:rPr>
              <w:t>-</w:t>
            </w:r>
          </w:p>
        </w:tc>
        <w:tc>
          <w:tcPr>
            <w:tcW w:w="689" w:type="pct"/>
            <w:vAlign w:val="center"/>
          </w:tcPr>
          <w:p w:rsidR="003200DA" w:rsidRPr="008C7879" w:rsidRDefault="003200DA" w:rsidP="008C7879">
            <w:pPr>
              <w:pStyle w:val="TableTextRight"/>
              <w:rPr>
                <w:i/>
              </w:rPr>
            </w:pPr>
            <w:r w:rsidRPr="008C7879">
              <w:rPr>
                <w:i/>
              </w:rPr>
              <w:t xml:space="preserve">-5.3 </w:t>
            </w:r>
          </w:p>
        </w:tc>
        <w:tc>
          <w:tcPr>
            <w:tcW w:w="689" w:type="pct"/>
            <w:vAlign w:val="center"/>
          </w:tcPr>
          <w:p w:rsidR="003200DA" w:rsidRPr="008C7879" w:rsidRDefault="003200DA" w:rsidP="008C7879">
            <w:pPr>
              <w:pStyle w:val="TableTextRight"/>
              <w:rPr>
                <w:i/>
              </w:rPr>
            </w:pPr>
            <w:r w:rsidRPr="008C7879">
              <w:rPr>
                <w:i/>
              </w:rPr>
              <w:t xml:space="preserve">-2.7 </w:t>
            </w:r>
          </w:p>
        </w:tc>
        <w:tc>
          <w:tcPr>
            <w:tcW w:w="689" w:type="pct"/>
            <w:vAlign w:val="center"/>
          </w:tcPr>
          <w:p w:rsidR="003200DA" w:rsidRPr="008C7879" w:rsidRDefault="003200DA" w:rsidP="008C7879">
            <w:pPr>
              <w:pStyle w:val="TableTextRight"/>
              <w:rPr>
                <w:i/>
              </w:rPr>
            </w:pPr>
            <w:r w:rsidRPr="008C7879">
              <w:rPr>
                <w:i/>
              </w:rPr>
              <w:t>-</w:t>
            </w:r>
          </w:p>
        </w:tc>
        <w:tc>
          <w:tcPr>
            <w:tcW w:w="690" w:type="pct"/>
            <w:vAlign w:val="center"/>
          </w:tcPr>
          <w:p w:rsidR="003200DA" w:rsidRPr="008C7879" w:rsidRDefault="003200DA" w:rsidP="008C7879">
            <w:pPr>
              <w:pStyle w:val="TableTextRight"/>
              <w:rPr>
                <w:i/>
              </w:rPr>
            </w:pPr>
            <w:r w:rsidRPr="008C7879">
              <w:rPr>
                <w:i/>
              </w:rPr>
              <w:t xml:space="preserve">-8.0 </w:t>
            </w:r>
          </w:p>
        </w:tc>
      </w:tr>
      <w:tr w:rsidR="003200DA" w:rsidTr="008C7879">
        <w:tc>
          <w:tcPr>
            <w:tcW w:w="1554" w:type="pct"/>
            <w:vAlign w:val="center"/>
          </w:tcPr>
          <w:p w:rsidR="003200DA" w:rsidRPr="00027340" w:rsidRDefault="003200DA" w:rsidP="008C7879">
            <w:pPr>
              <w:pStyle w:val="TableTextCentred"/>
              <w:keepNext/>
              <w:keepLines/>
              <w:spacing w:line="240" w:lineRule="auto"/>
              <w:jc w:val="left"/>
              <w:rPr>
                <w:szCs w:val="20"/>
              </w:rPr>
            </w:pPr>
            <w:r w:rsidRPr="00B93A74">
              <w:t>Departmental</w:t>
            </w:r>
          </w:p>
        </w:tc>
        <w:tc>
          <w:tcPr>
            <w:tcW w:w="689" w:type="pct"/>
            <w:vAlign w:val="center"/>
          </w:tcPr>
          <w:p w:rsidR="003200DA" w:rsidRPr="008C7879" w:rsidRDefault="003200DA" w:rsidP="008C7879">
            <w:pPr>
              <w:pStyle w:val="TableTextRight"/>
              <w:rPr>
                <w:i/>
              </w:rPr>
            </w:pPr>
            <w:r w:rsidRPr="008C7879">
              <w:rPr>
                <w:i/>
              </w:rPr>
              <w:t>-</w:t>
            </w:r>
          </w:p>
        </w:tc>
        <w:tc>
          <w:tcPr>
            <w:tcW w:w="689" w:type="pct"/>
            <w:vAlign w:val="center"/>
          </w:tcPr>
          <w:p w:rsidR="003200DA" w:rsidRPr="008C7879" w:rsidRDefault="003200DA" w:rsidP="008C7879">
            <w:pPr>
              <w:pStyle w:val="TableTextRight"/>
              <w:rPr>
                <w:i/>
              </w:rPr>
            </w:pPr>
            <w:r w:rsidRPr="008C7879">
              <w:rPr>
                <w:i/>
              </w:rPr>
              <w:t xml:space="preserve">-3.4 </w:t>
            </w:r>
          </w:p>
        </w:tc>
        <w:tc>
          <w:tcPr>
            <w:tcW w:w="689" w:type="pct"/>
            <w:vAlign w:val="center"/>
          </w:tcPr>
          <w:p w:rsidR="003200DA" w:rsidRPr="008C7879" w:rsidRDefault="003200DA" w:rsidP="008C7879">
            <w:pPr>
              <w:pStyle w:val="TableTextRight"/>
              <w:rPr>
                <w:i/>
              </w:rPr>
            </w:pPr>
            <w:r w:rsidRPr="008C7879">
              <w:rPr>
                <w:i/>
              </w:rPr>
              <w:t xml:space="preserve">-1.4 </w:t>
            </w:r>
          </w:p>
        </w:tc>
        <w:tc>
          <w:tcPr>
            <w:tcW w:w="689" w:type="pct"/>
            <w:vAlign w:val="center"/>
          </w:tcPr>
          <w:p w:rsidR="003200DA" w:rsidRPr="008C7879" w:rsidRDefault="003200DA" w:rsidP="008C7879">
            <w:pPr>
              <w:pStyle w:val="TableTextRight"/>
              <w:rPr>
                <w:i/>
              </w:rPr>
            </w:pPr>
            <w:r w:rsidRPr="008C7879">
              <w:rPr>
                <w:i/>
              </w:rPr>
              <w:t xml:space="preserve">-0.4 </w:t>
            </w:r>
          </w:p>
        </w:tc>
        <w:tc>
          <w:tcPr>
            <w:tcW w:w="690" w:type="pct"/>
            <w:vAlign w:val="center"/>
          </w:tcPr>
          <w:p w:rsidR="003200DA" w:rsidRPr="008C7879" w:rsidRDefault="003200DA" w:rsidP="008C7879">
            <w:pPr>
              <w:pStyle w:val="TableTextRight"/>
              <w:rPr>
                <w:i/>
              </w:rPr>
            </w:pPr>
            <w:r w:rsidRPr="008C7879">
              <w:rPr>
                <w:i/>
              </w:rPr>
              <w:t xml:space="preserve">-5.3 </w:t>
            </w:r>
          </w:p>
        </w:tc>
      </w:tr>
      <w:tr w:rsidR="003200DA" w:rsidRPr="007C2713" w:rsidTr="008C7879">
        <w:tc>
          <w:tcPr>
            <w:tcW w:w="1554" w:type="pct"/>
            <w:shd w:val="clear" w:color="auto" w:fill="D7DDE9" w:themeFill="accent3"/>
            <w:vAlign w:val="center"/>
          </w:tcPr>
          <w:p w:rsidR="003200DA" w:rsidRPr="00F70562" w:rsidRDefault="003200DA" w:rsidP="008C7879">
            <w:pPr>
              <w:pStyle w:val="TableTextCentred"/>
              <w:keepNext/>
              <w:keepLines/>
              <w:spacing w:line="240" w:lineRule="auto"/>
              <w:jc w:val="left"/>
              <w:rPr>
                <w:b/>
                <w:szCs w:val="20"/>
              </w:rPr>
            </w:pPr>
            <w:r w:rsidRPr="00F70562">
              <w:rPr>
                <w:b/>
              </w:rPr>
              <w:t xml:space="preserve">Total </w:t>
            </w:r>
          </w:p>
        </w:tc>
        <w:tc>
          <w:tcPr>
            <w:tcW w:w="689" w:type="pct"/>
            <w:shd w:val="clear" w:color="auto" w:fill="D7DDE9" w:themeFill="accent3"/>
            <w:vAlign w:val="center"/>
          </w:tcPr>
          <w:p w:rsidR="003200DA" w:rsidRPr="008C7879" w:rsidRDefault="003200DA" w:rsidP="008C7879">
            <w:pPr>
              <w:pStyle w:val="TableTextRight"/>
              <w:rPr>
                <w:b/>
              </w:rPr>
            </w:pPr>
            <w:r w:rsidRPr="008C7879">
              <w:rPr>
                <w:b/>
              </w:rPr>
              <w:t>-</w:t>
            </w:r>
          </w:p>
        </w:tc>
        <w:tc>
          <w:tcPr>
            <w:tcW w:w="689" w:type="pct"/>
            <w:shd w:val="clear" w:color="auto" w:fill="D7DDE9" w:themeFill="accent3"/>
            <w:vAlign w:val="center"/>
          </w:tcPr>
          <w:p w:rsidR="003200DA" w:rsidRPr="008C7879" w:rsidRDefault="003200DA" w:rsidP="008C7879">
            <w:pPr>
              <w:pStyle w:val="TableTextRight"/>
              <w:rPr>
                <w:b/>
              </w:rPr>
            </w:pPr>
            <w:r w:rsidRPr="008C7879">
              <w:rPr>
                <w:b/>
              </w:rPr>
              <w:t xml:space="preserve">-8.7 </w:t>
            </w:r>
          </w:p>
        </w:tc>
        <w:tc>
          <w:tcPr>
            <w:tcW w:w="689" w:type="pct"/>
            <w:shd w:val="clear" w:color="auto" w:fill="D7DDE9" w:themeFill="accent3"/>
            <w:vAlign w:val="center"/>
          </w:tcPr>
          <w:p w:rsidR="003200DA" w:rsidRPr="008C7879" w:rsidRDefault="003200DA" w:rsidP="008C7879">
            <w:pPr>
              <w:pStyle w:val="TableTextRight"/>
              <w:rPr>
                <w:b/>
              </w:rPr>
            </w:pPr>
            <w:r w:rsidRPr="008C7879">
              <w:rPr>
                <w:b/>
              </w:rPr>
              <w:t xml:space="preserve">-4.1 </w:t>
            </w:r>
          </w:p>
        </w:tc>
        <w:tc>
          <w:tcPr>
            <w:tcW w:w="689" w:type="pct"/>
            <w:shd w:val="clear" w:color="auto" w:fill="D7DDE9" w:themeFill="accent3"/>
            <w:vAlign w:val="center"/>
          </w:tcPr>
          <w:p w:rsidR="003200DA" w:rsidRPr="008C7879" w:rsidRDefault="003200DA" w:rsidP="008C7879">
            <w:pPr>
              <w:pStyle w:val="TableTextRight"/>
              <w:rPr>
                <w:b/>
              </w:rPr>
            </w:pPr>
            <w:r w:rsidRPr="008C7879">
              <w:rPr>
                <w:b/>
              </w:rPr>
              <w:t xml:space="preserve">-0.4 </w:t>
            </w:r>
          </w:p>
        </w:tc>
        <w:tc>
          <w:tcPr>
            <w:tcW w:w="690" w:type="pct"/>
            <w:shd w:val="clear" w:color="auto" w:fill="D7DDE9" w:themeFill="accent3"/>
            <w:vAlign w:val="center"/>
          </w:tcPr>
          <w:p w:rsidR="003200DA" w:rsidRPr="008C7879" w:rsidRDefault="003200DA" w:rsidP="008C7879">
            <w:pPr>
              <w:pStyle w:val="TableTextRight"/>
              <w:rPr>
                <w:b/>
              </w:rPr>
            </w:pPr>
            <w:r w:rsidRPr="008C7879">
              <w:rPr>
                <w:b/>
              </w:rPr>
              <w:t xml:space="preserve">-13.3 </w:t>
            </w:r>
          </w:p>
        </w:tc>
      </w:tr>
    </w:tbl>
    <w:p w:rsidR="003200DA" w:rsidRDefault="003200DA" w:rsidP="002C43F8">
      <w:pPr>
        <w:pStyle w:val="Footnotes"/>
        <w:keepNext/>
        <w:keepLines/>
        <w:numPr>
          <w:ilvl w:val="0"/>
          <w:numId w:val="89"/>
        </w:numPr>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3200DA" w:rsidRDefault="003200DA" w:rsidP="008C7879">
      <w:pPr>
        <w:pStyle w:val="Footnotes"/>
        <w:ind w:left="284" w:hanging="284"/>
      </w:pPr>
      <w:r>
        <w:t>Figures may not sum to totals due to rounding.</w:t>
      </w:r>
    </w:p>
    <w:p w:rsidR="00420CF4" w:rsidRDefault="003200DA" w:rsidP="003200DA">
      <w:pPr>
        <w:pStyle w:val="Footnotes"/>
        <w:numPr>
          <w:ilvl w:val="0"/>
          <w:numId w:val="0"/>
        </w:numPr>
        <w:ind w:left="284" w:hanging="284"/>
        <w:sectPr w:rsidR="00420CF4" w:rsidSect="00967BCD">
          <w:footnotePr>
            <w:numRestart w:val="eachSect"/>
          </w:footnotePr>
          <w:pgSz w:w="11906" w:h="16838" w:code="9"/>
          <w:pgMar w:top="1361" w:right="1797" w:bottom="1474" w:left="1797" w:header="283" w:footer="454" w:gutter="0"/>
          <w:cols w:space="708"/>
          <w:docGrid w:linePitch="360"/>
        </w:sectPr>
      </w:pPr>
      <w:r>
        <w:t>-</w:t>
      </w:r>
      <w:r>
        <w:tab/>
        <w:t>Indicates nil.</w:t>
      </w:r>
    </w:p>
    <w:p w:rsidR="00420CF4" w:rsidRDefault="00297CCF" w:rsidP="00420CF4">
      <w:pPr>
        <w:pStyle w:val="Heading5"/>
        <w:ind w:left="1080" w:hanging="1080"/>
      </w:pPr>
      <w:bookmarkStart w:id="51" w:name="_Toc458081671"/>
      <w:r>
        <w:t>ALP04</w:t>
      </w:r>
      <w:r w:rsidR="00A00D61">
        <w:t>7</w:t>
      </w:r>
      <w:r w:rsidR="00420CF4">
        <w:t>: Increasing funding for the Clean Energy Regulator</w:t>
      </w:r>
      <w:bookmarkEnd w:id="51"/>
    </w:p>
    <w:p w:rsidR="00AE39F7" w:rsidRDefault="00AE39F7" w:rsidP="00371DC0">
      <w:pPr>
        <w:pStyle w:val="Heading6"/>
        <w:numPr>
          <w:ilvl w:val="0"/>
          <w:numId w:val="10"/>
        </w:numPr>
        <w:tabs>
          <w:tab w:val="right" w:pos="1418"/>
          <w:tab w:val="right" w:pos="1701"/>
          <w:tab w:val="right" w:pos="1985"/>
        </w:tabs>
      </w:pPr>
      <w:r>
        <w:rPr>
          <w:noProof/>
          <w:lang w:eastAsia="en-AU"/>
        </w:rPr>
        <w:drawing>
          <wp:inline distT="0" distB="0" distL="0" distR="0" wp14:anchorId="3186AF1D" wp14:editId="16F8C095">
            <wp:extent cx="2696845" cy="572135"/>
            <wp:effectExtent l="0" t="0" r="8255" b="0"/>
            <wp:docPr id="2" name="Picture 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20CF4" w:rsidRDefault="00420CF4" w:rsidP="00371DC0">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20CF4" w:rsidRPr="00A71F7B" w:rsidTr="00967BCD">
        <w:trPr>
          <w:cnfStyle w:val="100000000000" w:firstRow="1" w:lastRow="0" w:firstColumn="0" w:lastColumn="0" w:oddVBand="0" w:evenVBand="0" w:oddHBand="0" w:evenHBand="0" w:firstRowFirstColumn="0" w:firstRowLastColumn="0" w:lastRowFirstColumn="0" w:lastRowLastColumn="0"/>
        </w:trPr>
        <w:tc>
          <w:tcPr>
            <w:tcW w:w="1809" w:type="pct"/>
          </w:tcPr>
          <w:p w:rsidR="00420CF4" w:rsidRPr="00A71F7B" w:rsidRDefault="00420CF4" w:rsidP="00B76CAC">
            <w:pPr>
              <w:pStyle w:val="PullOutBoxHeading"/>
              <w:rPr>
                <w:b/>
              </w:rPr>
            </w:pPr>
            <w:r w:rsidRPr="00A71F7B">
              <w:rPr>
                <w:b/>
              </w:rPr>
              <w:t>Name of proposal:</w:t>
            </w:r>
          </w:p>
        </w:tc>
        <w:tc>
          <w:tcPr>
            <w:tcW w:w="3191" w:type="pct"/>
          </w:tcPr>
          <w:p w:rsidR="00420CF4" w:rsidRPr="00A71F7B" w:rsidRDefault="00773C4A" w:rsidP="00B76CAC">
            <w:pPr>
              <w:pStyle w:val="PullOutBoxHeading"/>
              <w:rPr>
                <w:b/>
              </w:rPr>
            </w:pPr>
            <w:r w:rsidRPr="00A71F7B">
              <w:rPr>
                <w:b/>
              </w:rPr>
              <w:t>Increasing funding for the Clean Energy Regulator</w:t>
            </w:r>
          </w:p>
        </w:tc>
      </w:tr>
      <w:tr w:rsidR="00420CF4" w:rsidRPr="00B45F94" w:rsidTr="00967BCD">
        <w:tc>
          <w:tcPr>
            <w:tcW w:w="1809" w:type="pct"/>
          </w:tcPr>
          <w:p w:rsidR="00420CF4" w:rsidRPr="00B45F94" w:rsidRDefault="00420CF4" w:rsidP="00B76CAC">
            <w:pPr>
              <w:pStyle w:val="PullOutBoxBodyText"/>
            </w:pPr>
            <w:r w:rsidRPr="00B45F94">
              <w:t>Summary of proposal:</w:t>
            </w:r>
          </w:p>
        </w:tc>
        <w:tc>
          <w:tcPr>
            <w:tcW w:w="3191" w:type="pct"/>
          </w:tcPr>
          <w:p w:rsidR="00773C4A" w:rsidRDefault="00773C4A" w:rsidP="00B76CAC">
            <w:pPr>
              <w:pStyle w:val="PullOutBoxBodyText"/>
            </w:pPr>
            <w:r>
              <w:t>The proposal would increase departmental funding for the Clean Energy Regulator (CER) by 25 per cent per year.</w:t>
            </w:r>
          </w:p>
          <w:p w:rsidR="00420CF4" w:rsidRPr="00B45F94" w:rsidRDefault="00773C4A" w:rsidP="00B76CAC">
            <w:pPr>
              <w:pStyle w:val="PullOutBoxBodyText"/>
            </w:pPr>
            <w:r>
              <w:t>The proposal would have effect from 1 July 2017.</w:t>
            </w:r>
          </w:p>
        </w:tc>
      </w:tr>
      <w:tr w:rsidR="00420CF4" w:rsidRPr="00B45F94" w:rsidTr="00967BCD">
        <w:tc>
          <w:tcPr>
            <w:tcW w:w="1809" w:type="pct"/>
          </w:tcPr>
          <w:p w:rsidR="00420CF4" w:rsidRPr="00B45F94" w:rsidRDefault="00420CF4" w:rsidP="00B76CAC">
            <w:pPr>
              <w:pStyle w:val="PullOutBoxBodyText"/>
            </w:pPr>
            <w:r>
              <w:t>Party:</w:t>
            </w:r>
          </w:p>
        </w:tc>
        <w:tc>
          <w:tcPr>
            <w:tcW w:w="3191" w:type="pct"/>
          </w:tcPr>
          <w:p w:rsidR="00420CF4" w:rsidRPr="00B45F94" w:rsidRDefault="00420CF4" w:rsidP="00B76CAC">
            <w:pPr>
              <w:pStyle w:val="PullOutBoxBodyText"/>
            </w:pPr>
            <w:r>
              <w:t>Australian Labor Party</w:t>
            </w:r>
          </w:p>
        </w:tc>
      </w:tr>
      <w:tr w:rsidR="00420CF4" w:rsidRPr="00B45F94" w:rsidTr="00967BCD">
        <w:tc>
          <w:tcPr>
            <w:tcW w:w="1809" w:type="pct"/>
          </w:tcPr>
          <w:p w:rsidR="00420CF4" w:rsidRPr="00B45F94" w:rsidRDefault="00420CF4" w:rsidP="00B76CAC">
            <w:pPr>
              <w:pStyle w:val="PullOutBoxBodyText"/>
            </w:pPr>
            <w:r w:rsidRPr="00B45F94">
              <w:t>Expiry date for the costing:</w:t>
            </w:r>
          </w:p>
        </w:tc>
        <w:tc>
          <w:tcPr>
            <w:tcW w:w="3191" w:type="pct"/>
          </w:tcPr>
          <w:p w:rsidR="00420CF4" w:rsidRPr="00B45F94" w:rsidRDefault="00EC102A" w:rsidP="00B76CAC">
            <w:pPr>
              <w:pStyle w:val="PullOutBoxBodyText"/>
            </w:pPr>
            <w:r>
              <w:t>R</w:t>
            </w:r>
            <w:r w:rsidRPr="0064604B">
              <w:t xml:space="preserve">elease of the </w:t>
            </w:r>
            <w:r>
              <w:t>next economic and fiscal update</w:t>
            </w:r>
          </w:p>
        </w:tc>
      </w:tr>
    </w:tbl>
    <w:p w:rsidR="00420CF4" w:rsidRDefault="00420CF4" w:rsidP="00420CF4">
      <w:pPr>
        <w:pStyle w:val="CostingsH7"/>
      </w:pPr>
      <w:r w:rsidRPr="00BF1EE6">
        <w:t>Costing overview</w:t>
      </w:r>
    </w:p>
    <w:p w:rsidR="00773C4A" w:rsidRPr="00773C4A" w:rsidRDefault="00773C4A" w:rsidP="00773C4A">
      <w:pPr>
        <w:pStyle w:val="BodyText"/>
      </w:pPr>
      <w:r w:rsidRPr="00773C4A">
        <w:t>This proposal would be expected to decrease both the fiscal and underlying cash balances by $54.0 million over the 2016-17 Budget forward estimates period.  This impact entirely reflects an increase in departmental expenses.</w:t>
      </w:r>
    </w:p>
    <w:p w:rsidR="00773C4A" w:rsidRPr="00773C4A" w:rsidRDefault="00773C4A" w:rsidP="00773C4A">
      <w:pPr>
        <w:pStyle w:val="BodyText"/>
      </w:pPr>
      <w:r w:rsidRPr="00773C4A">
        <w:t>This proposal would be expected to have an ongoing impact that extends beyond the 2016</w:t>
      </w:r>
      <w:r>
        <w:noBreakHyphen/>
      </w:r>
      <w:r w:rsidRPr="00773C4A">
        <w:t>17 Bu</w:t>
      </w:r>
      <w:r>
        <w:t>dget forward estimates period.</w:t>
      </w:r>
    </w:p>
    <w:p w:rsidR="00773C4A" w:rsidRPr="00773C4A" w:rsidRDefault="00773C4A" w:rsidP="00773C4A">
      <w:pPr>
        <w:pStyle w:val="BodyText"/>
      </w:pPr>
      <w:r w:rsidRPr="00773C4A">
        <w:t>This costing is considered to be of high reliability as the estimates are based on the current departmental appropriation for the CER.</w:t>
      </w:r>
    </w:p>
    <w:p w:rsidR="00420CF4" w:rsidRDefault="00420CF4" w:rsidP="00420CF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20CF4" w:rsidRPr="00D264E1" w:rsidTr="00967BCD">
        <w:trPr>
          <w:cnfStyle w:val="100000000000" w:firstRow="1" w:lastRow="0" w:firstColumn="0" w:lastColumn="0" w:oddVBand="0" w:evenVBand="0" w:oddHBand="0" w:evenHBand="0" w:firstRowFirstColumn="0" w:firstRowLastColumn="0" w:lastRowFirstColumn="0" w:lastRowLastColumn="0"/>
        </w:trPr>
        <w:tc>
          <w:tcPr>
            <w:tcW w:w="1393" w:type="pct"/>
          </w:tcPr>
          <w:p w:rsidR="00420CF4" w:rsidRPr="00D264E1" w:rsidRDefault="00420CF4" w:rsidP="00967BCD">
            <w:pPr>
              <w:pStyle w:val="TableHeading"/>
            </w:pPr>
            <w:r>
              <w:t>Impact on</w:t>
            </w:r>
            <w:r w:rsidR="00773C4A">
              <w:t xml:space="preserve"> ($m)</w:t>
            </w:r>
          </w:p>
        </w:tc>
        <w:tc>
          <w:tcPr>
            <w:tcW w:w="721" w:type="pct"/>
          </w:tcPr>
          <w:p w:rsidR="00420CF4" w:rsidRPr="00FC1F1C" w:rsidRDefault="00420CF4" w:rsidP="00967BCD">
            <w:pPr>
              <w:pStyle w:val="TableHeadingRight"/>
            </w:pPr>
            <w:r>
              <w:t>2016–17</w:t>
            </w:r>
          </w:p>
        </w:tc>
        <w:tc>
          <w:tcPr>
            <w:tcW w:w="721" w:type="pct"/>
          </w:tcPr>
          <w:p w:rsidR="00420CF4" w:rsidRPr="00FC1F1C" w:rsidRDefault="00420CF4" w:rsidP="00967BCD">
            <w:pPr>
              <w:pStyle w:val="TableHeadingRight"/>
            </w:pPr>
            <w:r>
              <w:t>2017–18</w:t>
            </w:r>
          </w:p>
        </w:tc>
        <w:tc>
          <w:tcPr>
            <w:tcW w:w="722" w:type="pct"/>
          </w:tcPr>
          <w:p w:rsidR="00420CF4" w:rsidRPr="00FC1F1C" w:rsidRDefault="00420CF4" w:rsidP="00967BCD">
            <w:pPr>
              <w:pStyle w:val="TableHeadingRight"/>
            </w:pPr>
            <w:r>
              <w:t>2018–19</w:t>
            </w:r>
          </w:p>
        </w:tc>
        <w:tc>
          <w:tcPr>
            <w:tcW w:w="721" w:type="pct"/>
          </w:tcPr>
          <w:p w:rsidR="00420CF4" w:rsidRPr="00FC1F1C" w:rsidRDefault="00420CF4" w:rsidP="00967BCD">
            <w:pPr>
              <w:pStyle w:val="TableHeadingRight"/>
            </w:pPr>
            <w:r>
              <w:t>2019–20</w:t>
            </w:r>
          </w:p>
        </w:tc>
        <w:tc>
          <w:tcPr>
            <w:tcW w:w="722" w:type="pct"/>
          </w:tcPr>
          <w:p w:rsidR="00420CF4" w:rsidRDefault="00420CF4" w:rsidP="00773C4A">
            <w:pPr>
              <w:pStyle w:val="TableTextRight"/>
            </w:pPr>
            <w:r>
              <w:t>Total</w:t>
            </w:r>
          </w:p>
        </w:tc>
      </w:tr>
      <w:tr w:rsidR="00773C4A" w:rsidTr="00967BCD">
        <w:tc>
          <w:tcPr>
            <w:tcW w:w="1393" w:type="pct"/>
          </w:tcPr>
          <w:p w:rsidR="00773C4A" w:rsidRDefault="00773C4A" w:rsidP="00967BCD">
            <w:pPr>
              <w:pStyle w:val="TableText"/>
            </w:pPr>
            <w:r>
              <w:t>Fiscal balance</w:t>
            </w:r>
          </w:p>
        </w:tc>
        <w:tc>
          <w:tcPr>
            <w:tcW w:w="721" w:type="pct"/>
          </w:tcPr>
          <w:p w:rsidR="00773C4A" w:rsidRPr="003A3459" w:rsidRDefault="00773C4A" w:rsidP="00773C4A">
            <w:pPr>
              <w:pStyle w:val="TableTextRight"/>
              <w:rPr>
                <w:szCs w:val="20"/>
              </w:rPr>
            </w:pPr>
            <w:r>
              <w:t>-</w:t>
            </w:r>
          </w:p>
        </w:tc>
        <w:tc>
          <w:tcPr>
            <w:tcW w:w="721" w:type="pct"/>
          </w:tcPr>
          <w:p w:rsidR="00773C4A" w:rsidRPr="003A3459" w:rsidRDefault="00773C4A" w:rsidP="00773C4A">
            <w:pPr>
              <w:pStyle w:val="TableTextRight"/>
              <w:rPr>
                <w:szCs w:val="20"/>
              </w:rPr>
            </w:pPr>
            <w:r w:rsidRPr="009E0AAE">
              <w:t xml:space="preserve">-17.8 </w:t>
            </w:r>
          </w:p>
        </w:tc>
        <w:tc>
          <w:tcPr>
            <w:tcW w:w="722" w:type="pct"/>
          </w:tcPr>
          <w:p w:rsidR="00773C4A" w:rsidRPr="003A3459" w:rsidRDefault="00773C4A" w:rsidP="00773C4A">
            <w:pPr>
              <w:pStyle w:val="TableTextRight"/>
              <w:rPr>
                <w:szCs w:val="20"/>
              </w:rPr>
            </w:pPr>
            <w:r w:rsidRPr="009E0AAE">
              <w:t xml:space="preserve">-18.0 </w:t>
            </w:r>
          </w:p>
        </w:tc>
        <w:tc>
          <w:tcPr>
            <w:tcW w:w="721" w:type="pct"/>
          </w:tcPr>
          <w:p w:rsidR="00773C4A" w:rsidRPr="003A3459" w:rsidRDefault="00773C4A" w:rsidP="00773C4A">
            <w:pPr>
              <w:pStyle w:val="TableTextRight"/>
              <w:rPr>
                <w:szCs w:val="20"/>
              </w:rPr>
            </w:pPr>
            <w:r w:rsidRPr="009E0AAE">
              <w:t xml:space="preserve">-18.2 </w:t>
            </w:r>
          </w:p>
        </w:tc>
        <w:tc>
          <w:tcPr>
            <w:tcW w:w="722" w:type="pct"/>
          </w:tcPr>
          <w:p w:rsidR="00773C4A" w:rsidRPr="0076783E" w:rsidRDefault="00773C4A" w:rsidP="00773C4A">
            <w:pPr>
              <w:pStyle w:val="TableTextRight"/>
              <w:rPr>
                <w:b/>
                <w:szCs w:val="20"/>
              </w:rPr>
            </w:pPr>
            <w:r w:rsidRPr="00374EDF">
              <w:rPr>
                <w:b/>
              </w:rPr>
              <w:t xml:space="preserve">-54.0 </w:t>
            </w:r>
          </w:p>
        </w:tc>
      </w:tr>
      <w:tr w:rsidR="00773C4A" w:rsidTr="00967BCD">
        <w:tc>
          <w:tcPr>
            <w:tcW w:w="1393" w:type="pct"/>
          </w:tcPr>
          <w:p w:rsidR="00773C4A" w:rsidRDefault="00773C4A" w:rsidP="00967BCD">
            <w:pPr>
              <w:pStyle w:val="TableText"/>
            </w:pPr>
            <w:r>
              <w:t>Underlying cash balance</w:t>
            </w:r>
          </w:p>
        </w:tc>
        <w:tc>
          <w:tcPr>
            <w:tcW w:w="721" w:type="pct"/>
          </w:tcPr>
          <w:p w:rsidR="00773C4A" w:rsidRPr="003A3459" w:rsidRDefault="00773C4A" w:rsidP="00773C4A">
            <w:pPr>
              <w:pStyle w:val="TableTextRight"/>
              <w:rPr>
                <w:szCs w:val="20"/>
              </w:rPr>
            </w:pPr>
            <w:r>
              <w:t>-</w:t>
            </w:r>
          </w:p>
        </w:tc>
        <w:tc>
          <w:tcPr>
            <w:tcW w:w="721" w:type="pct"/>
          </w:tcPr>
          <w:p w:rsidR="00773C4A" w:rsidRPr="003A3459" w:rsidRDefault="00773C4A" w:rsidP="00773C4A">
            <w:pPr>
              <w:pStyle w:val="TableTextRight"/>
              <w:rPr>
                <w:szCs w:val="20"/>
              </w:rPr>
            </w:pPr>
            <w:r w:rsidRPr="00497D9C">
              <w:t xml:space="preserve">-17.8 </w:t>
            </w:r>
          </w:p>
        </w:tc>
        <w:tc>
          <w:tcPr>
            <w:tcW w:w="722" w:type="pct"/>
          </w:tcPr>
          <w:p w:rsidR="00773C4A" w:rsidRPr="003A3459" w:rsidRDefault="00773C4A" w:rsidP="00773C4A">
            <w:pPr>
              <w:pStyle w:val="TableTextRight"/>
              <w:rPr>
                <w:szCs w:val="20"/>
              </w:rPr>
            </w:pPr>
            <w:r w:rsidRPr="00497D9C">
              <w:t xml:space="preserve">-18.0 </w:t>
            </w:r>
          </w:p>
        </w:tc>
        <w:tc>
          <w:tcPr>
            <w:tcW w:w="721" w:type="pct"/>
          </w:tcPr>
          <w:p w:rsidR="00773C4A" w:rsidRPr="003A3459" w:rsidRDefault="00773C4A" w:rsidP="00773C4A">
            <w:pPr>
              <w:pStyle w:val="TableTextRight"/>
              <w:rPr>
                <w:szCs w:val="20"/>
              </w:rPr>
            </w:pPr>
            <w:r w:rsidRPr="00497D9C">
              <w:t xml:space="preserve">-18.2 </w:t>
            </w:r>
          </w:p>
        </w:tc>
        <w:tc>
          <w:tcPr>
            <w:tcW w:w="722" w:type="pct"/>
          </w:tcPr>
          <w:p w:rsidR="00773C4A" w:rsidRPr="0076783E" w:rsidRDefault="00773C4A" w:rsidP="00773C4A">
            <w:pPr>
              <w:pStyle w:val="TableTextRight"/>
              <w:rPr>
                <w:b/>
                <w:szCs w:val="20"/>
              </w:rPr>
            </w:pPr>
            <w:r w:rsidRPr="00374EDF">
              <w:rPr>
                <w:b/>
              </w:rPr>
              <w:t xml:space="preserve">-54.0 </w:t>
            </w:r>
          </w:p>
        </w:tc>
      </w:tr>
    </w:tbl>
    <w:p w:rsidR="00420CF4" w:rsidRPr="00773C4A" w:rsidRDefault="00420CF4" w:rsidP="009E44AF">
      <w:pPr>
        <w:pStyle w:val="Footnotes"/>
        <w:numPr>
          <w:ilvl w:val="0"/>
          <w:numId w:val="90"/>
        </w:numPr>
        <w:ind w:left="284" w:hanging="284"/>
      </w:pPr>
      <w:r w:rsidRPr="00773C4A">
        <w:t>A positive number indicates an increase in the relevant budget balance, a negative number a decrease.</w:t>
      </w:r>
    </w:p>
    <w:p w:rsidR="00420CF4" w:rsidRPr="00773C4A" w:rsidRDefault="00420CF4" w:rsidP="009E44AF">
      <w:pPr>
        <w:pStyle w:val="Footnotes"/>
        <w:ind w:left="284" w:hanging="284"/>
      </w:pPr>
      <w:r w:rsidRPr="00773C4A">
        <w:t>Figures may not sum to totals due to rounding.</w:t>
      </w:r>
    </w:p>
    <w:p w:rsidR="00420CF4" w:rsidRDefault="00773C4A" w:rsidP="009E44AF">
      <w:pPr>
        <w:pStyle w:val="Footnotes"/>
        <w:numPr>
          <w:ilvl w:val="0"/>
          <w:numId w:val="0"/>
        </w:numPr>
        <w:ind w:left="284" w:hanging="284"/>
      </w:pPr>
      <w:r w:rsidRPr="00773C4A">
        <w:t>-</w:t>
      </w:r>
      <w:r w:rsidRPr="00773C4A">
        <w:tab/>
        <w:t>Indicates nil.</w:t>
      </w:r>
    </w:p>
    <w:p w:rsidR="00420CF4" w:rsidRDefault="00420CF4" w:rsidP="00D67B9E">
      <w:pPr>
        <w:pStyle w:val="CostingsH7"/>
        <w:spacing w:before="440"/>
      </w:pPr>
      <w:r>
        <w:t>Methodology</w:t>
      </w:r>
    </w:p>
    <w:p w:rsidR="00D67B9E" w:rsidRPr="00D67B9E" w:rsidRDefault="00D67B9E" w:rsidP="00D67B9E">
      <w:pPr>
        <w:pStyle w:val="BodyText"/>
      </w:pPr>
      <w:r w:rsidRPr="00D67B9E">
        <w:t>The existing departmental appropriation for the CER was increased by 25 per cent over the 2016</w:t>
      </w:r>
      <w:r>
        <w:noBreakHyphen/>
      </w:r>
      <w:r w:rsidRPr="00D67B9E">
        <w:t>17 Bu</w:t>
      </w:r>
      <w:r>
        <w:t>dget forward estimates period.</w:t>
      </w:r>
    </w:p>
    <w:p w:rsidR="00420CF4" w:rsidRDefault="00420CF4" w:rsidP="00D67B9E">
      <w:pPr>
        <w:pStyle w:val="CostingsH7"/>
        <w:spacing w:before="440"/>
      </w:pPr>
      <w:r>
        <w:t>Data sources</w:t>
      </w:r>
    </w:p>
    <w:p w:rsidR="00420CF4" w:rsidRDefault="00D67B9E" w:rsidP="00D67B9E">
      <w:pPr>
        <w:pStyle w:val="BodyText"/>
        <w:spacing w:after="0"/>
      </w:pPr>
      <w:r w:rsidRPr="00D67B9E">
        <w:t>The Department of Finance provided extracts from the Central Budget Management System.</w:t>
      </w:r>
    </w:p>
    <w:p w:rsidR="00A71F7B" w:rsidRPr="00951305" w:rsidRDefault="00A71F7B" w:rsidP="00D67B9E">
      <w:pPr>
        <w:pStyle w:val="BodyText"/>
        <w:spacing w:after="0"/>
      </w:pPr>
    </w:p>
    <w:p w:rsidR="00420CF4" w:rsidRDefault="00420CF4" w:rsidP="00D67B9E">
      <w:pPr>
        <w:pStyle w:val="BodyText"/>
        <w:spacing w:after="0"/>
        <w:sectPr w:rsidR="00420CF4" w:rsidSect="00967BCD">
          <w:footnotePr>
            <w:numRestart w:val="eachSect"/>
          </w:footnotePr>
          <w:pgSz w:w="11906" w:h="16838" w:code="9"/>
          <w:pgMar w:top="1361" w:right="1797" w:bottom="1474" w:left="1797" w:header="283" w:footer="454" w:gutter="0"/>
          <w:cols w:space="708"/>
          <w:docGrid w:linePitch="360"/>
        </w:sectPr>
      </w:pPr>
    </w:p>
    <w:p w:rsidR="00EA3A8F" w:rsidRDefault="00EA3A8F" w:rsidP="00EA3A8F">
      <w:pPr>
        <w:pStyle w:val="Heading5"/>
        <w:ind w:left="1080" w:hanging="1080"/>
      </w:pPr>
      <w:bookmarkStart w:id="52" w:name="_Toc455655002"/>
      <w:bookmarkStart w:id="53" w:name="_Toc458081672"/>
      <w:r>
        <w:t>ALP0</w:t>
      </w:r>
      <w:r w:rsidR="00A00D61">
        <w:t>48</w:t>
      </w:r>
      <w:r>
        <w:t>: Chemical contamination at Defence sites</w:t>
      </w:r>
      <w:bookmarkEnd w:id="52"/>
      <w:bookmarkEnd w:id="53"/>
    </w:p>
    <w:p w:rsidR="00EA3A8F" w:rsidRDefault="00EA3A8F" w:rsidP="00967B83">
      <w:pPr>
        <w:pStyle w:val="BodyText"/>
      </w:pPr>
      <w:r>
        <w:rPr>
          <w:noProof/>
          <w:lang w:eastAsia="en-AU"/>
        </w:rPr>
        <w:drawing>
          <wp:inline distT="0" distB="0" distL="0" distR="0" wp14:anchorId="6000E4D3" wp14:editId="1D57648C">
            <wp:extent cx="2696845" cy="572135"/>
            <wp:effectExtent l="0" t="0" r="8255" b="0"/>
            <wp:docPr id="470" name="Picture 47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EA3A8F" w:rsidRDefault="00EA3A8F" w:rsidP="00EA3A8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EA3A8F"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EA3A8F" w:rsidRPr="00A71F7B" w:rsidRDefault="00EA3A8F" w:rsidP="000E1638">
            <w:pPr>
              <w:pStyle w:val="PullOutBoxHeading"/>
              <w:rPr>
                <w:b/>
              </w:rPr>
            </w:pPr>
            <w:r w:rsidRPr="00A71F7B">
              <w:rPr>
                <w:b/>
              </w:rPr>
              <w:t>Name of proposal:</w:t>
            </w:r>
          </w:p>
        </w:tc>
        <w:tc>
          <w:tcPr>
            <w:tcW w:w="3191" w:type="pct"/>
          </w:tcPr>
          <w:p w:rsidR="00EA3A8F" w:rsidRPr="00A71F7B" w:rsidRDefault="00EA3A8F" w:rsidP="000E1638">
            <w:pPr>
              <w:pStyle w:val="PullOutBoxHeading"/>
              <w:rPr>
                <w:b/>
              </w:rPr>
            </w:pPr>
            <w:r w:rsidRPr="00A71F7B">
              <w:rPr>
                <w:b/>
              </w:rPr>
              <w:t>Chemical contamination at Defence sites</w:t>
            </w:r>
          </w:p>
        </w:tc>
      </w:tr>
      <w:tr w:rsidR="00EA3A8F" w:rsidRPr="009C533F" w:rsidTr="00F7554A">
        <w:tc>
          <w:tcPr>
            <w:tcW w:w="1809" w:type="pct"/>
          </w:tcPr>
          <w:p w:rsidR="00EA3A8F" w:rsidRPr="009C533F" w:rsidRDefault="00EA3A8F" w:rsidP="009C533F">
            <w:pPr>
              <w:pStyle w:val="PullOutBoxBodyText"/>
            </w:pPr>
            <w:r w:rsidRPr="009C533F">
              <w:t>Summary of proposal:</w:t>
            </w:r>
          </w:p>
        </w:tc>
        <w:tc>
          <w:tcPr>
            <w:tcW w:w="3191" w:type="pct"/>
          </w:tcPr>
          <w:p w:rsidR="00EA3A8F" w:rsidRPr="009C533F" w:rsidRDefault="00EA3A8F" w:rsidP="009C533F">
            <w:pPr>
              <w:pStyle w:val="PullOutBoxBodyText"/>
            </w:pPr>
            <w:r w:rsidRPr="009C533F">
              <w:t>The proposal would provide an assistance package in response to the Senate Foreign Affairs, Defence and Trade References Committee report: Inquiry into firefighting foam contamination Part A – RAAF Base Williamtown, comprising the following components:</w:t>
            </w:r>
          </w:p>
          <w:p w:rsidR="00EA3A8F" w:rsidRPr="009C533F" w:rsidRDefault="00EA3A8F" w:rsidP="009C533F">
            <w:pPr>
              <w:pStyle w:val="PullOutBoxBodyText"/>
              <w:rPr>
                <w:u w:val="single"/>
              </w:rPr>
            </w:pPr>
            <w:r w:rsidRPr="009C533F">
              <w:rPr>
                <w:u w:val="single"/>
              </w:rPr>
              <w:t>Component 1 - Establish taskforce</w:t>
            </w:r>
          </w:p>
          <w:p w:rsidR="00EA3A8F" w:rsidRPr="009C533F" w:rsidRDefault="00EA3A8F" w:rsidP="009C533F">
            <w:pPr>
              <w:pStyle w:val="PullOutBoxBodyText"/>
            </w:pPr>
            <w:r w:rsidRPr="009C533F">
              <w:t>This component would establish a national intergovernmental taskforce to address perfluorinated chemical contamination.</w:t>
            </w:r>
          </w:p>
          <w:p w:rsidR="00EA3A8F" w:rsidRPr="009C533F" w:rsidRDefault="00EA3A8F" w:rsidP="009C533F">
            <w:pPr>
              <w:pStyle w:val="PullOutBoxBodyText"/>
              <w:rPr>
                <w:u w:val="single"/>
              </w:rPr>
            </w:pPr>
            <w:r w:rsidRPr="009C533F">
              <w:rPr>
                <w:u w:val="single"/>
              </w:rPr>
              <w:t xml:space="preserve">Component 2 - National voluntary blood tests </w:t>
            </w:r>
          </w:p>
          <w:p w:rsidR="00EA3A8F" w:rsidRPr="009C533F" w:rsidRDefault="00EA3A8F" w:rsidP="009C533F">
            <w:pPr>
              <w:pStyle w:val="PullOutBoxBodyText"/>
            </w:pPr>
            <w:r w:rsidRPr="009C533F">
              <w:t xml:space="preserve">This component would provide funding to the Department of Health to co-ordinate and fund a program of up to 10,000 voluntary blood tests over four years for communities that may be affected by perfluorinated chemical contamination. </w:t>
            </w:r>
          </w:p>
          <w:p w:rsidR="00EA3A8F" w:rsidRPr="009C533F" w:rsidRDefault="00EA3A8F" w:rsidP="009C533F">
            <w:pPr>
              <w:pStyle w:val="PullOutBoxBodyText"/>
              <w:rPr>
                <w:u w:val="single"/>
              </w:rPr>
            </w:pPr>
            <w:r w:rsidRPr="009C533F">
              <w:rPr>
                <w:u w:val="single"/>
              </w:rPr>
              <w:t>Component 3 - Health study</w:t>
            </w:r>
          </w:p>
          <w:p w:rsidR="00EA3A8F" w:rsidRPr="009C533F" w:rsidRDefault="00EA3A8F" w:rsidP="009C533F">
            <w:pPr>
              <w:pStyle w:val="PullOutBoxBodyText"/>
            </w:pPr>
            <w:r w:rsidRPr="009C533F">
              <w:t>This component would provide a capped grant of $1.0 million to commission a study that would establish a baseline for future health monitoring for the residents of the investigation area.</w:t>
            </w:r>
          </w:p>
          <w:p w:rsidR="00EA3A8F" w:rsidRPr="009C533F" w:rsidRDefault="00EA3A8F" w:rsidP="009C533F">
            <w:pPr>
              <w:pStyle w:val="PullOutBoxBodyText"/>
              <w:rPr>
                <w:u w:val="single"/>
              </w:rPr>
            </w:pPr>
            <w:r w:rsidRPr="009C533F">
              <w:rPr>
                <w:u w:val="single"/>
              </w:rPr>
              <w:t>Component 4 - Connection to town water</w:t>
            </w:r>
          </w:p>
          <w:p w:rsidR="00EA3A8F" w:rsidRPr="009C533F" w:rsidRDefault="00EA3A8F" w:rsidP="009C533F">
            <w:pPr>
              <w:pStyle w:val="PullOutBoxBodyText"/>
            </w:pPr>
            <w:r w:rsidRPr="009C533F">
              <w:t>This component would provide a capped grant of $4.0 million to the New South Wales Government to assist in the connection of affected developed properties within the investigation area to town water.</w:t>
            </w:r>
          </w:p>
          <w:p w:rsidR="00EA3A8F" w:rsidRPr="009C533F" w:rsidRDefault="00EA3A8F" w:rsidP="009C533F">
            <w:pPr>
              <w:pStyle w:val="PullOutBoxBodyText"/>
              <w:rPr>
                <w:u w:val="single"/>
              </w:rPr>
            </w:pPr>
            <w:r w:rsidRPr="009C533F">
              <w:rPr>
                <w:u w:val="single"/>
              </w:rPr>
              <w:t>Component 5 - Extend income support payments for commercial fishers beyond their current expiry of 30 June 2016</w:t>
            </w:r>
          </w:p>
          <w:p w:rsidR="00EA3A8F" w:rsidRPr="009C533F" w:rsidRDefault="00EA3A8F" w:rsidP="009C533F">
            <w:pPr>
              <w:pStyle w:val="PullOutBoxBodyText"/>
            </w:pPr>
            <w:r w:rsidRPr="009C533F">
              <w:t>This component would extend the expiration date of current assistance payments until the end of the summer (March 2017) fishing season.</w:t>
            </w:r>
          </w:p>
        </w:tc>
      </w:tr>
      <w:tr w:rsidR="00EA3A8F" w:rsidRPr="006440E9" w:rsidTr="00F7554A">
        <w:tc>
          <w:tcPr>
            <w:tcW w:w="1809" w:type="pct"/>
          </w:tcPr>
          <w:p w:rsidR="00EA3A8F" w:rsidRPr="006440E9" w:rsidRDefault="00EA3A8F" w:rsidP="006440E9">
            <w:pPr>
              <w:pStyle w:val="PullOutBoxBodyText"/>
              <w:keepNext/>
              <w:keepLines/>
            </w:pPr>
          </w:p>
        </w:tc>
        <w:tc>
          <w:tcPr>
            <w:tcW w:w="3191" w:type="pct"/>
          </w:tcPr>
          <w:p w:rsidR="00EA3A8F" w:rsidRPr="009C533F" w:rsidRDefault="00EA3A8F" w:rsidP="006440E9">
            <w:pPr>
              <w:pStyle w:val="PullOutBoxBodyText"/>
              <w:keepNext/>
              <w:keepLines/>
              <w:rPr>
                <w:u w:val="single"/>
              </w:rPr>
            </w:pPr>
            <w:r w:rsidRPr="009C533F">
              <w:rPr>
                <w:u w:val="single"/>
              </w:rPr>
              <w:t>Component 6 - Grace period for fishing licences and other licences associated with primary producing</w:t>
            </w:r>
          </w:p>
          <w:p w:rsidR="00EA3A8F" w:rsidRPr="006440E9" w:rsidRDefault="00EA3A8F" w:rsidP="006440E9">
            <w:pPr>
              <w:pStyle w:val="PullOutBoxBodyText"/>
              <w:keepNext/>
              <w:keepLines/>
            </w:pPr>
            <w:r w:rsidRPr="006440E9">
              <w:t>Under this component the Government would write to the relevant New South Wales Government agencies seeking leniency on the payment of licence fees until 1 February 2017.  The grace period will be reviewed after 1 February 2017.</w:t>
            </w:r>
          </w:p>
          <w:p w:rsidR="00EA3A8F" w:rsidRPr="009C533F" w:rsidRDefault="00EA3A8F" w:rsidP="006440E9">
            <w:pPr>
              <w:pStyle w:val="PullOutBoxBodyText"/>
              <w:keepNext/>
              <w:keepLines/>
              <w:rPr>
                <w:u w:val="single"/>
              </w:rPr>
            </w:pPr>
            <w:r w:rsidRPr="009C533F">
              <w:rPr>
                <w:u w:val="single"/>
              </w:rPr>
              <w:t>Component 7 - Grace period on home and/or business loans</w:t>
            </w:r>
          </w:p>
          <w:p w:rsidR="00EA3A8F" w:rsidRPr="006440E9" w:rsidRDefault="00EA3A8F" w:rsidP="006440E9">
            <w:pPr>
              <w:pStyle w:val="PullOutBoxBodyText"/>
              <w:keepNext/>
              <w:keepLines/>
            </w:pPr>
            <w:r w:rsidRPr="006440E9">
              <w:t>Under this component the Government would write to lending institutions seeking leniency on repayments until 1 February 2017.  The grace period would be reviewed after 1 February 2017.</w:t>
            </w:r>
          </w:p>
          <w:p w:rsidR="00EA3A8F" w:rsidRPr="009C533F" w:rsidRDefault="00EA3A8F" w:rsidP="006440E9">
            <w:pPr>
              <w:pStyle w:val="PullOutBoxBodyText"/>
              <w:keepNext/>
              <w:keepLines/>
              <w:rPr>
                <w:u w:val="single"/>
              </w:rPr>
            </w:pPr>
            <w:r w:rsidRPr="009C533F">
              <w:rPr>
                <w:u w:val="single"/>
              </w:rPr>
              <w:t>Component 8 - Defence Liaison Group</w:t>
            </w:r>
          </w:p>
          <w:p w:rsidR="00EA3A8F" w:rsidRPr="006440E9" w:rsidRDefault="00EA3A8F" w:rsidP="006440E9">
            <w:pPr>
              <w:pStyle w:val="PullOutBoxBodyText"/>
              <w:keepNext/>
              <w:keepLines/>
            </w:pPr>
            <w:r w:rsidRPr="006440E9">
              <w:t>This component would establish a team within the Department of Defence (Defence) to work on perfluorooctane sulfonate (PFOS) and perfluorooctanoic acid (PFOA) contamination.</w:t>
            </w:r>
          </w:p>
          <w:p w:rsidR="00EA3A8F" w:rsidRPr="006440E9" w:rsidRDefault="00EA3A8F" w:rsidP="006440E9">
            <w:pPr>
              <w:pStyle w:val="PullOutBoxBodyText"/>
              <w:keepNext/>
              <w:keepLines/>
            </w:pPr>
            <w:r w:rsidRPr="006440E9">
              <w:t>The proposal commences on 1 July 2016 and terminates as specified or at the end of 2019-20.</w:t>
            </w:r>
          </w:p>
        </w:tc>
      </w:tr>
      <w:tr w:rsidR="00EA3A8F" w:rsidRPr="00B45F94" w:rsidTr="00F7554A">
        <w:tc>
          <w:tcPr>
            <w:tcW w:w="1809" w:type="pct"/>
          </w:tcPr>
          <w:p w:rsidR="00EA3A8F" w:rsidRPr="00B45F94" w:rsidRDefault="00EA3A8F" w:rsidP="000E1638">
            <w:pPr>
              <w:pStyle w:val="PullOutBoxBodyText"/>
            </w:pPr>
            <w:r>
              <w:t>Party:</w:t>
            </w:r>
          </w:p>
        </w:tc>
        <w:tc>
          <w:tcPr>
            <w:tcW w:w="3191" w:type="pct"/>
          </w:tcPr>
          <w:p w:rsidR="00EA3A8F" w:rsidRPr="00B45F94" w:rsidRDefault="00EA3A8F" w:rsidP="000E1638">
            <w:pPr>
              <w:pStyle w:val="PullOutBoxBodyText"/>
            </w:pPr>
            <w:r>
              <w:t>Australian Labor Party</w:t>
            </w:r>
          </w:p>
        </w:tc>
      </w:tr>
      <w:tr w:rsidR="00EA3A8F" w:rsidRPr="00B45F94" w:rsidTr="00F7554A">
        <w:tc>
          <w:tcPr>
            <w:tcW w:w="1809" w:type="pct"/>
          </w:tcPr>
          <w:p w:rsidR="00EA3A8F" w:rsidRPr="00B45F94" w:rsidRDefault="00EA3A8F" w:rsidP="000E1638">
            <w:pPr>
              <w:pStyle w:val="PullOutBoxBodyText"/>
            </w:pPr>
            <w:r w:rsidRPr="00B45F94">
              <w:t>Expiry date for the costing:</w:t>
            </w:r>
          </w:p>
        </w:tc>
        <w:tc>
          <w:tcPr>
            <w:tcW w:w="3191" w:type="pct"/>
          </w:tcPr>
          <w:p w:rsidR="00EA3A8F" w:rsidRPr="00B45F94" w:rsidRDefault="00EA3A8F" w:rsidP="000E1638">
            <w:pPr>
              <w:pStyle w:val="PullOutBoxBodyText"/>
            </w:pPr>
            <w:r>
              <w:t>Release of the next economic and fiscal update</w:t>
            </w:r>
          </w:p>
        </w:tc>
      </w:tr>
    </w:tbl>
    <w:p w:rsidR="00EA3A8F" w:rsidRDefault="00EA3A8F" w:rsidP="00EA3A8F">
      <w:pPr>
        <w:pStyle w:val="CostingsH7"/>
      </w:pPr>
      <w:r w:rsidRPr="00BF1EE6">
        <w:t>Costing overview</w:t>
      </w:r>
    </w:p>
    <w:p w:rsidR="00EA3A8F" w:rsidRDefault="00EA3A8F" w:rsidP="00EA3A8F">
      <w:pPr>
        <w:pStyle w:val="BodyText"/>
      </w:pPr>
      <w:r>
        <w:t>The proposal would be expected to decrease both the underlying cash and fiscal balances by $21.7 million over the 2016-17 Budget forward estimates period.  This impact is due to an increase of $12.0 million in administered expenses and $9.7 million in departmental expenses.</w:t>
      </w:r>
    </w:p>
    <w:p w:rsidR="00EA3A8F" w:rsidRDefault="00EA3A8F" w:rsidP="00EA3A8F">
      <w:pPr>
        <w:pStyle w:val="BodyText"/>
      </w:pPr>
      <w:r>
        <w:t xml:space="preserve">The proposal would not have an impact beyond the 2016-17 Budget forward estimates period as all components would cease before or at the end of the 2019-20 financial year.  A breakdown of the impact of the components of the proposal over the 2016-17 Budget forward estimates period is included at </w:t>
      </w:r>
      <w:r w:rsidRPr="00355536">
        <w:rPr>
          <w:u w:val="single"/>
        </w:rPr>
        <w:t>Attachment A</w:t>
      </w:r>
      <w:r>
        <w:t>.</w:t>
      </w:r>
    </w:p>
    <w:p w:rsidR="00EA3A8F" w:rsidRDefault="00EA3A8F" w:rsidP="00EA3A8F">
      <w:pPr>
        <w:pStyle w:val="BodyText"/>
      </w:pPr>
      <w:r>
        <w:t>The costing is considered to be of medium reliability as, while a number of the components are specified capped amounts, a number of assumptions have been applied regarding the size, scope and take-up of certain components.</w:t>
      </w:r>
    </w:p>
    <w:p w:rsidR="00EA3A8F" w:rsidRPr="008B02ED" w:rsidRDefault="00EA3A8F" w:rsidP="00EA3A8F">
      <w:pPr>
        <w:pStyle w:val="BodyText"/>
      </w:pPr>
      <w:r>
        <w:t>No analysis has been undertaken to determine the adequacy of the prescribed funding amounts for Components 3 and 4 to achieve the objective of the specified activities.</w:t>
      </w:r>
    </w:p>
    <w:p w:rsidR="00EA3A8F" w:rsidRDefault="00EA3A8F" w:rsidP="00EA3A8F">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A3A8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EA3A8F" w:rsidRPr="00D264E1" w:rsidRDefault="00EA3A8F" w:rsidP="006A1985">
            <w:pPr>
              <w:pStyle w:val="TableHeading"/>
            </w:pPr>
            <w:r>
              <w:t>Impact on ($m)</w:t>
            </w:r>
          </w:p>
        </w:tc>
        <w:tc>
          <w:tcPr>
            <w:tcW w:w="721" w:type="pct"/>
            <w:vAlign w:val="center"/>
          </w:tcPr>
          <w:p w:rsidR="00EA3A8F" w:rsidRPr="00FC1F1C" w:rsidRDefault="00EA3A8F" w:rsidP="006A1985">
            <w:pPr>
              <w:pStyle w:val="TableHeadingRight"/>
            </w:pPr>
            <w:r>
              <w:t>2016–17</w:t>
            </w:r>
          </w:p>
        </w:tc>
        <w:tc>
          <w:tcPr>
            <w:tcW w:w="721" w:type="pct"/>
            <w:vAlign w:val="center"/>
          </w:tcPr>
          <w:p w:rsidR="00EA3A8F" w:rsidRPr="00FC1F1C" w:rsidRDefault="00EA3A8F" w:rsidP="006A1985">
            <w:pPr>
              <w:pStyle w:val="TableHeadingRight"/>
            </w:pPr>
            <w:r>
              <w:t>2017–18</w:t>
            </w:r>
          </w:p>
        </w:tc>
        <w:tc>
          <w:tcPr>
            <w:tcW w:w="722" w:type="pct"/>
            <w:vAlign w:val="center"/>
          </w:tcPr>
          <w:p w:rsidR="00EA3A8F" w:rsidRPr="00FC1F1C" w:rsidRDefault="00EA3A8F" w:rsidP="006A1985">
            <w:pPr>
              <w:pStyle w:val="TableHeadingRight"/>
            </w:pPr>
            <w:r>
              <w:t>2018–19</w:t>
            </w:r>
          </w:p>
        </w:tc>
        <w:tc>
          <w:tcPr>
            <w:tcW w:w="721" w:type="pct"/>
            <w:vAlign w:val="center"/>
          </w:tcPr>
          <w:p w:rsidR="00EA3A8F" w:rsidRPr="00FC1F1C" w:rsidRDefault="00EA3A8F" w:rsidP="006A1985">
            <w:pPr>
              <w:pStyle w:val="TableHeadingRight"/>
            </w:pPr>
            <w:r>
              <w:t>2019–20</w:t>
            </w:r>
          </w:p>
        </w:tc>
        <w:tc>
          <w:tcPr>
            <w:tcW w:w="722" w:type="pct"/>
            <w:vAlign w:val="center"/>
          </w:tcPr>
          <w:p w:rsidR="00EA3A8F" w:rsidRPr="00FC1F1C" w:rsidRDefault="00EA3A8F" w:rsidP="006A1985">
            <w:pPr>
              <w:pStyle w:val="TableHeadingRight"/>
              <w:rPr>
                <w:b/>
              </w:rPr>
            </w:pPr>
            <w:r w:rsidRPr="00FC1F1C">
              <w:t>Total</w:t>
            </w:r>
          </w:p>
        </w:tc>
      </w:tr>
      <w:tr w:rsidR="00EA3A8F" w:rsidTr="00F7554A">
        <w:tc>
          <w:tcPr>
            <w:tcW w:w="1393" w:type="pct"/>
            <w:vAlign w:val="center"/>
          </w:tcPr>
          <w:p w:rsidR="00EA3A8F" w:rsidRDefault="00EA3A8F" w:rsidP="006A1985">
            <w:pPr>
              <w:pStyle w:val="TableText"/>
              <w:keepNext/>
              <w:keepLines/>
            </w:pPr>
            <w:r>
              <w:t>Fiscal balance</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-9.4</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-4.4</w:t>
            </w:r>
          </w:p>
        </w:tc>
        <w:tc>
          <w:tcPr>
            <w:tcW w:w="722" w:type="pct"/>
            <w:vAlign w:val="center"/>
          </w:tcPr>
          <w:p w:rsidR="00EA3A8F" w:rsidRPr="008B02ED" w:rsidRDefault="00EA3A8F" w:rsidP="006A1985">
            <w:pPr>
              <w:keepNext/>
              <w:keepLines/>
              <w:spacing w:before="70" w:after="70"/>
              <w:jc w:val="right"/>
              <w:rPr>
                <w:sz w:val="20"/>
                <w:szCs w:val="20"/>
              </w:rPr>
            </w:pPr>
            <w:r w:rsidRPr="008B02ED">
              <w:rPr>
                <w:sz w:val="20"/>
                <w:szCs w:val="20"/>
              </w:rPr>
              <w:t>-3.9</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-3.9</w:t>
            </w:r>
          </w:p>
        </w:tc>
        <w:tc>
          <w:tcPr>
            <w:tcW w:w="722" w:type="pct"/>
            <w:vAlign w:val="center"/>
          </w:tcPr>
          <w:p w:rsidR="00EA3A8F" w:rsidRPr="008B02ED" w:rsidRDefault="00EA3A8F" w:rsidP="006A1985">
            <w:pPr>
              <w:keepNext/>
              <w:keepLines/>
              <w:spacing w:before="70" w:after="70"/>
              <w:jc w:val="right"/>
              <w:rPr>
                <w:b/>
                <w:sz w:val="20"/>
                <w:szCs w:val="20"/>
              </w:rPr>
            </w:pPr>
            <w:r w:rsidRPr="008B02ED">
              <w:rPr>
                <w:b/>
                <w:sz w:val="20"/>
                <w:szCs w:val="20"/>
              </w:rPr>
              <w:t>-21.7</w:t>
            </w:r>
          </w:p>
        </w:tc>
      </w:tr>
      <w:tr w:rsidR="00EA3A8F" w:rsidTr="00F7554A">
        <w:tc>
          <w:tcPr>
            <w:tcW w:w="1393" w:type="pct"/>
            <w:vAlign w:val="center"/>
          </w:tcPr>
          <w:p w:rsidR="00EA3A8F" w:rsidRDefault="00EA3A8F" w:rsidP="006A1985">
            <w:pPr>
              <w:pStyle w:val="TableText"/>
              <w:keepNext/>
              <w:keepLines/>
            </w:pPr>
            <w:r>
              <w:t>Underlying cash balance</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-9.4</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-4.4</w:t>
            </w:r>
          </w:p>
        </w:tc>
        <w:tc>
          <w:tcPr>
            <w:tcW w:w="722" w:type="pct"/>
            <w:vAlign w:val="center"/>
          </w:tcPr>
          <w:p w:rsidR="00EA3A8F" w:rsidRPr="008B02ED" w:rsidRDefault="00EA3A8F" w:rsidP="006A1985">
            <w:pPr>
              <w:keepNext/>
              <w:keepLines/>
              <w:spacing w:before="70" w:after="70"/>
              <w:jc w:val="right"/>
              <w:rPr>
                <w:sz w:val="20"/>
                <w:szCs w:val="20"/>
              </w:rPr>
            </w:pPr>
            <w:r w:rsidRPr="008B02ED">
              <w:rPr>
                <w:sz w:val="20"/>
                <w:szCs w:val="20"/>
              </w:rPr>
              <w:t>-3.9</w:t>
            </w:r>
          </w:p>
        </w:tc>
        <w:tc>
          <w:tcPr>
            <w:tcW w:w="721" w:type="pct"/>
            <w:vAlign w:val="center"/>
          </w:tcPr>
          <w:p w:rsidR="00EA3A8F" w:rsidRPr="008B02ED" w:rsidRDefault="00EA3A8F" w:rsidP="006A1985">
            <w:pPr>
              <w:keepNext/>
              <w:keepLines/>
              <w:spacing w:before="70" w:after="70"/>
              <w:jc w:val="right"/>
              <w:rPr>
                <w:sz w:val="20"/>
                <w:szCs w:val="20"/>
              </w:rPr>
            </w:pPr>
            <w:r w:rsidRPr="008B02ED">
              <w:rPr>
                <w:sz w:val="20"/>
                <w:szCs w:val="20"/>
              </w:rPr>
              <w:t>-3.9</w:t>
            </w:r>
          </w:p>
        </w:tc>
        <w:tc>
          <w:tcPr>
            <w:tcW w:w="722" w:type="pct"/>
            <w:vAlign w:val="center"/>
          </w:tcPr>
          <w:p w:rsidR="00EA3A8F" w:rsidRPr="008B02ED" w:rsidRDefault="00EA3A8F" w:rsidP="006A1985">
            <w:pPr>
              <w:keepNext/>
              <w:keepLines/>
              <w:spacing w:before="70" w:after="70"/>
              <w:jc w:val="right"/>
              <w:rPr>
                <w:b/>
                <w:sz w:val="20"/>
                <w:szCs w:val="20"/>
              </w:rPr>
            </w:pPr>
            <w:r w:rsidRPr="008B02ED">
              <w:rPr>
                <w:b/>
                <w:sz w:val="20"/>
                <w:szCs w:val="20"/>
              </w:rPr>
              <w:t>-21.7</w:t>
            </w:r>
          </w:p>
        </w:tc>
      </w:tr>
    </w:tbl>
    <w:p w:rsidR="00EA3A8F" w:rsidRDefault="00EA3A8F" w:rsidP="008B194B">
      <w:pPr>
        <w:pStyle w:val="Footnotes"/>
        <w:keepNext/>
        <w:keepLines/>
        <w:numPr>
          <w:ilvl w:val="0"/>
          <w:numId w:val="113"/>
        </w:numPr>
        <w:ind w:left="284" w:hanging="284"/>
      </w:pPr>
      <w:r>
        <w:t xml:space="preserve">A positive </w:t>
      </w:r>
      <w:r w:rsidRPr="00FC1F1C">
        <w:t>number indicates an increase in the relevant budget balance, a negative number a decrease.</w:t>
      </w:r>
    </w:p>
    <w:p w:rsidR="00EA3A8F" w:rsidRPr="000E063A" w:rsidRDefault="00EA3A8F" w:rsidP="008B194B">
      <w:pPr>
        <w:pStyle w:val="Footnotes"/>
        <w:ind w:left="284" w:hanging="284"/>
        <w:rPr>
          <w:rStyle w:val="FootnoteReference"/>
          <w:vertAlign w:val="baseline"/>
        </w:rPr>
      </w:pPr>
      <w:r w:rsidRPr="000E063A">
        <w:t>Figures may not sum to totals due to rounding.</w:t>
      </w:r>
    </w:p>
    <w:p w:rsidR="00EA3A8F" w:rsidRDefault="00EA3A8F" w:rsidP="00EA3A8F">
      <w:pPr>
        <w:pStyle w:val="CostingsH7"/>
      </w:pPr>
      <w:r>
        <w:t>Key assumptions</w:t>
      </w:r>
    </w:p>
    <w:p w:rsidR="00EA3A8F" w:rsidRDefault="00EA3A8F" w:rsidP="00EA3A8F">
      <w:pPr>
        <w:pStyle w:val="BodyText"/>
      </w:pPr>
      <w:r>
        <w:t>In costing this proposal it has been assumed that:</w:t>
      </w:r>
    </w:p>
    <w:p w:rsidR="00EA3A8F" w:rsidRDefault="00EA3A8F" w:rsidP="00EA3A8F">
      <w:pPr>
        <w:pStyle w:val="ListBullet"/>
      </w:pPr>
      <w:r>
        <w:t>the taskforce in Component 1 would be similar in size and scope to recent Government taskforces announced in the 2016-17 Budget</w:t>
      </w:r>
    </w:p>
    <w:p w:rsidR="00EA3A8F" w:rsidRDefault="00EA3A8F" w:rsidP="00EA3A8F">
      <w:pPr>
        <w:pStyle w:val="ListBullet"/>
      </w:pPr>
      <w:r>
        <w:t>under Component 2, all 10,000 voluntary blood tests would be utilised</w:t>
      </w:r>
    </w:p>
    <w:p w:rsidR="00EA3A8F" w:rsidRDefault="00EA3A8F" w:rsidP="00EA3A8F">
      <w:pPr>
        <w:pStyle w:val="ListBullet"/>
      </w:pPr>
      <w:r>
        <w:t>Components 3, 4, 6 and 7 would not be administratively burdensome and therefore would not require additional departmental expenditure</w:t>
      </w:r>
    </w:p>
    <w:p w:rsidR="00EA3A8F" w:rsidRPr="008B02ED" w:rsidRDefault="00EA3A8F" w:rsidP="00EA3A8F">
      <w:pPr>
        <w:pStyle w:val="ListBullet"/>
      </w:pPr>
      <w:r>
        <w:t>under Component 5, only the income recovery subsidy would be extended to March 2017 and all affected fishing operators would receive the payments (see </w:t>
      </w:r>
      <w:r w:rsidRPr="00BF65EA">
        <w:rPr>
          <w:i/>
        </w:rPr>
        <w:t>Data sources</w:t>
      </w:r>
      <w:r>
        <w:t>).</w:t>
      </w:r>
    </w:p>
    <w:p w:rsidR="00EA3A8F" w:rsidRDefault="00EA3A8F" w:rsidP="00EA3A8F">
      <w:pPr>
        <w:pStyle w:val="CostingsH7"/>
      </w:pPr>
      <w:r>
        <w:t>Methodology</w:t>
      </w:r>
    </w:p>
    <w:p w:rsidR="00EA3A8F" w:rsidRDefault="00EA3A8F" w:rsidP="00EA3A8F">
      <w:pPr>
        <w:pStyle w:val="BodyText"/>
      </w:pPr>
      <w:r>
        <w:t>The impact of the proposal was derived as the sum of the following:</w:t>
      </w:r>
    </w:p>
    <w:p w:rsidR="00EA3A8F" w:rsidRDefault="00EA3A8F" w:rsidP="00EA3A8F">
      <w:pPr>
        <w:pStyle w:val="CostingsH8"/>
      </w:pPr>
      <w:r>
        <w:t>Component 1 – Establish taskforce</w:t>
      </w:r>
    </w:p>
    <w:p w:rsidR="00EA3A8F" w:rsidRDefault="00EA3A8F" w:rsidP="00EA3A8F">
      <w:pPr>
        <w:pStyle w:val="BodyText"/>
      </w:pPr>
      <w:r>
        <w:t>The impact was calculated based on the average cost (and administered/departmental allocation) of recent Government taskforces announced in the 2016-17 Budget.</w:t>
      </w:r>
    </w:p>
    <w:p w:rsidR="00EA3A8F" w:rsidRDefault="00EA3A8F" w:rsidP="00EA3A8F">
      <w:pPr>
        <w:pStyle w:val="CostingsH8"/>
      </w:pPr>
      <w:r>
        <w:t xml:space="preserve">Component 2 – National voluntary blood tests </w:t>
      </w:r>
    </w:p>
    <w:p w:rsidR="00EA3A8F" w:rsidRDefault="00EA3A8F" w:rsidP="00EA3A8F">
      <w:pPr>
        <w:pStyle w:val="BodyText"/>
      </w:pPr>
      <w:r>
        <w:t>The impact was derived based on applying the estimated average Medicare unit cost for the blood tests by the specified number of tests (2,500 tests per year over four years), with additional expected administrative costs also included.</w:t>
      </w:r>
    </w:p>
    <w:p w:rsidR="00EA3A8F" w:rsidRDefault="00EA3A8F" w:rsidP="00EA3A8F">
      <w:pPr>
        <w:pStyle w:val="CostingsH8"/>
      </w:pPr>
      <w:r>
        <w:t>Component 3 – Health study</w:t>
      </w:r>
    </w:p>
    <w:p w:rsidR="00EA3A8F" w:rsidRDefault="00EA3A8F" w:rsidP="00EA3A8F">
      <w:pPr>
        <w:pStyle w:val="BodyText"/>
      </w:pPr>
      <w:r>
        <w:t>Administered expenditure is as specified, with the $1.0 million split evenly over 2016-17 and 2017</w:t>
      </w:r>
      <w:r>
        <w:noBreakHyphen/>
        <w:t>18.</w:t>
      </w:r>
    </w:p>
    <w:p w:rsidR="00EA3A8F" w:rsidRDefault="00EA3A8F" w:rsidP="006440E9">
      <w:pPr>
        <w:pStyle w:val="CostingsH8"/>
      </w:pPr>
      <w:r>
        <w:t>Component 4 – Connection to town water</w:t>
      </w:r>
    </w:p>
    <w:p w:rsidR="00EA3A8F" w:rsidRDefault="00EA3A8F" w:rsidP="006440E9">
      <w:pPr>
        <w:pStyle w:val="BodyText"/>
      </w:pPr>
      <w:r>
        <w:t>Administered expenditure is as specified, with $4.0 million provided in 2016</w:t>
      </w:r>
      <w:r>
        <w:noBreakHyphen/>
        <w:t>17 only.</w:t>
      </w:r>
    </w:p>
    <w:p w:rsidR="00EA3A8F" w:rsidRDefault="00EA3A8F" w:rsidP="00EA3A8F">
      <w:pPr>
        <w:pStyle w:val="CostingsH8"/>
      </w:pPr>
      <w:r>
        <w:t>Component 5 – Extend income support payments for commercial fishers beyond their current expiry of 30 June 2016</w:t>
      </w:r>
    </w:p>
    <w:p w:rsidR="00EA3A8F" w:rsidRDefault="00EA3A8F" w:rsidP="00EA3A8F">
      <w:pPr>
        <w:pStyle w:val="BodyText"/>
      </w:pPr>
      <w:r>
        <w:t xml:space="preserve">The impact was derived by multiplying the estimated allowance by the additional number of weeks and the expected number of recipients, with additional expected administrative costs also included.  The impacts account for the recent announcement by the Assistant Minister for Defence (see </w:t>
      </w:r>
      <w:r w:rsidRPr="001B1F5E">
        <w:rPr>
          <w:i/>
        </w:rPr>
        <w:t>Data sources</w:t>
      </w:r>
      <w:r>
        <w:t>) to extend income support payments beyond 30 June 2016 for a further eight weeks.</w:t>
      </w:r>
    </w:p>
    <w:p w:rsidR="00EA3A8F" w:rsidRDefault="00EA3A8F" w:rsidP="00EA3A8F">
      <w:pPr>
        <w:pStyle w:val="CostingsH8"/>
      </w:pPr>
      <w:r>
        <w:t>Component 6 – Grace period for fishing licences and other licences associated with primary producing, and Component 7 – Grace period on home and/or business loans</w:t>
      </w:r>
    </w:p>
    <w:p w:rsidR="00EA3A8F" w:rsidRDefault="00EA3A8F" w:rsidP="00EA3A8F">
      <w:pPr>
        <w:pStyle w:val="BodyText"/>
      </w:pPr>
      <w:r>
        <w:t>These components are not expected to have a budget impact as they do not require any Commonwealth expenditure.</w:t>
      </w:r>
    </w:p>
    <w:p w:rsidR="00EA3A8F" w:rsidRDefault="00EA3A8F" w:rsidP="00EA3A8F">
      <w:pPr>
        <w:pStyle w:val="CostingsH8"/>
      </w:pPr>
      <w:r>
        <w:t>Component 8 – Defence Liaison Group</w:t>
      </w:r>
    </w:p>
    <w:p w:rsidR="00EA3A8F" w:rsidRPr="008B02ED" w:rsidRDefault="00EA3A8F" w:rsidP="00EA3A8F">
      <w:pPr>
        <w:pStyle w:val="BodyText"/>
      </w:pPr>
      <w:r>
        <w:t>The departmental impact was calculated based on the provision of a seven person team and estimates account for the net effect of indexation parameters and the efficiency dividend, in accordance with the Department of Finance’s costing practices.</w:t>
      </w:r>
    </w:p>
    <w:p w:rsidR="00EA3A8F" w:rsidRDefault="00EA3A8F" w:rsidP="00EA3A8F">
      <w:pPr>
        <w:pStyle w:val="CostingsH7"/>
      </w:pPr>
      <w:r>
        <w:t>Data sources</w:t>
      </w:r>
    </w:p>
    <w:p w:rsidR="00EA3A8F" w:rsidRDefault="00EA3A8F" w:rsidP="00EA3A8F">
      <w:pPr>
        <w:pStyle w:val="ListBullet"/>
      </w:pPr>
      <w:r>
        <w:t>The Department of Finance provided indexation and efficiency dividend parameters.</w:t>
      </w:r>
    </w:p>
    <w:p w:rsidR="00EA3A8F" w:rsidRPr="001C08CC" w:rsidRDefault="00EA3A8F" w:rsidP="00EA3A8F">
      <w:pPr>
        <w:pStyle w:val="ListBullet"/>
      </w:pPr>
      <w:r w:rsidRPr="001C08CC">
        <w:t>Senate Foreign Affairs, Defence and Trade References Committee report: Inquiry into firefighting foam contamination Part A – RAAF Base Williamtown.</w:t>
      </w:r>
    </w:p>
    <w:p w:rsidR="00EA3A8F" w:rsidRPr="001C08CC" w:rsidRDefault="006C0AA1" w:rsidP="00EA3A8F">
      <w:pPr>
        <w:pStyle w:val="ListBullet"/>
      </w:pPr>
      <w:r w:rsidRPr="001C08CC">
        <w:t xml:space="preserve">Commonwealth of Australia 2016, </w:t>
      </w:r>
      <w:r w:rsidR="00EA3A8F" w:rsidRPr="001C08CC">
        <w:rPr>
          <w:i/>
        </w:rPr>
        <w:t>2016-17 Budget</w:t>
      </w:r>
      <w:r w:rsidR="00EA3A8F" w:rsidRPr="001C08CC">
        <w:t>.</w:t>
      </w:r>
    </w:p>
    <w:p w:rsidR="00EA3A8F" w:rsidRPr="001C08CC" w:rsidRDefault="00EA3A8F" w:rsidP="00EA3A8F">
      <w:pPr>
        <w:pStyle w:val="ListBullet"/>
      </w:pPr>
      <w:r w:rsidRPr="001C08CC">
        <w:t xml:space="preserve">Medicare statistics </w:t>
      </w:r>
      <w:hyperlink r:id="rId136" w:history="1">
        <w:r w:rsidRPr="001C08CC">
          <w:rPr>
            <w:rStyle w:val="Hyperlink"/>
          </w:rPr>
          <w:t>http://medicarestatistics.humanservices.gov.au/statistics/mbs_item.jsp</w:t>
        </w:r>
      </w:hyperlink>
      <w:r w:rsidRPr="001C08CC">
        <w:t>.</w:t>
      </w:r>
    </w:p>
    <w:p w:rsidR="00EA3A8F" w:rsidRPr="001C08CC" w:rsidRDefault="00EA3A8F" w:rsidP="00EA3A8F">
      <w:pPr>
        <w:pStyle w:val="ListBullet"/>
      </w:pPr>
      <w:r w:rsidRPr="001C08CC">
        <w:t xml:space="preserve">Australian Institute of Health and Welfare, GP pathology ordering report </w:t>
      </w:r>
      <w:hyperlink r:id="rId137" w:history="1">
        <w:r w:rsidRPr="001C08CC">
          <w:rPr>
            <w:rStyle w:val="Hyperlink"/>
          </w:rPr>
          <w:t>http://www.aihw.gov.au/WorkArea/DownloadAsset.aspx?id=6442456256</w:t>
        </w:r>
      </w:hyperlink>
      <w:r w:rsidRPr="001C08CC">
        <w:t>.</w:t>
      </w:r>
    </w:p>
    <w:p w:rsidR="00EA3A8F" w:rsidRPr="001C08CC" w:rsidRDefault="00EA3A8F" w:rsidP="00EA3A8F">
      <w:pPr>
        <w:pStyle w:val="ListBullet"/>
      </w:pPr>
      <w:r w:rsidRPr="001C08CC">
        <w:rPr>
          <w:i/>
        </w:rPr>
        <w:t>Assistant Minister for Defence – Federal Government extends its support to commercial fishers in Tilligerry Creek and Fullerton Cove</w:t>
      </w:r>
      <w:r w:rsidRPr="001C08CC">
        <w:t xml:space="preserve">. Media release of 15 April 2016 </w:t>
      </w:r>
      <w:r w:rsidRPr="001C08CC">
        <w:br/>
      </w:r>
      <w:hyperlink r:id="rId138" w:history="1">
        <w:r w:rsidRPr="001C08CC">
          <w:rPr>
            <w:rStyle w:val="Hyperlink"/>
          </w:rPr>
          <w:t>http://www.minister.defence.gov.au/2016/04/15/assistant-minister-for-defence-federal-government-extends-its-support-to-commercial-fishers-in-tilligerry-creek-and-fullerton-cove/</w:t>
        </w:r>
      </w:hyperlink>
      <w:r w:rsidRPr="001C08CC">
        <w:t>.</w:t>
      </w:r>
    </w:p>
    <w:p w:rsidR="00EA3A8F" w:rsidRPr="00BB69A2" w:rsidRDefault="00EA3A8F" w:rsidP="00EA3A8F">
      <w:pPr>
        <w:pStyle w:val="ListBullet2"/>
      </w:pPr>
      <w:r w:rsidRPr="001C08CC">
        <w:t>“The Australian Government will continue to provide an Income Recovery Subsidy</w:t>
      </w:r>
      <w:r>
        <w:t xml:space="preserve"> to individuals who have experienced a loss of income as a result of closure of the fisheries.  These payments will continue for a period of eight weeks after 30 June 2016, which is when the NSW Government is due to make a decision on the current bans.”</w:t>
      </w:r>
    </w:p>
    <w:p w:rsidR="00EA3A8F" w:rsidRDefault="00EA3A8F" w:rsidP="00EA3A8F">
      <w:pPr>
        <w:pStyle w:val="Heading6"/>
        <w:numPr>
          <w:ilvl w:val="0"/>
          <w:numId w:val="10"/>
        </w:numPr>
        <w:tabs>
          <w:tab w:val="right" w:pos="1418"/>
          <w:tab w:val="right" w:pos="1701"/>
          <w:tab w:val="right" w:pos="1985"/>
        </w:tabs>
      </w:pPr>
      <w:r>
        <w:t>Attachment A: Chemical contamination at Defence sites—</w:t>
      </w:r>
      <w:r w:rsidR="0080154C">
        <w:t>financial implications</w:t>
      </w:r>
    </w:p>
    <w:p w:rsidR="00EA3A8F" w:rsidRPr="001B1F5E" w:rsidRDefault="00EA3A8F" w:rsidP="00EA3A8F">
      <w:pPr>
        <w:pStyle w:val="Caption"/>
      </w:pPr>
      <w:r w:rsidRPr="002B36F1">
        <w:t xml:space="preserve">Table </w:t>
      </w:r>
      <w:r>
        <w:t>A1</w:t>
      </w:r>
      <w:r w:rsidRPr="002B36F1">
        <w:t>:</w:t>
      </w:r>
      <w:r>
        <w:t xml:space="preserve"> Chemical contamination at Defence sites—</w:t>
      </w:r>
      <w:r w:rsidR="0080154C">
        <w:t>Financial implications</w:t>
      </w:r>
      <w:r w:rsidRPr="002B36F1">
        <w:rPr>
          <w:vertAlign w:val="superscript"/>
        </w:rPr>
        <w:t>(a)(b)</w:t>
      </w:r>
      <w:r>
        <w:rPr>
          <w:vertAlign w:val="superscript"/>
        </w:rPr>
        <w:t>(c)</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EA3A8F"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EA3A8F" w:rsidRPr="007C2713" w:rsidRDefault="00EA3A8F" w:rsidP="006A1985">
            <w:pPr>
              <w:pStyle w:val="TableText"/>
              <w:rPr>
                <w:b w:val="0"/>
              </w:rPr>
            </w:pPr>
            <w:r>
              <w:t>($)</w:t>
            </w:r>
          </w:p>
        </w:tc>
        <w:tc>
          <w:tcPr>
            <w:tcW w:w="689" w:type="pct"/>
            <w:vAlign w:val="center"/>
          </w:tcPr>
          <w:p w:rsidR="00EA3A8F" w:rsidRDefault="00EA3A8F" w:rsidP="006A1985">
            <w:pPr>
              <w:pStyle w:val="TableTextRight"/>
              <w:rPr>
                <w:b w:val="0"/>
              </w:rPr>
            </w:pPr>
            <w:r>
              <w:t>2016–17</w:t>
            </w:r>
          </w:p>
        </w:tc>
        <w:tc>
          <w:tcPr>
            <w:tcW w:w="689" w:type="pct"/>
            <w:vAlign w:val="center"/>
          </w:tcPr>
          <w:p w:rsidR="00EA3A8F" w:rsidRDefault="00EA3A8F" w:rsidP="006A1985">
            <w:pPr>
              <w:pStyle w:val="TableTextRight"/>
              <w:rPr>
                <w:b w:val="0"/>
              </w:rPr>
            </w:pPr>
            <w:r>
              <w:t>2017–18</w:t>
            </w:r>
          </w:p>
        </w:tc>
        <w:tc>
          <w:tcPr>
            <w:tcW w:w="689" w:type="pct"/>
            <w:vAlign w:val="center"/>
          </w:tcPr>
          <w:p w:rsidR="00EA3A8F" w:rsidRDefault="00EA3A8F" w:rsidP="006A1985">
            <w:pPr>
              <w:pStyle w:val="TableTextRight"/>
              <w:rPr>
                <w:b w:val="0"/>
              </w:rPr>
            </w:pPr>
            <w:r>
              <w:t>2018–19</w:t>
            </w:r>
          </w:p>
        </w:tc>
        <w:tc>
          <w:tcPr>
            <w:tcW w:w="689" w:type="pct"/>
            <w:vAlign w:val="center"/>
          </w:tcPr>
          <w:p w:rsidR="00EA3A8F" w:rsidRDefault="00EA3A8F" w:rsidP="006A1985">
            <w:pPr>
              <w:pStyle w:val="TableTextRight"/>
              <w:rPr>
                <w:b w:val="0"/>
              </w:rPr>
            </w:pPr>
            <w:r>
              <w:t>2019–20</w:t>
            </w:r>
          </w:p>
        </w:tc>
        <w:tc>
          <w:tcPr>
            <w:tcW w:w="690" w:type="pct"/>
            <w:vAlign w:val="center"/>
          </w:tcPr>
          <w:p w:rsidR="00EA3A8F" w:rsidRDefault="00EA3A8F" w:rsidP="006A1985">
            <w:pPr>
              <w:pStyle w:val="TableTextRight"/>
            </w:pPr>
            <w:r>
              <w:t>Total to 2019–20</w:t>
            </w:r>
          </w:p>
        </w:tc>
      </w:tr>
      <w:tr w:rsidR="00EA3A8F" w:rsidRPr="001B1F5E" w:rsidTr="00F7554A">
        <w:tc>
          <w:tcPr>
            <w:tcW w:w="5000" w:type="pct"/>
            <w:gridSpan w:val="6"/>
            <w:shd w:val="clear" w:color="auto" w:fill="E9ECF3" w:themeFill="accent2" w:themeFillTint="33"/>
            <w:vAlign w:val="center"/>
          </w:tcPr>
          <w:p w:rsidR="00EA3A8F" w:rsidRPr="001B1F5E" w:rsidRDefault="00EA3A8F" w:rsidP="006A1985">
            <w:pPr>
              <w:pStyle w:val="TableText"/>
              <w:rPr>
                <w:b/>
              </w:rPr>
            </w:pPr>
            <w:r w:rsidRPr="001B1F5E">
              <w:rPr>
                <w:b/>
              </w:rPr>
              <w:t>Fiscal and underlying cash balances</w:t>
            </w:r>
          </w:p>
        </w:tc>
      </w:tr>
      <w:tr w:rsidR="00EA3A8F" w:rsidRPr="00E3369A" w:rsidTr="00F7554A">
        <w:tc>
          <w:tcPr>
            <w:tcW w:w="5000" w:type="pct"/>
            <w:gridSpan w:val="6"/>
            <w:vAlign w:val="center"/>
          </w:tcPr>
          <w:p w:rsidR="00EA3A8F" w:rsidRPr="00E3369A" w:rsidRDefault="00EA3A8F" w:rsidP="006A1985">
            <w:pPr>
              <w:pStyle w:val="TableText"/>
              <w:rPr>
                <w:u w:val="single"/>
              </w:rPr>
            </w:pPr>
            <w:r w:rsidRPr="00E3369A">
              <w:rPr>
                <w:u w:val="single"/>
              </w:rPr>
              <w:t>Component 1 – Establish taskforce</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90" w:type="pct"/>
          </w:tcPr>
          <w:p w:rsidR="00EA3A8F" w:rsidRPr="00E3369A" w:rsidRDefault="00EA3A8F" w:rsidP="00184DDC">
            <w:pPr>
              <w:pStyle w:val="TableTextRight"/>
              <w:rPr>
                <w:b/>
                <w:i/>
              </w:rPr>
            </w:pPr>
            <w:r w:rsidRPr="00E3369A">
              <w:rPr>
                <w:b/>
                <w:i/>
              </w:rPr>
              <w:t>-5.3</w:t>
            </w:r>
          </w:p>
        </w:tc>
      </w:tr>
      <w:tr w:rsidR="00EA3A8F" w:rsidTr="00F7554A">
        <w:tc>
          <w:tcPr>
            <w:tcW w:w="1554" w:type="pct"/>
          </w:tcPr>
          <w:p w:rsidR="00EA3A8F" w:rsidRPr="00B2440E" w:rsidRDefault="00EA3A8F" w:rsidP="006A1985">
            <w:pPr>
              <w:pStyle w:val="TableText"/>
            </w:pPr>
            <w:r w:rsidRPr="0017320B">
              <w:t>Departmental</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89" w:type="pct"/>
          </w:tcPr>
          <w:p w:rsidR="00EA3A8F" w:rsidRPr="00E3369A" w:rsidRDefault="00EA3A8F" w:rsidP="00184DDC">
            <w:pPr>
              <w:pStyle w:val="TableTextRight"/>
              <w:rPr>
                <w:i/>
              </w:rPr>
            </w:pPr>
            <w:r w:rsidRPr="00E3369A">
              <w:rPr>
                <w:i/>
              </w:rPr>
              <w:t>-1.3</w:t>
            </w:r>
          </w:p>
        </w:tc>
        <w:tc>
          <w:tcPr>
            <w:tcW w:w="690" w:type="pct"/>
          </w:tcPr>
          <w:p w:rsidR="00EA3A8F" w:rsidRPr="00E3369A" w:rsidRDefault="00EA3A8F" w:rsidP="00184DDC">
            <w:pPr>
              <w:pStyle w:val="TableTextRight"/>
              <w:rPr>
                <w:b/>
                <w:i/>
              </w:rPr>
            </w:pPr>
            <w:r w:rsidRPr="00E3369A">
              <w:rPr>
                <w:b/>
                <w:i/>
              </w:rPr>
              <w:t>-5.3</w:t>
            </w:r>
          </w:p>
        </w:tc>
      </w:tr>
      <w:tr w:rsidR="00EA3A8F" w:rsidRPr="00E3369A" w:rsidTr="00F7554A">
        <w:tc>
          <w:tcPr>
            <w:tcW w:w="5000" w:type="pct"/>
            <w:gridSpan w:val="6"/>
            <w:vAlign w:val="center"/>
          </w:tcPr>
          <w:p w:rsidR="00EA3A8F" w:rsidRPr="00E3369A" w:rsidRDefault="00EA3A8F" w:rsidP="006A1985">
            <w:pPr>
              <w:pStyle w:val="TableText"/>
              <w:rPr>
                <w:u w:val="single"/>
              </w:rPr>
            </w:pPr>
            <w:r w:rsidRPr="00E3369A">
              <w:rPr>
                <w:u w:val="single"/>
              </w:rPr>
              <w:t>Component 2 – National voluntary blood tests</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-0.2</w:t>
            </w:r>
          </w:p>
        </w:tc>
        <w:tc>
          <w:tcPr>
            <w:tcW w:w="689" w:type="pct"/>
          </w:tcPr>
          <w:p w:rsidR="00EA3A8F" w:rsidRPr="00E3369A" w:rsidRDefault="00EA3A8F" w:rsidP="00184DDC">
            <w:pPr>
              <w:pStyle w:val="TableTextRight"/>
              <w:rPr>
                <w:i/>
              </w:rPr>
            </w:pPr>
            <w:r w:rsidRPr="00E3369A">
              <w:rPr>
                <w:i/>
              </w:rPr>
              <w:t>-0.2</w:t>
            </w:r>
          </w:p>
        </w:tc>
        <w:tc>
          <w:tcPr>
            <w:tcW w:w="689" w:type="pct"/>
          </w:tcPr>
          <w:p w:rsidR="00EA3A8F" w:rsidRPr="00E3369A" w:rsidRDefault="00EA3A8F" w:rsidP="00184DDC">
            <w:pPr>
              <w:pStyle w:val="TableTextRight"/>
              <w:rPr>
                <w:i/>
              </w:rPr>
            </w:pPr>
            <w:r w:rsidRPr="00E3369A">
              <w:rPr>
                <w:i/>
              </w:rPr>
              <w:t>-0.2</w:t>
            </w:r>
          </w:p>
        </w:tc>
        <w:tc>
          <w:tcPr>
            <w:tcW w:w="689" w:type="pct"/>
          </w:tcPr>
          <w:p w:rsidR="00EA3A8F" w:rsidRPr="00E3369A" w:rsidRDefault="00EA3A8F" w:rsidP="00184DDC">
            <w:pPr>
              <w:pStyle w:val="TableTextRight"/>
              <w:rPr>
                <w:i/>
              </w:rPr>
            </w:pPr>
            <w:r w:rsidRPr="00E3369A">
              <w:rPr>
                <w:i/>
              </w:rPr>
              <w:t>-0.2</w:t>
            </w:r>
          </w:p>
        </w:tc>
        <w:tc>
          <w:tcPr>
            <w:tcW w:w="690" w:type="pct"/>
          </w:tcPr>
          <w:p w:rsidR="00EA3A8F" w:rsidRPr="00E3369A" w:rsidRDefault="00EA3A8F" w:rsidP="00184DDC">
            <w:pPr>
              <w:pStyle w:val="TableTextRight"/>
              <w:rPr>
                <w:b/>
                <w:i/>
              </w:rPr>
            </w:pPr>
            <w:r w:rsidRPr="00E3369A">
              <w:rPr>
                <w:b/>
                <w:i/>
              </w:rPr>
              <w:t>-0.8</w:t>
            </w:r>
          </w:p>
        </w:tc>
      </w:tr>
      <w:tr w:rsidR="00EA3A8F" w:rsidTr="00F7554A">
        <w:tc>
          <w:tcPr>
            <w:tcW w:w="1554" w:type="pct"/>
          </w:tcPr>
          <w:p w:rsidR="00EA3A8F" w:rsidRPr="00B2440E" w:rsidRDefault="00EA3A8F" w:rsidP="006A1985">
            <w:pPr>
              <w:pStyle w:val="TableText"/>
            </w:pPr>
            <w:r w:rsidRPr="0017320B">
              <w:t>Departmental</w:t>
            </w:r>
          </w:p>
        </w:tc>
        <w:tc>
          <w:tcPr>
            <w:tcW w:w="689" w:type="pct"/>
          </w:tcPr>
          <w:p w:rsidR="00EA3A8F" w:rsidRPr="00E3369A" w:rsidRDefault="00EA3A8F" w:rsidP="00184DDC">
            <w:pPr>
              <w:pStyle w:val="TableTextRight"/>
              <w:rPr>
                <w:i/>
              </w:rPr>
            </w:pPr>
            <w:r w:rsidRPr="00E3369A">
              <w:rPr>
                <w:i/>
              </w:rPr>
              <w:t>-0.1</w:t>
            </w:r>
          </w:p>
        </w:tc>
        <w:tc>
          <w:tcPr>
            <w:tcW w:w="689" w:type="pct"/>
          </w:tcPr>
          <w:p w:rsidR="00EA3A8F" w:rsidRPr="00E3369A" w:rsidRDefault="00EA3A8F" w:rsidP="00184DDC">
            <w:pPr>
              <w:pStyle w:val="TableTextRight"/>
              <w:rPr>
                <w:i/>
              </w:rPr>
            </w:pPr>
            <w:r w:rsidRPr="00E3369A">
              <w:rPr>
                <w:i/>
              </w:rPr>
              <w:t>-0.1</w:t>
            </w:r>
          </w:p>
        </w:tc>
        <w:tc>
          <w:tcPr>
            <w:tcW w:w="689" w:type="pct"/>
          </w:tcPr>
          <w:p w:rsidR="00EA3A8F" w:rsidRPr="00E3369A" w:rsidRDefault="00EA3A8F" w:rsidP="00184DDC">
            <w:pPr>
              <w:pStyle w:val="TableTextRight"/>
              <w:rPr>
                <w:i/>
              </w:rPr>
            </w:pPr>
            <w:r w:rsidRPr="00E3369A">
              <w:rPr>
                <w:i/>
              </w:rPr>
              <w:t>-0.1</w:t>
            </w:r>
          </w:p>
        </w:tc>
        <w:tc>
          <w:tcPr>
            <w:tcW w:w="689" w:type="pct"/>
          </w:tcPr>
          <w:p w:rsidR="00EA3A8F" w:rsidRPr="00E3369A" w:rsidRDefault="00EA3A8F" w:rsidP="00184DDC">
            <w:pPr>
              <w:pStyle w:val="TableTextRight"/>
              <w:rPr>
                <w:i/>
              </w:rPr>
            </w:pPr>
            <w:r w:rsidRPr="00E3369A">
              <w:rPr>
                <w:i/>
              </w:rPr>
              <w:t>-0.1</w:t>
            </w:r>
          </w:p>
        </w:tc>
        <w:tc>
          <w:tcPr>
            <w:tcW w:w="690" w:type="pct"/>
          </w:tcPr>
          <w:p w:rsidR="00EA3A8F" w:rsidRPr="00E3369A" w:rsidRDefault="00EA3A8F" w:rsidP="00184DDC">
            <w:pPr>
              <w:pStyle w:val="TableTextRight"/>
              <w:rPr>
                <w:b/>
                <w:i/>
              </w:rPr>
            </w:pPr>
            <w:r w:rsidRPr="00E3369A">
              <w:rPr>
                <w:b/>
                <w:i/>
              </w:rPr>
              <w:t>-0.3</w:t>
            </w:r>
          </w:p>
        </w:tc>
      </w:tr>
      <w:tr w:rsidR="00EA3A8F" w:rsidTr="00F7554A">
        <w:tc>
          <w:tcPr>
            <w:tcW w:w="5000" w:type="pct"/>
            <w:gridSpan w:val="6"/>
            <w:vAlign w:val="center"/>
          </w:tcPr>
          <w:p w:rsidR="00EA3A8F" w:rsidRPr="00ED1D90" w:rsidRDefault="00EA3A8F" w:rsidP="006A1985">
            <w:pPr>
              <w:pStyle w:val="TableText"/>
              <w:rPr>
                <w:u w:val="single"/>
              </w:rPr>
            </w:pPr>
            <w:r w:rsidRPr="00ED1D90">
              <w:rPr>
                <w:u w:val="single"/>
              </w:rPr>
              <w:t>Component 3 – Health study</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-0.5</w:t>
            </w:r>
          </w:p>
        </w:tc>
        <w:tc>
          <w:tcPr>
            <w:tcW w:w="689" w:type="pct"/>
          </w:tcPr>
          <w:p w:rsidR="00EA3A8F" w:rsidRPr="00E3369A" w:rsidRDefault="00EA3A8F" w:rsidP="00184DDC">
            <w:pPr>
              <w:pStyle w:val="TableTextRight"/>
              <w:rPr>
                <w:i/>
              </w:rPr>
            </w:pPr>
            <w:r w:rsidRPr="00E3369A">
              <w:rPr>
                <w:i/>
              </w:rPr>
              <w:t>-0.5</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90" w:type="pct"/>
          </w:tcPr>
          <w:p w:rsidR="00EA3A8F" w:rsidRPr="00E3369A" w:rsidRDefault="00EA3A8F" w:rsidP="00184DDC">
            <w:pPr>
              <w:pStyle w:val="TableTextRight"/>
              <w:rPr>
                <w:b/>
                <w:i/>
              </w:rPr>
            </w:pPr>
            <w:r w:rsidRPr="00E3369A">
              <w:rPr>
                <w:b/>
                <w:i/>
              </w:rPr>
              <w:t>-1.0</w:t>
            </w:r>
          </w:p>
        </w:tc>
      </w:tr>
      <w:tr w:rsidR="00EA3A8F" w:rsidRPr="00E3369A" w:rsidTr="00F7554A">
        <w:tc>
          <w:tcPr>
            <w:tcW w:w="5000" w:type="pct"/>
            <w:gridSpan w:val="6"/>
            <w:vAlign w:val="center"/>
          </w:tcPr>
          <w:p w:rsidR="00EA3A8F" w:rsidRPr="00E3369A" w:rsidRDefault="00EA3A8F" w:rsidP="006A1985">
            <w:pPr>
              <w:pStyle w:val="TableText"/>
              <w:rPr>
                <w:u w:val="single"/>
              </w:rPr>
            </w:pPr>
            <w:r w:rsidRPr="00E3369A">
              <w:rPr>
                <w:u w:val="single"/>
              </w:rPr>
              <w:t>Component 4 – Connection to town water</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-4.0</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90" w:type="pct"/>
          </w:tcPr>
          <w:p w:rsidR="00EA3A8F" w:rsidRPr="00E3369A" w:rsidRDefault="00EA3A8F" w:rsidP="00184DDC">
            <w:pPr>
              <w:pStyle w:val="TableTextRight"/>
              <w:rPr>
                <w:b/>
                <w:i/>
              </w:rPr>
            </w:pPr>
            <w:r w:rsidRPr="00E3369A">
              <w:rPr>
                <w:b/>
                <w:i/>
              </w:rPr>
              <w:t>-4.0</w:t>
            </w:r>
          </w:p>
        </w:tc>
      </w:tr>
      <w:tr w:rsidR="00EA3A8F" w:rsidRPr="00E3369A" w:rsidTr="00F7554A">
        <w:tc>
          <w:tcPr>
            <w:tcW w:w="5000" w:type="pct"/>
            <w:gridSpan w:val="6"/>
            <w:vAlign w:val="center"/>
          </w:tcPr>
          <w:p w:rsidR="00EA3A8F" w:rsidRPr="00E3369A" w:rsidRDefault="00EA3A8F" w:rsidP="006A1985">
            <w:pPr>
              <w:pStyle w:val="TableText"/>
              <w:rPr>
                <w:u w:val="single"/>
              </w:rPr>
            </w:pPr>
            <w:r w:rsidRPr="00E3369A">
              <w:rPr>
                <w:u w:val="single"/>
              </w:rPr>
              <w:t>Component 5 – Extend income support payments</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-0.9</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90" w:type="pct"/>
          </w:tcPr>
          <w:p w:rsidR="00EA3A8F" w:rsidRPr="00E3369A" w:rsidRDefault="00EA3A8F" w:rsidP="00184DDC">
            <w:pPr>
              <w:pStyle w:val="TableTextRight"/>
              <w:rPr>
                <w:b/>
                <w:i/>
              </w:rPr>
            </w:pPr>
            <w:r w:rsidRPr="00E3369A">
              <w:rPr>
                <w:b/>
                <w:i/>
              </w:rPr>
              <w:t>-0.9</w:t>
            </w:r>
          </w:p>
        </w:tc>
      </w:tr>
      <w:tr w:rsidR="00EA3A8F" w:rsidTr="00F7554A">
        <w:tc>
          <w:tcPr>
            <w:tcW w:w="1554" w:type="pct"/>
          </w:tcPr>
          <w:p w:rsidR="00EA3A8F" w:rsidRPr="00B2440E" w:rsidRDefault="00EA3A8F" w:rsidP="006A1985">
            <w:pPr>
              <w:pStyle w:val="TableText"/>
            </w:pPr>
            <w:r w:rsidRPr="0017320B">
              <w:t>Departmental</w:t>
            </w:r>
          </w:p>
        </w:tc>
        <w:tc>
          <w:tcPr>
            <w:tcW w:w="689" w:type="pct"/>
          </w:tcPr>
          <w:p w:rsidR="00EA3A8F" w:rsidRPr="00E3369A" w:rsidRDefault="00EA3A8F" w:rsidP="00184DDC">
            <w:pPr>
              <w:pStyle w:val="TableTextRight"/>
              <w:rPr>
                <w:i/>
              </w:rPr>
            </w:pPr>
            <w:r w:rsidRPr="00E3369A">
              <w:rPr>
                <w:i/>
              </w:rPr>
              <w:t>-0.1</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89" w:type="pct"/>
          </w:tcPr>
          <w:p w:rsidR="00EA3A8F" w:rsidRPr="00E3369A" w:rsidRDefault="00EA3A8F" w:rsidP="006A1985">
            <w:pPr>
              <w:pStyle w:val="TableTextRight"/>
              <w:rPr>
                <w:i/>
              </w:rPr>
            </w:pPr>
            <w:r w:rsidRPr="00E3369A">
              <w:rPr>
                <w:i/>
              </w:rPr>
              <w:t>-</w:t>
            </w:r>
          </w:p>
        </w:tc>
        <w:tc>
          <w:tcPr>
            <w:tcW w:w="690" w:type="pct"/>
          </w:tcPr>
          <w:p w:rsidR="00EA3A8F" w:rsidRPr="00E3369A" w:rsidRDefault="00EA3A8F" w:rsidP="00184DDC">
            <w:pPr>
              <w:pStyle w:val="TableTextRight"/>
              <w:rPr>
                <w:b/>
                <w:i/>
              </w:rPr>
            </w:pPr>
            <w:r w:rsidRPr="00E3369A">
              <w:rPr>
                <w:b/>
                <w:i/>
              </w:rPr>
              <w:t>-0.1</w:t>
            </w:r>
          </w:p>
        </w:tc>
      </w:tr>
      <w:tr w:rsidR="00EA3A8F" w:rsidRPr="00E3369A" w:rsidTr="00F7554A">
        <w:tc>
          <w:tcPr>
            <w:tcW w:w="5000" w:type="pct"/>
            <w:gridSpan w:val="6"/>
            <w:vAlign w:val="center"/>
          </w:tcPr>
          <w:p w:rsidR="00EA3A8F" w:rsidRPr="00E3369A" w:rsidRDefault="00EA3A8F" w:rsidP="006A1985">
            <w:pPr>
              <w:pStyle w:val="TableText"/>
              <w:rPr>
                <w:u w:val="single"/>
              </w:rPr>
            </w:pPr>
            <w:r w:rsidRPr="00E3369A">
              <w:rPr>
                <w:u w:val="single"/>
              </w:rPr>
              <w:t>Component 8 – Defence Liaison Group</w:t>
            </w:r>
          </w:p>
        </w:tc>
      </w:tr>
      <w:tr w:rsidR="00EA3A8F" w:rsidTr="00F7554A">
        <w:tc>
          <w:tcPr>
            <w:tcW w:w="1554" w:type="pct"/>
          </w:tcPr>
          <w:p w:rsidR="00EA3A8F" w:rsidRPr="00B2440E" w:rsidRDefault="00EA3A8F" w:rsidP="006A1985">
            <w:pPr>
              <w:pStyle w:val="TableText"/>
            </w:pPr>
            <w:r w:rsidRPr="0017320B">
              <w:t>Departmental</w:t>
            </w:r>
          </w:p>
        </w:tc>
        <w:tc>
          <w:tcPr>
            <w:tcW w:w="689" w:type="pct"/>
          </w:tcPr>
          <w:p w:rsidR="00EA3A8F" w:rsidRPr="00E3369A" w:rsidRDefault="00EA3A8F" w:rsidP="006A1985">
            <w:pPr>
              <w:pStyle w:val="TableTextRight"/>
              <w:rPr>
                <w:i/>
              </w:rPr>
            </w:pPr>
            <w:r w:rsidRPr="00E3369A">
              <w:rPr>
                <w:i/>
              </w:rPr>
              <w:t>-1.0</w:t>
            </w:r>
          </w:p>
        </w:tc>
        <w:tc>
          <w:tcPr>
            <w:tcW w:w="689" w:type="pct"/>
          </w:tcPr>
          <w:p w:rsidR="00EA3A8F" w:rsidRPr="00E3369A" w:rsidRDefault="00EA3A8F" w:rsidP="006A1985">
            <w:pPr>
              <w:pStyle w:val="TableTextRight"/>
              <w:rPr>
                <w:i/>
              </w:rPr>
            </w:pPr>
            <w:r w:rsidRPr="00E3369A">
              <w:rPr>
                <w:i/>
              </w:rPr>
              <w:t>-1.0</w:t>
            </w:r>
          </w:p>
        </w:tc>
        <w:tc>
          <w:tcPr>
            <w:tcW w:w="689" w:type="pct"/>
          </w:tcPr>
          <w:p w:rsidR="00EA3A8F" w:rsidRPr="00E3369A" w:rsidRDefault="00EA3A8F" w:rsidP="006A1985">
            <w:pPr>
              <w:pStyle w:val="TableTextRight"/>
              <w:rPr>
                <w:i/>
              </w:rPr>
            </w:pPr>
            <w:r w:rsidRPr="00E3369A">
              <w:rPr>
                <w:i/>
              </w:rPr>
              <w:t>-1.0</w:t>
            </w:r>
          </w:p>
        </w:tc>
        <w:tc>
          <w:tcPr>
            <w:tcW w:w="689" w:type="pct"/>
          </w:tcPr>
          <w:p w:rsidR="00EA3A8F" w:rsidRPr="00E3369A" w:rsidRDefault="00EA3A8F" w:rsidP="006A1985">
            <w:pPr>
              <w:pStyle w:val="TableTextRight"/>
              <w:rPr>
                <w:i/>
              </w:rPr>
            </w:pPr>
            <w:r w:rsidRPr="00E3369A">
              <w:rPr>
                <w:i/>
              </w:rPr>
              <w:t>-1.0</w:t>
            </w:r>
          </w:p>
        </w:tc>
        <w:tc>
          <w:tcPr>
            <w:tcW w:w="690" w:type="pct"/>
          </w:tcPr>
          <w:p w:rsidR="00EA3A8F" w:rsidRPr="00E3369A" w:rsidRDefault="00EA3A8F" w:rsidP="006A1985">
            <w:pPr>
              <w:pStyle w:val="TableTextRight"/>
              <w:rPr>
                <w:b/>
                <w:i/>
              </w:rPr>
            </w:pPr>
            <w:r w:rsidRPr="00E3369A">
              <w:rPr>
                <w:b/>
                <w:i/>
              </w:rPr>
              <w:t>-4.0</w:t>
            </w:r>
          </w:p>
        </w:tc>
      </w:tr>
      <w:tr w:rsidR="00EA3A8F" w:rsidRPr="00E3369A" w:rsidTr="00F7554A">
        <w:tc>
          <w:tcPr>
            <w:tcW w:w="5000" w:type="pct"/>
            <w:gridSpan w:val="6"/>
            <w:vAlign w:val="center"/>
          </w:tcPr>
          <w:p w:rsidR="00EA3A8F" w:rsidRPr="00E3369A" w:rsidRDefault="00EA3A8F" w:rsidP="006A1985">
            <w:pPr>
              <w:pStyle w:val="TableText"/>
              <w:rPr>
                <w:b/>
              </w:rPr>
            </w:pPr>
            <w:r w:rsidRPr="00E3369A">
              <w:rPr>
                <w:b/>
              </w:rPr>
              <w:t>Total of all components</w:t>
            </w:r>
          </w:p>
        </w:tc>
      </w:tr>
      <w:tr w:rsidR="00EA3A8F" w:rsidTr="00F7554A">
        <w:tc>
          <w:tcPr>
            <w:tcW w:w="1554" w:type="pct"/>
          </w:tcPr>
          <w:p w:rsidR="00EA3A8F" w:rsidRPr="00B2440E" w:rsidRDefault="00EA3A8F" w:rsidP="006A1985">
            <w:pPr>
              <w:pStyle w:val="TableText"/>
            </w:pPr>
            <w:r w:rsidRPr="0017320B">
              <w:t>Administered</w:t>
            </w:r>
          </w:p>
        </w:tc>
        <w:tc>
          <w:tcPr>
            <w:tcW w:w="689" w:type="pct"/>
          </w:tcPr>
          <w:p w:rsidR="00EA3A8F" w:rsidRPr="00E3369A" w:rsidRDefault="00EA3A8F" w:rsidP="00184DDC">
            <w:pPr>
              <w:pStyle w:val="TableTextRight"/>
              <w:rPr>
                <w:i/>
              </w:rPr>
            </w:pPr>
            <w:r w:rsidRPr="00E3369A">
              <w:rPr>
                <w:i/>
              </w:rPr>
              <w:t>-6.9</w:t>
            </w:r>
          </w:p>
        </w:tc>
        <w:tc>
          <w:tcPr>
            <w:tcW w:w="689" w:type="pct"/>
          </w:tcPr>
          <w:p w:rsidR="00EA3A8F" w:rsidRPr="00E3369A" w:rsidRDefault="00EA3A8F" w:rsidP="00184DDC">
            <w:pPr>
              <w:pStyle w:val="TableTextRight"/>
              <w:rPr>
                <w:i/>
              </w:rPr>
            </w:pPr>
            <w:r w:rsidRPr="00E3369A">
              <w:rPr>
                <w:i/>
              </w:rPr>
              <w:t>-2.0</w:t>
            </w:r>
          </w:p>
        </w:tc>
        <w:tc>
          <w:tcPr>
            <w:tcW w:w="689" w:type="pct"/>
          </w:tcPr>
          <w:p w:rsidR="00EA3A8F" w:rsidRPr="00E3369A" w:rsidRDefault="00EA3A8F" w:rsidP="00184DDC">
            <w:pPr>
              <w:pStyle w:val="TableTextRight"/>
              <w:rPr>
                <w:i/>
              </w:rPr>
            </w:pPr>
            <w:r w:rsidRPr="00E3369A">
              <w:rPr>
                <w:i/>
              </w:rPr>
              <w:t>-1.5</w:t>
            </w:r>
          </w:p>
        </w:tc>
        <w:tc>
          <w:tcPr>
            <w:tcW w:w="689" w:type="pct"/>
          </w:tcPr>
          <w:p w:rsidR="00EA3A8F" w:rsidRPr="00E3369A" w:rsidRDefault="00EA3A8F" w:rsidP="00184DDC">
            <w:pPr>
              <w:pStyle w:val="TableTextRight"/>
              <w:rPr>
                <w:i/>
              </w:rPr>
            </w:pPr>
            <w:r w:rsidRPr="00E3369A">
              <w:rPr>
                <w:i/>
              </w:rPr>
              <w:t>-1.5</w:t>
            </w:r>
          </w:p>
        </w:tc>
        <w:tc>
          <w:tcPr>
            <w:tcW w:w="690" w:type="pct"/>
          </w:tcPr>
          <w:p w:rsidR="00EA3A8F" w:rsidRPr="00E3369A" w:rsidRDefault="00EA3A8F" w:rsidP="00184DDC">
            <w:pPr>
              <w:pStyle w:val="TableTextRight"/>
              <w:rPr>
                <w:b/>
                <w:i/>
              </w:rPr>
            </w:pPr>
            <w:r w:rsidRPr="00E3369A">
              <w:rPr>
                <w:b/>
                <w:i/>
              </w:rPr>
              <w:t>-12.0</w:t>
            </w:r>
          </w:p>
        </w:tc>
      </w:tr>
      <w:tr w:rsidR="00EA3A8F" w:rsidTr="00F7554A">
        <w:tc>
          <w:tcPr>
            <w:tcW w:w="1554" w:type="pct"/>
          </w:tcPr>
          <w:p w:rsidR="00EA3A8F" w:rsidRPr="00B2440E" w:rsidRDefault="00EA3A8F" w:rsidP="006A1985">
            <w:pPr>
              <w:pStyle w:val="TableText"/>
            </w:pPr>
            <w:r w:rsidRPr="0017320B">
              <w:t>Departmental</w:t>
            </w:r>
          </w:p>
        </w:tc>
        <w:tc>
          <w:tcPr>
            <w:tcW w:w="689" w:type="pct"/>
          </w:tcPr>
          <w:p w:rsidR="00EA3A8F" w:rsidRPr="00E3369A" w:rsidRDefault="00EA3A8F" w:rsidP="00184DDC">
            <w:pPr>
              <w:pStyle w:val="TableTextRight"/>
              <w:rPr>
                <w:i/>
              </w:rPr>
            </w:pPr>
            <w:r w:rsidRPr="00E3369A">
              <w:rPr>
                <w:i/>
              </w:rPr>
              <w:t>-2.5</w:t>
            </w:r>
          </w:p>
        </w:tc>
        <w:tc>
          <w:tcPr>
            <w:tcW w:w="689" w:type="pct"/>
          </w:tcPr>
          <w:p w:rsidR="00EA3A8F" w:rsidRPr="00E3369A" w:rsidRDefault="00EA3A8F" w:rsidP="00184DDC">
            <w:pPr>
              <w:pStyle w:val="TableTextRight"/>
              <w:rPr>
                <w:i/>
              </w:rPr>
            </w:pPr>
            <w:r w:rsidRPr="00E3369A">
              <w:rPr>
                <w:i/>
              </w:rPr>
              <w:t>-2.4</w:t>
            </w:r>
          </w:p>
        </w:tc>
        <w:tc>
          <w:tcPr>
            <w:tcW w:w="689" w:type="pct"/>
          </w:tcPr>
          <w:p w:rsidR="00EA3A8F" w:rsidRPr="00E3369A" w:rsidRDefault="00EA3A8F" w:rsidP="00184DDC">
            <w:pPr>
              <w:pStyle w:val="TableTextRight"/>
              <w:rPr>
                <w:i/>
              </w:rPr>
            </w:pPr>
            <w:r w:rsidRPr="00E3369A">
              <w:rPr>
                <w:i/>
              </w:rPr>
              <w:t>-2.4</w:t>
            </w:r>
          </w:p>
        </w:tc>
        <w:tc>
          <w:tcPr>
            <w:tcW w:w="689" w:type="pct"/>
          </w:tcPr>
          <w:p w:rsidR="00EA3A8F" w:rsidRPr="00E3369A" w:rsidRDefault="00EA3A8F" w:rsidP="00184DDC">
            <w:pPr>
              <w:pStyle w:val="TableTextRight"/>
              <w:rPr>
                <w:i/>
              </w:rPr>
            </w:pPr>
            <w:r w:rsidRPr="00E3369A">
              <w:rPr>
                <w:i/>
              </w:rPr>
              <w:t>-2.4</w:t>
            </w:r>
          </w:p>
        </w:tc>
        <w:tc>
          <w:tcPr>
            <w:tcW w:w="690" w:type="pct"/>
          </w:tcPr>
          <w:p w:rsidR="00EA3A8F" w:rsidRPr="00E3369A" w:rsidRDefault="00EA3A8F" w:rsidP="00184DDC">
            <w:pPr>
              <w:pStyle w:val="TableTextRight"/>
              <w:rPr>
                <w:b/>
                <w:i/>
              </w:rPr>
            </w:pPr>
            <w:r w:rsidRPr="00E3369A">
              <w:rPr>
                <w:b/>
                <w:i/>
              </w:rPr>
              <w:t>-9.7</w:t>
            </w:r>
          </w:p>
        </w:tc>
      </w:tr>
      <w:tr w:rsidR="00EA3A8F" w:rsidRPr="007C2713" w:rsidTr="00F7554A">
        <w:tc>
          <w:tcPr>
            <w:tcW w:w="1554" w:type="pct"/>
            <w:shd w:val="clear" w:color="auto" w:fill="D7DDE9" w:themeFill="accent3"/>
            <w:vAlign w:val="center"/>
          </w:tcPr>
          <w:p w:rsidR="00EA3A8F" w:rsidRPr="007C2713" w:rsidRDefault="00EA3A8F" w:rsidP="006A1985">
            <w:pPr>
              <w:pStyle w:val="TableText"/>
              <w:rPr>
                <w:b/>
              </w:rPr>
            </w:pPr>
            <w:r w:rsidRPr="007C2713">
              <w:rPr>
                <w:b/>
              </w:rPr>
              <w:t>Total</w:t>
            </w:r>
          </w:p>
        </w:tc>
        <w:tc>
          <w:tcPr>
            <w:tcW w:w="689" w:type="pct"/>
            <w:shd w:val="clear" w:color="auto" w:fill="D7DDE9" w:themeFill="accent3"/>
          </w:tcPr>
          <w:p w:rsidR="00EA3A8F" w:rsidRPr="00E3369A" w:rsidRDefault="00EA3A8F" w:rsidP="00184DDC">
            <w:pPr>
              <w:pStyle w:val="TableTextRight"/>
              <w:rPr>
                <w:b/>
              </w:rPr>
            </w:pPr>
            <w:r w:rsidRPr="00E3369A">
              <w:rPr>
                <w:b/>
              </w:rPr>
              <w:t>-9.4</w:t>
            </w:r>
          </w:p>
        </w:tc>
        <w:tc>
          <w:tcPr>
            <w:tcW w:w="689" w:type="pct"/>
            <w:shd w:val="clear" w:color="auto" w:fill="D7DDE9" w:themeFill="accent3"/>
          </w:tcPr>
          <w:p w:rsidR="00EA3A8F" w:rsidRPr="00E3369A" w:rsidRDefault="00EA3A8F" w:rsidP="00184DDC">
            <w:pPr>
              <w:pStyle w:val="TableTextRight"/>
              <w:rPr>
                <w:b/>
              </w:rPr>
            </w:pPr>
            <w:r w:rsidRPr="00E3369A">
              <w:rPr>
                <w:b/>
              </w:rPr>
              <w:t>-4.4</w:t>
            </w:r>
          </w:p>
        </w:tc>
        <w:tc>
          <w:tcPr>
            <w:tcW w:w="689" w:type="pct"/>
            <w:shd w:val="clear" w:color="auto" w:fill="D7DDE9" w:themeFill="accent3"/>
          </w:tcPr>
          <w:p w:rsidR="00EA3A8F" w:rsidRPr="00E3369A" w:rsidRDefault="00EA3A8F" w:rsidP="00184DDC">
            <w:pPr>
              <w:pStyle w:val="TableTextRight"/>
              <w:rPr>
                <w:b/>
              </w:rPr>
            </w:pPr>
            <w:r w:rsidRPr="00E3369A">
              <w:rPr>
                <w:b/>
              </w:rPr>
              <w:t>-3.9</w:t>
            </w:r>
          </w:p>
        </w:tc>
        <w:tc>
          <w:tcPr>
            <w:tcW w:w="689" w:type="pct"/>
            <w:shd w:val="clear" w:color="auto" w:fill="D7DDE9" w:themeFill="accent3"/>
          </w:tcPr>
          <w:p w:rsidR="00EA3A8F" w:rsidRPr="00E3369A" w:rsidRDefault="00EA3A8F" w:rsidP="00184DDC">
            <w:pPr>
              <w:pStyle w:val="TableTextRight"/>
              <w:rPr>
                <w:b/>
              </w:rPr>
            </w:pPr>
            <w:r w:rsidRPr="00E3369A">
              <w:rPr>
                <w:b/>
              </w:rPr>
              <w:t>-3.9</w:t>
            </w:r>
          </w:p>
        </w:tc>
        <w:tc>
          <w:tcPr>
            <w:tcW w:w="690" w:type="pct"/>
            <w:shd w:val="clear" w:color="auto" w:fill="D7DDE9" w:themeFill="accent3"/>
          </w:tcPr>
          <w:p w:rsidR="00EA3A8F" w:rsidRPr="00E3369A" w:rsidRDefault="00EA3A8F" w:rsidP="00184DDC">
            <w:pPr>
              <w:pStyle w:val="TableTextRight"/>
              <w:rPr>
                <w:b/>
              </w:rPr>
            </w:pPr>
            <w:r w:rsidRPr="00E3369A">
              <w:rPr>
                <w:b/>
              </w:rPr>
              <w:t>-21.7</w:t>
            </w:r>
          </w:p>
        </w:tc>
      </w:tr>
    </w:tbl>
    <w:p w:rsidR="00EA3A8F" w:rsidRDefault="00EA3A8F" w:rsidP="002C43F8">
      <w:pPr>
        <w:pStyle w:val="Footnotes"/>
        <w:numPr>
          <w:ilvl w:val="0"/>
          <w:numId w:val="114"/>
        </w:numPr>
        <w:spacing w:before="113"/>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EA3A8F" w:rsidRDefault="00EA3A8F" w:rsidP="00184DDC">
      <w:pPr>
        <w:pStyle w:val="Footnotes"/>
        <w:spacing w:after="120"/>
        <w:ind w:left="284" w:hanging="284"/>
      </w:pPr>
      <w:r w:rsidRPr="005F544A">
        <w:t>Figures may not sum to totals due to rounding.</w:t>
      </w:r>
    </w:p>
    <w:p w:rsidR="00EA3A8F" w:rsidRPr="005F544A" w:rsidRDefault="00EA3A8F" w:rsidP="00184DDC">
      <w:pPr>
        <w:pStyle w:val="Footnotes"/>
        <w:ind w:left="284" w:hanging="284"/>
      </w:pPr>
      <w:r>
        <w:t>Components 6 and 7 have a nil impact.</w:t>
      </w:r>
    </w:p>
    <w:p w:rsidR="00420CF4" w:rsidRPr="00951305" w:rsidRDefault="00EA3A8F" w:rsidP="00EA3A8F">
      <w:pPr>
        <w:pStyle w:val="Footnotes"/>
        <w:numPr>
          <w:ilvl w:val="0"/>
          <w:numId w:val="0"/>
        </w:numPr>
        <w:ind w:left="284" w:hanging="284"/>
      </w:pPr>
      <w:r w:rsidRPr="005F544A">
        <w:t>-</w:t>
      </w:r>
      <w:r w:rsidRPr="005F544A">
        <w:tab/>
        <w:t>Indicates nil.</w:t>
      </w:r>
    </w:p>
    <w:p w:rsidR="00420CF4" w:rsidRDefault="00420CF4" w:rsidP="00420CF4">
      <w:pPr>
        <w:pStyle w:val="BodyText"/>
        <w:sectPr w:rsidR="00420CF4" w:rsidSect="004222D6">
          <w:headerReference w:type="even" r:id="rId139"/>
          <w:headerReference w:type="default" r:id="rId140"/>
          <w:footerReference w:type="even" r:id="rId141"/>
          <w:footerReference w:type="default" r:id="rId142"/>
          <w:footnotePr>
            <w:numRestart w:val="eachSect"/>
          </w:footnotePr>
          <w:pgSz w:w="11906" w:h="16838" w:code="9"/>
          <w:pgMar w:top="1361" w:right="1797" w:bottom="1474" w:left="1797" w:header="283" w:footer="454" w:gutter="0"/>
          <w:cols w:space="708"/>
          <w:docGrid w:linePitch="360"/>
        </w:sectPr>
      </w:pPr>
    </w:p>
    <w:p w:rsidR="00EA3A8F" w:rsidRDefault="00A00D61" w:rsidP="00EA3A8F">
      <w:pPr>
        <w:pStyle w:val="Heading5"/>
        <w:ind w:left="1080" w:hanging="1080"/>
      </w:pPr>
      <w:bookmarkStart w:id="54" w:name="_Toc455655003"/>
      <w:bookmarkStart w:id="55" w:name="_Toc458081673"/>
      <w:r>
        <w:t>ALP049</w:t>
      </w:r>
      <w:r w:rsidR="00EA3A8F">
        <w:t>: Foreign Aid – stopping the clock</w:t>
      </w:r>
      <w:bookmarkEnd w:id="54"/>
      <w:bookmarkEnd w:id="55"/>
    </w:p>
    <w:p w:rsidR="00EA3A8F" w:rsidRDefault="00EA3A8F" w:rsidP="00967B83">
      <w:pPr>
        <w:pStyle w:val="BodyText"/>
      </w:pPr>
      <w:r>
        <w:rPr>
          <w:noProof/>
          <w:lang w:eastAsia="en-AU"/>
        </w:rPr>
        <w:drawing>
          <wp:inline distT="0" distB="0" distL="0" distR="0" wp14:anchorId="3CB905EF" wp14:editId="212568B5">
            <wp:extent cx="2696845" cy="572135"/>
            <wp:effectExtent l="0" t="0" r="8255" b="0"/>
            <wp:docPr id="21" name="Picture 2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EA3A8F" w:rsidRDefault="00EA3A8F" w:rsidP="00EA3A8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EA3A8F"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EA3A8F" w:rsidRPr="00A71F7B" w:rsidRDefault="00EA3A8F" w:rsidP="006A1985">
            <w:pPr>
              <w:pStyle w:val="PullOutBoxHeading"/>
              <w:rPr>
                <w:b/>
              </w:rPr>
            </w:pPr>
            <w:r w:rsidRPr="00A71F7B">
              <w:rPr>
                <w:b/>
              </w:rPr>
              <w:t>Name of proposal:</w:t>
            </w:r>
          </w:p>
        </w:tc>
        <w:tc>
          <w:tcPr>
            <w:tcW w:w="3191" w:type="pct"/>
          </w:tcPr>
          <w:p w:rsidR="00EA3A8F" w:rsidRPr="00A71F7B" w:rsidRDefault="00EA3A8F" w:rsidP="006A1985">
            <w:pPr>
              <w:pStyle w:val="PullOutBoxHeading"/>
              <w:rPr>
                <w:b/>
              </w:rPr>
            </w:pPr>
            <w:r w:rsidRPr="00A71F7B">
              <w:rPr>
                <w:b/>
              </w:rPr>
              <w:t>Foreign Aid – stopping the clock</w:t>
            </w:r>
          </w:p>
        </w:tc>
      </w:tr>
      <w:tr w:rsidR="00EA3A8F" w:rsidRPr="001518FE" w:rsidTr="00F7554A">
        <w:tc>
          <w:tcPr>
            <w:tcW w:w="1809" w:type="pct"/>
          </w:tcPr>
          <w:p w:rsidR="00EA3A8F" w:rsidRPr="001518FE" w:rsidRDefault="00EA3A8F" w:rsidP="006A1985">
            <w:pPr>
              <w:pStyle w:val="PullOutBoxBodyText"/>
            </w:pPr>
            <w:r w:rsidRPr="001518FE">
              <w:t>Summary of proposal:</w:t>
            </w:r>
          </w:p>
        </w:tc>
        <w:tc>
          <w:tcPr>
            <w:tcW w:w="3191" w:type="pct"/>
          </w:tcPr>
          <w:p w:rsidR="00EA3A8F" w:rsidRPr="001518FE" w:rsidRDefault="00EA3A8F" w:rsidP="006A1985">
            <w:pPr>
              <w:pStyle w:val="PullOutBoxBodyText"/>
            </w:pPr>
            <w:r w:rsidRPr="001518FE">
              <w:t>This proposal would increase the level of funding for Official Devel</w:t>
            </w:r>
            <w:r>
              <w:t>opment Assistance (ODA) in 2016</w:t>
            </w:r>
            <w:r>
              <w:noBreakHyphen/>
            </w:r>
            <w:r w:rsidRPr="001518FE">
              <w:t>17 to the same level as 2015</w:t>
            </w:r>
            <w:r>
              <w:noBreakHyphen/>
            </w:r>
            <w:r w:rsidRPr="001518FE">
              <w:t>16.</w:t>
            </w:r>
          </w:p>
          <w:p w:rsidR="00EA3A8F" w:rsidRPr="001518FE" w:rsidRDefault="00EA3A8F" w:rsidP="006A1985">
            <w:pPr>
              <w:pStyle w:val="PullOutBoxBodyText"/>
            </w:pPr>
            <w:r w:rsidRPr="001518FE">
              <w:t>The proposal would have effect from 1 July 2016.</w:t>
            </w:r>
          </w:p>
        </w:tc>
      </w:tr>
      <w:tr w:rsidR="00EA3A8F" w:rsidRPr="001518FE" w:rsidTr="00F7554A">
        <w:tc>
          <w:tcPr>
            <w:tcW w:w="1809" w:type="pct"/>
          </w:tcPr>
          <w:p w:rsidR="00EA3A8F" w:rsidRPr="001518FE" w:rsidRDefault="00EA3A8F" w:rsidP="006A1985">
            <w:pPr>
              <w:pStyle w:val="PullOutBoxBodyText"/>
            </w:pPr>
            <w:r w:rsidRPr="001518FE">
              <w:t>Party:</w:t>
            </w:r>
          </w:p>
        </w:tc>
        <w:tc>
          <w:tcPr>
            <w:tcW w:w="3191" w:type="pct"/>
          </w:tcPr>
          <w:p w:rsidR="00EA3A8F" w:rsidRPr="001518FE" w:rsidRDefault="00EA3A8F" w:rsidP="006A1985">
            <w:pPr>
              <w:pStyle w:val="PullOutBoxBodyText"/>
            </w:pPr>
            <w:r w:rsidRPr="001518FE">
              <w:t>Australian Labor Party</w:t>
            </w:r>
          </w:p>
        </w:tc>
      </w:tr>
      <w:tr w:rsidR="00EA3A8F" w:rsidRPr="001518FE" w:rsidTr="00F7554A">
        <w:tc>
          <w:tcPr>
            <w:tcW w:w="1809" w:type="pct"/>
          </w:tcPr>
          <w:p w:rsidR="00EA3A8F" w:rsidRPr="001518FE" w:rsidRDefault="00EA3A8F" w:rsidP="006A1985">
            <w:pPr>
              <w:pStyle w:val="PullOutBoxBodyText"/>
            </w:pPr>
            <w:r w:rsidRPr="001518FE">
              <w:t>Expiry date for the costing:</w:t>
            </w:r>
          </w:p>
        </w:tc>
        <w:tc>
          <w:tcPr>
            <w:tcW w:w="3191" w:type="pct"/>
          </w:tcPr>
          <w:p w:rsidR="00EA3A8F" w:rsidRPr="001518FE" w:rsidRDefault="00EA3A8F" w:rsidP="006A1985">
            <w:pPr>
              <w:pStyle w:val="PullOutBoxBodyText"/>
            </w:pPr>
            <w:r w:rsidRPr="001518FE">
              <w:t>Release of the next economic and fiscal update</w:t>
            </w:r>
          </w:p>
        </w:tc>
      </w:tr>
    </w:tbl>
    <w:p w:rsidR="00EA3A8F" w:rsidRDefault="00EA3A8F" w:rsidP="00EA3A8F">
      <w:pPr>
        <w:pStyle w:val="CostingsH7"/>
        <w:tabs>
          <w:tab w:val="left" w:pos="3004"/>
        </w:tabs>
      </w:pPr>
      <w:r w:rsidRPr="00BF1EE6">
        <w:t>Costing overview</w:t>
      </w:r>
    </w:p>
    <w:p w:rsidR="00EA3A8F" w:rsidRDefault="00EA3A8F" w:rsidP="00EA3A8F">
      <w:pPr>
        <w:pStyle w:val="BodyText"/>
      </w:pPr>
      <w:r>
        <w:t>This proposal would be expected to decrease both the fiscal and underlying cash balances by $223.9 million over the 2016-17 Budget forward estimates period.  This impact is due to an increase in administered expenses of $212.7 million and an increase in departmental expenses of $11.2 million over this period.</w:t>
      </w:r>
    </w:p>
    <w:p w:rsidR="00EA3A8F" w:rsidRDefault="00EA3A8F" w:rsidP="00EA3A8F">
      <w:pPr>
        <w:pStyle w:val="BodyText"/>
      </w:pPr>
      <w:r>
        <w:t>This proposal would not be expected to have an ongoing impact beyond the 2016</w:t>
      </w:r>
      <w:r>
        <w:noBreakHyphen/>
        <w:t>17 Budget forward estimates period as the funding amount only applies to the 2016-17 financial year.</w:t>
      </w:r>
    </w:p>
    <w:p w:rsidR="00EA3A8F" w:rsidRDefault="00EA3A8F" w:rsidP="00EA3A8F">
      <w:pPr>
        <w:pStyle w:val="BodyText"/>
      </w:pPr>
      <w:r>
        <w:t xml:space="preserve">Detailed financial implications are provided at </w:t>
      </w:r>
      <w:r w:rsidRPr="002B11BB">
        <w:rPr>
          <w:u w:val="single"/>
        </w:rPr>
        <w:t>Attachment A</w:t>
      </w:r>
      <w:r>
        <w:t>.</w:t>
      </w:r>
    </w:p>
    <w:p w:rsidR="00EA3A8F" w:rsidRPr="002B11BB" w:rsidRDefault="00EA3A8F" w:rsidP="00EA3A8F">
      <w:pPr>
        <w:pStyle w:val="BodyText"/>
      </w:pPr>
      <w:r>
        <w:t>This costing is considered to be of high reliability as the estimates are based on 2016</w:t>
      </w:r>
      <w:r>
        <w:noBreakHyphen/>
        <w:t>17 Budget estimates for ODA in 2015</w:t>
      </w:r>
      <w:r>
        <w:noBreakHyphen/>
        <w:t>16 and 2016</w:t>
      </w:r>
      <w:r>
        <w:noBreakHyphen/>
        <w:t>17.</w:t>
      </w:r>
    </w:p>
    <w:p w:rsidR="00EA3A8F" w:rsidRDefault="00EA3A8F" w:rsidP="00EA3A8F">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A3A8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EA3A8F" w:rsidRPr="00D264E1" w:rsidRDefault="00EA3A8F" w:rsidP="006A1985">
            <w:pPr>
              <w:pStyle w:val="TableHeading"/>
            </w:pPr>
            <w:r>
              <w:t>Impact on ($m)</w:t>
            </w:r>
          </w:p>
        </w:tc>
        <w:tc>
          <w:tcPr>
            <w:tcW w:w="721" w:type="pct"/>
            <w:vAlign w:val="center"/>
          </w:tcPr>
          <w:p w:rsidR="00EA3A8F" w:rsidRPr="00FC1F1C" w:rsidRDefault="00EA3A8F" w:rsidP="006A1985">
            <w:pPr>
              <w:pStyle w:val="TableHeadingRight"/>
            </w:pPr>
            <w:r>
              <w:t>2016–17</w:t>
            </w:r>
          </w:p>
        </w:tc>
        <w:tc>
          <w:tcPr>
            <w:tcW w:w="721" w:type="pct"/>
            <w:vAlign w:val="center"/>
          </w:tcPr>
          <w:p w:rsidR="00EA3A8F" w:rsidRPr="00FC1F1C" w:rsidRDefault="00EA3A8F" w:rsidP="006A1985">
            <w:pPr>
              <w:pStyle w:val="TableHeadingRight"/>
            </w:pPr>
            <w:r>
              <w:t>2017–18</w:t>
            </w:r>
          </w:p>
        </w:tc>
        <w:tc>
          <w:tcPr>
            <w:tcW w:w="722" w:type="pct"/>
            <w:vAlign w:val="center"/>
          </w:tcPr>
          <w:p w:rsidR="00EA3A8F" w:rsidRPr="00FC1F1C" w:rsidRDefault="00EA3A8F" w:rsidP="006A1985">
            <w:pPr>
              <w:pStyle w:val="TableHeadingRight"/>
            </w:pPr>
            <w:r>
              <w:t>2018–19</w:t>
            </w:r>
          </w:p>
        </w:tc>
        <w:tc>
          <w:tcPr>
            <w:tcW w:w="721" w:type="pct"/>
            <w:vAlign w:val="center"/>
          </w:tcPr>
          <w:p w:rsidR="00EA3A8F" w:rsidRPr="00FC1F1C" w:rsidRDefault="00EA3A8F" w:rsidP="006A1985">
            <w:pPr>
              <w:pStyle w:val="TableHeadingRight"/>
            </w:pPr>
            <w:r>
              <w:t>2019–20</w:t>
            </w:r>
          </w:p>
        </w:tc>
        <w:tc>
          <w:tcPr>
            <w:tcW w:w="722" w:type="pct"/>
            <w:vAlign w:val="center"/>
          </w:tcPr>
          <w:p w:rsidR="00EA3A8F" w:rsidRPr="00FC1F1C" w:rsidRDefault="00EA3A8F" w:rsidP="006A1985">
            <w:pPr>
              <w:pStyle w:val="TableHeadingRight"/>
              <w:rPr>
                <w:b/>
              </w:rPr>
            </w:pPr>
            <w:r w:rsidRPr="00FC1F1C">
              <w:t>Total</w:t>
            </w:r>
          </w:p>
        </w:tc>
      </w:tr>
      <w:tr w:rsidR="00EA3A8F" w:rsidTr="00F7554A">
        <w:tc>
          <w:tcPr>
            <w:tcW w:w="1393" w:type="pct"/>
            <w:vAlign w:val="center"/>
          </w:tcPr>
          <w:p w:rsidR="00EA3A8F" w:rsidRDefault="00EA3A8F" w:rsidP="006A1985">
            <w:pPr>
              <w:pStyle w:val="TableText"/>
            </w:pPr>
            <w:r>
              <w:t>Fiscal balance</w:t>
            </w:r>
          </w:p>
        </w:tc>
        <w:tc>
          <w:tcPr>
            <w:tcW w:w="721" w:type="pct"/>
            <w:vAlign w:val="center"/>
          </w:tcPr>
          <w:p w:rsidR="00EA3A8F" w:rsidRPr="00907B94" w:rsidRDefault="00EA3A8F" w:rsidP="006A1985">
            <w:pPr>
              <w:pStyle w:val="TableTextRight"/>
            </w:pPr>
            <w:r>
              <w:t>-223.9</w:t>
            </w:r>
            <w:r w:rsidRPr="00907B94">
              <w:t xml:space="preserve"> </w:t>
            </w:r>
          </w:p>
        </w:tc>
        <w:tc>
          <w:tcPr>
            <w:tcW w:w="721" w:type="pct"/>
            <w:vAlign w:val="center"/>
          </w:tcPr>
          <w:p w:rsidR="00EA3A8F" w:rsidRPr="00907B94" w:rsidRDefault="00EA3A8F" w:rsidP="006A1985">
            <w:pPr>
              <w:pStyle w:val="TableTextRight"/>
            </w:pPr>
            <w:r>
              <w:t>-</w:t>
            </w:r>
          </w:p>
        </w:tc>
        <w:tc>
          <w:tcPr>
            <w:tcW w:w="722" w:type="pct"/>
            <w:vAlign w:val="center"/>
          </w:tcPr>
          <w:p w:rsidR="00EA3A8F" w:rsidRPr="00907B94" w:rsidRDefault="00EA3A8F" w:rsidP="006A1985">
            <w:pPr>
              <w:pStyle w:val="TableTextRight"/>
            </w:pPr>
            <w:r>
              <w:t>-</w:t>
            </w:r>
          </w:p>
        </w:tc>
        <w:tc>
          <w:tcPr>
            <w:tcW w:w="721" w:type="pct"/>
            <w:vAlign w:val="center"/>
          </w:tcPr>
          <w:p w:rsidR="00EA3A8F" w:rsidRPr="00907B94" w:rsidRDefault="00EA3A8F" w:rsidP="006A1985">
            <w:pPr>
              <w:pStyle w:val="TableTextRight"/>
            </w:pPr>
            <w:r>
              <w:t>-</w:t>
            </w:r>
          </w:p>
        </w:tc>
        <w:tc>
          <w:tcPr>
            <w:tcW w:w="722" w:type="pct"/>
            <w:vAlign w:val="center"/>
          </w:tcPr>
          <w:p w:rsidR="00EA3A8F" w:rsidRPr="00D974AF" w:rsidRDefault="00EA3A8F" w:rsidP="006A1985">
            <w:pPr>
              <w:pStyle w:val="TableTextRight"/>
              <w:rPr>
                <w:b/>
              </w:rPr>
            </w:pPr>
            <w:r>
              <w:rPr>
                <w:b/>
              </w:rPr>
              <w:t>-223.9</w:t>
            </w:r>
            <w:r w:rsidRPr="00D974AF">
              <w:rPr>
                <w:b/>
              </w:rPr>
              <w:t xml:space="preserve"> </w:t>
            </w:r>
          </w:p>
        </w:tc>
      </w:tr>
      <w:tr w:rsidR="00EA3A8F" w:rsidTr="00F7554A">
        <w:tc>
          <w:tcPr>
            <w:tcW w:w="1393" w:type="pct"/>
            <w:vAlign w:val="center"/>
          </w:tcPr>
          <w:p w:rsidR="00EA3A8F" w:rsidRDefault="00EA3A8F" w:rsidP="006A1985">
            <w:pPr>
              <w:pStyle w:val="TableText"/>
            </w:pPr>
            <w:r>
              <w:t>Underlying cash balance</w:t>
            </w:r>
          </w:p>
        </w:tc>
        <w:tc>
          <w:tcPr>
            <w:tcW w:w="721" w:type="pct"/>
            <w:vAlign w:val="center"/>
          </w:tcPr>
          <w:p w:rsidR="00EA3A8F" w:rsidRPr="00907B94" w:rsidRDefault="00EA3A8F" w:rsidP="006A1985">
            <w:pPr>
              <w:pStyle w:val="TableTextRight"/>
            </w:pPr>
            <w:r>
              <w:t>-223.9</w:t>
            </w:r>
            <w:r w:rsidRPr="00907B94">
              <w:t xml:space="preserve"> </w:t>
            </w:r>
          </w:p>
        </w:tc>
        <w:tc>
          <w:tcPr>
            <w:tcW w:w="721" w:type="pct"/>
            <w:vAlign w:val="center"/>
          </w:tcPr>
          <w:p w:rsidR="00EA3A8F" w:rsidRPr="00907B94" w:rsidRDefault="00EA3A8F" w:rsidP="006A1985">
            <w:pPr>
              <w:pStyle w:val="TableTextRight"/>
            </w:pPr>
            <w:r>
              <w:t>-</w:t>
            </w:r>
          </w:p>
        </w:tc>
        <w:tc>
          <w:tcPr>
            <w:tcW w:w="722" w:type="pct"/>
            <w:vAlign w:val="center"/>
          </w:tcPr>
          <w:p w:rsidR="00EA3A8F" w:rsidRPr="00907B94" w:rsidRDefault="00EA3A8F" w:rsidP="006A1985">
            <w:pPr>
              <w:pStyle w:val="TableTextRight"/>
            </w:pPr>
            <w:r>
              <w:t>-</w:t>
            </w:r>
          </w:p>
        </w:tc>
        <w:tc>
          <w:tcPr>
            <w:tcW w:w="721" w:type="pct"/>
            <w:vAlign w:val="center"/>
          </w:tcPr>
          <w:p w:rsidR="00EA3A8F" w:rsidRPr="00907B94" w:rsidRDefault="00EA3A8F" w:rsidP="006A1985">
            <w:pPr>
              <w:pStyle w:val="TableTextRight"/>
            </w:pPr>
            <w:r>
              <w:t>-</w:t>
            </w:r>
          </w:p>
        </w:tc>
        <w:tc>
          <w:tcPr>
            <w:tcW w:w="722" w:type="pct"/>
            <w:vAlign w:val="center"/>
          </w:tcPr>
          <w:p w:rsidR="00EA3A8F" w:rsidRPr="00D974AF" w:rsidRDefault="00EA3A8F" w:rsidP="006A1985">
            <w:pPr>
              <w:pStyle w:val="TableTextRight"/>
              <w:rPr>
                <w:b/>
              </w:rPr>
            </w:pPr>
            <w:r w:rsidRPr="00D974AF">
              <w:rPr>
                <w:b/>
              </w:rPr>
              <w:t xml:space="preserve"> </w:t>
            </w:r>
            <w:r>
              <w:rPr>
                <w:b/>
              </w:rPr>
              <w:t>-223.9</w:t>
            </w:r>
          </w:p>
        </w:tc>
      </w:tr>
    </w:tbl>
    <w:p w:rsidR="00EA3A8F" w:rsidRPr="00E3588F" w:rsidRDefault="00EA3A8F" w:rsidP="002C43F8">
      <w:pPr>
        <w:pStyle w:val="Footnotes"/>
        <w:numPr>
          <w:ilvl w:val="0"/>
          <w:numId w:val="115"/>
        </w:numPr>
        <w:ind w:left="284" w:hanging="284"/>
      </w:pPr>
      <w:r w:rsidRPr="00E3588F">
        <w:t>A positive number indicates an increase in the relevant budget balance, a negative number a decrease.</w:t>
      </w:r>
    </w:p>
    <w:p w:rsidR="00EA3A8F" w:rsidRPr="00E3588F" w:rsidRDefault="00EA3A8F" w:rsidP="00184DDC">
      <w:pPr>
        <w:pStyle w:val="Footnotes"/>
        <w:ind w:left="284" w:hanging="284"/>
      </w:pPr>
      <w:r w:rsidRPr="00E3588F">
        <w:t>Figures may not sum to totals due to rounding.</w:t>
      </w:r>
    </w:p>
    <w:p w:rsidR="00EA3A8F" w:rsidRPr="00E3588F" w:rsidRDefault="00EA3A8F" w:rsidP="003768DC">
      <w:pPr>
        <w:pStyle w:val="Footnotes"/>
        <w:numPr>
          <w:ilvl w:val="0"/>
          <w:numId w:val="33"/>
        </w:numPr>
        <w:ind w:left="284" w:hanging="284"/>
        <w:rPr>
          <w:rStyle w:val="FootnoteReference"/>
          <w:vertAlign w:val="baseline"/>
        </w:rPr>
      </w:pPr>
      <w:r w:rsidRPr="00E3588F">
        <w:t>Indicates nil.</w:t>
      </w:r>
    </w:p>
    <w:p w:rsidR="00EA3A8F" w:rsidRDefault="00EA3A8F" w:rsidP="00EA3A8F">
      <w:pPr>
        <w:pStyle w:val="CostingsH7"/>
      </w:pPr>
      <w:r>
        <w:t>Methodology</w:t>
      </w:r>
    </w:p>
    <w:p w:rsidR="00EA3A8F" w:rsidRDefault="00EA3A8F" w:rsidP="00EA3A8F">
      <w:pPr>
        <w:pStyle w:val="BodyText"/>
      </w:pPr>
      <w:r>
        <w:t>The impact of the proposal is the difference between the estimated total Australian ODA for 2015</w:t>
      </w:r>
      <w:r>
        <w:noBreakHyphen/>
        <w:t>16 and 2016</w:t>
      </w:r>
      <w:r>
        <w:noBreakHyphen/>
        <w:t>17 reported in the 2016</w:t>
      </w:r>
      <w:r>
        <w:noBreakHyphen/>
        <w:t>17 Budget papers.</w:t>
      </w:r>
    </w:p>
    <w:p w:rsidR="00EA3A8F" w:rsidRPr="0009258B" w:rsidRDefault="00EA3A8F" w:rsidP="00EA3A8F">
      <w:pPr>
        <w:pStyle w:val="BodyText"/>
      </w:pPr>
      <w:r>
        <w:t>The departmental component was based on the cap on departmental costs for the Department of Foreign Affairs and Trade  to administer ODA announced in the 2014</w:t>
      </w:r>
      <w:r>
        <w:noBreakHyphen/>
      </w:r>
      <w:r w:rsidR="006A1985">
        <w:t>1</w:t>
      </w:r>
      <w:r>
        <w:t>5 Budget.</w:t>
      </w:r>
    </w:p>
    <w:p w:rsidR="00EA3A8F" w:rsidRDefault="00EA3A8F" w:rsidP="00EA3A8F">
      <w:pPr>
        <w:pStyle w:val="CostingsH7"/>
      </w:pPr>
      <w:r>
        <w:t>Data sources</w:t>
      </w:r>
    </w:p>
    <w:p w:rsidR="00EA3A8F" w:rsidRPr="006C0AA1" w:rsidRDefault="006C0AA1" w:rsidP="006C0AA1">
      <w:pPr>
        <w:pStyle w:val="BodyText"/>
      </w:pPr>
      <w:r w:rsidRPr="006C0AA1">
        <w:t xml:space="preserve">Commonwealth of Australia 2014, </w:t>
      </w:r>
      <w:r w:rsidR="00EA3A8F" w:rsidRPr="006C0AA1">
        <w:t>2014-15 Budget Paper No. 2</w:t>
      </w:r>
      <w:r w:rsidRPr="006C0AA1">
        <w:t xml:space="preserve">, </w:t>
      </w:r>
      <w:r w:rsidRPr="0073534F">
        <w:t>Commonwealth of Australia, Canberra.</w:t>
      </w:r>
    </w:p>
    <w:p w:rsidR="00EA3A8F" w:rsidRDefault="00EA3A8F" w:rsidP="00EA3A8F">
      <w:pPr>
        <w:pStyle w:val="BodyText"/>
      </w:pPr>
      <w:r>
        <w:t>Department of Foreign Affairs and Trade publication – Aus</w:t>
      </w:r>
      <w:r w:rsidR="006A1985">
        <w:t>tralian Aid Budget Summary 2016</w:t>
      </w:r>
      <w:r w:rsidR="006A1985">
        <w:noBreakHyphen/>
      </w:r>
      <w:r>
        <w:t>17</w:t>
      </w:r>
    </w:p>
    <w:p w:rsidR="008B194B" w:rsidRDefault="008B194B" w:rsidP="00EA3A8F">
      <w:pPr>
        <w:pStyle w:val="BodyText"/>
      </w:pPr>
    </w:p>
    <w:p w:rsidR="008B194B" w:rsidRDefault="008B194B" w:rsidP="00EA3A8F">
      <w:pPr>
        <w:pStyle w:val="BodyText"/>
        <w:sectPr w:rsidR="008B194B" w:rsidSect="00967BCD">
          <w:footnotePr>
            <w:numRestart w:val="eachSect"/>
          </w:footnotePr>
          <w:pgSz w:w="11906" w:h="16838" w:code="9"/>
          <w:pgMar w:top="1361" w:right="1797" w:bottom="1474" w:left="1797" w:header="283" w:footer="454" w:gutter="0"/>
          <w:cols w:space="708"/>
          <w:docGrid w:linePitch="360"/>
        </w:sectPr>
      </w:pPr>
    </w:p>
    <w:p w:rsidR="00EA3A8F" w:rsidRDefault="00EA3A8F" w:rsidP="006A1985">
      <w:pPr>
        <w:pStyle w:val="Heading6"/>
        <w:numPr>
          <w:ilvl w:val="0"/>
          <w:numId w:val="10"/>
        </w:numPr>
        <w:tabs>
          <w:tab w:val="right" w:pos="1418"/>
          <w:tab w:val="right" w:pos="1701"/>
          <w:tab w:val="right" w:pos="1985"/>
        </w:tabs>
        <w:spacing w:before="480"/>
      </w:pPr>
      <w:r>
        <w:t>Attachment A: Foreign Aid – stopping the clock—</w:t>
      </w:r>
      <w:r w:rsidR="0080154C">
        <w:t>financial implications</w:t>
      </w:r>
    </w:p>
    <w:p w:rsidR="00EA3A8F" w:rsidRDefault="00EA3A8F" w:rsidP="00EA3A8F">
      <w:pPr>
        <w:pStyle w:val="Caption"/>
      </w:pPr>
      <w:r w:rsidRPr="002B36F1">
        <w:t xml:space="preserve">Table </w:t>
      </w:r>
      <w:r>
        <w:t>A1</w:t>
      </w:r>
      <w:r w:rsidRPr="002B36F1">
        <w:t>:</w:t>
      </w:r>
      <w:r>
        <w:t xml:space="preserve"> Foreign Aid – stopping the clock—</w:t>
      </w:r>
      <w:r w:rsidR="0080154C">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EA3A8F"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EA3A8F" w:rsidRPr="007C2713" w:rsidRDefault="00EA3A8F" w:rsidP="006A1985">
            <w:pPr>
              <w:pStyle w:val="TableText"/>
              <w:rPr>
                <w:b w:val="0"/>
              </w:rPr>
            </w:pPr>
            <w:r>
              <w:t>($)</w:t>
            </w:r>
          </w:p>
        </w:tc>
        <w:tc>
          <w:tcPr>
            <w:tcW w:w="689" w:type="pct"/>
            <w:vAlign w:val="center"/>
          </w:tcPr>
          <w:p w:rsidR="00EA3A8F" w:rsidRDefault="00EA3A8F" w:rsidP="006A1985">
            <w:pPr>
              <w:pStyle w:val="TableTextRight"/>
              <w:rPr>
                <w:b w:val="0"/>
              </w:rPr>
            </w:pPr>
            <w:r>
              <w:t>2016–17</w:t>
            </w:r>
          </w:p>
        </w:tc>
        <w:tc>
          <w:tcPr>
            <w:tcW w:w="689" w:type="pct"/>
            <w:vAlign w:val="center"/>
          </w:tcPr>
          <w:p w:rsidR="00EA3A8F" w:rsidRDefault="00EA3A8F" w:rsidP="006A1985">
            <w:pPr>
              <w:pStyle w:val="TableTextRight"/>
              <w:rPr>
                <w:b w:val="0"/>
              </w:rPr>
            </w:pPr>
            <w:r>
              <w:t>2017–18</w:t>
            </w:r>
          </w:p>
        </w:tc>
        <w:tc>
          <w:tcPr>
            <w:tcW w:w="689" w:type="pct"/>
            <w:vAlign w:val="center"/>
          </w:tcPr>
          <w:p w:rsidR="00EA3A8F" w:rsidRDefault="00EA3A8F" w:rsidP="006A1985">
            <w:pPr>
              <w:pStyle w:val="TableTextRight"/>
              <w:rPr>
                <w:b w:val="0"/>
              </w:rPr>
            </w:pPr>
            <w:r>
              <w:t>2018–19</w:t>
            </w:r>
          </w:p>
        </w:tc>
        <w:tc>
          <w:tcPr>
            <w:tcW w:w="689" w:type="pct"/>
            <w:vAlign w:val="center"/>
          </w:tcPr>
          <w:p w:rsidR="00EA3A8F" w:rsidRDefault="00EA3A8F" w:rsidP="006A1985">
            <w:pPr>
              <w:pStyle w:val="TableTextRight"/>
              <w:rPr>
                <w:b w:val="0"/>
              </w:rPr>
            </w:pPr>
            <w:r>
              <w:t>2019–20</w:t>
            </w:r>
          </w:p>
        </w:tc>
        <w:tc>
          <w:tcPr>
            <w:tcW w:w="690" w:type="pct"/>
            <w:vAlign w:val="center"/>
          </w:tcPr>
          <w:p w:rsidR="00EA3A8F" w:rsidRDefault="00EA3A8F" w:rsidP="006A1985">
            <w:pPr>
              <w:pStyle w:val="TableTextRight"/>
            </w:pPr>
            <w:r>
              <w:t>Total to 2019–20</w:t>
            </w:r>
          </w:p>
        </w:tc>
      </w:tr>
      <w:tr w:rsidR="00EA3A8F" w:rsidTr="00F7554A">
        <w:tc>
          <w:tcPr>
            <w:tcW w:w="5000" w:type="pct"/>
            <w:gridSpan w:val="6"/>
            <w:shd w:val="clear" w:color="auto" w:fill="E9ECF3" w:themeFill="accent2" w:themeFillTint="33"/>
            <w:vAlign w:val="center"/>
          </w:tcPr>
          <w:p w:rsidR="00EA3A8F" w:rsidRDefault="00EA3A8F" w:rsidP="006A1985">
            <w:pPr>
              <w:pStyle w:val="TableHeading"/>
            </w:pPr>
            <w:r>
              <w:t>Fiscal and underlying cash balances</w:t>
            </w:r>
          </w:p>
        </w:tc>
      </w:tr>
      <w:tr w:rsidR="00EA3A8F" w:rsidTr="00F7554A">
        <w:tc>
          <w:tcPr>
            <w:tcW w:w="1554" w:type="pct"/>
          </w:tcPr>
          <w:p w:rsidR="00EA3A8F" w:rsidRPr="00AD3B10" w:rsidRDefault="00EA3A8F" w:rsidP="006A1985">
            <w:pPr>
              <w:pStyle w:val="TableText"/>
            </w:pPr>
            <w:r w:rsidRPr="00AD3B10">
              <w:t>Administered</w:t>
            </w:r>
          </w:p>
        </w:tc>
        <w:tc>
          <w:tcPr>
            <w:tcW w:w="689" w:type="pct"/>
            <w:vAlign w:val="bottom"/>
          </w:tcPr>
          <w:p w:rsidR="00EA3A8F" w:rsidRPr="00754F6E" w:rsidRDefault="00EA3A8F" w:rsidP="006A1985">
            <w:pPr>
              <w:pStyle w:val="TableTextRight"/>
              <w:rPr>
                <w:i/>
              </w:rPr>
            </w:pPr>
            <w:r w:rsidRPr="00754F6E">
              <w:rPr>
                <w:i/>
              </w:rPr>
              <w:t xml:space="preserve">-212.7 </w:t>
            </w:r>
          </w:p>
        </w:tc>
        <w:tc>
          <w:tcPr>
            <w:tcW w:w="689" w:type="pct"/>
            <w:vAlign w:val="bottom"/>
          </w:tcPr>
          <w:p w:rsidR="00EA3A8F" w:rsidRPr="00754F6E" w:rsidRDefault="00EA3A8F" w:rsidP="006A1985">
            <w:pPr>
              <w:pStyle w:val="TableTextRight"/>
              <w:rPr>
                <w:i/>
              </w:rPr>
            </w:pPr>
            <w:r w:rsidRPr="00754F6E">
              <w:rPr>
                <w:i/>
              </w:rPr>
              <w:t>-</w:t>
            </w:r>
          </w:p>
        </w:tc>
        <w:tc>
          <w:tcPr>
            <w:tcW w:w="689" w:type="pct"/>
            <w:vAlign w:val="bottom"/>
          </w:tcPr>
          <w:p w:rsidR="00EA3A8F" w:rsidRPr="00754F6E" w:rsidRDefault="00EA3A8F" w:rsidP="006A1985">
            <w:pPr>
              <w:pStyle w:val="TableTextRight"/>
              <w:rPr>
                <w:i/>
              </w:rPr>
            </w:pPr>
            <w:r w:rsidRPr="00754F6E">
              <w:rPr>
                <w:i/>
              </w:rPr>
              <w:t>-</w:t>
            </w:r>
          </w:p>
        </w:tc>
        <w:tc>
          <w:tcPr>
            <w:tcW w:w="689" w:type="pct"/>
            <w:vAlign w:val="bottom"/>
          </w:tcPr>
          <w:p w:rsidR="00EA3A8F" w:rsidRPr="00754F6E" w:rsidRDefault="00EA3A8F" w:rsidP="006A1985">
            <w:pPr>
              <w:pStyle w:val="TableTextRight"/>
              <w:rPr>
                <w:i/>
              </w:rPr>
            </w:pPr>
            <w:r w:rsidRPr="00754F6E">
              <w:rPr>
                <w:i/>
              </w:rPr>
              <w:t>-</w:t>
            </w:r>
          </w:p>
        </w:tc>
        <w:tc>
          <w:tcPr>
            <w:tcW w:w="690" w:type="pct"/>
            <w:vAlign w:val="bottom"/>
          </w:tcPr>
          <w:p w:rsidR="00EA3A8F" w:rsidRPr="00754F6E" w:rsidRDefault="00EA3A8F" w:rsidP="006A1985">
            <w:pPr>
              <w:pStyle w:val="TableTextRight"/>
              <w:rPr>
                <w:b/>
                <w:i/>
              </w:rPr>
            </w:pPr>
            <w:r w:rsidRPr="00754F6E">
              <w:rPr>
                <w:b/>
                <w:i/>
              </w:rPr>
              <w:t>-212.7</w:t>
            </w:r>
          </w:p>
        </w:tc>
      </w:tr>
      <w:tr w:rsidR="00EA3A8F" w:rsidTr="00F7554A">
        <w:tc>
          <w:tcPr>
            <w:tcW w:w="1554" w:type="pct"/>
          </w:tcPr>
          <w:p w:rsidR="00EA3A8F" w:rsidRDefault="00EA3A8F" w:rsidP="006A1985">
            <w:pPr>
              <w:pStyle w:val="TableText"/>
            </w:pPr>
            <w:r w:rsidRPr="00AD3B10">
              <w:t>Departmental</w:t>
            </w:r>
          </w:p>
        </w:tc>
        <w:tc>
          <w:tcPr>
            <w:tcW w:w="689" w:type="pct"/>
            <w:vAlign w:val="bottom"/>
          </w:tcPr>
          <w:p w:rsidR="00EA3A8F" w:rsidRPr="00754F6E" w:rsidRDefault="00EA3A8F" w:rsidP="006A1985">
            <w:pPr>
              <w:pStyle w:val="TableTextRight"/>
              <w:rPr>
                <w:i/>
              </w:rPr>
            </w:pPr>
            <w:r w:rsidRPr="00754F6E">
              <w:rPr>
                <w:i/>
              </w:rPr>
              <w:t>-11.2</w:t>
            </w:r>
          </w:p>
        </w:tc>
        <w:tc>
          <w:tcPr>
            <w:tcW w:w="689" w:type="pct"/>
            <w:vAlign w:val="bottom"/>
          </w:tcPr>
          <w:p w:rsidR="00EA3A8F" w:rsidRPr="00754F6E" w:rsidRDefault="00EA3A8F" w:rsidP="006A1985">
            <w:pPr>
              <w:pStyle w:val="TableTextRight"/>
              <w:rPr>
                <w:i/>
              </w:rPr>
            </w:pPr>
            <w:r w:rsidRPr="00754F6E">
              <w:rPr>
                <w:i/>
              </w:rPr>
              <w:t>-</w:t>
            </w:r>
          </w:p>
        </w:tc>
        <w:tc>
          <w:tcPr>
            <w:tcW w:w="689" w:type="pct"/>
            <w:vAlign w:val="bottom"/>
          </w:tcPr>
          <w:p w:rsidR="00EA3A8F" w:rsidRPr="00754F6E" w:rsidRDefault="00EA3A8F" w:rsidP="006A1985">
            <w:pPr>
              <w:pStyle w:val="TableTextRight"/>
              <w:rPr>
                <w:i/>
              </w:rPr>
            </w:pPr>
            <w:r w:rsidRPr="00754F6E">
              <w:rPr>
                <w:i/>
              </w:rPr>
              <w:t>-</w:t>
            </w:r>
          </w:p>
        </w:tc>
        <w:tc>
          <w:tcPr>
            <w:tcW w:w="689" w:type="pct"/>
            <w:vAlign w:val="bottom"/>
          </w:tcPr>
          <w:p w:rsidR="00EA3A8F" w:rsidRPr="00754F6E" w:rsidRDefault="00EA3A8F" w:rsidP="006A1985">
            <w:pPr>
              <w:pStyle w:val="TableTextRight"/>
              <w:rPr>
                <w:i/>
              </w:rPr>
            </w:pPr>
            <w:r w:rsidRPr="00754F6E">
              <w:rPr>
                <w:i/>
              </w:rPr>
              <w:t>-</w:t>
            </w:r>
          </w:p>
        </w:tc>
        <w:tc>
          <w:tcPr>
            <w:tcW w:w="690" w:type="pct"/>
            <w:vAlign w:val="bottom"/>
          </w:tcPr>
          <w:p w:rsidR="00EA3A8F" w:rsidRPr="00754F6E" w:rsidRDefault="00EA3A8F" w:rsidP="006A1985">
            <w:pPr>
              <w:pStyle w:val="TableTextRight"/>
              <w:rPr>
                <w:b/>
                <w:i/>
              </w:rPr>
            </w:pPr>
            <w:r w:rsidRPr="00754F6E">
              <w:rPr>
                <w:b/>
                <w:i/>
              </w:rPr>
              <w:t>-11.2</w:t>
            </w:r>
          </w:p>
        </w:tc>
      </w:tr>
      <w:tr w:rsidR="00EA3A8F" w:rsidRPr="007C2713" w:rsidTr="00F7554A">
        <w:tc>
          <w:tcPr>
            <w:tcW w:w="1554" w:type="pct"/>
            <w:shd w:val="clear" w:color="auto" w:fill="D7DDE9" w:themeFill="accent3"/>
            <w:vAlign w:val="center"/>
          </w:tcPr>
          <w:p w:rsidR="00EA3A8F" w:rsidRPr="007C2713" w:rsidRDefault="00EA3A8F" w:rsidP="006A1985">
            <w:pPr>
              <w:pStyle w:val="TableText"/>
              <w:rPr>
                <w:b/>
              </w:rPr>
            </w:pPr>
            <w:r w:rsidRPr="007C2713">
              <w:rPr>
                <w:b/>
              </w:rPr>
              <w:t>Total</w:t>
            </w:r>
          </w:p>
        </w:tc>
        <w:tc>
          <w:tcPr>
            <w:tcW w:w="689" w:type="pct"/>
            <w:shd w:val="clear" w:color="auto" w:fill="D7DDE9" w:themeFill="accent3"/>
            <w:vAlign w:val="bottom"/>
          </w:tcPr>
          <w:p w:rsidR="00EA3A8F" w:rsidRPr="00907B94" w:rsidRDefault="00EA3A8F" w:rsidP="006A1985">
            <w:pPr>
              <w:pStyle w:val="TableTextRight"/>
              <w:rPr>
                <w:b/>
              </w:rPr>
            </w:pPr>
            <w:r>
              <w:rPr>
                <w:b/>
              </w:rPr>
              <w:t>-223.9</w:t>
            </w:r>
          </w:p>
        </w:tc>
        <w:tc>
          <w:tcPr>
            <w:tcW w:w="689" w:type="pct"/>
            <w:shd w:val="clear" w:color="auto" w:fill="D7DDE9" w:themeFill="accent3"/>
            <w:vAlign w:val="bottom"/>
          </w:tcPr>
          <w:p w:rsidR="00EA3A8F" w:rsidRPr="00907B94" w:rsidRDefault="00EA3A8F" w:rsidP="006A1985">
            <w:pPr>
              <w:pStyle w:val="TableTextRight"/>
              <w:rPr>
                <w:b/>
              </w:rPr>
            </w:pPr>
            <w:r>
              <w:rPr>
                <w:b/>
              </w:rPr>
              <w:t>-</w:t>
            </w:r>
          </w:p>
        </w:tc>
        <w:tc>
          <w:tcPr>
            <w:tcW w:w="689" w:type="pct"/>
            <w:shd w:val="clear" w:color="auto" w:fill="D7DDE9" w:themeFill="accent3"/>
            <w:vAlign w:val="bottom"/>
          </w:tcPr>
          <w:p w:rsidR="00EA3A8F" w:rsidRPr="00907B94" w:rsidRDefault="00EA3A8F" w:rsidP="006A1985">
            <w:pPr>
              <w:pStyle w:val="TableTextRight"/>
              <w:rPr>
                <w:b/>
              </w:rPr>
            </w:pPr>
            <w:r>
              <w:rPr>
                <w:b/>
              </w:rPr>
              <w:t>-</w:t>
            </w:r>
          </w:p>
        </w:tc>
        <w:tc>
          <w:tcPr>
            <w:tcW w:w="689" w:type="pct"/>
            <w:shd w:val="clear" w:color="auto" w:fill="D7DDE9" w:themeFill="accent3"/>
            <w:vAlign w:val="bottom"/>
          </w:tcPr>
          <w:p w:rsidR="00EA3A8F" w:rsidRPr="00907B94" w:rsidRDefault="00EA3A8F" w:rsidP="006A1985">
            <w:pPr>
              <w:pStyle w:val="TableTextRight"/>
              <w:rPr>
                <w:b/>
              </w:rPr>
            </w:pPr>
            <w:r>
              <w:rPr>
                <w:b/>
              </w:rPr>
              <w:t>-</w:t>
            </w:r>
          </w:p>
        </w:tc>
        <w:tc>
          <w:tcPr>
            <w:tcW w:w="690" w:type="pct"/>
            <w:shd w:val="clear" w:color="auto" w:fill="D7DDE9" w:themeFill="accent3"/>
            <w:vAlign w:val="bottom"/>
          </w:tcPr>
          <w:p w:rsidR="00EA3A8F" w:rsidRPr="00907B94" w:rsidRDefault="00EA3A8F" w:rsidP="006A1985">
            <w:pPr>
              <w:pStyle w:val="TableTextRight"/>
              <w:rPr>
                <w:b/>
              </w:rPr>
            </w:pPr>
            <w:r>
              <w:rPr>
                <w:b/>
              </w:rPr>
              <w:t>-223.9</w:t>
            </w:r>
          </w:p>
        </w:tc>
      </w:tr>
    </w:tbl>
    <w:p w:rsidR="00EA3A8F" w:rsidRDefault="00EA3A8F" w:rsidP="002C43F8">
      <w:pPr>
        <w:pStyle w:val="Footnotes"/>
        <w:numPr>
          <w:ilvl w:val="0"/>
          <w:numId w:val="116"/>
        </w:numPr>
        <w:spacing w:before="113"/>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EA3A8F" w:rsidRPr="005F544A" w:rsidRDefault="00EA3A8F" w:rsidP="00F42986">
      <w:pPr>
        <w:pStyle w:val="Footnotes"/>
        <w:spacing w:after="120"/>
        <w:ind w:left="284" w:hanging="284"/>
      </w:pPr>
      <w:r w:rsidRPr="005F544A">
        <w:t>Figures may not sum to totals due to rounding.</w:t>
      </w:r>
    </w:p>
    <w:p w:rsidR="00EA3A8F" w:rsidRDefault="00EA3A8F" w:rsidP="00EA3A8F">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EA3A8F" w:rsidRDefault="00EA3A8F" w:rsidP="00EA3A8F">
      <w:pPr>
        <w:pStyle w:val="Heading5"/>
        <w:ind w:left="1080" w:hanging="1080"/>
      </w:pPr>
      <w:bookmarkStart w:id="56" w:name="_Toc455655005"/>
      <w:bookmarkStart w:id="57" w:name="_Toc458081674"/>
      <w:r>
        <w:t>ALP05</w:t>
      </w:r>
      <w:r w:rsidR="00A00D61">
        <w:t>0</w:t>
      </w:r>
      <w:r>
        <w:t>: Increasing the Humanitarian Intake</w:t>
      </w:r>
      <w:bookmarkEnd w:id="56"/>
      <w:bookmarkEnd w:id="57"/>
    </w:p>
    <w:p w:rsidR="00EA3A8F" w:rsidRDefault="00EA3A8F" w:rsidP="00967B83">
      <w:pPr>
        <w:pStyle w:val="BodyText"/>
      </w:pPr>
      <w:r>
        <w:rPr>
          <w:noProof/>
          <w:lang w:eastAsia="en-AU"/>
        </w:rPr>
        <w:drawing>
          <wp:inline distT="0" distB="0" distL="0" distR="0" wp14:anchorId="332EBB26" wp14:editId="22CE8104">
            <wp:extent cx="2696845" cy="572135"/>
            <wp:effectExtent l="0" t="0" r="8255" b="0"/>
            <wp:docPr id="469" name="Picture 46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EA3A8F" w:rsidRDefault="00EA3A8F" w:rsidP="00EA3A8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EA3A8F"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EA3A8F" w:rsidRPr="00A71F7B" w:rsidRDefault="00EA3A8F" w:rsidP="00F7554A">
            <w:pPr>
              <w:pStyle w:val="PullOutBoxHeading"/>
              <w:rPr>
                <w:b/>
              </w:rPr>
            </w:pPr>
            <w:r w:rsidRPr="00A71F7B">
              <w:rPr>
                <w:b/>
              </w:rPr>
              <w:t>Name of proposal:</w:t>
            </w:r>
          </w:p>
        </w:tc>
        <w:tc>
          <w:tcPr>
            <w:tcW w:w="3191" w:type="pct"/>
          </w:tcPr>
          <w:p w:rsidR="00EA3A8F" w:rsidRPr="00A71F7B" w:rsidRDefault="00EA3A8F" w:rsidP="003E0234">
            <w:pPr>
              <w:pStyle w:val="PullOutBoxHeading"/>
              <w:rPr>
                <w:b/>
              </w:rPr>
            </w:pPr>
            <w:r w:rsidRPr="00A71F7B">
              <w:rPr>
                <w:b/>
              </w:rPr>
              <w:t xml:space="preserve">Increasing the </w:t>
            </w:r>
            <w:r w:rsidR="003E0234">
              <w:rPr>
                <w:b/>
              </w:rPr>
              <w:t>H</w:t>
            </w:r>
            <w:r w:rsidRPr="00A71F7B">
              <w:rPr>
                <w:b/>
              </w:rPr>
              <w:t xml:space="preserve">umanitarian </w:t>
            </w:r>
            <w:r w:rsidR="003E0234">
              <w:rPr>
                <w:b/>
              </w:rPr>
              <w:t>I</w:t>
            </w:r>
            <w:r w:rsidRPr="00A71F7B">
              <w:rPr>
                <w:b/>
              </w:rPr>
              <w:t>ntake</w:t>
            </w:r>
          </w:p>
        </w:tc>
      </w:tr>
      <w:tr w:rsidR="00EA3A8F" w:rsidRPr="00BC1BB5" w:rsidTr="00F7554A">
        <w:tc>
          <w:tcPr>
            <w:tcW w:w="1809" w:type="pct"/>
          </w:tcPr>
          <w:p w:rsidR="00EA3A8F" w:rsidRPr="00BC1BB5" w:rsidRDefault="00EA3A8F" w:rsidP="00F7554A">
            <w:pPr>
              <w:pStyle w:val="PullOutBoxBodyText"/>
            </w:pPr>
            <w:r w:rsidRPr="00BC1BB5">
              <w:t>Summary of proposal:</w:t>
            </w:r>
          </w:p>
        </w:tc>
        <w:tc>
          <w:tcPr>
            <w:tcW w:w="3191" w:type="pct"/>
          </w:tcPr>
          <w:p w:rsidR="00EA3A8F" w:rsidRPr="00BC1BB5" w:rsidRDefault="00EA3A8F" w:rsidP="00F7554A">
            <w:pPr>
              <w:pStyle w:val="PullOutBoxBodyText"/>
            </w:pPr>
            <w:r w:rsidRPr="00BC1BB5">
              <w:t xml:space="preserve">The proposal would gradually increase the humanitarian intake to a level of 27,000 per year by 2025-26 (for current and proposed humanitarian intake profiles see </w:t>
            </w:r>
            <w:r w:rsidRPr="00BC1BB5">
              <w:rPr>
                <w:u w:val="single"/>
              </w:rPr>
              <w:t>Attachment</w:t>
            </w:r>
            <w:r>
              <w:rPr>
                <w:u w:val="single"/>
              </w:rPr>
              <w:t> </w:t>
            </w:r>
            <w:r w:rsidRPr="00BC1BB5">
              <w:rPr>
                <w:u w:val="single"/>
              </w:rPr>
              <w:t>A</w:t>
            </w:r>
            <w:r w:rsidRPr="00BC1BB5">
              <w:t>).</w:t>
            </w:r>
          </w:p>
          <w:p w:rsidR="00EA3A8F" w:rsidRPr="00BC1BB5" w:rsidRDefault="00EA3A8F" w:rsidP="00F7554A">
            <w:pPr>
              <w:pStyle w:val="PullOutBoxBodyText"/>
            </w:pPr>
            <w:r w:rsidRPr="00BC1BB5">
              <w:t>This proposal would have effect from 1 July 2019.</w:t>
            </w:r>
          </w:p>
        </w:tc>
      </w:tr>
      <w:tr w:rsidR="00EA3A8F" w:rsidRPr="00BC1BB5" w:rsidTr="00F7554A">
        <w:tc>
          <w:tcPr>
            <w:tcW w:w="1809" w:type="pct"/>
          </w:tcPr>
          <w:p w:rsidR="00EA3A8F" w:rsidRPr="00BC1BB5" w:rsidRDefault="00EA3A8F" w:rsidP="00F7554A">
            <w:pPr>
              <w:pStyle w:val="PullOutBoxBodyText"/>
            </w:pPr>
            <w:r w:rsidRPr="00BC1BB5">
              <w:t>Party:</w:t>
            </w:r>
          </w:p>
        </w:tc>
        <w:tc>
          <w:tcPr>
            <w:tcW w:w="3191" w:type="pct"/>
          </w:tcPr>
          <w:p w:rsidR="00EA3A8F" w:rsidRPr="00BC1BB5" w:rsidRDefault="00EA3A8F" w:rsidP="00F7554A">
            <w:pPr>
              <w:pStyle w:val="PullOutBoxBodyText"/>
            </w:pPr>
            <w:r w:rsidRPr="00BC1BB5">
              <w:t>Australian Labor Party</w:t>
            </w:r>
          </w:p>
        </w:tc>
      </w:tr>
      <w:tr w:rsidR="00EA3A8F" w:rsidRPr="00BC1BB5" w:rsidTr="00F7554A">
        <w:tc>
          <w:tcPr>
            <w:tcW w:w="1809" w:type="pct"/>
          </w:tcPr>
          <w:p w:rsidR="00EA3A8F" w:rsidRPr="00BC1BB5" w:rsidRDefault="00EA3A8F" w:rsidP="00F7554A">
            <w:pPr>
              <w:pStyle w:val="PullOutBoxBodyText"/>
            </w:pPr>
            <w:r w:rsidRPr="00BC1BB5">
              <w:t>Expiry date for the costing:</w:t>
            </w:r>
          </w:p>
        </w:tc>
        <w:tc>
          <w:tcPr>
            <w:tcW w:w="3191" w:type="pct"/>
          </w:tcPr>
          <w:p w:rsidR="00EA3A8F" w:rsidRPr="00BC1BB5" w:rsidRDefault="00EA3A8F" w:rsidP="00F7554A">
            <w:pPr>
              <w:pStyle w:val="PullOutBoxBodyText"/>
            </w:pPr>
            <w:r w:rsidRPr="00BC1BB5">
              <w:t>Release of the next economic and fiscal update</w:t>
            </w:r>
          </w:p>
        </w:tc>
      </w:tr>
    </w:tbl>
    <w:p w:rsidR="00EA3A8F" w:rsidRDefault="00EA3A8F" w:rsidP="00EA3A8F">
      <w:pPr>
        <w:pStyle w:val="CostingsH7"/>
      </w:pPr>
      <w:r w:rsidRPr="00BF1EE6">
        <w:t>Costing overview</w:t>
      </w:r>
    </w:p>
    <w:p w:rsidR="00EA3A8F" w:rsidRDefault="00EA3A8F" w:rsidP="00EA3A8F">
      <w:pPr>
        <w:pStyle w:val="BodyText"/>
      </w:pPr>
      <w:r>
        <w:t>This proposal would be expected to decrease the fiscal and underlying cash balances by $26.0 million over the 2016-17 Budget forward estimates period.  In fiscal balance terms, this reflects an increase in administered expenses of $25.7 million and departmental expenses of $2.0 million partially offset by an increase in revenue of $1.7 million.</w:t>
      </w:r>
    </w:p>
    <w:p w:rsidR="00EA3A8F" w:rsidRDefault="00EA3A8F" w:rsidP="00EA3A8F">
      <w:pPr>
        <w:pStyle w:val="BodyText"/>
      </w:pPr>
      <w:r>
        <w:t xml:space="preserve">This proposal would have a financial impact beyond the 2016-17 Budget forward estimates period.  A breakdown of the financial impact over the period 2016-17 to 2026-27 has been provided at </w:t>
      </w:r>
      <w:r w:rsidRPr="00BC1BB5">
        <w:rPr>
          <w:u w:val="single"/>
        </w:rPr>
        <w:t>Attachment B</w:t>
      </w:r>
      <w:r>
        <w:t>.</w:t>
      </w:r>
    </w:p>
    <w:p w:rsidR="00EA3A8F" w:rsidRDefault="00EA3A8F" w:rsidP="00EA3A8F">
      <w:pPr>
        <w:pStyle w:val="BodyText"/>
      </w:pPr>
      <w:r>
        <w:t>The proposal has a different impact on the fiscal and underlying cash balances from 2020</w:t>
      </w:r>
      <w:r>
        <w:noBreakHyphen/>
        <w:t>21 due to a lag between when services are provided and when payments are made under a range of affected programs.</w:t>
      </w:r>
    </w:p>
    <w:p w:rsidR="00EA3A8F" w:rsidRPr="00BC1BB5" w:rsidRDefault="00EA3A8F" w:rsidP="00EA3A8F">
      <w:pPr>
        <w:pStyle w:val="BodyText"/>
      </w:pPr>
      <w:r>
        <w:t>This costing is considered to be of low reliability due to the considerable uncertainty around the magnitude of the flow-on impacts to Government programs arising from the increased humanitarian intake.</w:t>
      </w:r>
    </w:p>
    <w:p w:rsidR="00EA3A8F" w:rsidRDefault="00EA3A8F" w:rsidP="00142CA8">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EA3A8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EA3A8F" w:rsidRPr="00D264E1" w:rsidRDefault="00EA3A8F" w:rsidP="00142CA8">
            <w:pPr>
              <w:pStyle w:val="TableHeading"/>
            </w:pPr>
            <w:r>
              <w:t>Impact on ($m)</w:t>
            </w:r>
          </w:p>
        </w:tc>
        <w:tc>
          <w:tcPr>
            <w:tcW w:w="721" w:type="pct"/>
            <w:vAlign w:val="center"/>
          </w:tcPr>
          <w:p w:rsidR="00EA3A8F" w:rsidRPr="00FC1F1C" w:rsidRDefault="00EA3A8F" w:rsidP="00142CA8">
            <w:pPr>
              <w:pStyle w:val="TableHeadingRight"/>
            </w:pPr>
            <w:r>
              <w:t>2016–17</w:t>
            </w:r>
          </w:p>
        </w:tc>
        <w:tc>
          <w:tcPr>
            <w:tcW w:w="721" w:type="pct"/>
            <w:vAlign w:val="center"/>
          </w:tcPr>
          <w:p w:rsidR="00EA3A8F" w:rsidRPr="00FC1F1C" w:rsidRDefault="00EA3A8F" w:rsidP="00142CA8">
            <w:pPr>
              <w:pStyle w:val="TableHeadingRight"/>
            </w:pPr>
            <w:r>
              <w:t>2017–18</w:t>
            </w:r>
          </w:p>
        </w:tc>
        <w:tc>
          <w:tcPr>
            <w:tcW w:w="722" w:type="pct"/>
            <w:vAlign w:val="center"/>
          </w:tcPr>
          <w:p w:rsidR="00EA3A8F" w:rsidRPr="00FC1F1C" w:rsidRDefault="00EA3A8F" w:rsidP="00142CA8">
            <w:pPr>
              <w:pStyle w:val="TableHeadingRight"/>
            </w:pPr>
            <w:r>
              <w:t>2018–19</w:t>
            </w:r>
          </w:p>
        </w:tc>
        <w:tc>
          <w:tcPr>
            <w:tcW w:w="721" w:type="pct"/>
            <w:vAlign w:val="center"/>
          </w:tcPr>
          <w:p w:rsidR="00EA3A8F" w:rsidRPr="00FC1F1C" w:rsidRDefault="00EA3A8F" w:rsidP="00142CA8">
            <w:pPr>
              <w:pStyle w:val="TableHeadingRight"/>
            </w:pPr>
            <w:r>
              <w:t>2019–20</w:t>
            </w:r>
          </w:p>
        </w:tc>
        <w:tc>
          <w:tcPr>
            <w:tcW w:w="722" w:type="pct"/>
            <w:vAlign w:val="center"/>
          </w:tcPr>
          <w:p w:rsidR="00EA3A8F" w:rsidRPr="00FC1F1C" w:rsidRDefault="00EA3A8F" w:rsidP="00142CA8">
            <w:pPr>
              <w:pStyle w:val="TableHeadingRight"/>
              <w:rPr>
                <w:b/>
              </w:rPr>
            </w:pPr>
            <w:r w:rsidRPr="00FC1F1C">
              <w:t>Total</w:t>
            </w:r>
          </w:p>
        </w:tc>
      </w:tr>
      <w:tr w:rsidR="00EA3A8F" w:rsidTr="00F7554A">
        <w:tc>
          <w:tcPr>
            <w:tcW w:w="1393" w:type="pct"/>
            <w:vAlign w:val="center"/>
          </w:tcPr>
          <w:p w:rsidR="00EA3A8F" w:rsidRDefault="00EA3A8F" w:rsidP="00142CA8">
            <w:pPr>
              <w:pStyle w:val="TableText"/>
              <w:keepNext/>
              <w:keepLines/>
            </w:pPr>
            <w:r>
              <w:t>Fiscal balance</w:t>
            </w:r>
          </w:p>
        </w:tc>
        <w:tc>
          <w:tcPr>
            <w:tcW w:w="721" w:type="pct"/>
            <w:vAlign w:val="center"/>
          </w:tcPr>
          <w:p w:rsidR="00EA3A8F" w:rsidRPr="00861BD4" w:rsidRDefault="00EA3A8F" w:rsidP="00142CA8">
            <w:pPr>
              <w:pStyle w:val="TableTextRight"/>
              <w:keepNext/>
              <w:keepLines/>
            </w:pPr>
            <w:r w:rsidRPr="00861BD4">
              <w:t>-</w:t>
            </w:r>
          </w:p>
        </w:tc>
        <w:tc>
          <w:tcPr>
            <w:tcW w:w="721" w:type="pct"/>
            <w:vAlign w:val="center"/>
          </w:tcPr>
          <w:p w:rsidR="00EA3A8F" w:rsidRPr="00861BD4" w:rsidRDefault="00EA3A8F" w:rsidP="00142CA8">
            <w:pPr>
              <w:pStyle w:val="TableTextRight"/>
              <w:keepNext/>
              <w:keepLines/>
            </w:pPr>
            <w:r w:rsidRPr="00861BD4">
              <w:t>-</w:t>
            </w:r>
          </w:p>
        </w:tc>
        <w:tc>
          <w:tcPr>
            <w:tcW w:w="722" w:type="pct"/>
            <w:vAlign w:val="center"/>
          </w:tcPr>
          <w:p w:rsidR="00EA3A8F" w:rsidRPr="00861BD4" w:rsidRDefault="00EA3A8F" w:rsidP="00142CA8">
            <w:pPr>
              <w:pStyle w:val="TableTextRight"/>
              <w:keepNext/>
              <w:keepLines/>
            </w:pPr>
            <w:r w:rsidRPr="00861BD4">
              <w:t>-</w:t>
            </w:r>
          </w:p>
        </w:tc>
        <w:tc>
          <w:tcPr>
            <w:tcW w:w="721" w:type="pct"/>
            <w:vAlign w:val="center"/>
          </w:tcPr>
          <w:p w:rsidR="00EA3A8F" w:rsidRPr="00861BD4" w:rsidRDefault="00EA3A8F" w:rsidP="00142CA8">
            <w:pPr>
              <w:pStyle w:val="TableTextRight"/>
              <w:keepNext/>
              <w:keepLines/>
            </w:pPr>
            <w:r w:rsidRPr="00861BD4">
              <w:t>-26.0</w:t>
            </w:r>
          </w:p>
        </w:tc>
        <w:tc>
          <w:tcPr>
            <w:tcW w:w="722" w:type="pct"/>
            <w:vAlign w:val="center"/>
          </w:tcPr>
          <w:p w:rsidR="00EA3A8F" w:rsidRPr="00861BD4" w:rsidRDefault="00EA3A8F" w:rsidP="00142CA8">
            <w:pPr>
              <w:pStyle w:val="TableTextRight"/>
              <w:keepNext/>
              <w:keepLines/>
            </w:pPr>
            <w:r w:rsidRPr="00861BD4">
              <w:t>-26.0</w:t>
            </w:r>
          </w:p>
        </w:tc>
      </w:tr>
      <w:tr w:rsidR="00EA3A8F" w:rsidTr="00F7554A">
        <w:tc>
          <w:tcPr>
            <w:tcW w:w="1393" w:type="pct"/>
            <w:vAlign w:val="center"/>
          </w:tcPr>
          <w:p w:rsidR="00EA3A8F" w:rsidRDefault="00EA3A8F" w:rsidP="00142CA8">
            <w:pPr>
              <w:pStyle w:val="TableText"/>
              <w:keepNext/>
              <w:keepLines/>
            </w:pPr>
            <w:r>
              <w:t>Underlying cash balance</w:t>
            </w:r>
          </w:p>
        </w:tc>
        <w:tc>
          <w:tcPr>
            <w:tcW w:w="721" w:type="pct"/>
            <w:vAlign w:val="center"/>
          </w:tcPr>
          <w:p w:rsidR="00EA3A8F" w:rsidRPr="00861BD4" w:rsidRDefault="00EA3A8F" w:rsidP="00142CA8">
            <w:pPr>
              <w:pStyle w:val="TableTextRight"/>
              <w:keepNext/>
              <w:keepLines/>
            </w:pPr>
            <w:r w:rsidRPr="00861BD4">
              <w:t>-</w:t>
            </w:r>
          </w:p>
        </w:tc>
        <w:tc>
          <w:tcPr>
            <w:tcW w:w="721" w:type="pct"/>
            <w:vAlign w:val="center"/>
          </w:tcPr>
          <w:p w:rsidR="00EA3A8F" w:rsidRPr="00861BD4" w:rsidRDefault="00EA3A8F" w:rsidP="00142CA8">
            <w:pPr>
              <w:pStyle w:val="TableTextRight"/>
              <w:keepNext/>
              <w:keepLines/>
            </w:pPr>
            <w:r w:rsidRPr="00861BD4">
              <w:t>-</w:t>
            </w:r>
          </w:p>
        </w:tc>
        <w:tc>
          <w:tcPr>
            <w:tcW w:w="722" w:type="pct"/>
            <w:vAlign w:val="center"/>
          </w:tcPr>
          <w:p w:rsidR="00EA3A8F" w:rsidRPr="00861BD4" w:rsidRDefault="00EA3A8F" w:rsidP="00142CA8">
            <w:pPr>
              <w:pStyle w:val="TableTextRight"/>
              <w:keepNext/>
              <w:keepLines/>
            </w:pPr>
            <w:r w:rsidRPr="00861BD4">
              <w:t>-</w:t>
            </w:r>
          </w:p>
        </w:tc>
        <w:tc>
          <w:tcPr>
            <w:tcW w:w="721" w:type="pct"/>
            <w:vAlign w:val="center"/>
          </w:tcPr>
          <w:p w:rsidR="00EA3A8F" w:rsidRPr="00861BD4" w:rsidRDefault="00EA3A8F" w:rsidP="00142CA8">
            <w:pPr>
              <w:pStyle w:val="TableTextRight"/>
              <w:keepNext/>
              <w:keepLines/>
            </w:pPr>
            <w:r w:rsidRPr="00861BD4">
              <w:t>-26.0</w:t>
            </w:r>
          </w:p>
        </w:tc>
        <w:tc>
          <w:tcPr>
            <w:tcW w:w="722" w:type="pct"/>
            <w:vAlign w:val="center"/>
          </w:tcPr>
          <w:p w:rsidR="00EA3A8F" w:rsidRPr="00861BD4" w:rsidRDefault="00EA3A8F" w:rsidP="00142CA8">
            <w:pPr>
              <w:pStyle w:val="TableTextRight"/>
              <w:keepNext/>
              <w:keepLines/>
            </w:pPr>
            <w:r w:rsidRPr="00861BD4">
              <w:t>-26.0</w:t>
            </w:r>
          </w:p>
        </w:tc>
      </w:tr>
    </w:tbl>
    <w:p w:rsidR="00EA3A8F" w:rsidRDefault="00EA3A8F" w:rsidP="00FD1D4B">
      <w:pPr>
        <w:pStyle w:val="Footnotes"/>
        <w:keepNext/>
        <w:keepLines/>
        <w:numPr>
          <w:ilvl w:val="0"/>
          <w:numId w:val="117"/>
        </w:numPr>
        <w:ind w:left="284" w:hanging="284"/>
      </w:pPr>
      <w:r>
        <w:t xml:space="preserve">A positive </w:t>
      </w:r>
      <w:r w:rsidRPr="00FC1F1C">
        <w:t>number indicates an increase in the relevant budget balance, a negative number a decrease.</w:t>
      </w:r>
    </w:p>
    <w:p w:rsidR="00EA3A8F" w:rsidRDefault="00EA3A8F" w:rsidP="00FD1D4B">
      <w:pPr>
        <w:pStyle w:val="Footnotes"/>
        <w:keepNext/>
        <w:keepLines/>
        <w:ind w:left="284" w:hanging="284"/>
      </w:pPr>
      <w:r w:rsidRPr="000E063A">
        <w:t>Figures may not sum to totals due to rounding.</w:t>
      </w:r>
    </w:p>
    <w:p w:rsidR="00EA3A8F" w:rsidRPr="000E063A" w:rsidRDefault="00EA3A8F" w:rsidP="00FD1D4B">
      <w:pPr>
        <w:pStyle w:val="Footnotes"/>
        <w:numPr>
          <w:ilvl w:val="0"/>
          <w:numId w:val="0"/>
        </w:numPr>
        <w:ind w:left="284" w:hanging="284"/>
        <w:rPr>
          <w:rStyle w:val="FootnoteReference"/>
          <w:vertAlign w:val="baseline"/>
        </w:rPr>
      </w:pPr>
      <w:r>
        <w:t>-</w:t>
      </w:r>
      <w:r>
        <w:tab/>
        <w:t>Indicates nil.</w:t>
      </w:r>
    </w:p>
    <w:p w:rsidR="00EA3A8F" w:rsidRDefault="00EA3A8F" w:rsidP="00EA3A8F">
      <w:pPr>
        <w:pStyle w:val="CostingsH7"/>
      </w:pPr>
      <w:r>
        <w:t>Key assumptions</w:t>
      </w:r>
    </w:p>
    <w:p w:rsidR="00EA3A8F" w:rsidRPr="00407E1A" w:rsidRDefault="00EA3A8F" w:rsidP="00EA3A8F">
      <w:pPr>
        <w:pStyle w:val="BodyText"/>
      </w:pPr>
      <w:r w:rsidRPr="00407E1A">
        <w:t>In costing this proposal it has been assumed that the age breakdown of the humanitarian intake from the Department of Education and Training can be applied to all other agency models in which age disaggregation was necessary.</w:t>
      </w:r>
    </w:p>
    <w:p w:rsidR="00EA3A8F" w:rsidRDefault="00EA3A8F" w:rsidP="00EA3A8F">
      <w:pPr>
        <w:pStyle w:val="CostingsH7"/>
      </w:pPr>
      <w:r>
        <w:t>Methodology</w:t>
      </w:r>
    </w:p>
    <w:p w:rsidR="00EA3A8F" w:rsidRPr="00407E1A" w:rsidRDefault="00EA3A8F" w:rsidP="00EA3A8F">
      <w:pPr>
        <w:pStyle w:val="BodyText"/>
      </w:pPr>
      <w:r w:rsidRPr="00407E1A">
        <w:t xml:space="preserve">The increase to the humanitarian intake was costed using a number of agency costing models associated with the 2015-16 Mid-Year Economic and Fiscal Outlook measure, </w:t>
      </w:r>
      <w:r w:rsidRPr="00407E1A">
        <w:rPr>
          <w:i/>
        </w:rPr>
        <w:t>Syrian and Iraqi humanitarian crisis</w:t>
      </w:r>
      <w:r w:rsidRPr="00407E1A">
        <w:t>.  Flows for this measure have been adjusted based on costs shifted out of 2015-16 as advised by the Department of Immigration and Border Protection.</w:t>
      </w:r>
    </w:p>
    <w:p w:rsidR="00EA3A8F" w:rsidRDefault="00EA3A8F" w:rsidP="00EA3A8F">
      <w:pPr>
        <w:pStyle w:val="CostingsH7"/>
      </w:pPr>
      <w:r>
        <w:t>Data sources</w:t>
      </w:r>
    </w:p>
    <w:p w:rsidR="00EA3A8F" w:rsidRDefault="00EA3A8F" w:rsidP="00EA3A8F">
      <w:pPr>
        <w:pStyle w:val="BodyText"/>
      </w:pPr>
      <w:r>
        <w:t>Departmental costing models for the humanitarian intake associated with the 2015</w:t>
      </w:r>
      <w:r w:rsidR="006C0AA1">
        <w:noBreakHyphen/>
      </w:r>
      <w:r>
        <w:t>16 Mid</w:t>
      </w:r>
      <w:r w:rsidR="006C0AA1">
        <w:noBreakHyphen/>
      </w:r>
      <w:r>
        <w:t xml:space="preserve">Year Economic and Fiscal Outlook measure, </w:t>
      </w:r>
      <w:r w:rsidRPr="00C2204F">
        <w:rPr>
          <w:i/>
        </w:rPr>
        <w:t>Syrian and Iraqi humanitarian crisis</w:t>
      </w:r>
      <w:r>
        <w:t xml:space="preserve"> from the:</w:t>
      </w:r>
    </w:p>
    <w:p w:rsidR="00EA3A8F" w:rsidRDefault="00EA3A8F" w:rsidP="00EA3A8F">
      <w:pPr>
        <w:pStyle w:val="ListBullet"/>
      </w:pPr>
      <w:r>
        <w:t>Australian Tax Office</w:t>
      </w:r>
    </w:p>
    <w:p w:rsidR="00EA3A8F" w:rsidRDefault="00EA3A8F" w:rsidP="00EA3A8F">
      <w:pPr>
        <w:pStyle w:val="ListBullet"/>
      </w:pPr>
      <w:r>
        <w:t>Department of Education and Training</w:t>
      </w:r>
    </w:p>
    <w:p w:rsidR="00EA3A8F" w:rsidRDefault="00EA3A8F" w:rsidP="00EA3A8F">
      <w:pPr>
        <w:pStyle w:val="ListBullet"/>
      </w:pPr>
      <w:r>
        <w:t>Department of Employment</w:t>
      </w:r>
    </w:p>
    <w:p w:rsidR="00EA3A8F" w:rsidRDefault="00EA3A8F" w:rsidP="00EA3A8F">
      <w:pPr>
        <w:pStyle w:val="ListBullet"/>
      </w:pPr>
      <w:r>
        <w:t>Department of Health</w:t>
      </w:r>
    </w:p>
    <w:p w:rsidR="00EA3A8F" w:rsidRDefault="00EA3A8F" w:rsidP="00EA3A8F">
      <w:pPr>
        <w:pStyle w:val="ListBullet"/>
      </w:pPr>
      <w:r>
        <w:t>Department of Human Services</w:t>
      </w:r>
    </w:p>
    <w:p w:rsidR="00EA3A8F" w:rsidRDefault="00EA3A8F" w:rsidP="00EA3A8F">
      <w:pPr>
        <w:pStyle w:val="ListBullet"/>
      </w:pPr>
      <w:r>
        <w:t>Department of Immigration and Border Protection</w:t>
      </w:r>
    </w:p>
    <w:p w:rsidR="00EA3A8F" w:rsidRDefault="00EA3A8F" w:rsidP="00EA3A8F">
      <w:pPr>
        <w:pStyle w:val="ListBullet"/>
      </w:pPr>
      <w:r>
        <w:t>Department of Social Services</w:t>
      </w:r>
    </w:p>
    <w:p w:rsidR="00EA3A8F" w:rsidRDefault="00EA3A8F" w:rsidP="00EA3A8F">
      <w:pPr>
        <w:pStyle w:val="ListBullet"/>
      </w:pPr>
      <w:r>
        <w:t>Department of the Treasury.</w:t>
      </w:r>
    </w:p>
    <w:p w:rsidR="00EA3A8F" w:rsidRDefault="00EA3A8F" w:rsidP="00EA3A8F">
      <w:pPr>
        <w:pStyle w:val="BodyText"/>
      </w:pPr>
      <w:r>
        <w:t>The Department of Finance provided efficiency dividend and indexation parameters.</w:t>
      </w:r>
    </w:p>
    <w:p w:rsidR="00EA3A8F" w:rsidRDefault="00EA3A8F" w:rsidP="00EA3A8F">
      <w:pPr>
        <w:pStyle w:val="BodyText"/>
      </w:pPr>
    </w:p>
    <w:p w:rsidR="00EA3A8F" w:rsidRDefault="00EA3A8F" w:rsidP="00EA3A8F">
      <w:pPr>
        <w:pStyle w:val="BodyText"/>
        <w:sectPr w:rsidR="00EA3A8F" w:rsidSect="00967BCD">
          <w:footnotePr>
            <w:numRestart w:val="eachSect"/>
          </w:footnotePr>
          <w:pgSz w:w="11906" w:h="16838" w:code="9"/>
          <w:pgMar w:top="1361" w:right="1797" w:bottom="1474" w:left="1797" w:header="283" w:footer="454" w:gutter="0"/>
          <w:cols w:space="708"/>
          <w:docGrid w:linePitch="360"/>
        </w:sectPr>
      </w:pPr>
    </w:p>
    <w:p w:rsidR="00EA3A8F" w:rsidRDefault="00EA3A8F" w:rsidP="00EA3A8F">
      <w:pPr>
        <w:pStyle w:val="Heading6"/>
        <w:numPr>
          <w:ilvl w:val="0"/>
          <w:numId w:val="10"/>
        </w:numPr>
        <w:tabs>
          <w:tab w:val="right" w:pos="1418"/>
          <w:tab w:val="right" w:pos="1701"/>
          <w:tab w:val="right" w:pos="1985"/>
        </w:tabs>
      </w:pPr>
      <w:r>
        <w:t>Attachment A: Increasing the humanitarian intake—current and proposed humanitarian intake</w:t>
      </w:r>
    </w:p>
    <w:p w:rsidR="00EA3A8F" w:rsidRDefault="00EA3A8F" w:rsidP="00EA3A8F">
      <w:pPr>
        <w:pStyle w:val="Caption"/>
      </w:pPr>
      <w:r w:rsidRPr="002B36F1">
        <w:t xml:space="preserve">Table </w:t>
      </w:r>
      <w:r>
        <w:t>A1</w:t>
      </w:r>
      <w:r w:rsidRPr="002B36F1">
        <w:t>:</w:t>
      </w:r>
      <w:r>
        <w:t xml:space="preserve"> In</w:t>
      </w:r>
      <w:r w:rsidR="00431106">
        <w:t>creasing the humanitarian impact</w:t>
      </w:r>
      <w:r>
        <w:t>—Current and proposed humanitarian intake</w:t>
      </w:r>
    </w:p>
    <w:tbl>
      <w:tblPr>
        <w:tblStyle w:val="Style1"/>
        <w:tblW w:w="5001" w:type="pct"/>
        <w:tblLook w:val="06A0" w:firstRow="1" w:lastRow="0" w:firstColumn="1" w:lastColumn="0" w:noHBand="1" w:noVBand="1"/>
      </w:tblPr>
      <w:tblGrid>
        <w:gridCol w:w="2544"/>
        <w:gridCol w:w="990"/>
        <w:gridCol w:w="993"/>
        <w:gridCol w:w="993"/>
        <w:gridCol w:w="994"/>
        <w:gridCol w:w="994"/>
        <w:gridCol w:w="994"/>
        <w:gridCol w:w="994"/>
        <w:gridCol w:w="994"/>
        <w:gridCol w:w="994"/>
        <w:gridCol w:w="994"/>
        <w:gridCol w:w="986"/>
      </w:tblGrid>
      <w:tr w:rsidR="00EA3A8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EA3A8F" w:rsidRPr="007C2713" w:rsidRDefault="00EA3A8F" w:rsidP="00142CA8">
            <w:pPr>
              <w:pStyle w:val="TableText"/>
              <w:rPr>
                <w:b w:val="0"/>
              </w:rPr>
            </w:pPr>
            <w:r>
              <w:t>Humanitarian intake</w:t>
            </w:r>
          </w:p>
        </w:tc>
        <w:tc>
          <w:tcPr>
            <w:tcW w:w="368" w:type="pct"/>
            <w:vAlign w:val="center"/>
          </w:tcPr>
          <w:p w:rsidR="00EA3A8F" w:rsidRDefault="00EA3A8F" w:rsidP="00142CA8">
            <w:pPr>
              <w:pStyle w:val="TableTextRight"/>
              <w:spacing w:before="0" w:after="0" w:line="240" w:lineRule="auto"/>
              <w:ind w:left="-57" w:right="-57"/>
              <w:rPr>
                <w:b w:val="0"/>
              </w:rPr>
            </w:pPr>
            <w:r>
              <w:t>2016–17</w:t>
            </w:r>
          </w:p>
        </w:tc>
        <w:tc>
          <w:tcPr>
            <w:tcW w:w="369" w:type="pct"/>
            <w:vAlign w:val="center"/>
          </w:tcPr>
          <w:p w:rsidR="00EA3A8F" w:rsidRDefault="00EA3A8F" w:rsidP="00142CA8">
            <w:pPr>
              <w:pStyle w:val="TableTextRight"/>
              <w:spacing w:before="0" w:after="0" w:line="240" w:lineRule="auto"/>
              <w:ind w:left="-57" w:right="-57"/>
              <w:rPr>
                <w:b w:val="0"/>
              </w:rPr>
            </w:pPr>
            <w:r>
              <w:t>2017–18</w:t>
            </w:r>
          </w:p>
        </w:tc>
        <w:tc>
          <w:tcPr>
            <w:tcW w:w="369" w:type="pct"/>
            <w:vAlign w:val="center"/>
          </w:tcPr>
          <w:p w:rsidR="00EA3A8F" w:rsidRDefault="00EA3A8F" w:rsidP="00142CA8">
            <w:pPr>
              <w:pStyle w:val="TableTextRight"/>
              <w:spacing w:before="0" w:after="0" w:line="240" w:lineRule="auto"/>
              <w:ind w:left="-57" w:right="-57"/>
              <w:rPr>
                <w:b w:val="0"/>
              </w:rPr>
            </w:pPr>
            <w:r>
              <w:t>2018–19</w:t>
            </w:r>
          </w:p>
        </w:tc>
        <w:tc>
          <w:tcPr>
            <w:tcW w:w="369" w:type="pct"/>
            <w:vAlign w:val="center"/>
          </w:tcPr>
          <w:p w:rsidR="00EA3A8F" w:rsidRDefault="00EA3A8F" w:rsidP="00142CA8">
            <w:pPr>
              <w:pStyle w:val="TableTextRight"/>
              <w:spacing w:before="0" w:after="0" w:line="240" w:lineRule="auto"/>
              <w:ind w:left="-57" w:right="-57"/>
              <w:rPr>
                <w:b w:val="0"/>
              </w:rPr>
            </w:pPr>
            <w:r>
              <w:t>2019–20</w:t>
            </w:r>
          </w:p>
        </w:tc>
        <w:tc>
          <w:tcPr>
            <w:tcW w:w="369" w:type="pct"/>
            <w:vAlign w:val="center"/>
          </w:tcPr>
          <w:p w:rsidR="00EA3A8F" w:rsidRDefault="00EA3A8F" w:rsidP="00142CA8">
            <w:pPr>
              <w:pStyle w:val="TableTextRight"/>
              <w:spacing w:before="0" w:after="0" w:line="240" w:lineRule="auto"/>
              <w:ind w:left="-57" w:right="-57"/>
              <w:rPr>
                <w:b w:val="0"/>
              </w:rPr>
            </w:pPr>
            <w:r>
              <w:t>2020–21</w:t>
            </w:r>
          </w:p>
        </w:tc>
        <w:tc>
          <w:tcPr>
            <w:tcW w:w="369" w:type="pct"/>
            <w:vAlign w:val="center"/>
          </w:tcPr>
          <w:p w:rsidR="00EA3A8F" w:rsidRDefault="00EA3A8F" w:rsidP="00142CA8">
            <w:pPr>
              <w:pStyle w:val="TableTextRight"/>
              <w:spacing w:before="0" w:after="0" w:line="240" w:lineRule="auto"/>
              <w:ind w:left="-57" w:right="-57"/>
              <w:rPr>
                <w:b w:val="0"/>
              </w:rPr>
            </w:pPr>
            <w:r>
              <w:t>2021–22</w:t>
            </w:r>
          </w:p>
        </w:tc>
        <w:tc>
          <w:tcPr>
            <w:tcW w:w="369" w:type="pct"/>
            <w:vAlign w:val="center"/>
          </w:tcPr>
          <w:p w:rsidR="00EA3A8F" w:rsidRDefault="00EA3A8F" w:rsidP="00142CA8">
            <w:pPr>
              <w:pStyle w:val="TableTextRight"/>
              <w:spacing w:before="0" w:after="0" w:line="240" w:lineRule="auto"/>
              <w:ind w:left="-57" w:right="-57"/>
              <w:rPr>
                <w:b w:val="0"/>
              </w:rPr>
            </w:pPr>
            <w:r>
              <w:t>2022–23</w:t>
            </w:r>
          </w:p>
        </w:tc>
        <w:tc>
          <w:tcPr>
            <w:tcW w:w="369" w:type="pct"/>
            <w:vAlign w:val="center"/>
          </w:tcPr>
          <w:p w:rsidR="00EA3A8F" w:rsidRDefault="00EA3A8F" w:rsidP="00142CA8">
            <w:pPr>
              <w:pStyle w:val="TableTextRight"/>
              <w:spacing w:before="0" w:after="0" w:line="240" w:lineRule="auto"/>
              <w:ind w:left="-57" w:right="-57"/>
              <w:rPr>
                <w:b w:val="0"/>
              </w:rPr>
            </w:pPr>
            <w:r>
              <w:t>2023–24</w:t>
            </w:r>
          </w:p>
        </w:tc>
        <w:tc>
          <w:tcPr>
            <w:tcW w:w="369" w:type="pct"/>
            <w:vAlign w:val="center"/>
          </w:tcPr>
          <w:p w:rsidR="00EA3A8F" w:rsidRDefault="00EA3A8F" w:rsidP="00142CA8">
            <w:pPr>
              <w:pStyle w:val="TableTextRight"/>
              <w:spacing w:before="0" w:after="0" w:line="240" w:lineRule="auto"/>
              <w:ind w:left="-57" w:right="-57"/>
              <w:rPr>
                <w:b w:val="0"/>
              </w:rPr>
            </w:pPr>
            <w:r>
              <w:t>2024–25</w:t>
            </w:r>
          </w:p>
        </w:tc>
        <w:tc>
          <w:tcPr>
            <w:tcW w:w="369" w:type="pct"/>
            <w:vAlign w:val="center"/>
          </w:tcPr>
          <w:p w:rsidR="00EA3A8F" w:rsidRDefault="00EA3A8F" w:rsidP="00142CA8">
            <w:pPr>
              <w:pStyle w:val="TableTextRight"/>
              <w:spacing w:before="0" w:after="0" w:line="240" w:lineRule="auto"/>
              <w:ind w:left="-57" w:right="-57"/>
              <w:rPr>
                <w:b w:val="0"/>
              </w:rPr>
            </w:pPr>
            <w:r>
              <w:t>2025–26</w:t>
            </w:r>
          </w:p>
        </w:tc>
        <w:tc>
          <w:tcPr>
            <w:tcW w:w="366" w:type="pct"/>
            <w:vAlign w:val="center"/>
          </w:tcPr>
          <w:p w:rsidR="00EA3A8F" w:rsidRDefault="00EA3A8F" w:rsidP="00142CA8">
            <w:pPr>
              <w:pStyle w:val="TableTextRight"/>
              <w:spacing w:before="0" w:after="0" w:line="240" w:lineRule="auto"/>
              <w:ind w:left="-57" w:right="-57"/>
            </w:pPr>
            <w:r>
              <w:t>2026–27</w:t>
            </w:r>
          </w:p>
        </w:tc>
      </w:tr>
      <w:tr w:rsidR="00EA3A8F" w:rsidTr="00F7554A">
        <w:tc>
          <w:tcPr>
            <w:tcW w:w="945" w:type="pct"/>
            <w:vAlign w:val="center"/>
          </w:tcPr>
          <w:p w:rsidR="00EA3A8F" w:rsidRPr="007C2713" w:rsidRDefault="00EA3A8F" w:rsidP="00142CA8">
            <w:pPr>
              <w:pStyle w:val="TableText"/>
            </w:pPr>
            <w:r>
              <w:t>Current policy</w:t>
            </w:r>
          </w:p>
        </w:tc>
        <w:tc>
          <w:tcPr>
            <w:tcW w:w="368" w:type="pct"/>
            <w:vAlign w:val="bottom"/>
          </w:tcPr>
          <w:p w:rsidR="00EA3A8F" w:rsidRPr="00861BD4" w:rsidRDefault="00EA3A8F" w:rsidP="00142CA8">
            <w:pPr>
              <w:pStyle w:val="TableTextRight"/>
              <w:ind w:left="-57" w:right="-57"/>
              <w:rPr>
                <w:i/>
              </w:rPr>
            </w:pPr>
            <w:r w:rsidRPr="00861BD4">
              <w:rPr>
                <w:i/>
              </w:rPr>
              <w:t>23,750</w:t>
            </w:r>
          </w:p>
        </w:tc>
        <w:tc>
          <w:tcPr>
            <w:tcW w:w="369" w:type="pct"/>
            <w:vAlign w:val="bottom"/>
          </w:tcPr>
          <w:p w:rsidR="00EA3A8F" w:rsidRPr="00861BD4" w:rsidRDefault="00EA3A8F" w:rsidP="00142CA8">
            <w:pPr>
              <w:pStyle w:val="TableTextRight"/>
              <w:ind w:left="-57" w:right="-57"/>
              <w:rPr>
                <w:i/>
              </w:rPr>
            </w:pPr>
            <w:r w:rsidRPr="00861BD4">
              <w:rPr>
                <w:i/>
              </w:rPr>
              <w:t>16,250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6" w:type="pct"/>
            <w:vAlign w:val="bottom"/>
          </w:tcPr>
          <w:p w:rsidR="00EA3A8F" w:rsidRPr="00861BD4" w:rsidRDefault="00EA3A8F" w:rsidP="00142CA8">
            <w:pPr>
              <w:pStyle w:val="TableTextRight"/>
              <w:ind w:left="-57" w:right="-57"/>
              <w:rPr>
                <w:i/>
              </w:rPr>
            </w:pPr>
            <w:r w:rsidRPr="00861BD4">
              <w:rPr>
                <w:i/>
              </w:rPr>
              <w:t>18,750</w:t>
            </w:r>
          </w:p>
        </w:tc>
      </w:tr>
      <w:tr w:rsidR="00EA3A8F" w:rsidTr="00F7554A">
        <w:tc>
          <w:tcPr>
            <w:tcW w:w="945" w:type="pct"/>
            <w:vAlign w:val="center"/>
          </w:tcPr>
          <w:p w:rsidR="00EA3A8F" w:rsidRPr="007C2713" w:rsidRDefault="00EA3A8F" w:rsidP="00142CA8">
            <w:pPr>
              <w:pStyle w:val="TableText"/>
            </w:pPr>
            <w:r>
              <w:t>Proposed policy</w:t>
            </w:r>
          </w:p>
        </w:tc>
        <w:tc>
          <w:tcPr>
            <w:tcW w:w="368" w:type="pct"/>
            <w:vAlign w:val="bottom"/>
          </w:tcPr>
          <w:p w:rsidR="00EA3A8F" w:rsidRPr="00861BD4" w:rsidRDefault="00EA3A8F" w:rsidP="00142CA8">
            <w:pPr>
              <w:pStyle w:val="TableTextRight"/>
              <w:ind w:left="-57" w:right="-57"/>
              <w:rPr>
                <w:i/>
              </w:rPr>
            </w:pPr>
            <w:r w:rsidRPr="00861BD4">
              <w:rPr>
                <w:i/>
              </w:rPr>
              <w:t>23,750</w:t>
            </w:r>
          </w:p>
        </w:tc>
        <w:tc>
          <w:tcPr>
            <w:tcW w:w="369" w:type="pct"/>
            <w:vAlign w:val="bottom"/>
          </w:tcPr>
          <w:p w:rsidR="00EA3A8F" w:rsidRPr="00861BD4" w:rsidRDefault="00EA3A8F" w:rsidP="00142CA8">
            <w:pPr>
              <w:pStyle w:val="TableTextRight"/>
              <w:ind w:left="-57" w:right="-57"/>
              <w:rPr>
                <w:i/>
              </w:rPr>
            </w:pPr>
            <w:r w:rsidRPr="00861BD4">
              <w:rPr>
                <w:i/>
              </w:rPr>
              <w:t>16,250</w:t>
            </w:r>
          </w:p>
        </w:tc>
        <w:tc>
          <w:tcPr>
            <w:tcW w:w="369" w:type="pct"/>
            <w:vAlign w:val="bottom"/>
          </w:tcPr>
          <w:p w:rsidR="00EA3A8F" w:rsidRPr="00861BD4" w:rsidRDefault="00EA3A8F" w:rsidP="00142CA8">
            <w:pPr>
              <w:pStyle w:val="TableTextRight"/>
              <w:ind w:left="-57" w:right="-57"/>
              <w:rPr>
                <w:i/>
              </w:rPr>
            </w:pPr>
            <w:r w:rsidRPr="00861BD4">
              <w:rPr>
                <w:i/>
              </w:rPr>
              <w:t>18,750</w:t>
            </w:r>
          </w:p>
        </w:tc>
        <w:tc>
          <w:tcPr>
            <w:tcW w:w="369" w:type="pct"/>
            <w:vAlign w:val="bottom"/>
          </w:tcPr>
          <w:p w:rsidR="00EA3A8F" w:rsidRPr="00861BD4" w:rsidRDefault="00EA3A8F" w:rsidP="00142CA8">
            <w:pPr>
              <w:pStyle w:val="TableTextRight"/>
              <w:ind w:left="-57" w:right="-57"/>
              <w:rPr>
                <w:i/>
              </w:rPr>
            </w:pPr>
            <w:r w:rsidRPr="00861BD4">
              <w:rPr>
                <w:i/>
              </w:rPr>
              <w:t>19,950</w:t>
            </w:r>
          </w:p>
        </w:tc>
        <w:tc>
          <w:tcPr>
            <w:tcW w:w="369" w:type="pct"/>
            <w:vAlign w:val="bottom"/>
          </w:tcPr>
          <w:p w:rsidR="00EA3A8F" w:rsidRPr="00861BD4" w:rsidRDefault="00EA3A8F" w:rsidP="00142CA8">
            <w:pPr>
              <w:pStyle w:val="TableTextRight"/>
              <w:ind w:left="-57" w:right="-57"/>
              <w:rPr>
                <w:i/>
              </w:rPr>
            </w:pPr>
            <w:r w:rsidRPr="00861BD4">
              <w:rPr>
                <w:i/>
              </w:rPr>
              <w:t>21,150</w:t>
            </w:r>
          </w:p>
        </w:tc>
        <w:tc>
          <w:tcPr>
            <w:tcW w:w="369" w:type="pct"/>
            <w:vAlign w:val="bottom"/>
          </w:tcPr>
          <w:p w:rsidR="00EA3A8F" w:rsidRPr="00861BD4" w:rsidRDefault="00EA3A8F" w:rsidP="00142CA8">
            <w:pPr>
              <w:pStyle w:val="TableTextRight"/>
              <w:ind w:left="-57" w:right="-57"/>
              <w:rPr>
                <w:i/>
              </w:rPr>
            </w:pPr>
            <w:r w:rsidRPr="00861BD4">
              <w:rPr>
                <w:i/>
              </w:rPr>
              <w:t>22,350</w:t>
            </w:r>
          </w:p>
        </w:tc>
        <w:tc>
          <w:tcPr>
            <w:tcW w:w="369" w:type="pct"/>
            <w:vAlign w:val="bottom"/>
          </w:tcPr>
          <w:p w:rsidR="00EA3A8F" w:rsidRPr="00861BD4" w:rsidRDefault="00EA3A8F" w:rsidP="00142CA8">
            <w:pPr>
              <w:pStyle w:val="TableTextRight"/>
              <w:ind w:left="-57" w:right="-57"/>
              <w:rPr>
                <w:i/>
              </w:rPr>
            </w:pPr>
            <w:r w:rsidRPr="00861BD4">
              <w:rPr>
                <w:i/>
              </w:rPr>
              <w:t>23,550</w:t>
            </w:r>
          </w:p>
        </w:tc>
        <w:tc>
          <w:tcPr>
            <w:tcW w:w="369" w:type="pct"/>
            <w:vAlign w:val="bottom"/>
          </w:tcPr>
          <w:p w:rsidR="00EA3A8F" w:rsidRPr="00861BD4" w:rsidRDefault="00EA3A8F" w:rsidP="00142CA8">
            <w:pPr>
              <w:pStyle w:val="TableTextRight"/>
              <w:ind w:left="-57" w:right="-57"/>
              <w:rPr>
                <w:i/>
              </w:rPr>
            </w:pPr>
            <w:r w:rsidRPr="00861BD4">
              <w:rPr>
                <w:i/>
              </w:rPr>
              <w:t>24,750</w:t>
            </w:r>
          </w:p>
        </w:tc>
        <w:tc>
          <w:tcPr>
            <w:tcW w:w="369" w:type="pct"/>
            <w:vAlign w:val="bottom"/>
          </w:tcPr>
          <w:p w:rsidR="00EA3A8F" w:rsidRPr="00861BD4" w:rsidRDefault="00EA3A8F" w:rsidP="00142CA8">
            <w:pPr>
              <w:pStyle w:val="TableTextRight"/>
              <w:ind w:left="-57" w:right="-57"/>
              <w:rPr>
                <w:i/>
              </w:rPr>
            </w:pPr>
            <w:r w:rsidRPr="00861BD4">
              <w:rPr>
                <w:i/>
              </w:rPr>
              <w:t>25,950</w:t>
            </w:r>
          </w:p>
        </w:tc>
        <w:tc>
          <w:tcPr>
            <w:tcW w:w="369" w:type="pct"/>
            <w:vAlign w:val="bottom"/>
          </w:tcPr>
          <w:p w:rsidR="00EA3A8F" w:rsidRPr="00861BD4" w:rsidRDefault="00EA3A8F" w:rsidP="00142CA8">
            <w:pPr>
              <w:pStyle w:val="TableTextRight"/>
              <w:ind w:left="-57" w:right="-57"/>
              <w:rPr>
                <w:i/>
              </w:rPr>
            </w:pPr>
            <w:r w:rsidRPr="00861BD4">
              <w:rPr>
                <w:i/>
              </w:rPr>
              <w:t>27,000</w:t>
            </w:r>
          </w:p>
        </w:tc>
        <w:tc>
          <w:tcPr>
            <w:tcW w:w="366" w:type="pct"/>
            <w:vAlign w:val="bottom"/>
          </w:tcPr>
          <w:p w:rsidR="00EA3A8F" w:rsidRPr="00861BD4" w:rsidRDefault="00EA3A8F" w:rsidP="00142CA8">
            <w:pPr>
              <w:pStyle w:val="TableTextRight"/>
              <w:ind w:left="-57" w:right="-57"/>
              <w:rPr>
                <w:i/>
              </w:rPr>
            </w:pPr>
            <w:r w:rsidRPr="00861BD4">
              <w:rPr>
                <w:i/>
              </w:rPr>
              <w:t>27,000</w:t>
            </w:r>
          </w:p>
        </w:tc>
      </w:tr>
      <w:tr w:rsidR="00EA3A8F" w:rsidRPr="007C2713" w:rsidTr="00F7554A">
        <w:tc>
          <w:tcPr>
            <w:tcW w:w="945" w:type="pct"/>
            <w:shd w:val="clear" w:color="auto" w:fill="D7DDE9" w:themeFill="accent3"/>
            <w:vAlign w:val="center"/>
          </w:tcPr>
          <w:p w:rsidR="00EA3A8F" w:rsidRPr="007C2713" w:rsidRDefault="00EA3A8F" w:rsidP="00142CA8">
            <w:pPr>
              <w:pStyle w:val="TableText"/>
              <w:rPr>
                <w:b/>
              </w:rPr>
            </w:pPr>
            <w:r w:rsidRPr="007C2713">
              <w:rPr>
                <w:b/>
              </w:rPr>
              <w:t>Total</w:t>
            </w:r>
          </w:p>
        </w:tc>
        <w:tc>
          <w:tcPr>
            <w:tcW w:w="368"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1,200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2,400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3,600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4,800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6,000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7,200</w:t>
            </w:r>
          </w:p>
        </w:tc>
        <w:tc>
          <w:tcPr>
            <w:tcW w:w="369"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8,250</w:t>
            </w:r>
          </w:p>
        </w:tc>
        <w:tc>
          <w:tcPr>
            <w:tcW w:w="366" w:type="pct"/>
            <w:shd w:val="clear" w:color="auto" w:fill="D7DDE9" w:themeFill="accent3"/>
            <w:vAlign w:val="bottom"/>
          </w:tcPr>
          <w:p w:rsidR="00EA3A8F" w:rsidRPr="00377BBB" w:rsidRDefault="00EA3A8F" w:rsidP="00142CA8">
            <w:pPr>
              <w:pStyle w:val="TableTextRight"/>
              <w:ind w:left="-57" w:right="-57"/>
              <w:rPr>
                <w:b/>
                <w:bCs/>
              </w:rPr>
            </w:pPr>
            <w:r w:rsidRPr="00377BBB">
              <w:rPr>
                <w:b/>
                <w:bCs/>
              </w:rPr>
              <w:t>8,250</w:t>
            </w:r>
          </w:p>
        </w:tc>
      </w:tr>
    </w:tbl>
    <w:p w:rsidR="00EA3A8F" w:rsidRDefault="00EA3A8F" w:rsidP="00FD1D4B">
      <w:pPr>
        <w:pStyle w:val="Footnotes"/>
        <w:numPr>
          <w:ilvl w:val="0"/>
          <w:numId w:val="0"/>
        </w:numPr>
        <w:ind w:left="284" w:hanging="284"/>
      </w:pPr>
      <w:r w:rsidRPr="005F544A">
        <w:t>-</w:t>
      </w:r>
      <w:r w:rsidRPr="005F544A">
        <w:tab/>
        <w:t>Indicates nil.</w:t>
      </w:r>
    </w:p>
    <w:p w:rsidR="00FD1D4B" w:rsidRDefault="00FD1D4B" w:rsidP="00FD1D4B">
      <w:pPr>
        <w:pStyle w:val="BodyText"/>
        <w:sectPr w:rsidR="00FD1D4B" w:rsidSect="00FD1D4B">
          <w:headerReference w:type="even" r:id="rId143"/>
          <w:headerReference w:type="default" r:id="rId144"/>
          <w:footerReference w:type="even" r:id="rId145"/>
          <w:footerReference w:type="default" r:id="rId146"/>
          <w:footnotePr>
            <w:numRestart w:val="eachSect"/>
          </w:footnotePr>
          <w:pgSz w:w="16839" w:h="11907" w:orient="landscape" w:code="9"/>
          <w:pgMar w:top="1361" w:right="1797" w:bottom="1474" w:left="1797" w:header="283" w:footer="454" w:gutter="0"/>
          <w:cols w:space="708"/>
          <w:docGrid w:linePitch="360"/>
        </w:sectPr>
      </w:pPr>
    </w:p>
    <w:p w:rsidR="00EA3A8F" w:rsidRDefault="00EA3A8F" w:rsidP="00EA3A8F">
      <w:pPr>
        <w:pStyle w:val="Heading6"/>
        <w:numPr>
          <w:ilvl w:val="0"/>
          <w:numId w:val="10"/>
        </w:numPr>
        <w:tabs>
          <w:tab w:val="right" w:pos="1418"/>
          <w:tab w:val="right" w:pos="1701"/>
          <w:tab w:val="right" w:pos="1985"/>
        </w:tabs>
      </w:pPr>
      <w:r>
        <w:t>Attachment B: Increasing the humanitarian intake—</w:t>
      </w:r>
      <w:r w:rsidR="0080154C">
        <w:t>financial implications</w:t>
      </w:r>
    </w:p>
    <w:p w:rsidR="00EA3A8F" w:rsidRDefault="00EA3A8F" w:rsidP="00EA3A8F">
      <w:pPr>
        <w:pStyle w:val="Caption"/>
        <w:keepLines/>
      </w:pPr>
      <w:r w:rsidRPr="00861BD4">
        <w:t xml:space="preserve">Table B1: Increasing the humanitarian intake—fiscal </w:t>
      </w:r>
      <w:r>
        <w:t>balance</w:t>
      </w:r>
      <w:r w:rsidRPr="00861BD4">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EA3A8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EA3A8F" w:rsidRPr="007C2713" w:rsidRDefault="00EA3A8F" w:rsidP="00F7554A">
            <w:pPr>
              <w:pStyle w:val="TableText"/>
              <w:keepNext/>
              <w:keepLines/>
              <w:rPr>
                <w:b w:val="0"/>
              </w:rPr>
            </w:pPr>
            <w:r>
              <w:t>($)</w:t>
            </w:r>
          </w:p>
        </w:tc>
        <w:tc>
          <w:tcPr>
            <w:tcW w:w="312" w:type="pct"/>
            <w:vAlign w:val="center"/>
          </w:tcPr>
          <w:p w:rsidR="00EA3A8F" w:rsidRDefault="00EA3A8F" w:rsidP="00F7554A">
            <w:pPr>
              <w:pStyle w:val="TableTextRight"/>
              <w:keepNext/>
              <w:keepLines/>
              <w:spacing w:before="0" w:after="0" w:line="240" w:lineRule="auto"/>
              <w:ind w:left="-57" w:right="-57"/>
              <w:rPr>
                <w:b w:val="0"/>
              </w:rPr>
            </w:pPr>
            <w:r>
              <w:t>2016–17</w:t>
            </w:r>
          </w:p>
        </w:tc>
        <w:tc>
          <w:tcPr>
            <w:tcW w:w="312" w:type="pct"/>
            <w:vAlign w:val="center"/>
          </w:tcPr>
          <w:p w:rsidR="00EA3A8F" w:rsidRDefault="00EA3A8F" w:rsidP="00F7554A">
            <w:pPr>
              <w:pStyle w:val="TableTextRight"/>
              <w:keepNext/>
              <w:keepLines/>
              <w:spacing w:before="0" w:after="0" w:line="240" w:lineRule="auto"/>
              <w:ind w:left="-57" w:right="-57"/>
              <w:rPr>
                <w:b w:val="0"/>
              </w:rPr>
            </w:pPr>
            <w:r>
              <w:t>2017–18</w:t>
            </w:r>
          </w:p>
        </w:tc>
        <w:tc>
          <w:tcPr>
            <w:tcW w:w="312" w:type="pct"/>
            <w:vAlign w:val="center"/>
          </w:tcPr>
          <w:p w:rsidR="00EA3A8F" w:rsidRDefault="00EA3A8F" w:rsidP="00F7554A">
            <w:pPr>
              <w:pStyle w:val="TableTextRight"/>
              <w:keepNext/>
              <w:keepLines/>
              <w:spacing w:before="0" w:after="0" w:line="240" w:lineRule="auto"/>
              <w:ind w:left="-57" w:right="-57"/>
              <w:rPr>
                <w:b w:val="0"/>
              </w:rPr>
            </w:pPr>
            <w:r>
              <w:t>2018–19</w:t>
            </w:r>
          </w:p>
        </w:tc>
        <w:tc>
          <w:tcPr>
            <w:tcW w:w="312" w:type="pct"/>
            <w:vAlign w:val="center"/>
          </w:tcPr>
          <w:p w:rsidR="00EA3A8F" w:rsidRDefault="00EA3A8F" w:rsidP="00F7554A">
            <w:pPr>
              <w:pStyle w:val="TableTextRight"/>
              <w:keepNext/>
              <w:keepLines/>
              <w:spacing w:before="0" w:after="0" w:line="240" w:lineRule="auto"/>
              <w:ind w:left="-57" w:right="-57"/>
              <w:rPr>
                <w:b w:val="0"/>
              </w:rPr>
            </w:pPr>
            <w:r>
              <w:t>2019–20</w:t>
            </w:r>
          </w:p>
        </w:tc>
        <w:tc>
          <w:tcPr>
            <w:tcW w:w="312" w:type="pct"/>
            <w:vAlign w:val="center"/>
          </w:tcPr>
          <w:p w:rsidR="00EA3A8F" w:rsidRDefault="00EA3A8F" w:rsidP="00F7554A">
            <w:pPr>
              <w:pStyle w:val="TableTextRight"/>
              <w:keepNext/>
              <w:keepLines/>
              <w:spacing w:before="0" w:after="0" w:line="240" w:lineRule="auto"/>
              <w:ind w:left="-57" w:right="-57"/>
              <w:rPr>
                <w:b w:val="0"/>
              </w:rPr>
            </w:pPr>
            <w:r>
              <w:t>Total to 2019–20</w:t>
            </w:r>
          </w:p>
        </w:tc>
        <w:tc>
          <w:tcPr>
            <w:tcW w:w="312" w:type="pct"/>
            <w:vAlign w:val="center"/>
          </w:tcPr>
          <w:p w:rsidR="00EA3A8F" w:rsidRDefault="00EA3A8F" w:rsidP="00F7554A">
            <w:pPr>
              <w:pStyle w:val="TableTextRight"/>
              <w:keepNext/>
              <w:keepLines/>
              <w:spacing w:before="0" w:after="0" w:line="240" w:lineRule="auto"/>
              <w:ind w:left="-57" w:right="-57"/>
              <w:rPr>
                <w:b w:val="0"/>
              </w:rPr>
            </w:pPr>
            <w:r>
              <w:t>2020–21</w:t>
            </w:r>
          </w:p>
        </w:tc>
        <w:tc>
          <w:tcPr>
            <w:tcW w:w="312" w:type="pct"/>
            <w:vAlign w:val="center"/>
          </w:tcPr>
          <w:p w:rsidR="00EA3A8F" w:rsidRDefault="00EA3A8F" w:rsidP="00F7554A">
            <w:pPr>
              <w:pStyle w:val="TableTextRight"/>
              <w:keepNext/>
              <w:keepLines/>
              <w:spacing w:before="0" w:after="0" w:line="240" w:lineRule="auto"/>
              <w:ind w:left="-57" w:right="-57"/>
              <w:rPr>
                <w:b w:val="0"/>
              </w:rPr>
            </w:pPr>
            <w:r>
              <w:t>2021–22</w:t>
            </w:r>
          </w:p>
        </w:tc>
        <w:tc>
          <w:tcPr>
            <w:tcW w:w="312" w:type="pct"/>
            <w:vAlign w:val="center"/>
          </w:tcPr>
          <w:p w:rsidR="00EA3A8F" w:rsidRDefault="00EA3A8F" w:rsidP="00F7554A">
            <w:pPr>
              <w:pStyle w:val="TableTextRight"/>
              <w:keepNext/>
              <w:keepLines/>
              <w:spacing w:before="0" w:after="0" w:line="240" w:lineRule="auto"/>
              <w:ind w:left="-57" w:right="-57"/>
              <w:rPr>
                <w:b w:val="0"/>
              </w:rPr>
            </w:pPr>
            <w:r>
              <w:t>2022–23</w:t>
            </w:r>
          </w:p>
        </w:tc>
        <w:tc>
          <w:tcPr>
            <w:tcW w:w="312" w:type="pct"/>
            <w:vAlign w:val="center"/>
          </w:tcPr>
          <w:p w:rsidR="00EA3A8F" w:rsidRDefault="00EA3A8F" w:rsidP="00F7554A">
            <w:pPr>
              <w:pStyle w:val="TableTextRight"/>
              <w:keepNext/>
              <w:keepLines/>
              <w:spacing w:before="0" w:after="0" w:line="240" w:lineRule="auto"/>
              <w:ind w:left="-57" w:right="-57"/>
              <w:rPr>
                <w:b w:val="0"/>
              </w:rPr>
            </w:pPr>
            <w:r>
              <w:t>2023–24</w:t>
            </w:r>
          </w:p>
        </w:tc>
        <w:tc>
          <w:tcPr>
            <w:tcW w:w="312" w:type="pct"/>
            <w:vAlign w:val="center"/>
          </w:tcPr>
          <w:p w:rsidR="00EA3A8F" w:rsidRDefault="00EA3A8F" w:rsidP="00F7554A">
            <w:pPr>
              <w:pStyle w:val="TableTextRight"/>
              <w:keepNext/>
              <w:keepLines/>
              <w:spacing w:before="0" w:after="0" w:line="240" w:lineRule="auto"/>
              <w:ind w:left="-57" w:right="-57"/>
              <w:rPr>
                <w:b w:val="0"/>
              </w:rPr>
            </w:pPr>
            <w:r>
              <w:t>2024–25</w:t>
            </w:r>
          </w:p>
        </w:tc>
        <w:tc>
          <w:tcPr>
            <w:tcW w:w="312" w:type="pct"/>
            <w:vAlign w:val="center"/>
          </w:tcPr>
          <w:p w:rsidR="00EA3A8F" w:rsidRDefault="00EA3A8F" w:rsidP="00F7554A">
            <w:pPr>
              <w:pStyle w:val="TableTextRight"/>
              <w:keepNext/>
              <w:keepLines/>
              <w:spacing w:before="0" w:after="0" w:line="240" w:lineRule="auto"/>
              <w:ind w:left="-57" w:right="-57"/>
              <w:rPr>
                <w:b w:val="0"/>
              </w:rPr>
            </w:pPr>
            <w:r>
              <w:t>2025–26</w:t>
            </w:r>
          </w:p>
        </w:tc>
        <w:tc>
          <w:tcPr>
            <w:tcW w:w="312" w:type="pct"/>
            <w:vAlign w:val="center"/>
          </w:tcPr>
          <w:p w:rsidR="00EA3A8F" w:rsidRDefault="00EA3A8F" w:rsidP="00F7554A">
            <w:pPr>
              <w:pStyle w:val="TableTextRight"/>
              <w:keepNext/>
              <w:keepLines/>
              <w:spacing w:before="0" w:after="0" w:line="240" w:lineRule="auto"/>
              <w:ind w:left="-57" w:right="-57"/>
              <w:rPr>
                <w:b w:val="0"/>
              </w:rPr>
            </w:pPr>
            <w:r>
              <w:t>2026–27</w:t>
            </w:r>
          </w:p>
        </w:tc>
        <w:tc>
          <w:tcPr>
            <w:tcW w:w="311" w:type="pct"/>
            <w:vAlign w:val="center"/>
          </w:tcPr>
          <w:p w:rsidR="00EA3A8F" w:rsidRDefault="00EA3A8F" w:rsidP="00F7554A">
            <w:pPr>
              <w:pStyle w:val="TableTextRight"/>
              <w:keepNext/>
              <w:keepLines/>
              <w:spacing w:before="0" w:after="0" w:line="240" w:lineRule="auto"/>
              <w:ind w:left="-57" w:right="-57"/>
            </w:pPr>
            <w:r>
              <w:t>Total to 2026–27</w:t>
            </w:r>
          </w:p>
        </w:tc>
      </w:tr>
      <w:tr w:rsidR="00EA3A8F" w:rsidTr="00F7554A">
        <w:tc>
          <w:tcPr>
            <w:tcW w:w="945" w:type="pct"/>
            <w:vAlign w:val="center"/>
          </w:tcPr>
          <w:p w:rsidR="00EA3A8F" w:rsidRPr="007C2713" w:rsidRDefault="00EA3A8F" w:rsidP="00F7554A">
            <w:pPr>
              <w:pStyle w:val="TableText"/>
              <w:keepNext/>
              <w:keepLines/>
            </w:pPr>
            <w:r>
              <w:t>Revenue</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1.7</w:t>
            </w:r>
          </w:p>
        </w:tc>
        <w:tc>
          <w:tcPr>
            <w:tcW w:w="312" w:type="pct"/>
            <w:vAlign w:val="bottom"/>
          </w:tcPr>
          <w:p w:rsidR="00EA3A8F" w:rsidRPr="00861BD4" w:rsidRDefault="00EA3A8F" w:rsidP="00F7554A">
            <w:pPr>
              <w:pStyle w:val="TableTextRight"/>
              <w:keepNext/>
              <w:keepLines/>
              <w:ind w:left="-57" w:right="-57"/>
              <w:rPr>
                <w:b/>
                <w:bCs/>
                <w:i/>
              </w:rPr>
            </w:pPr>
            <w:r w:rsidRPr="00861BD4">
              <w:rPr>
                <w:b/>
                <w:bCs/>
                <w:i/>
              </w:rPr>
              <w:t>1.7</w:t>
            </w:r>
          </w:p>
        </w:tc>
        <w:tc>
          <w:tcPr>
            <w:tcW w:w="312" w:type="pct"/>
            <w:vAlign w:val="bottom"/>
          </w:tcPr>
          <w:p w:rsidR="00EA3A8F" w:rsidRPr="00861BD4" w:rsidRDefault="00EA3A8F" w:rsidP="00F7554A">
            <w:pPr>
              <w:pStyle w:val="TableTextRight"/>
              <w:keepNext/>
              <w:keepLines/>
              <w:ind w:left="-57" w:right="-57"/>
              <w:rPr>
                <w:i/>
              </w:rPr>
            </w:pPr>
            <w:r w:rsidRPr="00861BD4">
              <w:rPr>
                <w:i/>
              </w:rPr>
              <w:t>7.0</w:t>
            </w:r>
          </w:p>
        </w:tc>
        <w:tc>
          <w:tcPr>
            <w:tcW w:w="312" w:type="pct"/>
            <w:vAlign w:val="bottom"/>
          </w:tcPr>
          <w:p w:rsidR="00EA3A8F" w:rsidRPr="00861BD4" w:rsidRDefault="00EA3A8F" w:rsidP="00F7554A">
            <w:pPr>
              <w:pStyle w:val="TableTextRight"/>
              <w:keepNext/>
              <w:keepLines/>
              <w:ind w:left="-57" w:right="-57"/>
              <w:rPr>
                <w:i/>
              </w:rPr>
            </w:pPr>
            <w:r w:rsidRPr="00861BD4">
              <w:rPr>
                <w:i/>
              </w:rPr>
              <w:t>16.0</w:t>
            </w:r>
          </w:p>
        </w:tc>
        <w:tc>
          <w:tcPr>
            <w:tcW w:w="312" w:type="pct"/>
            <w:vAlign w:val="bottom"/>
          </w:tcPr>
          <w:p w:rsidR="00EA3A8F" w:rsidRPr="00861BD4" w:rsidRDefault="00EA3A8F" w:rsidP="00F7554A">
            <w:pPr>
              <w:pStyle w:val="TableTextRight"/>
              <w:keepNext/>
              <w:keepLines/>
              <w:ind w:left="-57" w:right="-57"/>
              <w:rPr>
                <w:i/>
              </w:rPr>
            </w:pPr>
            <w:r w:rsidRPr="00861BD4">
              <w:rPr>
                <w:i/>
              </w:rPr>
              <w:t>29.1</w:t>
            </w:r>
          </w:p>
        </w:tc>
        <w:tc>
          <w:tcPr>
            <w:tcW w:w="312" w:type="pct"/>
            <w:vAlign w:val="bottom"/>
          </w:tcPr>
          <w:p w:rsidR="00EA3A8F" w:rsidRPr="00861BD4" w:rsidRDefault="00EA3A8F" w:rsidP="00F7554A">
            <w:pPr>
              <w:pStyle w:val="TableTextRight"/>
              <w:keepNext/>
              <w:keepLines/>
              <w:ind w:left="-57" w:right="-57"/>
              <w:rPr>
                <w:i/>
              </w:rPr>
            </w:pPr>
            <w:r w:rsidRPr="00861BD4">
              <w:rPr>
                <w:i/>
              </w:rPr>
              <w:t>46.5</w:t>
            </w:r>
          </w:p>
        </w:tc>
        <w:tc>
          <w:tcPr>
            <w:tcW w:w="312" w:type="pct"/>
            <w:vAlign w:val="bottom"/>
          </w:tcPr>
          <w:p w:rsidR="00EA3A8F" w:rsidRPr="00861BD4" w:rsidRDefault="00EA3A8F" w:rsidP="00F7554A">
            <w:pPr>
              <w:pStyle w:val="TableTextRight"/>
              <w:keepNext/>
              <w:keepLines/>
              <w:ind w:left="-57" w:right="-57"/>
              <w:rPr>
                <w:i/>
              </w:rPr>
            </w:pPr>
            <w:r w:rsidRPr="00861BD4">
              <w:rPr>
                <w:i/>
              </w:rPr>
              <w:t>68.4</w:t>
            </w:r>
          </w:p>
        </w:tc>
        <w:tc>
          <w:tcPr>
            <w:tcW w:w="312" w:type="pct"/>
            <w:vAlign w:val="bottom"/>
          </w:tcPr>
          <w:p w:rsidR="00EA3A8F" w:rsidRPr="00861BD4" w:rsidRDefault="00EA3A8F" w:rsidP="00F7554A">
            <w:pPr>
              <w:pStyle w:val="TableTextRight"/>
              <w:keepNext/>
              <w:keepLines/>
              <w:ind w:left="-57" w:right="-57"/>
              <w:rPr>
                <w:i/>
              </w:rPr>
            </w:pPr>
            <w:r w:rsidRPr="00861BD4">
              <w:rPr>
                <w:i/>
              </w:rPr>
              <w:t>95.0</w:t>
            </w:r>
          </w:p>
        </w:tc>
        <w:tc>
          <w:tcPr>
            <w:tcW w:w="312" w:type="pct"/>
            <w:vAlign w:val="bottom"/>
          </w:tcPr>
          <w:p w:rsidR="00EA3A8F" w:rsidRPr="00861BD4" w:rsidRDefault="00EA3A8F" w:rsidP="00F7554A">
            <w:pPr>
              <w:pStyle w:val="TableTextRight"/>
              <w:keepNext/>
              <w:keepLines/>
              <w:ind w:left="-57" w:right="-57"/>
              <w:rPr>
                <w:i/>
              </w:rPr>
            </w:pPr>
            <w:r w:rsidRPr="00861BD4">
              <w:rPr>
                <w:i/>
              </w:rPr>
              <w:t>124.5</w:t>
            </w:r>
          </w:p>
        </w:tc>
        <w:tc>
          <w:tcPr>
            <w:tcW w:w="311" w:type="pct"/>
            <w:vAlign w:val="bottom"/>
          </w:tcPr>
          <w:p w:rsidR="00EA3A8F" w:rsidRPr="00861BD4" w:rsidRDefault="00EA3A8F" w:rsidP="00F7554A">
            <w:pPr>
              <w:pStyle w:val="TableTextRight"/>
              <w:keepNext/>
              <w:keepLines/>
              <w:ind w:left="-57" w:right="-57"/>
              <w:rPr>
                <w:b/>
                <w:bCs/>
                <w:i/>
              </w:rPr>
            </w:pPr>
            <w:r w:rsidRPr="00861BD4">
              <w:rPr>
                <w:b/>
                <w:bCs/>
                <w:i/>
              </w:rPr>
              <w:t>388.2</w:t>
            </w:r>
          </w:p>
        </w:tc>
      </w:tr>
      <w:tr w:rsidR="00EA3A8F" w:rsidTr="00F7554A">
        <w:tc>
          <w:tcPr>
            <w:tcW w:w="5000" w:type="pct"/>
            <w:gridSpan w:val="14"/>
            <w:shd w:val="clear" w:color="auto" w:fill="E9ECF3" w:themeFill="accent2" w:themeFillTint="33"/>
            <w:vAlign w:val="center"/>
          </w:tcPr>
          <w:p w:rsidR="00EA3A8F" w:rsidRPr="00861BD4" w:rsidRDefault="00EA3A8F" w:rsidP="00F7554A">
            <w:pPr>
              <w:pStyle w:val="TableText"/>
              <w:keepNext/>
              <w:keepLines/>
              <w:rPr>
                <w:b/>
              </w:rPr>
            </w:pPr>
            <w:r>
              <w:rPr>
                <w:b/>
              </w:rPr>
              <w:t>Expenses</w:t>
            </w:r>
          </w:p>
        </w:tc>
      </w:tr>
      <w:tr w:rsidR="00EA3A8F" w:rsidTr="00F7554A">
        <w:tc>
          <w:tcPr>
            <w:tcW w:w="945" w:type="pct"/>
          </w:tcPr>
          <w:p w:rsidR="00EA3A8F" w:rsidRPr="0007264D" w:rsidRDefault="00EA3A8F" w:rsidP="00F7554A">
            <w:pPr>
              <w:pStyle w:val="TableText"/>
              <w:keepNext/>
              <w:keepLines/>
            </w:pPr>
            <w:r>
              <w:t>Administered</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-25.7</w:t>
            </w:r>
          </w:p>
        </w:tc>
        <w:tc>
          <w:tcPr>
            <w:tcW w:w="312" w:type="pct"/>
            <w:vAlign w:val="bottom"/>
          </w:tcPr>
          <w:p w:rsidR="00EA3A8F" w:rsidRPr="00861BD4" w:rsidRDefault="00EA3A8F" w:rsidP="00F7554A">
            <w:pPr>
              <w:pStyle w:val="TableTextRight"/>
              <w:keepNext/>
              <w:keepLines/>
              <w:ind w:left="-57" w:right="-57"/>
              <w:rPr>
                <w:b/>
                <w:bCs/>
                <w:i/>
              </w:rPr>
            </w:pPr>
            <w:r w:rsidRPr="00861BD4">
              <w:rPr>
                <w:b/>
                <w:bCs/>
                <w:i/>
              </w:rPr>
              <w:t>-25.7</w:t>
            </w:r>
          </w:p>
        </w:tc>
        <w:tc>
          <w:tcPr>
            <w:tcW w:w="312" w:type="pct"/>
            <w:vAlign w:val="bottom"/>
          </w:tcPr>
          <w:p w:rsidR="00EA3A8F" w:rsidRPr="00861BD4" w:rsidRDefault="00EA3A8F" w:rsidP="00F7554A">
            <w:pPr>
              <w:pStyle w:val="TableTextRight"/>
              <w:keepNext/>
              <w:keepLines/>
              <w:ind w:left="-57" w:right="-57"/>
              <w:rPr>
                <w:i/>
              </w:rPr>
            </w:pPr>
            <w:r w:rsidRPr="00861BD4">
              <w:rPr>
                <w:i/>
              </w:rPr>
              <w:t>-77.8</w:t>
            </w:r>
          </w:p>
        </w:tc>
        <w:tc>
          <w:tcPr>
            <w:tcW w:w="312" w:type="pct"/>
            <w:vAlign w:val="bottom"/>
          </w:tcPr>
          <w:p w:rsidR="00EA3A8F" w:rsidRPr="00861BD4" w:rsidRDefault="00EA3A8F" w:rsidP="00F7554A">
            <w:pPr>
              <w:pStyle w:val="TableTextRight"/>
              <w:keepNext/>
              <w:keepLines/>
              <w:ind w:left="-57" w:right="-57"/>
              <w:rPr>
                <w:i/>
              </w:rPr>
            </w:pPr>
            <w:r w:rsidRPr="00861BD4">
              <w:rPr>
                <w:i/>
              </w:rPr>
              <w:t>-156.2</w:t>
            </w:r>
          </w:p>
        </w:tc>
        <w:tc>
          <w:tcPr>
            <w:tcW w:w="312" w:type="pct"/>
            <w:vAlign w:val="bottom"/>
          </w:tcPr>
          <w:p w:rsidR="00EA3A8F" w:rsidRPr="00861BD4" w:rsidRDefault="00EA3A8F" w:rsidP="00F7554A">
            <w:pPr>
              <w:pStyle w:val="TableTextRight"/>
              <w:keepNext/>
              <w:keepLines/>
              <w:ind w:left="-57" w:right="-57"/>
              <w:rPr>
                <w:i/>
              </w:rPr>
            </w:pPr>
            <w:r w:rsidRPr="00861BD4">
              <w:rPr>
                <w:i/>
              </w:rPr>
              <w:t>-261.5</w:t>
            </w:r>
          </w:p>
        </w:tc>
        <w:tc>
          <w:tcPr>
            <w:tcW w:w="312" w:type="pct"/>
            <w:vAlign w:val="bottom"/>
          </w:tcPr>
          <w:p w:rsidR="00EA3A8F" w:rsidRPr="00861BD4" w:rsidRDefault="00EA3A8F" w:rsidP="00F7554A">
            <w:pPr>
              <w:pStyle w:val="TableTextRight"/>
              <w:keepNext/>
              <w:keepLines/>
              <w:ind w:left="-57" w:right="-57"/>
              <w:rPr>
                <w:i/>
              </w:rPr>
            </w:pPr>
            <w:r w:rsidRPr="00861BD4">
              <w:rPr>
                <w:i/>
              </w:rPr>
              <w:t>-395.8</w:t>
            </w:r>
          </w:p>
        </w:tc>
        <w:tc>
          <w:tcPr>
            <w:tcW w:w="312" w:type="pct"/>
            <w:vAlign w:val="bottom"/>
          </w:tcPr>
          <w:p w:rsidR="00EA3A8F" w:rsidRPr="00861BD4" w:rsidRDefault="00EA3A8F" w:rsidP="00F7554A">
            <w:pPr>
              <w:pStyle w:val="TableTextRight"/>
              <w:keepNext/>
              <w:keepLines/>
              <w:ind w:left="-57" w:right="-57"/>
              <w:rPr>
                <w:i/>
              </w:rPr>
            </w:pPr>
            <w:r w:rsidRPr="00861BD4">
              <w:rPr>
                <w:i/>
              </w:rPr>
              <w:t>-556.2</w:t>
            </w:r>
          </w:p>
        </w:tc>
        <w:tc>
          <w:tcPr>
            <w:tcW w:w="312" w:type="pct"/>
            <w:vAlign w:val="bottom"/>
          </w:tcPr>
          <w:p w:rsidR="00EA3A8F" w:rsidRPr="00861BD4" w:rsidRDefault="00EA3A8F" w:rsidP="00F7554A">
            <w:pPr>
              <w:pStyle w:val="TableTextRight"/>
              <w:keepNext/>
              <w:keepLines/>
              <w:ind w:left="-57" w:right="-57"/>
              <w:rPr>
                <w:i/>
              </w:rPr>
            </w:pPr>
            <w:r w:rsidRPr="00861BD4">
              <w:rPr>
                <w:i/>
              </w:rPr>
              <w:t>-737.5</w:t>
            </w:r>
          </w:p>
        </w:tc>
        <w:tc>
          <w:tcPr>
            <w:tcW w:w="312" w:type="pct"/>
            <w:vAlign w:val="bottom"/>
          </w:tcPr>
          <w:p w:rsidR="00EA3A8F" w:rsidRPr="00861BD4" w:rsidRDefault="00EA3A8F" w:rsidP="00F7554A">
            <w:pPr>
              <w:pStyle w:val="TableTextRight"/>
              <w:keepNext/>
              <w:keepLines/>
              <w:ind w:left="-57" w:right="-57"/>
              <w:rPr>
                <w:i/>
              </w:rPr>
            </w:pPr>
            <w:r w:rsidRPr="00861BD4">
              <w:rPr>
                <w:i/>
              </w:rPr>
              <w:t>-911.5</w:t>
            </w:r>
          </w:p>
        </w:tc>
        <w:tc>
          <w:tcPr>
            <w:tcW w:w="311" w:type="pct"/>
            <w:vAlign w:val="bottom"/>
          </w:tcPr>
          <w:p w:rsidR="00EA3A8F" w:rsidRPr="00861BD4" w:rsidRDefault="00EA3A8F" w:rsidP="00F7554A">
            <w:pPr>
              <w:pStyle w:val="TableTextRight"/>
              <w:keepNext/>
              <w:keepLines/>
              <w:ind w:left="-57" w:right="-57"/>
              <w:rPr>
                <w:b/>
                <w:bCs/>
                <w:i/>
              </w:rPr>
            </w:pPr>
            <w:r w:rsidRPr="00861BD4">
              <w:rPr>
                <w:b/>
                <w:bCs/>
                <w:i/>
              </w:rPr>
              <w:t>-3,122.3</w:t>
            </w:r>
          </w:p>
        </w:tc>
      </w:tr>
      <w:tr w:rsidR="00EA3A8F" w:rsidTr="00F7554A">
        <w:tc>
          <w:tcPr>
            <w:tcW w:w="945" w:type="pct"/>
          </w:tcPr>
          <w:p w:rsidR="00EA3A8F" w:rsidRPr="0007264D" w:rsidRDefault="00EA3A8F" w:rsidP="00F7554A">
            <w:pPr>
              <w:pStyle w:val="TableText"/>
              <w:keepNext/>
              <w:keepLines/>
            </w:pPr>
            <w:r>
              <w:t>Departmental</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w:t>
            </w:r>
          </w:p>
        </w:tc>
        <w:tc>
          <w:tcPr>
            <w:tcW w:w="312" w:type="pct"/>
            <w:vAlign w:val="bottom"/>
          </w:tcPr>
          <w:p w:rsidR="00EA3A8F" w:rsidRPr="00861BD4" w:rsidRDefault="00EA3A8F" w:rsidP="00F7554A">
            <w:pPr>
              <w:pStyle w:val="TableTextRight"/>
              <w:keepNext/>
              <w:keepLines/>
              <w:ind w:left="-57" w:right="-57"/>
              <w:rPr>
                <w:i/>
              </w:rPr>
            </w:pPr>
            <w:r w:rsidRPr="00861BD4">
              <w:rPr>
                <w:i/>
              </w:rPr>
              <w:t>-2.0</w:t>
            </w:r>
          </w:p>
        </w:tc>
        <w:tc>
          <w:tcPr>
            <w:tcW w:w="312" w:type="pct"/>
            <w:vAlign w:val="bottom"/>
          </w:tcPr>
          <w:p w:rsidR="00EA3A8F" w:rsidRPr="00861BD4" w:rsidRDefault="00EA3A8F" w:rsidP="00F7554A">
            <w:pPr>
              <w:pStyle w:val="TableTextRight"/>
              <w:keepNext/>
              <w:keepLines/>
              <w:ind w:left="-57" w:right="-57"/>
              <w:rPr>
                <w:b/>
                <w:bCs/>
                <w:i/>
              </w:rPr>
            </w:pPr>
            <w:r w:rsidRPr="00861BD4">
              <w:rPr>
                <w:b/>
                <w:bCs/>
                <w:i/>
              </w:rPr>
              <w:t>-2.0</w:t>
            </w:r>
          </w:p>
        </w:tc>
        <w:tc>
          <w:tcPr>
            <w:tcW w:w="312" w:type="pct"/>
            <w:vAlign w:val="bottom"/>
          </w:tcPr>
          <w:p w:rsidR="00EA3A8F" w:rsidRPr="00861BD4" w:rsidRDefault="00EA3A8F" w:rsidP="00F7554A">
            <w:pPr>
              <w:pStyle w:val="TableTextRight"/>
              <w:keepNext/>
              <w:keepLines/>
              <w:ind w:left="-57" w:right="-57"/>
              <w:rPr>
                <w:i/>
              </w:rPr>
            </w:pPr>
            <w:r w:rsidRPr="00861BD4">
              <w:rPr>
                <w:i/>
              </w:rPr>
              <w:t>-5.1</w:t>
            </w:r>
          </w:p>
        </w:tc>
        <w:tc>
          <w:tcPr>
            <w:tcW w:w="312" w:type="pct"/>
            <w:vAlign w:val="bottom"/>
          </w:tcPr>
          <w:p w:rsidR="00EA3A8F" w:rsidRPr="00861BD4" w:rsidRDefault="00EA3A8F" w:rsidP="00F7554A">
            <w:pPr>
              <w:pStyle w:val="TableTextRight"/>
              <w:keepNext/>
              <w:keepLines/>
              <w:ind w:left="-57" w:right="-57"/>
              <w:rPr>
                <w:i/>
              </w:rPr>
            </w:pPr>
            <w:r w:rsidRPr="00861BD4">
              <w:rPr>
                <w:i/>
              </w:rPr>
              <w:t>-8.8</w:t>
            </w:r>
          </w:p>
        </w:tc>
        <w:tc>
          <w:tcPr>
            <w:tcW w:w="312" w:type="pct"/>
            <w:vAlign w:val="bottom"/>
          </w:tcPr>
          <w:p w:rsidR="00EA3A8F" w:rsidRPr="00861BD4" w:rsidRDefault="00EA3A8F" w:rsidP="00F7554A">
            <w:pPr>
              <w:pStyle w:val="TableTextRight"/>
              <w:keepNext/>
              <w:keepLines/>
              <w:ind w:left="-57" w:right="-57"/>
              <w:rPr>
                <w:i/>
              </w:rPr>
            </w:pPr>
            <w:r w:rsidRPr="00861BD4">
              <w:rPr>
                <w:i/>
              </w:rPr>
              <w:t>-13.4</w:t>
            </w:r>
          </w:p>
        </w:tc>
        <w:tc>
          <w:tcPr>
            <w:tcW w:w="312" w:type="pct"/>
            <w:vAlign w:val="bottom"/>
          </w:tcPr>
          <w:p w:rsidR="00EA3A8F" w:rsidRPr="00861BD4" w:rsidRDefault="00EA3A8F" w:rsidP="00F7554A">
            <w:pPr>
              <w:pStyle w:val="TableTextRight"/>
              <w:keepNext/>
              <w:keepLines/>
              <w:ind w:left="-57" w:right="-57"/>
              <w:rPr>
                <w:i/>
              </w:rPr>
            </w:pPr>
            <w:r w:rsidRPr="00861BD4">
              <w:rPr>
                <w:i/>
              </w:rPr>
              <w:t>-18.6</w:t>
            </w:r>
          </w:p>
        </w:tc>
        <w:tc>
          <w:tcPr>
            <w:tcW w:w="312" w:type="pct"/>
            <w:vAlign w:val="bottom"/>
          </w:tcPr>
          <w:p w:rsidR="00EA3A8F" w:rsidRPr="00861BD4" w:rsidRDefault="00EA3A8F" w:rsidP="00F7554A">
            <w:pPr>
              <w:pStyle w:val="TableTextRight"/>
              <w:keepNext/>
              <w:keepLines/>
              <w:ind w:left="-57" w:right="-57"/>
              <w:rPr>
                <w:i/>
              </w:rPr>
            </w:pPr>
            <w:r w:rsidRPr="00861BD4">
              <w:rPr>
                <w:i/>
              </w:rPr>
              <w:t>-24.4</w:t>
            </w:r>
          </w:p>
        </w:tc>
        <w:tc>
          <w:tcPr>
            <w:tcW w:w="312" w:type="pct"/>
            <w:vAlign w:val="bottom"/>
          </w:tcPr>
          <w:p w:rsidR="00EA3A8F" w:rsidRPr="00861BD4" w:rsidRDefault="00EA3A8F" w:rsidP="00F7554A">
            <w:pPr>
              <w:pStyle w:val="TableTextRight"/>
              <w:keepNext/>
              <w:keepLines/>
              <w:ind w:left="-57" w:right="-57"/>
              <w:rPr>
                <w:i/>
              </w:rPr>
            </w:pPr>
            <w:r w:rsidRPr="00861BD4">
              <w:rPr>
                <w:i/>
              </w:rPr>
              <w:t>-30.6</w:t>
            </w:r>
          </w:p>
        </w:tc>
        <w:tc>
          <w:tcPr>
            <w:tcW w:w="312" w:type="pct"/>
            <w:vAlign w:val="bottom"/>
          </w:tcPr>
          <w:p w:rsidR="00EA3A8F" w:rsidRPr="00861BD4" w:rsidRDefault="00EA3A8F" w:rsidP="00F7554A">
            <w:pPr>
              <w:pStyle w:val="TableTextRight"/>
              <w:keepNext/>
              <w:keepLines/>
              <w:ind w:left="-57" w:right="-57"/>
              <w:rPr>
                <w:i/>
              </w:rPr>
            </w:pPr>
            <w:r w:rsidRPr="00861BD4">
              <w:rPr>
                <w:i/>
              </w:rPr>
              <w:t>-35.1</w:t>
            </w:r>
          </w:p>
        </w:tc>
        <w:tc>
          <w:tcPr>
            <w:tcW w:w="311" w:type="pct"/>
            <w:vAlign w:val="bottom"/>
          </w:tcPr>
          <w:p w:rsidR="00EA3A8F" w:rsidRPr="00861BD4" w:rsidRDefault="00EA3A8F" w:rsidP="00F7554A">
            <w:pPr>
              <w:pStyle w:val="TableTextRight"/>
              <w:keepNext/>
              <w:keepLines/>
              <w:ind w:left="-57" w:right="-57"/>
              <w:rPr>
                <w:b/>
                <w:bCs/>
                <w:i/>
              </w:rPr>
            </w:pPr>
            <w:r w:rsidRPr="00861BD4">
              <w:rPr>
                <w:b/>
                <w:bCs/>
                <w:i/>
              </w:rPr>
              <w:t>-137.9</w:t>
            </w:r>
          </w:p>
        </w:tc>
      </w:tr>
      <w:tr w:rsidR="0073534F" w:rsidTr="00F7554A">
        <w:tc>
          <w:tcPr>
            <w:tcW w:w="945" w:type="pct"/>
            <w:shd w:val="clear" w:color="auto" w:fill="E9ECF3" w:themeFill="accent2" w:themeFillTint="33"/>
          </w:tcPr>
          <w:p w:rsidR="00EA3A8F" w:rsidRPr="00F57E52" w:rsidRDefault="00EA3A8F" w:rsidP="00F7554A">
            <w:pPr>
              <w:pStyle w:val="TableText"/>
              <w:keepNext/>
              <w:keepLines/>
            </w:pPr>
            <w:r w:rsidRPr="00F57E52">
              <w:t>Total expenses</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sidRPr="00861BD4">
              <w:rPr>
                <w:bCs/>
                <w:i/>
              </w:rPr>
              <w:t>-</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sidRPr="00861BD4">
              <w:rPr>
                <w:bCs/>
                <w:i/>
              </w:rPr>
              <w:t>-</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sidRPr="00861BD4">
              <w:rPr>
                <w:bCs/>
                <w:i/>
              </w:rPr>
              <w:t>-</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27.7</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
                <w:bCs/>
                <w:i/>
              </w:rPr>
            </w:pPr>
            <w:r>
              <w:rPr>
                <w:b/>
                <w:bCs/>
                <w:i/>
              </w:rPr>
              <w:t>-</w:t>
            </w:r>
            <w:r w:rsidRPr="00861BD4">
              <w:rPr>
                <w:b/>
                <w:bCs/>
                <w:i/>
              </w:rPr>
              <w:t>27.7</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82.9</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165.0</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274.9</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414.4</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580.7</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768.1</w:t>
            </w:r>
          </w:p>
        </w:tc>
        <w:tc>
          <w:tcPr>
            <w:tcW w:w="312" w:type="pct"/>
            <w:shd w:val="clear" w:color="auto" w:fill="E9ECF3" w:themeFill="accent2" w:themeFillTint="33"/>
            <w:vAlign w:val="bottom"/>
          </w:tcPr>
          <w:p w:rsidR="00EA3A8F" w:rsidRPr="00861BD4" w:rsidRDefault="00EA3A8F" w:rsidP="00F7554A">
            <w:pPr>
              <w:pStyle w:val="TableTextRight"/>
              <w:keepNext/>
              <w:keepLines/>
              <w:ind w:left="-57" w:right="-57"/>
              <w:rPr>
                <w:bCs/>
                <w:i/>
              </w:rPr>
            </w:pPr>
            <w:r>
              <w:rPr>
                <w:bCs/>
                <w:i/>
              </w:rPr>
              <w:t>-</w:t>
            </w:r>
            <w:r w:rsidRPr="00861BD4">
              <w:rPr>
                <w:bCs/>
                <w:i/>
              </w:rPr>
              <w:t>946.6</w:t>
            </w:r>
          </w:p>
        </w:tc>
        <w:tc>
          <w:tcPr>
            <w:tcW w:w="311" w:type="pct"/>
            <w:shd w:val="clear" w:color="auto" w:fill="E9ECF3" w:themeFill="accent2" w:themeFillTint="33"/>
            <w:vAlign w:val="bottom"/>
          </w:tcPr>
          <w:p w:rsidR="00EA3A8F" w:rsidRPr="00861BD4" w:rsidRDefault="00EA3A8F" w:rsidP="00F7554A">
            <w:pPr>
              <w:pStyle w:val="TableTextRight"/>
              <w:keepNext/>
              <w:keepLines/>
              <w:ind w:left="-57" w:right="-57"/>
              <w:rPr>
                <w:b/>
                <w:bCs/>
                <w:i/>
              </w:rPr>
            </w:pPr>
            <w:r>
              <w:rPr>
                <w:b/>
                <w:bCs/>
                <w:i/>
              </w:rPr>
              <w:t>-</w:t>
            </w:r>
            <w:r w:rsidRPr="00861BD4">
              <w:rPr>
                <w:b/>
                <w:bCs/>
                <w:i/>
              </w:rPr>
              <w:t>3,260.2</w:t>
            </w:r>
          </w:p>
        </w:tc>
      </w:tr>
      <w:tr w:rsidR="0073534F" w:rsidRPr="007C2713" w:rsidTr="00F7554A">
        <w:tc>
          <w:tcPr>
            <w:tcW w:w="945" w:type="pct"/>
            <w:shd w:val="clear" w:color="auto" w:fill="D7DDE9" w:themeFill="accent3"/>
            <w:vAlign w:val="center"/>
          </w:tcPr>
          <w:p w:rsidR="00EA3A8F" w:rsidRPr="007C2713" w:rsidRDefault="00EA3A8F" w:rsidP="00F7554A">
            <w:pPr>
              <w:pStyle w:val="TableText"/>
              <w:keepNext/>
              <w:keepLines/>
              <w:rPr>
                <w:b/>
              </w:rPr>
            </w:pPr>
            <w:r w:rsidRPr="007C2713">
              <w:rPr>
                <w:b/>
              </w:rPr>
              <w:t>Total</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-26.0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-26.0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-76.0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-149.0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-245.8</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-367.9</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-512.2</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-673.1</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-822.1</w:t>
            </w:r>
          </w:p>
        </w:tc>
        <w:tc>
          <w:tcPr>
            <w:tcW w:w="311" w:type="pct"/>
            <w:shd w:val="clear" w:color="auto" w:fill="D7DDE9" w:themeFill="accent3"/>
            <w:vAlign w:val="bottom"/>
          </w:tcPr>
          <w:p w:rsidR="00EA3A8F" w:rsidRDefault="00EA3A8F" w:rsidP="00F7554A">
            <w:pPr>
              <w:pStyle w:val="TableTextRight"/>
              <w:keepNext/>
              <w:keepLines/>
              <w:ind w:left="-57" w:right="-57"/>
              <w:rPr>
                <w:b/>
                <w:bCs/>
              </w:rPr>
            </w:pPr>
            <w:r>
              <w:rPr>
                <w:b/>
                <w:bCs/>
              </w:rPr>
              <w:t>-2,872.1</w:t>
            </w:r>
          </w:p>
        </w:tc>
      </w:tr>
    </w:tbl>
    <w:p w:rsidR="00EA3A8F" w:rsidRDefault="00EA3A8F" w:rsidP="00FD1D4B">
      <w:pPr>
        <w:pStyle w:val="Footnotes"/>
        <w:keepNext/>
        <w:keepLines/>
        <w:numPr>
          <w:ilvl w:val="0"/>
          <w:numId w:val="118"/>
        </w:numPr>
        <w:ind w:left="284" w:hanging="284"/>
      </w:pPr>
      <w:r w:rsidRPr="00861BD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EA3A8F" w:rsidRPr="005F544A" w:rsidRDefault="00EA3A8F" w:rsidP="00FD1D4B">
      <w:pPr>
        <w:pStyle w:val="Footnotes"/>
        <w:keepNext/>
        <w:keepLines/>
        <w:spacing w:after="120"/>
        <w:ind w:left="284" w:hanging="284"/>
      </w:pPr>
      <w:r w:rsidRPr="005F544A">
        <w:t>Figures may not sum to totals due to rounding.</w:t>
      </w:r>
    </w:p>
    <w:p w:rsidR="00EA3A8F" w:rsidRDefault="00EA3A8F" w:rsidP="00FD1D4B">
      <w:pPr>
        <w:pStyle w:val="Footnotes"/>
        <w:numPr>
          <w:ilvl w:val="0"/>
          <w:numId w:val="0"/>
        </w:numPr>
        <w:ind w:left="284" w:hanging="284"/>
      </w:pPr>
      <w:r w:rsidRPr="005F544A">
        <w:t>-</w:t>
      </w:r>
      <w:r w:rsidRPr="005F544A">
        <w:tab/>
        <w:t>Indicates nil.</w:t>
      </w:r>
    </w:p>
    <w:p w:rsidR="00EA3A8F" w:rsidRDefault="00EA3A8F" w:rsidP="00EA3A8F">
      <w:pPr>
        <w:pStyle w:val="Caption"/>
        <w:keepLines/>
      </w:pPr>
      <w:r w:rsidRPr="00861BD4">
        <w:t>Table B</w:t>
      </w:r>
      <w:r>
        <w:t>2</w:t>
      </w:r>
      <w:r w:rsidRPr="00861BD4">
        <w:t>: Increasing the humanitarian intake—</w:t>
      </w:r>
      <w:r>
        <w:t>Underlying cash balance</w:t>
      </w:r>
      <w:r w:rsidRPr="00861BD4">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EA3A8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EA3A8F" w:rsidRPr="007C2713" w:rsidRDefault="00EA3A8F" w:rsidP="00F7554A">
            <w:pPr>
              <w:pStyle w:val="TableText"/>
              <w:keepNext/>
              <w:keepLines/>
              <w:rPr>
                <w:b w:val="0"/>
              </w:rPr>
            </w:pPr>
            <w:r>
              <w:t>($)</w:t>
            </w:r>
          </w:p>
        </w:tc>
        <w:tc>
          <w:tcPr>
            <w:tcW w:w="312" w:type="pct"/>
            <w:vAlign w:val="center"/>
          </w:tcPr>
          <w:p w:rsidR="00EA3A8F" w:rsidRDefault="00EA3A8F" w:rsidP="00F7554A">
            <w:pPr>
              <w:pStyle w:val="TableTextRight"/>
              <w:keepNext/>
              <w:keepLines/>
              <w:spacing w:before="0" w:after="0" w:line="240" w:lineRule="auto"/>
              <w:ind w:left="-57" w:right="-57"/>
              <w:rPr>
                <w:b w:val="0"/>
              </w:rPr>
            </w:pPr>
            <w:r>
              <w:t>2016–17</w:t>
            </w:r>
          </w:p>
        </w:tc>
        <w:tc>
          <w:tcPr>
            <w:tcW w:w="312" w:type="pct"/>
            <w:vAlign w:val="center"/>
          </w:tcPr>
          <w:p w:rsidR="00EA3A8F" w:rsidRDefault="00EA3A8F" w:rsidP="00F7554A">
            <w:pPr>
              <w:pStyle w:val="TableTextRight"/>
              <w:keepNext/>
              <w:keepLines/>
              <w:spacing w:before="0" w:after="0" w:line="240" w:lineRule="auto"/>
              <w:ind w:left="-57" w:right="-57"/>
              <w:rPr>
                <w:b w:val="0"/>
              </w:rPr>
            </w:pPr>
            <w:r>
              <w:t>2017–18</w:t>
            </w:r>
          </w:p>
        </w:tc>
        <w:tc>
          <w:tcPr>
            <w:tcW w:w="312" w:type="pct"/>
            <w:vAlign w:val="center"/>
          </w:tcPr>
          <w:p w:rsidR="00EA3A8F" w:rsidRDefault="00EA3A8F" w:rsidP="00F7554A">
            <w:pPr>
              <w:pStyle w:val="TableTextRight"/>
              <w:keepNext/>
              <w:keepLines/>
              <w:spacing w:before="0" w:after="0" w:line="240" w:lineRule="auto"/>
              <w:ind w:left="-57" w:right="-57"/>
              <w:rPr>
                <w:b w:val="0"/>
              </w:rPr>
            </w:pPr>
            <w:r>
              <w:t>2018–19</w:t>
            </w:r>
          </w:p>
        </w:tc>
        <w:tc>
          <w:tcPr>
            <w:tcW w:w="312" w:type="pct"/>
            <w:vAlign w:val="center"/>
          </w:tcPr>
          <w:p w:rsidR="00EA3A8F" w:rsidRDefault="00EA3A8F" w:rsidP="00F7554A">
            <w:pPr>
              <w:pStyle w:val="TableTextRight"/>
              <w:keepNext/>
              <w:keepLines/>
              <w:spacing w:before="0" w:after="0" w:line="240" w:lineRule="auto"/>
              <w:ind w:left="-57" w:right="-57"/>
              <w:rPr>
                <w:b w:val="0"/>
              </w:rPr>
            </w:pPr>
            <w:r>
              <w:t>2019–20</w:t>
            </w:r>
          </w:p>
        </w:tc>
        <w:tc>
          <w:tcPr>
            <w:tcW w:w="312" w:type="pct"/>
            <w:vAlign w:val="center"/>
          </w:tcPr>
          <w:p w:rsidR="00EA3A8F" w:rsidRDefault="00EA3A8F" w:rsidP="00F7554A">
            <w:pPr>
              <w:pStyle w:val="TableTextRight"/>
              <w:keepNext/>
              <w:keepLines/>
              <w:spacing w:before="0" w:after="0" w:line="240" w:lineRule="auto"/>
              <w:ind w:left="-57" w:right="-57"/>
              <w:rPr>
                <w:b w:val="0"/>
              </w:rPr>
            </w:pPr>
            <w:r>
              <w:t>Total to 2019–20</w:t>
            </w:r>
          </w:p>
        </w:tc>
        <w:tc>
          <w:tcPr>
            <w:tcW w:w="312" w:type="pct"/>
            <w:vAlign w:val="center"/>
          </w:tcPr>
          <w:p w:rsidR="00EA3A8F" w:rsidRDefault="00EA3A8F" w:rsidP="00F7554A">
            <w:pPr>
              <w:pStyle w:val="TableTextRight"/>
              <w:keepNext/>
              <w:keepLines/>
              <w:spacing w:before="0" w:after="0" w:line="240" w:lineRule="auto"/>
              <w:ind w:left="-57" w:right="-57"/>
              <w:rPr>
                <w:b w:val="0"/>
              </w:rPr>
            </w:pPr>
            <w:r>
              <w:t>2020–21</w:t>
            </w:r>
          </w:p>
        </w:tc>
        <w:tc>
          <w:tcPr>
            <w:tcW w:w="312" w:type="pct"/>
            <w:vAlign w:val="center"/>
          </w:tcPr>
          <w:p w:rsidR="00EA3A8F" w:rsidRDefault="00EA3A8F" w:rsidP="00F7554A">
            <w:pPr>
              <w:pStyle w:val="TableTextRight"/>
              <w:keepNext/>
              <w:keepLines/>
              <w:spacing w:before="0" w:after="0" w:line="240" w:lineRule="auto"/>
              <w:ind w:left="-57" w:right="-57"/>
              <w:rPr>
                <w:b w:val="0"/>
              </w:rPr>
            </w:pPr>
            <w:r>
              <w:t>2021–22</w:t>
            </w:r>
          </w:p>
        </w:tc>
        <w:tc>
          <w:tcPr>
            <w:tcW w:w="312" w:type="pct"/>
            <w:vAlign w:val="center"/>
          </w:tcPr>
          <w:p w:rsidR="00EA3A8F" w:rsidRDefault="00EA3A8F" w:rsidP="00F7554A">
            <w:pPr>
              <w:pStyle w:val="TableTextRight"/>
              <w:keepNext/>
              <w:keepLines/>
              <w:spacing w:before="0" w:after="0" w:line="240" w:lineRule="auto"/>
              <w:ind w:left="-57" w:right="-57"/>
              <w:rPr>
                <w:b w:val="0"/>
              </w:rPr>
            </w:pPr>
            <w:r>
              <w:t>2022–23</w:t>
            </w:r>
          </w:p>
        </w:tc>
        <w:tc>
          <w:tcPr>
            <w:tcW w:w="312" w:type="pct"/>
            <w:vAlign w:val="center"/>
          </w:tcPr>
          <w:p w:rsidR="00EA3A8F" w:rsidRDefault="00EA3A8F" w:rsidP="00F7554A">
            <w:pPr>
              <w:pStyle w:val="TableTextRight"/>
              <w:keepNext/>
              <w:keepLines/>
              <w:spacing w:before="0" w:after="0" w:line="240" w:lineRule="auto"/>
              <w:ind w:left="-57" w:right="-57"/>
              <w:rPr>
                <w:b w:val="0"/>
              </w:rPr>
            </w:pPr>
            <w:r>
              <w:t>2023–24</w:t>
            </w:r>
          </w:p>
        </w:tc>
        <w:tc>
          <w:tcPr>
            <w:tcW w:w="312" w:type="pct"/>
            <w:vAlign w:val="center"/>
          </w:tcPr>
          <w:p w:rsidR="00EA3A8F" w:rsidRDefault="00EA3A8F" w:rsidP="00F7554A">
            <w:pPr>
              <w:pStyle w:val="TableTextRight"/>
              <w:keepNext/>
              <w:keepLines/>
              <w:spacing w:before="0" w:after="0" w:line="240" w:lineRule="auto"/>
              <w:ind w:left="-57" w:right="-57"/>
              <w:rPr>
                <w:b w:val="0"/>
              </w:rPr>
            </w:pPr>
            <w:r>
              <w:t>2024–25</w:t>
            </w:r>
          </w:p>
        </w:tc>
        <w:tc>
          <w:tcPr>
            <w:tcW w:w="312" w:type="pct"/>
            <w:vAlign w:val="center"/>
          </w:tcPr>
          <w:p w:rsidR="00EA3A8F" w:rsidRDefault="00EA3A8F" w:rsidP="00F7554A">
            <w:pPr>
              <w:pStyle w:val="TableTextRight"/>
              <w:keepNext/>
              <w:keepLines/>
              <w:spacing w:before="0" w:after="0" w:line="240" w:lineRule="auto"/>
              <w:ind w:left="-57" w:right="-57"/>
              <w:rPr>
                <w:b w:val="0"/>
              </w:rPr>
            </w:pPr>
            <w:r>
              <w:t>2025–26</w:t>
            </w:r>
          </w:p>
        </w:tc>
        <w:tc>
          <w:tcPr>
            <w:tcW w:w="312" w:type="pct"/>
            <w:vAlign w:val="center"/>
          </w:tcPr>
          <w:p w:rsidR="00EA3A8F" w:rsidRDefault="00EA3A8F" w:rsidP="00F7554A">
            <w:pPr>
              <w:pStyle w:val="TableTextRight"/>
              <w:keepNext/>
              <w:keepLines/>
              <w:spacing w:before="0" w:after="0" w:line="240" w:lineRule="auto"/>
              <w:ind w:left="-57" w:right="-57"/>
              <w:rPr>
                <w:b w:val="0"/>
              </w:rPr>
            </w:pPr>
            <w:r>
              <w:t>2026–27</w:t>
            </w:r>
          </w:p>
        </w:tc>
        <w:tc>
          <w:tcPr>
            <w:tcW w:w="311" w:type="pct"/>
            <w:vAlign w:val="center"/>
          </w:tcPr>
          <w:p w:rsidR="00EA3A8F" w:rsidRDefault="00EA3A8F" w:rsidP="00F7554A">
            <w:pPr>
              <w:pStyle w:val="TableTextRight"/>
              <w:keepNext/>
              <w:keepLines/>
              <w:spacing w:before="0" w:after="0" w:line="240" w:lineRule="auto"/>
              <w:ind w:left="-57" w:right="-57"/>
            </w:pPr>
            <w:r>
              <w:t>Total to 2026–27</w:t>
            </w:r>
          </w:p>
        </w:tc>
      </w:tr>
      <w:tr w:rsidR="00EA3A8F" w:rsidTr="00F7554A">
        <w:tc>
          <w:tcPr>
            <w:tcW w:w="945" w:type="pct"/>
            <w:vAlign w:val="center"/>
          </w:tcPr>
          <w:p w:rsidR="00EA3A8F" w:rsidRPr="007C2713" w:rsidRDefault="00EA3A8F" w:rsidP="00F7554A">
            <w:pPr>
              <w:pStyle w:val="TableText"/>
              <w:keepNext/>
              <w:keepLines/>
            </w:pPr>
            <w:r>
              <w:t>Revenue</w:t>
            </w:r>
          </w:p>
        </w:tc>
        <w:tc>
          <w:tcPr>
            <w:tcW w:w="312" w:type="pct"/>
            <w:vAlign w:val="bottom"/>
          </w:tcPr>
          <w:p w:rsidR="00EA3A8F" w:rsidRDefault="00EA3A8F" w:rsidP="00F7554A">
            <w:pPr>
              <w:pStyle w:val="TableTextRight"/>
              <w:keepNext/>
              <w:keepLines/>
              <w:ind w:left="-57" w:right="-57"/>
            </w:pPr>
            <w:r>
              <w:t xml:space="preserve">  - </w:t>
            </w:r>
          </w:p>
        </w:tc>
        <w:tc>
          <w:tcPr>
            <w:tcW w:w="312" w:type="pct"/>
            <w:vAlign w:val="bottom"/>
          </w:tcPr>
          <w:p w:rsidR="00EA3A8F" w:rsidRDefault="00EA3A8F" w:rsidP="00F7554A">
            <w:pPr>
              <w:pStyle w:val="TableTextRight"/>
              <w:keepNext/>
              <w:keepLines/>
              <w:ind w:left="-57" w:right="-57"/>
            </w:pPr>
            <w:r>
              <w:t xml:space="preserve">  - </w:t>
            </w:r>
          </w:p>
        </w:tc>
        <w:tc>
          <w:tcPr>
            <w:tcW w:w="312" w:type="pct"/>
            <w:vAlign w:val="bottom"/>
          </w:tcPr>
          <w:p w:rsidR="00EA3A8F" w:rsidRDefault="00EA3A8F" w:rsidP="00F7554A">
            <w:pPr>
              <w:pStyle w:val="TableTextRight"/>
              <w:keepNext/>
              <w:keepLines/>
              <w:ind w:left="-57" w:right="-57"/>
            </w:pPr>
            <w:r>
              <w:t xml:space="preserve">  - </w:t>
            </w:r>
          </w:p>
        </w:tc>
        <w:tc>
          <w:tcPr>
            <w:tcW w:w="312" w:type="pct"/>
            <w:vAlign w:val="bottom"/>
          </w:tcPr>
          <w:p w:rsidR="00EA3A8F" w:rsidRDefault="00EA3A8F" w:rsidP="00F7554A">
            <w:pPr>
              <w:pStyle w:val="TableTextRight"/>
              <w:keepNext/>
              <w:keepLines/>
              <w:ind w:left="-57" w:right="-57"/>
            </w:pPr>
            <w:r>
              <w:t xml:space="preserve">  1.7 </w:t>
            </w:r>
          </w:p>
        </w:tc>
        <w:tc>
          <w:tcPr>
            <w:tcW w:w="312" w:type="pct"/>
            <w:vAlign w:val="bottom"/>
          </w:tcPr>
          <w:p w:rsidR="00EA3A8F" w:rsidRDefault="00EA3A8F" w:rsidP="00F7554A">
            <w:pPr>
              <w:pStyle w:val="TableTextRight"/>
              <w:keepNext/>
              <w:keepLines/>
              <w:ind w:left="-57" w:right="-57"/>
              <w:rPr>
                <w:b/>
                <w:bCs/>
              </w:rPr>
            </w:pPr>
            <w:r>
              <w:rPr>
                <w:b/>
                <w:bCs/>
              </w:rPr>
              <w:t xml:space="preserve">  1.7 </w:t>
            </w:r>
          </w:p>
        </w:tc>
        <w:tc>
          <w:tcPr>
            <w:tcW w:w="312" w:type="pct"/>
            <w:vAlign w:val="bottom"/>
          </w:tcPr>
          <w:p w:rsidR="00EA3A8F" w:rsidRDefault="00EA3A8F" w:rsidP="00F7554A">
            <w:pPr>
              <w:pStyle w:val="TableTextRight"/>
              <w:keepNext/>
              <w:keepLines/>
              <w:ind w:left="-57" w:right="-57"/>
            </w:pPr>
            <w:r>
              <w:t xml:space="preserve">  7.0 </w:t>
            </w:r>
          </w:p>
        </w:tc>
        <w:tc>
          <w:tcPr>
            <w:tcW w:w="312" w:type="pct"/>
            <w:vAlign w:val="bottom"/>
          </w:tcPr>
          <w:p w:rsidR="00EA3A8F" w:rsidRDefault="00EA3A8F" w:rsidP="00F7554A">
            <w:pPr>
              <w:pStyle w:val="TableTextRight"/>
              <w:keepNext/>
              <w:keepLines/>
              <w:ind w:left="-57" w:right="-57"/>
            </w:pPr>
            <w:r>
              <w:t xml:space="preserve">  16.0 </w:t>
            </w:r>
          </w:p>
        </w:tc>
        <w:tc>
          <w:tcPr>
            <w:tcW w:w="312" w:type="pct"/>
            <w:vAlign w:val="bottom"/>
          </w:tcPr>
          <w:p w:rsidR="00EA3A8F" w:rsidRDefault="00EA3A8F" w:rsidP="00F7554A">
            <w:pPr>
              <w:pStyle w:val="TableTextRight"/>
              <w:keepNext/>
              <w:keepLines/>
              <w:ind w:left="-57" w:right="-57"/>
            </w:pPr>
            <w:r>
              <w:t xml:space="preserve">  29.1 </w:t>
            </w:r>
          </w:p>
        </w:tc>
        <w:tc>
          <w:tcPr>
            <w:tcW w:w="312" w:type="pct"/>
            <w:vAlign w:val="bottom"/>
          </w:tcPr>
          <w:p w:rsidR="00EA3A8F" w:rsidRDefault="00EA3A8F" w:rsidP="00F7554A">
            <w:pPr>
              <w:pStyle w:val="TableTextRight"/>
              <w:keepNext/>
              <w:keepLines/>
              <w:ind w:left="-57" w:right="-57"/>
            </w:pPr>
            <w:r>
              <w:t xml:space="preserve">  46.5 </w:t>
            </w:r>
          </w:p>
        </w:tc>
        <w:tc>
          <w:tcPr>
            <w:tcW w:w="312" w:type="pct"/>
            <w:vAlign w:val="bottom"/>
          </w:tcPr>
          <w:p w:rsidR="00EA3A8F" w:rsidRDefault="00EA3A8F" w:rsidP="00F7554A">
            <w:pPr>
              <w:pStyle w:val="TableTextRight"/>
              <w:keepNext/>
              <w:keepLines/>
              <w:ind w:left="-57" w:right="-57"/>
            </w:pPr>
            <w:r>
              <w:t xml:space="preserve">  68.4 </w:t>
            </w:r>
          </w:p>
        </w:tc>
        <w:tc>
          <w:tcPr>
            <w:tcW w:w="312" w:type="pct"/>
            <w:vAlign w:val="bottom"/>
          </w:tcPr>
          <w:p w:rsidR="00EA3A8F" w:rsidRDefault="00EA3A8F" w:rsidP="00F7554A">
            <w:pPr>
              <w:pStyle w:val="TableTextRight"/>
              <w:keepNext/>
              <w:keepLines/>
              <w:ind w:left="-57" w:right="-57"/>
            </w:pPr>
            <w:r>
              <w:t xml:space="preserve">  95.0 </w:t>
            </w:r>
          </w:p>
        </w:tc>
        <w:tc>
          <w:tcPr>
            <w:tcW w:w="312" w:type="pct"/>
            <w:vAlign w:val="bottom"/>
          </w:tcPr>
          <w:p w:rsidR="00EA3A8F" w:rsidRDefault="00EA3A8F" w:rsidP="00F7554A">
            <w:pPr>
              <w:pStyle w:val="TableTextRight"/>
              <w:keepNext/>
              <w:keepLines/>
              <w:ind w:left="-57" w:right="-57"/>
            </w:pPr>
            <w:r>
              <w:t xml:space="preserve">  124.5 </w:t>
            </w:r>
          </w:p>
        </w:tc>
        <w:tc>
          <w:tcPr>
            <w:tcW w:w="311" w:type="pct"/>
            <w:vAlign w:val="bottom"/>
          </w:tcPr>
          <w:p w:rsidR="00EA3A8F" w:rsidRDefault="00EA3A8F" w:rsidP="00F7554A">
            <w:pPr>
              <w:pStyle w:val="TableTextRight"/>
              <w:keepNext/>
              <w:keepLines/>
              <w:ind w:left="-57" w:right="-57"/>
              <w:rPr>
                <w:b/>
                <w:bCs/>
              </w:rPr>
            </w:pPr>
            <w:r>
              <w:rPr>
                <w:b/>
                <w:bCs/>
              </w:rPr>
              <w:t xml:space="preserve">  388.2 </w:t>
            </w:r>
          </w:p>
        </w:tc>
      </w:tr>
      <w:tr w:rsidR="00EA3A8F" w:rsidTr="00F7554A">
        <w:tc>
          <w:tcPr>
            <w:tcW w:w="5000" w:type="pct"/>
            <w:gridSpan w:val="14"/>
            <w:shd w:val="clear" w:color="auto" w:fill="E9ECF3" w:themeFill="accent2" w:themeFillTint="33"/>
            <w:vAlign w:val="center"/>
          </w:tcPr>
          <w:p w:rsidR="00EA3A8F" w:rsidRPr="00CB1DFB" w:rsidRDefault="00EA3A8F" w:rsidP="00F7554A">
            <w:pPr>
              <w:pStyle w:val="TableText"/>
              <w:keepNext/>
              <w:keepLines/>
              <w:rPr>
                <w:b/>
              </w:rPr>
            </w:pPr>
            <w:r w:rsidRPr="00CB1DFB">
              <w:rPr>
                <w:b/>
              </w:rPr>
              <w:t>Expenses</w:t>
            </w:r>
          </w:p>
        </w:tc>
      </w:tr>
      <w:tr w:rsidR="00EA3A8F" w:rsidTr="00F7554A">
        <w:tc>
          <w:tcPr>
            <w:tcW w:w="945" w:type="pct"/>
          </w:tcPr>
          <w:p w:rsidR="00EA3A8F" w:rsidRPr="0007264D" w:rsidRDefault="00EA3A8F" w:rsidP="00F7554A">
            <w:pPr>
              <w:pStyle w:val="TableText"/>
              <w:keepNext/>
              <w:keepLines/>
            </w:pPr>
            <w:r>
              <w:t>Administered</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-25.7</w:t>
            </w:r>
          </w:p>
        </w:tc>
        <w:tc>
          <w:tcPr>
            <w:tcW w:w="312" w:type="pct"/>
            <w:vAlign w:val="bottom"/>
          </w:tcPr>
          <w:p w:rsidR="00EA3A8F" w:rsidRPr="00F57E52" w:rsidRDefault="00EA3A8F" w:rsidP="00F7554A">
            <w:pPr>
              <w:pStyle w:val="TableTextRight"/>
              <w:keepNext/>
              <w:keepLines/>
              <w:ind w:left="-57" w:right="-57"/>
              <w:rPr>
                <w:b/>
                <w:bCs/>
                <w:i/>
              </w:rPr>
            </w:pPr>
            <w:r w:rsidRPr="00F57E52">
              <w:rPr>
                <w:b/>
                <w:bCs/>
                <w:i/>
              </w:rPr>
              <w:t>-25.7</w:t>
            </w:r>
          </w:p>
        </w:tc>
        <w:tc>
          <w:tcPr>
            <w:tcW w:w="312" w:type="pct"/>
            <w:vAlign w:val="bottom"/>
          </w:tcPr>
          <w:p w:rsidR="00EA3A8F" w:rsidRPr="00F57E52" w:rsidRDefault="00EA3A8F" w:rsidP="00F7554A">
            <w:pPr>
              <w:pStyle w:val="TableTextRight"/>
              <w:keepNext/>
              <w:keepLines/>
              <w:ind w:left="-57" w:right="-57"/>
              <w:rPr>
                <w:i/>
              </w:rPr>
            </w:pPr>
            <w:r w:rsidRPr="00F57E52">
              <w:rPr>
                <w:i/>
              </w:rPr>
              <w:t>-77.8</w:t>
            </w:r>
          </w:p>
        </w:tc>
        <w:tc>
          <w:tcPr>
            <w:tcW w:w="312" w:type="pct"/>
            <w:vAlign w:val="bottom"/>
          </w:tcPr>
          <w:p w:rsidR="00EA3A8F" w:rsidRPr="00F57E52" w:rsidRDefault="00EA3A8F" w:rsidP="00F7554A">
            <w:pPr>
              <w:pStyle w:val="TableTextRight"/>
              <w:keepNext/>
              <w:keepLines/>
              <w:ind w:left="-57" w:right="-57"/>
              <w:rPr>
                <w:i/>
              </w:rPr>
            </w:pPr>
            <w:r w:rsidRPr="00F57E52">
              <w:rPr>
                <w:i/>
              </w:rPr>
              <w:t>-156.1</w:t>
            </w:r>
          </w:p>
        </w:tc>
        <w:tc>
          <w:tcPr>
            <w:tcW w:w="312" w:type="pct"/>
            <w:vAlign w:val="bottom"/>
          </w:tcPr>
          <w:p w:rsidR="00EA3A8F" w:rsidRPr="00F57E52" w:rsidRDefault="00EA3A8F" w:rsidP="00F7554A">
            <w:pPr>
              <w:pStyle w:val="TableTextRight"/>
              <w:keepNext/>
              <w:keepLines/>
              <w:ind w:left="-57" w:right="-57"/>
              <w:rPr>
                <w:i/>
              </w:rPr>
            </w:pPr>
            <w:r w:rsidRPr="00F57E52">
              <w:rPr>
                <w:i/>
              </w:rPr>
              <w:t>-261.4</w:t>
            </w:r>
          </w:p>
        </w:tc>
        <w:tc>
          <w:tcPr>
            <w:tcW w:w="312" w:type="pct"/>
            <w:vAlign w:val="bottom"/>
          </w:tcPr>
          <w:p w:rsidR="00EA3A8F" w:rsidRPr="00F57E52" w:rsidRDefault="00EA3A8F" w:rsidP="00F7554A">
            <w:pPr>
              <w:pStyle w:val="TableTextRight"/>
              <w:keepNext/>
              <w:keepLines/>
              <w:ind w:left="-57" w:right="-57"/>
              <w:rPr>
                <w:i/>
              </w:rPr>
            </w:pPr>
            <w:r w:rsidRPr="00F57E52">
              <w:rPr>
                <w:i/>
              </w:rPr>
              <w:t>-395.5</w:t>
            </w:r>
          </w:p>
        </w:tc>
        <w:tc>
          <w:tcPr>
            <w:tcW w:w="312" w:type="pct"/>
            <w:vAlign w:val="bottom"/>
          </w:tcPr>
          <w:p w:rsidR="00EA3A8F" w:rsidRPr="00F57E52" w:rsidRDefault="00EA3A8F" w:rsidP="00F7554A">
            <w:pPr>
              <w:pStyle w:val="TableTextRight"/>
              <w:keepNext/>
              <w:keepLines/>
              <w:ind w:left="-57" w:right="-57"/>
              <w:rPr>
                <w:i/>
              </w:rPr>
            </w:pPr>
            <w:r w:rsidRPr="00F57E52">
              <w:rPr>
                <w:i/>
              </w:rPr>
              <w:t>-555.9</w:t>
            </w:r>
          </w:p>
        </w:tc>
        <w:tc>
          <w:tcPr>
            <w:tcW w:w="312" w:type="pct"/>
            <w:vAlign w:val="bottom"/>
          </w:tcPr>
          <w:p w:rsidR="00EA3A8F" w:rsidRPr="00F57E52" w:rsidRDefault="00EA3A8F" w:rsidP="00F7554A">
            <w:pPr>
              <w:pStyle w:val="TableTextRight"/>
              <w:keepNext/>
              <w:keepLines/>
              <w:ind w:left="-57" w:right="-57"/>
              <w:rPr>
                <w:i/>
              </w:rPr>
            </w:pPr>
            <w:r w:rsidRPr="00F57E52">
              <w:rPr>
                <w:i/>
              </w:rPr>
              <w:t>-737.0</w:t>
            </w:r>
          </w:p>
        </w:tc>
        <w:tc>
          <w:tcPr>
            <w:tcW w:w="312" w:type="pct"/>
            <w:vAlign w:val="bottom"/>
          </w:tcPr>
          <w:p w:rsidR="00EA3A8F" w:rsidRPr="00F57E52" w:rsidRDefault="00EA3A8F" w:rsidP="00F7554A">
            <w:pPr>
              <w:pStyle w:val="TableTextRight"/>
              <w:keepNext/>
              <w:keepLines/>
              <w:ind w:left="-57" w:right="-57"/>
              <w:rPr>
                <w:i/>
              </w:rPr>
            </w:pPr>
            <w:r w:rsidRPr="00F57E52">
              <w:rPr>
                <w:i/>
              </w:rPr>
              <w:t>-910.9</w:t>
            </w:r>
          </w:p>
        </w:tc>
        <w:tc>
          <w:tcPr>
            <w:tcW w:w="311" w:type="pct"/>
            <w:vAlign w:val="bottom"/>
          </w:tcPr>
          <w:p w:rsidR="00EA3A8F" w:rsidRPr="00F57E52" w:rsidRDefault="00EA3A8F" w:rsidP="00F7554A">
            <w:pPr>
              <w:pStyle w:val="TableTextRight"/>
              <w:keepNext/>
              <w:keepLines/>
              <w:ind w:left="-57" w:right="-57"/>
              <w:rPr>
                <w:b/>
                <w:bCs/>
                <w:i/>
              </w:rPr>
            </w:pPr>
            <w:r w:rsidRPr="00F57E52">
              <w:rPr>
                <w:b/>
                <w:bCs/>
                <w:i/>
              </w:rPr>
              <w:t>-3,120.3</w:t>
            </w:r>
          </w:p>
        </w:tc>
      </w:tr>
      <w:tr w:rsidR="00EA3A8F" w:rsidTr="00F7554A">
        <w:tc>
          <w:tcPr>
            <w:tcW w:w="945" w:type="pct"/>
          </w:tcPr>
          <w:p w:rsidR="00EA3A8F" w:rsidRPr="0007264D" w:rsidRDefault="00EA3A8F" w:rsidP="00F7554A">
            <w:pPr>
              <w:pStyle w:val="TableText"/>
              <w:keepNext/>
              <w:keepLines/>
            </w:pPr>
            <w:r>
              <w:t>Departmental</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w:t>
            </w:r>
          </w:p>
        </w:tc>
        <w:tc>
          <w:tcPr>
            <w:tcW w:w="312" w:type="pct"/>
            <w:vAlign w:val="bottom"/>
          </w:tcPr>
          <w:p w:rsidR="00EA3A8F" w:rsidRPr="00F57E52" w:rsidRDefault="00EA3A8F" w:rsidP="00F7554A">
            <w:pPr>
              <w:pStyle w:val="TableTextRight"/>
              <w:keepNext/>
              <w:keepLines/>
              <w:ind w:left="-57" w:right="-57"/>
              <w:rPr>
                <w:i/>
              </w:rPr>
            </w:pPr>
            <w:r w:rsidRPr="00F57E52">
              <w:rPr>
                <w:i/>
              </w:rPr>
              <w:t>-2.0</w:t>
            </w:r>
          </w:p>
        </w:tc>
        <w:tc>
          <w:tcPr>
            <w:tcW w:w="312" w:type="pct"/>
            <w:vAlign w:val="bottom"/>
          </w:tcPr>
          <w:p w:rsidR="00EA3A8F" w:rsidRPr="00F57E52" w:rsidRDefault="00EA3A8F" w:rsidP="00F7554A">
            <w:pPr>
              <w:pStyle w:val="TableTextRight"/>
              <w:keepNext/>
              <w:keepLines/>
              <w:ind w:left="-57" w:right="-57"/>
              <w:rPr>
                <w:b/>
                <w:bCs/>
                <w:i/>
              </w:rPr>
            </w:pPr>
            <w:r w:rsidRPr="00F57E52">
              <w:rPr>
                <w:b/>
                <w:bCs/>
                <w:i/>
              </w:rPr>
              <w:t>-2.0</w:t>
            </w:r>
          </w:p>
        </w:tc>
        <w:tc>
          <w:tcPr>
            <w:tcW w:w="312" w:type="pct"/>
            <w:vAlign w:val="bottom"/>
          </w:tcPr>
          <w:p w:rsidR="00EA3A8F" w:rsidRPr="00F57E52" w:rsidRDefault="00EA3A8F" w:rsidP="00F7554A">
            <w:pPr>
              <w:pStyle w:val="TableTextRight"/>
              <w:keepNext/>
              <w:keepLines/>
              <w:ind w:left="-57" w:right="-57"/>
              <w:rPr>
                <w:i/>
              </w:rPr>
            </w:pPr>
            <w:r w:rsidRPr="00F57E52">
              <w:rPr>
                <w:i/>
              </w:rPr>
              <w:t>-5.1</w:t>
            </w:r>
          </w:p>
        </w:tc>
        <w:tc>
          <w:tcPr>
            <w:tcW w:w="312" w:type="pct"/>
            <w:vAlign w:val="bottom"/>
          </w:tcPr>
          <w:p w:rsidR="00EA3A8F" w:rsidRPr="00F57E52" w:rsidRDefault="00EA3A8F" w:rsidP="00F7554A">
            <w:pPr>
              <w:pStyle w:val="TableTextRight"/>
              <w:keepNext/>
              <w:keepLines/>
              <w:ind w:left="-57" w:right="-57"/>
              <w:rPr>
                <w:i/>
              </w:rPr>
            </w:pPr>
            <w:r w:rsidRPr="00F57E52">
              <w:rPr>
                <w:i/>
              </w:rPr>
              <w:t>-8.8</w:t>
            </w:r>
          </w:p>
        </w:tc>
        <w:tc>
          <w:tcPr>
            <w:tcW w:w="312" w:type="pct"/>
            <w:vAlign w:val="bottom"/>
          </w:tcPr>
          <w:p w:rsidR="00EA3A8F" w:rsidRPr="00F57E52" w:rsidRDefault="00EA3A8F" w:rsidP="00F7554A">
            <w:pPr>
              <w:pStyle w:val="TableTextRight"/>
              <w:keepNext/>
              <w:keepLines/>
              <w:ind w:left="-57" w:right="-57"/>
              <w:rPr>
                <w:i/>
              </w:rPr>
            </w:pPr>
            <w:r w:rsidRPr="00F57E52">
              <w:rPr>
                <w:i/>
              </w:rPr>
              <w:t>-13.4</w:t>
            </w:r>
          </w:p>
        </w:tc>
        <w:tc>
          <w:tcPr>
            <w:tcW w:w="312" w:type="pct"/>
            <w:vAlign w:val="bottom"/>
          </w:tcPr>
          <w:p w:rsidR="00EA3A8F" w:rsidRPr="00F57E52" w:rsidRDefault="00EA3A8F" w:rsidP="00F7554A">
            <w:pPr>
              <w:pStyle w:val="TableTextRight"/>
              <w:keepNext/>
              <w:keepLines/>
              <w:ind w:left="-57" w:right="-57"/>
              <w:rPr>
                <w:i/>
              </w:rPr>
            </w:pPr>
            <w:r w:rsidRPr="00F57E52">
              <w:rPr>
                <w:i/>
              </w:rPr>
              <w:t>-18.6</w:t>
            </w:r>
          </w:p>
        </w:tc>
        <w:tc>
          <w:tcPr>
            <w:tcW w:w="312" w:type="pct"/>
            <w:vAlign w:val="bottom"/>
          </w:tcPr>
          <w:p w:rsidR="00EA3A8F" w:rsidRPr="00F57E52" w:rsidRDefault="00EA3A8F" w:rsidP="00F7554A">
            <w:pPr>
              <w:pStyle w:val="TableTextRight"/>
              <w:keepNext/>
              <w:keepLines/>
              <w:ind w:left="-57" w:right="-57"/>
              <w:rPr>
                <w:i/>
              </w:rPr>
            </w:pPr>
            <w:r w:rsidRPr="00F57E52">
              <w:rPr>
                <w:i/>
              </w:rPr>
              <w:t>-24.4</w:t>
            </w:r>
          </w:p>
        </w:tc>
        <w:tc>
          <w:tcPr>
            <w:tcW w:w="312" w:type="pct"/>
            <w:vAlign w:val="bottom"/>
          </w:tcPr>
          <w:p w:rsidR="00EA3A8F" w:rsidRPr="00F57E52" w:rsidRDefault="00EA3A8F" w:rsidP="00F7554A">
            <w:pPr>
              <w:pStyle w:val="TableTextRight"/>
              <w:keepNext/>
              <w:keepLines/>
              <w:ind w:left="-57" w:right="-57"/>
              <w:rPr>
                <w:i/>
              </w:rPr>
            </w:pPr>
            <w:r w:rsidRPr="00F57E52">
              <w:rPr>
                <w:i/>
              </w:rPr>
              <w:t>-30.6</w:t>
            </w:r>
          </w:p>
        </w:tc>
        <w:tc>
          <w:tcPr>
            <w:tcW w:w="312" w:type="pct"/>
            <w:vAlign w:val="bottom"/>
          </w:tcPr>
          <w:p w:rsidR="00EA3A8F" w:rsidRPr="00F57E52" w:rsidRDefault="00EA3A8F" w:rsidP="00F7554A">
            <w:pPr>
              <w:pStyle w:val="TableTextRight"/>
              <w:keepNext/>
              <w:keepLines/>
              <w:ind w:left="-57" w:right="-57"/>
              <w:rPr>
                <w:i/>
              </w:rPr>
            </w:pPr>
            <w:r w:rsidRPr="00F57E52">
              <w:rPr>
                <w:i/>
              </w:rPr>
              <w:t>-35.1</w:t>
            </w:r>
          </w:p>
        </w:tc>
        <w:tc>
          <w:tcPr>
            <w:tcW w:w="311" w:type="pct"/>
            <w:vAlign w:val="bottom"/>
          </w:tcPr>
          <w:p w:rsidR="00EA3A8F" w:rsidRPr="00F57E52" w:rsidRDefault="00EA3A8F" w:rsidP="00F7554A">
            <w:pPr>
              <w:pStyle w:val="TableTextRight"/>
              <w:keepNext/>
              <w:keepLines/>
              <w:ind w:left="-57" w:right="-57"/>
              <w:rPr>
                <w:b/>
                <w:bCs/>
                <w:i/>
              </w:rPr>
            </w:pPr>
            <w:r w:rsidRPr="00F57E52">
              <w:rPr>
                <w:b/>
                <w:bCs/>
                <w:i/>
              </w:rPr>
              <w:t>-137.9</w:t>
            </w:r>
          </w:p>
        </w:tc>
      </w:tr>
      <w:tr w:rsidR="0073534F" w:rsidTr="00F7554A">
        <w:tc>
          <w:tcPr>
            <w:tcW w:w="945" w:type="pct"/>
            <w:shd w:val="clear" w:color="auto" w:fill="E9ECF3" w:themeFill="accent2" w:themeFillTint="33"/>
          </w:tcPr>
          <w:p w:rsidR="00EA3A8F" w:rsidRPr="00F57E52" w:rsidRDefault="00EA3A8F" w:rsidP="00F7554A">
            <w:pPr>
              <w:pStyle w:val="TableText"/>
              <w:keepNext/>
              <w:keepLines/>
            </w:pPr>
            <w:r w:rsidRPr="00F57E52">
              <w:t>Total expenses</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-27.7</w:t>
            </w:r>
          </w:p>
        </w:tc>
        <w:tc>
          <w:tcPr>
            <w:tcW w:w="312" w:type="pct"/>
            <w:shd w:val="clear" w:color="auto" w:fill="E9ECF3" w:themeFill="accent2" w:themeFillTint="33"/>
            <w:vAlign w:val="bottom"/>
          </w:tcPr>
          <w:p w:rsidR="00EA3A8F" w:rsidRDefault="00EA3A8F" w:rsidP="00F7554A">
            <w:pPr>
              <w:pStyle w:val="TableTextRight"/>
              <w:keepNext/>
              <w:keepLines/>
              <w:ind w:left="-57" w:right="-57"/>
              <w:rPr>
                <w:b/>
                <w:bCs/>
              </w:rPr>
            </w:pPr>
            <w:r>
              <w:rPr>
                <w:b/>
                <w:bCs/>
              </w:rPr>
              <w:t>-27.7</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-82.9</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-164.9</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-274.7</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-414.1</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-580.3</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-767.6</w:t>
            </w:r>
          </w:p>
        </w:tc>
        <w:tc>
          <w:tcPr>
            <w:tcW w:w="312" w:type="pct"/>
            <w:shd w:val="clear" w:color="auto" w:fill="E9ECF3" w:themeFill="accent2" w:themeFillTint="33"/>
            <w:vAlign w:val="bottom"/>
          </w:tcPr>
          <w:p w:rsidR="00EA3A8F" w:rsidRPr="00F57E52" w:rsidRDefault="00EA3A8F" w:rsidP="00F7554A">
            <w:pPr>
              <w:pStyle w:val="TableTextRight"/>
              <w:keepNext/>
              <w:keepLines/>
              <w:ind w:left="-57" w:right="-57"/>
              <w:rPr>
                <w:bCs/>
              </w:rPr>
            </w:pPr>
            <w:r w:rsidRPr="00F57E52">
              <w:rPr>
                <w:bCs/>
              </w:rPr>
              <w:t>-946.0</w:t>
            </w:r>
          </w:p>
        </w:tc>
        <w:tc>
          <w:tcPr>
            <w:tcW w:w="311" w:type="pct"/>
            <w:shd w:val="clear" w:color="auto" w:fill="E9ECF3" w:themeFill="accent2" w:themeFillTint="33"/>
            <w:vAlign w:val="bottom"/>
          </w:tcPr>
          <w:p w:rsidR="00EA3A8F" w:rsidRDefault="00EA3A8F" w:rsidP="00F7554A">
            <w:pPr>
              <w:pStyle w:val="TableTextRight"/>
              <w:keepNext/>
              <w:keepLines/>
              <w:ind w:left="-57" w:right="-57"/>
              <w:rPr>
                <w:b/>
                <w:bCs/>
              </w:rPr>
            </w:pPr>
            <w:r>
              <w:rPr>
                <w:b/>
                <w:bCs/>
              </w:rPr>
              <w:t>-3,258.2</w:t>
            </w:r>
          </w:p>
        </w:tc>
      </w:tr>
      <w:tr w:rsidR="0073534F" w:rsidRPr="007C2713" w:rsidTr="00F7554A">
        <w:tc>
          <w:tcPr>
            <w:tcW w:w="945" w:type="pct"/>
            <w:shd w:val="clear" w:color="auto" w:fill="D7DDE9" w:themeFill="accent3"/>
            <w:vAlign w:val="center"/>
          </w:tcPr>
          <w:p w:rsidR="00EA3A8F" w:rsidRPr="007C2713" w:rsidRDefault="00EA3A8F" w:rsidP="00F7554A">
            <w:pPr>
              <w:pStyle w:val="TableText"/>
              <w:keepNext/>
              <w:keepLines/>
              <w:rPr>
                <w:b/>
              </w:rPr>
            </w:pPr>
            <w:r w:rsidRPr="007C2713">
              <w:rPr>
                <w:b/>
              </w:rPr>
              <w:t>Total</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-26.0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-26.0</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-75.9</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-148.9</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-245.6</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-367.6</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-511.9</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-672.6</w:t>
            </w:r>
          </w:p>
        </w:tc>
        <w:tc>
          <w:tcPr>
            <w:tcW w:w="312" w:type="pct"/>
            <w:shd w:val="clear" w:color="auto" w:fill="D7DDE9" w:themeFill="accent3"/>
            <w:vAlign w:val="bottom"/>
          </w:tcPr>
          <w:p w:rsidR="00EA3A8F" w:rsidRDefault="00EA3A8F" w:rsidP="00F7554A">
            <w:pPr>
              <w:pStyle w:val="TableTextRight"/>
              <w:keepNext/>
              <w:keepLines/>
              <w:ind w:left="-57" w:right="-57"/>
              <w:rPr>
                <w:b/>
                <w:bCs/>
              </w:rPr>
            </w:pPr>
            <w:r>
              <w:rPr>
                <w:b/>
                <w:bCs/>
              </w:rPr>
              <w:t>-821.5</w:t>
            </w:r>
          </w:p>
        </w:tc>
        <w:tc>
          <w:tcPr>
            <w:tcW w:w="311" w:type="pct"/>
            <w:shd w:val="clear" w:color="auto" w:fill="D7DDE9" w:themeFill="accent3"/>
            <w:vAlign w:val="bottom"/>
          </w:tcPr>
          <w:p w:rsidR="00EA3A8F" w:rsidRDefault="00EA3A8F" w:rsidP="00F7554A">
            <w:pPr>
              <w:pStyle w:val="TableTextRight"/>
              <w:keepNext/>
              <w:keepLines/>
              <w:ind w:left="-57" w:right="-57"/>
              <w:rPr>
                <w:b/>
                <w:bCs/>
              </w:rPr>
            </w:pPr>
            <w:r>
              <w:rPr>
                <w:b/>
                <w:bCs/>
              </w:rPr>
              <w:t>-2,870.0</w:t>
            </w:r>
          </w:p>
        </w:tc>
      </w:tr>
    </w:tbl>
    <w:p w:rsidR="00EA3A8F" w:rsidRDefault="00EA3A8F" w:rsidP="00FD1D4B">
      <w:pPr>
        <w:pStyle w:val="Footnotes"/>
        <w:keepNext/>
        <w:keepLines/>
        <w:numPr>
          <w:ilvl w:val="0"/>
          <w:numId w:val="185"/>
        </w:numPr>
        <w:ind w:left="284" w:hanging="284"/>
      </w:pPr>
      <w:r w:rsidRPr="00861BD4">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EA3A8F" w:rsidRPr="005F544A" w:rsidRDefault="00EA3A8F" w:rsidP="00FD1D4B">
      <w:pPr>
        <w:pStyle w:val="Footnotes"/>
        <w:keepNext/>
        <w:keepLines/>
        <w:spacing w:after="120"/>
        <w:ind w:left="284" w:hanging="284"/>
      </w:pPr>
      <w:r w:rsidRPr="005F544A">
        <w:t>Figures may not sum to totals due to rounding.</w:t>
      </w:r>
    </w:p>
    <w:p w:rsidR="00EA3A8F" w:rsidRPr="005F544A" w:rsidRDefault="00EA3A8F" w:rsidP="00FD1D4B">
      <w:pPr>
        <w:pStyle w:val="Footnotes"/>
        <w:numPr>
          <w:ilvl w:val="0"/>
          <w:numId w:val="0"/>
        </w:numPr>
        <w:ind w:left="284" w:hanging="284"/>
      </w:pPr>
      <w:r w:rsidRPr="005F544A">
        <w:t>-</w:t>
      </w:r>
      <w:r w:rsidRPr="005F544A">
        <w:tab/>
        <w:t>Indicates nil.</w:t>
      </w:r>
    </w:p>
    <w:p w:rsidR="00EA3A8F" w:rsidRPr="00951305" w:rsidRDefault="00EA3A8F" w:rsidP="00420CF4">
      <w:pPr>
        <w:pStyle w:val="BodyText"/>
      </w:pPr>
    </w:p>
    <w:p w:rsidR="00420CF4" w:rsidRDefault="00420CF4" w:rsidP="00420CF4">
      <w:pPr>
        <w:pStyle w:val="BodyText"/>
        <w:sectPr w:rsidR="00420CF4" w:rsidSect="00FD1D4B">
          <w:footnotePr>
            <w:numRestart w:val="eachSect"/>
          </w:footnotePr>
          <w:pgSz w:w="16839" w:h="11907" w:orient="landscape" w:code="9"/>
          <w:pgMar w:top="1361" w:right="1797" w:bottom="1474" w:left="1797" w:header="283" w:footer="454" w:gutter="0"/>
          <w:cols w:space="708"/>
          <w:docGrid w:linePitch="360"/>
        </w:sectPr>
      </w:pPr>
    </w:p>
    <w:p w:rsidR="00B24083" w:rsidRDefault="00B24083" w:rsidP="00B24083">
      <w:pPr>
        <w:pStyle w:val="Heading5"/>
        <w:ind w:left="1080" w:hanging="1080"/>
      </w:pPr>
      <w:bookmarkStart w:id="58" w:name="_Toc458081675"/>
      <w:r>
        <w:t>ALP05</w:t>
      </w:r>
      <w:r w:rsidR="00A00D61">
        <w:t>1</w:t>
      </w:r>
      <w:r>
        <w:t>: Labor's Plan for a Fairer Temporary Work Visa System</w:t>
      </w:r>
      <w:bookmarkEnd w:id="58"/>
    </w:p>
    <w:p w:rsidR="00B24083" w:rsidRDefault="00B24083" w:rsidP="00967B83">
      <w:pPr>
        <w:pStyle w:val="BodyText"/>
      </w:pPr>
      <w:r>
        <w:rPr>
          <w:noProof/>
          <w:lang w:eastAsia="en-AU"/>
        </w:rPr>
        <w:drawing>
          <wp:inline distT="0" distB="0" distL="0" distR="0" wp14:anchorId="6738329E" wp14:editId="71FAD221">
            <wp:extent cx="2696845" cy="572135"/>
            <wp:effectExtent l="0" t="0" r="8255" b="0"/>
            <wp:docPr id="467" name="Picture 46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B24083" w:rsidRDefault="00B24083" w:rsidP="00B24083">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B24083"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B24083" w:rsidRPr="00A71F7B" w:rsidRDefault="00B24083" w:rsidP="00F7554A">
            <w:pPr>
              <w:pStyle w:val="PullOutBoxHeading"/>
              <w:rPr>
                <w:b/>
              </w:rPr>
            </w:pPr>
            <w:r w:rsidRPr="00A71F7B">
              <w:rPr>
                <w:b/>
              </w:rPr>
              <w:t>Name of proposal:</w:t>
            </w:r>
          </w:p>
        </w:tc>
        <w:tc>
          <w:tcPr>
            <w:tcW w:w="3191" w:type="pct"/>
          </w:tcPr>
          <w:p w:rsidR="00B24083" w:rsidRPr="00A71F7B" w:rsidRDefault="00B24083" w:rsidP="00F7554A">
            <w:pPr>
              <w:pStyle w:val="PullOutBoxHeading"/>
              <w:rPr>
                <w:b/>
              </w:rPr>
            </w:pPr>
            <w:r w:rsidRPr="00A71F7B">
              <w:rPr>
                <w:b/>
              </w:rPr>
              <w:t>Labor's Plan for a Fairer Temporary Work Visa System</w:t>
            </w:r>
          </w:p>
        </w:tc>
      </w:tr>
      <w:tr w:rsidR="00B24083" w:rsidRPr="00B45F94" w:rsidTr="00F7554A">
        <w:tc>
          <w:tcPr>
            <w:tcW w:w="1809" w:type="pct"/>
          </w:tcPr>
          <w:p w:rsidR="00B24083" w:rsidRPr="00B45F94" w:rsidRDefault="00B24083" w:rsidP="00F7554A">
            <w:pPr>
              <w:pStyle w:val="PullOutBoxBodyText"/>
            </w:pPr>
            <w:r w:rsidRPr="00B45F94">
              <w:t>Summary of proposal:</w:t>
            </w:r>
          </w:p>
        </w:tc>
        <w:tc>
          <w:tcPr>
            <w:tcW w:w="3191" w:type="pct"/>
          </w:tcPr>
          <w:p w:rsidR="00B24083" w:rsidRDefault="00B24083" w:rsidP="00F7554A">
            <w:pPr>
              <w:pStyle w:val="PullOutBoxBodyText"/>
            </w:pPr>
            <w:r>
              <w:t>The proposal has eight components:</w:t>
            </w:r>
          </w:p>
          <w:p w:rsidR="00B24083" w:rsidRPr="00EC6188" w:rsidRDefault="00B24083" w:rsidP="00F7554A">
            <w:pPr>
              <w:pStyle w:val="PullOutBoxBodyText"/>
              <w:rPr>
                <w:u w:val="single"/>
              </w:rPr>
            </w:pPr>
            <w:r w:rsidRPr="00EC6188">
              <w:rPr>
                <w:u w:val="single"/>
              </w:rPr>
              <w:t xml:space="preserve">Component 1 </w:t>
            </w:r>
            <w:r>
              <w:rPr>
                <w:u w:val="single"/>
              </w:rPr>
              <w:t>–</w:t>
            </w:r>
            <w:r w:rsidRPr="00EC6188">
              <w:rPr>
                <w:u w:val="single"/>
              </w:rPr>
              <w:t xml:space="preserve"> Temporary work visas</w:t>
            </w:r>
          </w:p>
          <w:p w:rsidR="00B24083" w:rsidRDefault="00B24083" w:rsidP="00F7554A">
            <w:pPr>
              <w:pStyle w:val="PullOutBoxBodyText"/>
            </w:pPr>
            <w:r>
              <w:t>This component would:</w:t>
            </w:r>
          </w:p>
          <w:p w:rsidR="00B24083" w:rsidRDefault="00B24083" w:rsidP="00F7554A">
            <w:pPr>
              <w:pStyle w:val="PullOutBoxBullet"/>
            </w:pPr>
            <w:r>
              <w:t xml:space="preserve">establish a register of sponsoring employers for Temporary Work (Skilled) Visas (subclass 457) on the Department of Immigration and Border Protection (DIBP) website which would be updated quarterly </w:t>
            </w:r>
          </w:p>
          <w:p w:rsidR="00B24083" w:rsidRDefault="00B24083" w:rsidP="00F7554A">
            <w:pPr>
              <w:pStyle w:val="PullOutBoxBullet"/>
            </w:pPr>
            <w:r>
              <w:t xml:space="preserve">provide training for DIBP decision makers to improve assessment of the genuine position requirement </w:t>
            </w:r>
          </w:p>
          <w:p w:rsidR="00B24083" w:rsidRDefault="00B24083" w:rsidP="00F7554A">
            <w:pPr>
              <w:pStyle w:val="PullOutBoxBullet"/>
            </w:pPr>
            <w:r>
              <w:t>establish a register of work agreements entered into which the Minister for Immigration and Border Protection (the Minister) would be required to publish and on which the Minister would provide an annual report to the Parliament</w:t>
            </w:r>
          </w:p>
          <w:p w:rsidR="00B24083" w:rsidRDefault="00B24083" w:rsidP="00F7554A">
            <w:pPr>
              <w:pStyle w:val="PullOutBoxBullet"/>
            </w:pPr>
            <w:r>
              <w:t>amend legislation to allow for application for permanent residency after two years of work in Australia.</w:t>
            </w:r>
          </w:p>
          <w:p w:rsidR="00B24083" w:rsidRPr="00D4507E" w:rsidRDefault="00B24083" w:rsidP="00F7554A">
            <w:pPr>
              <w:pStyle w:val="PullOutBoxBodyText"/>
              <w:rPr>
                <w:u w:val="single"/>
              </w:rPr>
            </w:pPr>
            <w:r w:rsidRPr="00D4507E">
              <w:rPr>
                <w:u w:val="single"/>
              </w:rPr>
              <w:t xml:space="preserve">Component 2 </w:t>
            </w:r>
            <w:r>
              <w:rPr>
                <w:u w:val="single"/>
              </w:rPr>
              <w:t xml:space="preserve">– </w:t>
            </w:r>
            <w:r w:rsidRPr="00D4507E">
              <w:rPr>
                <w:u w:val="single"/>
              </w:rPr>
              <w:t>Non-government organisations</w:t>
            </w:r>
          </w:p>
          <w:p w:rsidR="00B24083" w:rsidRDefault="00B24083" w:rsidP="00F7554A">
            <w:pPr>
              <w:pStyle w:val="PullOutBoxBodyText"/>
            </w:pPr>
            <w:r>
              <w:t>This component would provide $8.5 million per year over four years to contract non-government organisations (NGOs) to act as a reference point for all Temporary Work (Skilled) Visa, Working Holiday Visa (subclass 417), Working and Holiday Visa (subclass 462) and Student Visa (subclasses 572, 573 and 574) holders.</w:t>
            </w:r>
          </w:p>
          <w:p w:rsidR="00B24083" w:rsidRPr="00D4507E" w:rsidRDefault="00B24083" w:rsidP="00F7554A">
            <w:pPr>
              <w:pStyle w:val="PullOutBoxBodyText"/>
              <w:rPr>
                <w:u w:val="single"/>
              </w:rPr>
            </w:pPr>
            <w:r>
              <w:rPr>
                <w:u w:val="single"/>
              </w:rPr>
              <w:t>Component 3 –</w:t>
            </w:r>
            <w:r w:rsidRPr="00D4507E">
              <w:rPr>
                <w:u w:val="single"/>
              </w:rPr>
              <w:t xml:space="preserve"> Skilled migration</w:t>
            </w:r>
          </w:p>
          <w:p w:rsidR="00B24083" w:rsidRDefault="00B24083" w:rsidP="00F7554A">
            <w:pPr>
              <w:pStyle w:val="PullOutBoxBodyText"/>
            </w:pPr>
            <w:r>
              <w:t>This component would:</w:t>
            </w:r>
          </w:p>
          <w:p w:rsidR="00B24083" w:rsidRDefault="00B24083" w:rsidP="00F7554A">
            <w:pPr>
              <w:pStyle w:val="PullOutBoxBullet"/>
            </w:pPr>
            <w:r>
              <w:t>increase membership numbers on the Ministerial Advisory Council on Skilled Migration (MACSM) and make it an independent statutory body, supported by 1.5 full-time equivalent (FTE) staff provided by DIBP</w:t>
            </w:r>
          </w:p>
          <w:p w:rsidR="00B24083" w:rsidRDefault="00B24083" w:rsidP="00F7554A">
            <w:pPr>
              <w:pStyle w:val="PullOutBoxBullet"/>
            </w:pPr>
            <w:r>
              <w:t>broaden the remit of MACSM to:</w:t>
            </w:r>
          </w:p>
          <w:p w:rsidR="00B24083" w:rsidRDefault="00B24083" w:rsidP="00FD1D4B">
            <w:pPr>
              <w:pStyle w:val="PullOutBoxBullet2"/>
              <w:spacing w:after="240"/>
            </w:pPr>
            <w:r>
              <w:t>undertake regular reviews of occupations to ensure the dynamic skills list reflects actual shortages and needs, with regional consideration of skills shortages</w:t>
            </w:r>
          </w:p>
          <w:p w:rsidR="00B24083" w:rsidRDefault="00B24083" w:rsidP="00B24083">
            <w:pPr>
              <w:pStyle w:val="PullOutBoxBullet2"/>
            </w:pPr>
            <w:r>
              <w:t>provide recommendations to government on current skills shortages, strategies for addressing them, training and education gaps over the long term</w:t>
            </w:r>
          </w:p>
          <w:p w:rsidR="00B24083" w:rsidRDefault="00B24083" w:rsidP="00B24083">
            <w:pPr>
              <w:pStyle w:val="PullOutBoxBullet2"/>
            </w:pPr>
            <w:r>
              <w:t>coordinate labour market analysis across relevant departments.</w:t>
            </w:r>
          </w:p>
          <w:p w:rsidR="00B24083" w:rsidRPr="00D4507E" w:rsidRDefault="00B24083" w:rsidP="00F7554A">
            <w:pPr>
              <w:pStyle w:val="PullOutBoxBodyText"/>
              <w:rPr>
                <w:u w:val="single"/>
              </w:rPr>
            </w:pPr>
            <w:r w:rsidRPr="00D4507E">
              <w:rPr>
                <w:u w:val="single"/>
              </w:rPr>
              <w:t xml:space="preserve">Component 4 </w:t>
            </w:r>
            <w:r>
              <w:rPr>
                <w:u w:val="single"/>
              </w:rPr>
              <w:t>–</w:t>
            </w:r>
            <w:r w:rsidRPr="00D4507E">
              <w:rPr>
                <w:u w:val="single"/>
              </w:rPr>
              <w:t xml:space="preserve"> Independent reviews of visa programs</w:t>
            </w:r>
          </w:p>
          <w:p w:rsidR="00B24083" w:rsidRDefault="00B24083" w:rsidP="00F7554A">
            <w:pPr>
              <w:pStyle w:val="PullOutBoxBodyText"/>
            </w:pPr>
            <w:r>
              <w:t>This component would commission separate independent reviews of the impact of the student visa programs and working holiday visa programs in the Australian labour market.  Each review would be conducted by an independent panel of experts with secretariat support from the DIBP.</w:t>
            </w:r>
          </w:p>
          <w:p w:rsidR="00B24083" w:rsidRPr="00D4507E" w:rsidRDefault="00B24083" w:rsidP="00F7554A">
            <w:pPr>
              <w:pStyle w:val="PullOutBoxBodyText"/>
              <w:rPr>
                <w:u w:val="single"/>
              </w:rPr>
            </w:pPr>
            <w:r>
              <w:rPr>
                <w:u w:val="single"/>
              </w:rPr>
              <w:t>Component 5 –</w:t>
            </w:r>
            <w:r w:rsidRPr="00D4507E">
              <w:rPr>
                <w:u w:val="single"/>
              </w:rPr>
              <w:t xml:space="preserve"> Digitisation </w:t>
            </w:r>
          </w:p>
          <w:p w:rsidR="00B24083" w:rsidRDefault="00B24083" w:rsidP="00F7554A">
            <w:pPr>
              <w:pStyle w:val="PullOutBoxBodyText"/>
            </w:pPr>
            <w:r>
              <w:t>This component would:</w:t>
            </w:r>
          </w:p>
          <w:p w:rsidR="00B24083" w:rsidRDefault="00B24083" w:rsidP="00F7554A">
            <w:pPr>
              <w:pStyle w:val="PullOutBoxBullet"/>
            </w:pPr>
            <w:r>
              <w:t>require the DIBP to achieve 100 per cent online lodgement of visa applications for all visa categories by 2020, with temporary visas given priority</w:t>
            </w:r>
          </w:p>
          <w:p w:rsidR="00B24083" w:rsidRDefault="00B24083" w:rsidP="00F7554A">
            <w:pPr>
              <w:pStyle w:val="PullOutBoxBullet"/>
            </w:pPr>
            <w:r>
              <w:t xml:space="preserve">expand </w:t>
            </w:r>
            <w:r w:rsidRPr="00D4507E">
              <w:rPr>
                <w:i/>
              </w:rPr>
              <w:t>ImmiAccount</w:t>
            </w:r>
            <w:r>
              <w:t xml:space="preserve"> to create a ‘one-stop shop’ which would:</w:t>
            </w:r>
          </w:p>
          <w:p w:rsidR="00B24083" w:rsidRDefault="00B24083" w:rsidP="00B24083">
            <w:pPr>
              <w:pStyle w:val="PullOutBoxBullet2"/>
            </w:pPr>
            <w:r>
              <w:t>enable online communication and correspondence with the DIBP for applicants and sponsors</w:t>
            </w:r>
          </w:p>
          <w:p w:rsidR="00B24083" w:rsidRDefault="00B24083" w:rsidP="00B24083">
            <w:pPr>
              <w:pStyle w:val="PullOutBoxBullet2"/>
            </w:pPr>
            <w:r>
              <w:t>provide sponsors with access to information held by DIBP</w:t>
            </w:r>
          </w:p>
          <w:p w:rsidR="00B24083" w:rsidRDefault="00B24083" w:rsidP="00B24083">
            <w:pPr>
              <w:pStyle w:val="PullOutBoxBullet2"/>
            </w:pPr>
            <w:r>
              <w:t>enable online lodgement of applications for, and renewal of, visas</w:t>
            </w:r>
          </w:p>
          <w:p w:rsidR="00B24083" w:rsidRDefault="00B24083" w:rsidP="00B24083">
            <w:pPr>
              <w:pStyle w:val="PullOutBoxBullet2"/>
            </w:pPr>
            <w:r>
              <w:t>meet other requirements related to visa enquiries, applications and renewals.</w:t>
            </w:r>
          </w:p>
          <w:p w:rsidR="00B24083" w:rsidRPr="00D4507E" w:rsidRDefault="00B24083" w:rsidP="00ED1D90">
            <w:pPr>
              <w:pStyle w:val="PullOutBoxBodyText"/>
              <w:spacing w:before="0" w:after="120" w:line="300" w:lineRule="auto"/>
              <w:rPr>
                <w:u w:val="single"/>
              </w:rPr>
            </w:pPr>
            <w:r>
              <w:rPr>
                <w:u w:val="single"/>
              </w:rPr>
              <w:t>Component 6 –</w:t>
            </w:r>
            <w:r w:rsidRPr="00D4507E">
              <w:rPr>
                <w:u w:val="single"/>
              </w:rPr>
              <w:t xml:space="preserve"> Intra-Company Transfer Visa</w:t>
            </w:r>
          </w:p>
          <w:p w:rsidR="00B24083" w:rsidRDefault="00B24083" w:rsidP="00ED1D90">
            <w:pPr>
              <w:pStyle w:val="PullOutBoxBodyText"/>
              <w:spacing w:before="0" w:after="120" w:line="300" w:lineRule="auto"/>
            </w:pPr>
            <w:r>
              <w:t>This component would:</w:t>
            </w:r>
          </w:p>
          <w:p w:rsidR="00142212" w:rsidRDefault="00B24083" w:rsidP="00ED1D90">
            <w:pPr>
              <w:pStyle w:val="Bullet2"/>
              <w:numPr>
                <w:ilvl w:val="1"/>
                <w:numId w:val="2"/>
              </w:numPr>
              <w:spacing w:after="120" w:line="300" w:lineRule="auto"/>
              <w:ind w:left="624" w:hanging="284"/>
            </w:pPr>
            <w:r>
              <w:t>create a new Intra-Company Transfer (ICT) Visa which would apply to managers, executives, professionals and specialist technicians with a rate of pay higher than that of the income level above which the top marginal tax rate is paid (currently $180,000 per year)</w:t>
            </w:r>
            <w:r w:rsidR="00142212">
              <w:t xml:space="preserve"> </w:t>
            </w:r>
            <w:r w:rsidR="00142212" w:rsidRPr="00932945">
              <w:t xml:space="preserve">the maximum duration of the ICT Visa would be four years </w:t>
            </w:r>
          </w:p>
          <w:p w:rsidR="00142212" w:rsidRDefault="00142212" w:rsidP="00ED1D90">
            <w:pPr>
              <w:pStyle w:val="Bullet2"/>
              <w:numPr>
                <w:ilvl w:val="1"/>
                <w:numId w:val="2"/>
              </w:numPr>
              <w:spacing w:after="120" w:line="300" w:lineRule="auto"/>
              <w:ind w:left="624" w:hanging="284"/>
            </w:pPr>
            <w:r w:rsidRPr="00932945">
              <w:t>the ICT Visa would be managed by a dedicated DIBP team</w:t>
            </w:r>
            <w:r>
              <w:t>.</w:t>
            </w:r>
          </w:p>
          <w:p w:rsidR="00142212" w:rsidRDefault="00142212" w:rsidP="00ED1D90">
            <w:pPr>
              <w:spacing w:after="120" w:line="300" w:lineRule="auto"/>
              <w:rPr>
                <w:u w:val="single"/>
              </w:rPr>
            </w:pPr>
          </w:p>
          <w:p w:rsidR="00142212" w:rsidRDefault="00142212" w:rsidP="00ED1D90">
            <w:pPr>
              <w:spacing w:after="120" w:line="300" w:lineRule="auto"/>
              <w:rPr>
                <w:u w:val="single"/>
              </w:rPr>
            </w:pPr>
          </w:p>
          <w:p w:rsidR="00142212" w:rsidRPr="00932945" w:rsidRDefault="00142212" w:rsidP="00ED1D90">
            <w:pPr>
              <w:spacing w:after="120" w:line="300" w:lineRule="auto"/>
              <w:rPr>
                <w:u w:val="single"/>
              </w:rPr>
            </w:pPr>
            <w:r w:rsidRPr="00932945">
              <w:rPr>
                <w:u w:val="single"/>
              </w:rPr>
              <w:t xml:space="preserve">Component </w:t>
            </w:r>
            <w:r>
              <w:rPr>
                <w:u w:val="single"/>
              </w:rPr>
              <w:t xml:space="preserve">7 - </w:t>
            </w:r>
            <w:r w:rsidRPr="00932945">
              <w:rPr>
                <w:u w:val="single"/>
              </w:rPr>
              <w:t>Sponsorship fees and applications for skilled visas</w:t>
            </w:r>
          </w:p>
          <w:p w:rsidR="00142212" w:rsidRPr="0040719B" w:rsidRDefault="00142212" w:rsidP="00ED1D90">
            <w:pPr>
              <w:spacing w:after="120" w:line="300" w:lineRule="auto"/>
            </w:pPr>
            <w:r w:rsidRPr="0040719B">
              <w:t>This component would:</w:t>
            </w:r>
          </w:p>
          <w:p w:rsidR="00142212" w:rsidRPr="00A24127" w:rsidRDefault="00142212" w:rsidP="00ED1D90">
            <w:pPr>
              <w:pStyle w:val="Bullet1"/>
              <w:numPr>
                <w:ilvl w:val="0"/>
                <w:numId w:val="2"/>
              </w:numPr>
              <w:spacing w:after="120" w:line="300" w:lineRule="auto"/>
              <w:ind w:left="341" w:hanging="284"/>
            </w:pPr>
            <w:r w:rsidRPr="00A24127">
              <w:t xml:space="preserve">increase the fee paid by sponsors based on the proportion of the sponsor’s payroll dedicated to Temporary Work (Skilled) Visa holders </w:t>
            </w:r>
          </w:p>
          <w:p w:rsidR="00142212" w:rsidRPr="00932945" w:rsidRDefault="00142212" w:rsidP="00ED1D90">
            <w:pPr>
              <w:pStyle w:val="Bullet1"/>
              <w:numPr>
                <w:ilvl w:val="0"/>
                <w:numId w:val="2"/>
              </w:numPr>
              <w:spacing w:after="120" w:line="300" w:lineRule="auto"/>
              <w:ind w:left="341" w:hanging="284"/>
            </w:pPr>
            <w:r w:rsidRPr="00A24127">
              <w:t>imp</w:t>
            </w:r>
            <w:r w:rsidRPr="00932945">
              <w:t>lement a streamlined visa application process based on a risk assessment model.</w:t>
            </w:r>
          </w:p>
          <w:p w:rsidR="00142212" w:rsidRPr="00932945" w:rsidRDefault="00142212" w:rsidP="00ED1D90">
            <w:pPr>
              <w:spacing w:after="120" w:line="300" w:lineRule="auto"/>
              <w:rPr>
                <w:u w:val="single"/>
              </w:rPr>
            </w:pPr>
            <w:r w:rsidRPr="00932945">
              <w:rPr>
                <w:u w:val="single"/>
              </w:rPr>
              <w:t xml:space="preserve">Component </w:t>
            </w:r>
            <w:r>
              <w:rPr>
                <w:u w:val="single"/>
              </w:rPr>
              <w:t>8 - Sanctions and penalties for t</w:t>
            </w:r>
            <w:r w:rsidRPr="00932945">
              <w:rPr>
                <w:u w:val="single"/>
              </w:rPr>
              <w:t>emporary visa holder exploitation</w:t>
            </w:r>
          </w:p>
          <w:p w:rsidR="00142212" w:rsidRPr="0040719B" w:rsidRDefault="00142212" w:rsidP="00ED1D90">
            <w:pPr>
              <w:spacing w:after="120" w:line="300" w:lineRule="auto"/>
            </w:pPr>
            <w:r w:rsidRPr="0040719B">
              <w:t>This component would:</w:t>
            </w:r>
          </w:p>
          <w:p w:rsidR="00142212" w:rsidRPr="00932945" w:rsidRDefault="00142212" w:rsidP="00ED1D90">
            <w:pPr>
              <w:pStyle w:val="Bullet1"/>
              <w:numPr>
                <w:ilvl w:val="0"/>
                <w:numId w:val="2"/>
              </w:numPr>
              <w:spacing w:after="120" w:line="300" w:lineRule="auto"/>
              <w:ind w:left="341" w:hanging="284"/>
            </w:pPr>
            <w:r w:rsidRPr="00932945">
              <w:t>increase sanctions and penalties on employers who exploit temporary visa holders</w:t>
            </w:r>
          </w:p>
          <w:p w:rsidR="00142212" w:rsidRPr="00932945" w:rsidRDefault="00142212" w:rsidP="00ED1D90">
            <w:pPr>
              <w:pStyle w:val="Bullet2"/>
              <w:numPr>
                <w:ilvl w:val="1"/>
                <w:numId w:val="2"/>
              </w:numPr>
              <w:spacing w:after="120" w:line="300" w:lineRule="auto"/>
              <w:ind w:left="624" w:hanging="284"/>
            </w:pPr>
            <w:r w:rsidRPr="00932945">
              <w:t>criminal offences - maximum penalty of four years imprisonment, or a fine of $125,000 for individuals and $650,000 for corporations</w:t>
            </w:r>
          </w:p>
          <w:p w:rsidR="00142212" w:rsidRPr="00932945" w:rsidRDefault="00142212" w:rsidP="00ED1D90">
            <w:pPr>
              <w:pStyle w:val="Bullet2"/>
              <w:numPr>
                <w:ilvl w:val="1"/>
                <w:numId w:val="2"/>
              </w:numPr>
              <w:spacing w:after="120" w:line="300" w:lineRule="auto"/>
              <w:ind w:left="624" w:hanging="284"/>
            </w:pPr>
            <w:r w:rsidRPr="00932945">
              <w:t>civil offences - a maximum fine of $50,000 for individuals and $650,000 for corporations.</w:t>
            </w:r>
          </w:p>
          <w:p w:rsidR="00B24083" w:rsidRPr="00B45F94" w:rsidRDefault="00142212" w:rsidP="00ED1D90">
            <w:pPr>
              <w:pStyle w:val="PullOutBoxBullet"/>
              <w:numPr>
                <w:ilvl w:val="0"/>
                <w:numId w:val="0"/>
              </w:numPr>
              <w:spacing w:before="0" w:after="120" w:line="300" w:lineRule="auto"/>
              <w:ind w:left="57"/>
            </w:pPr>
            <w:r w:rsidRPr="004C2E45">
              <w:t>The proposal would have effect from 1 July 2017.</w:t>
            </w:r>
          </w:p>
        </w:tc>
      </w:tr>
      <w:tr w:rsidR="00B24083" w:rsidRPr="00B45F94" w:rsidTr="00F7554A">
        <w:tc>
          <w:tcPr>
            <w:tcW w:w="1809" w:type="pct"/>
          </w:tcPr>
          <w:p w:rsidR="00B24083" w:rsidRPr="00B45F94" w:rsidRDefault="00B24083" w:rsidP="00F7554A">
            <w:pPr>
              <w:pStyle w:val="PullOutBoxBodyText"/>
            </w:pPr>
            <w:r>
              <w:t>Party:</w:t>
            </w:r>
          </w:p>
        </w:tc>
        <w:tc>
          <w:tcPr>
            <w:tcW w:w="3191" w:type="pct"/>
          </w:tcPr>
          <w:p w:rsidR="00B24083" w:rsidRPr="00B45F94" w:rsidRDefault="00B24083" w:rsidP="00F7554A">
            <w:pPr>
              <w:pStyle w:val="PullOutBoxBodyText"/>
            </w:pPr>
            <w:r>
              <w:t>Australian Labor Party</w:t>
            </w:r>
          </w:p>
        </w:tc>
      </w:tr>
      <w:tr w:rsidR="00B24083" w:rsidRPr="00B45F94" w:rsidTr="00F7554A">
        <w:tc>
          <w:tcPr>
            <w:tcW w:w="1809" w:type="pct"/>
          </w:tcPr>
          <w:p w:rsidR="00B24083" w:rsidRPr="00B45F94" w:rsidRDefault="00B24083" w:rsidP="00F7554A">
            <w:pPr>
              <w:pStyle w:val="PullOutBoxBodyText"/>
            </w:pPr>
            <w:r w:rsidRPr="00B45F94">
              <w:t>Expiry date for the costing:</w:t>
            </w:r>
          </w:p>
        </w:tc>
        <w:tc>
          <w:tcPr>
            <w:tcW w:w="3191" w:type="pct"/>
          </w:tcPr>
          <w:p w:rsidR="00B24083" w:rsidRPr="00B45F94" w:rsidRDefault="00B24083" w:rsidP="00F7554A">
            <w:pPr>
              <w:pStyle w:val="PullOutBoxBodyText"/>
            </w:pPr>
            <w:r>
              <w:t>Release of the next economic and fiscal update</w:t>
            </w:r>
          </w:p>
        </w:tc>
      </w:tr>
    </w:tbl>
    <w:p w:rsidR="00B24083" w:rsidRDefault="00B24083" w:rsidP="00B24083">
      <w:pPr>
        <w:pStyle w:val="CostingsH7"/>
      </w:pPr>
      <w:r w:rsidRPr="00BF1EE6">
        <w:t>Costing overview</w:t>
      </w:r>
    </w:p>
    <w:p w:rsidR="00B24083" w:rsidRDefault="00B24083" w:rsidP="00B24083">
      <w:pPr>
        <w:pStyle w:val="BodyText"/>
        <w:keepNext/>
        <w:keepLines/>
      </w:pPr>
      <w:r>
        <w:t>Components 1 to 5 of this proposal would be expected to increase both the fiscal and underlying cash balances by $26.9 million over the 2016-17 Budget forward estimates period.  This impact reflects an increase in administered expenses of $25.2 million and a net decrease in departmental expenses of $52.1 million.</w:t>
      </w:r>
    </w:p>
    <w:p w:rsidR="00B24083" w:rsidRDefault="00B24083" w:rsidP="00B24083">
      <w:pPr>
        <w:pStyle w:val="BodyText"/>
      </w:pPr>
      <w:r>
        <w:t>This proposal would be expected to have an ongoing impact beyond the 2016-17 Budget forward estimates period.</w:t>
      </w:r>
    </w:p>
    <w:p w:rsidR="00B24083" w:rsidRDefault="00B24083" w:rsidP="00B24083">
      <w:pPr>
        <w:pStyle w:val="BodyText"/>
      </w:pPr>
      <w:r>
        <w:t xml:space="preserve">Detailed financial implications are provided at </w:t>
      </w:r>
      <w:r w:rsidRPr="00D4507E">
        <w:rPr>
          <w:u w:val="single"/>
        </w:rPr>
        <w:t>Attachment A</w:t>
      </w:r>
      <w:r>
        <w:t>.</w:t>
      </w:r>
    </w:p>
    <w:p w:rsidR="00B24083" w:rsidRDefault="00B24083" w:rsidP="00B24083">
      <w:pPr>
        <w:pStyle w:val="BodyText"/>
      </w:pPr>
      <w:r>
        <w:t xml:space="preserve">This costing is considered to be of low reliability due to a lack of data and considerable uncertainty surrounding a number of assumptions.  </w:t>
      </w:r>
      <w:r w:rsidR="0090719D">
        <w:t>The PBO has not</w:t>
      </w:r>
      <w:r>
        <w:t xml:space="preserve"> undertaken</w:t>
      </w:r>
      <w:r w:rsidR="0090719D">
        <w:t xml:space="preserve"> analysis</w:t>
      </w:r>
      <w:r>
        <w:t xml:space="preserve"> to determine the adequacy of the prescribed funding amounts to achieve the objective of the proposal.</w:t>
      </w:r>
    </w:p>
    <w:p w:rsidR="00B24083" w:rsidRPr="00D4507E" w:rsidRDefault="00B24083" w:rsidP="00B24083">
      <w:pPr>
        <w:pStyle w:val="BodyText"/>
      </w:pPr>
      <w:r>
        <w:t>The financial impact of three components of the proposal (Components 6, 7 and 8) is unquantifiable due to the unavailability of data.</w:t>
      </w:r>
    </w:p>
    <w:p w:rsidR="00B24083" w:rsidRPr="004A444F" w:rsidRDefault="00B24083" w:rsidP="00B24083">
      <w:pPr>
        <w:pStyle w:val="Caption"/>
      </w:pPr>
      <w:r w:rsidRPr="00D264E1">
        <w:t xml:space="preserve">Table </w:t>
      </w:r>
      <w:r>
        <w:t>1</w:t>
      </w:r>
      <w:r w:rsidRPr="00D264E1">
        <w:t xml:space="preserve">: </w:t>
      </w:r>
      <w:r>
        <w:t>Financial implications (outturn prices)</w:t>
      </w:r>
      <w:r w:rsidRPr="00D264E1">
        <w:rPr>
          <w:vertAlign w:val="superscript"/>
        </w:rPr>
        <w:t>(a)(b)</w:t>
      </w:r>
      <w:r>
        <w:rPr>
          <w:vertAlign w:val="superscript"/>
        </w:rPr>
        <w:t>(c)</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B24083"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B24083" w:rsidRPr="00D264E1" w:rsidRDefault="00B24083" w:rsidP="00F7554A">
            <w:pPr>
              <w:pStyle w:val="TableHeading"/>
            </w:pPr>
            <w:r>
              <w:t>Impact on ($m)</w:t>
            </w:r>
          </w:p>
        </w:tc>
        <w:tc>
          <w:tcPr>
            <w:tcW w:w="721" w:type="pct"/>
          </w:tcPr>
          <w:p w:rsidR="00B24083" w:rsidRPr="00FC1F1C" w:rsidRDefault="00B24083" w:rsidP="00F7554A">
            <w:pPr>
              <w:pStyle w:val="TableHeadingRight"/>
            </w:pPr>
            <w:r>
              <w:t>2016–17</w:t>
            </w:r>
          </w:p>
        </w:tc>
        <w:tc>
          <w:tcPr>
            <w:tcW w:w="721" w:type="pct"/>
          </w:tcPr>
          <w:p w:rsidR="00B24083" w:rsidRPr="00FC1F1C" w:rsidRDefault="00B24083" w:rsidP="00F7554A">
            <w:pPr>
              <w:pStyle w:val="TableHeadingRight"/>
            </w:pPr>
            <w:r>
              <w:t>2017–18</w:t>
            </w:r>
          </w:p>
        </w:tc>
        <w:tc>
          <w:tcPr>
            <w:tcW w:w="722" w:type="pct"/>
          </w:tcPr>
          <w:p w:rsidR="00B24083" w:rsidRPr="00FC1F1C" w:rsidRDefault="00B24083" w:rsidP="00F7554A">
            <w:pPr>
              <w:pStyle w:val="TableHeadingRight"/>
            </w:pPr>
            <w:r>
              <w:t>2018–19</w:t>
            </w:r>
          </w:p>
        </w:tc>
        <w:tc>
          <w:tcPr>
            <w:tcW w:w="721" w:type="pct"/>
          </w:tcPr>
          <w:p w:rsidR="00B24083" w:rsidRPr="00FC1F1C" w:rsidRDefault="00B24083" w:rsidP="00F7554A">
            <w:pPr>
              <w:pStyle w:val="TableHeadingRight"/>
            </w:pPr>
            <w:r>
              <w:t>2019–20</w:t>
            </w:r>
          </w:p>
        </w:tc>
        <w:tc>
          <w:tcPr>
            <w:tcW w:w="722" w:type="pct"/>
          </w:tcPr>
          <w:p w:rsidR="00B24083" w:rsidRPr="00FC1F1C" w:rsidRDefault="00B24083" w:rsidP="00F7554A">
            <w:pPr>
              <w:pStyle w:val="TableHeadingRight"/>
              <w:rPr>
                <w:b/>
              </w:rPr>
            </w:pPr>
            <w:r w:rsidRPr="00FC1F1C">
              <w:t>Total</w:t>
            </w:r>
          </w:p>
        </w:tc>
      </w:tr>
      <w:tr w:rsidR="00B24083" w:rsidTr="00F7554A">
        <w:tc>
          <w:tcPr>
            <w:tcW w:w="1393" w:type="pct"/>
          </w:tcPr>
          <w:p w:rsidR="00B24083" w:rsidRDefault="00B24083" w:rsidP="00F7554A">
            <w:pPr>
              <w:pStyle w:val="TableText"/>
            </w:pPr>
            <w:r>
              <w:t>Fiscal balance</w:t>
            </w:r>
          </w:p>
        </w:tc>
        <w:tc>
          <w:tcPr>
            <w:tcW w:w="721" w:type="pct"/>
            <w:vAlign w:val="center"/>
          </w:tcPr>
          <w:p w:rsidR="00B24083" w:rsidRPr="003A3459" w:rsidRDefault="00B24083" w:rsidP="00F7554A">
            <w:pPr>
              <w:pStyle w:val="TableTextRight"/>
              <w:rPr>
                <w:szCs w:val="20"/>
              </w:rPr>
            </w:pPr>
            <w:r w:rsidRPr="000A526E">
              <w:t>-</w:t>
            </w:r>
          </w:p>
        </w:tc>
        <w:tc>
          <w:tcPr>
            <w:tcW w:w="721" w:type="pct"/>
            <w:vAlign w:val="center"/>
          </w:tcPr>
          <w:p w:rsidR="00B24083" w:rsidRPr="003A3459" w:rsidRDefault="00B24083" w:rsidP="00F7554A">
            <w:pPr>
              <w:pStyle w:val="TableTextRight"/>
              <w:rPr>
                <w:szCs w:val="20"/>
              </w:rPr>
            </w:pPr>
            <w:r w:rsidRPr="000A526E">
              <w:t>-</w:t>
            </w:r>
            <w:r>
              <w:t>5.0</w:t>
            </w:r>
          </w:p>
        </w:tc>
        <w:tc>
          <w:tcPr>
            <w:tcW w:w="722" w:type="pct"/>
            <w:vAlign w:val="center"/>
          </w:tcPr>
          <w:p w:rsidR="00B24083" w:rsidRPr="003A3459" w:rsidRDefault="00B24083" w:rsidP="00F7554A">
            <w:pPr>
              <w:pStyle w:val="TableTextRight"/>
              <w:rPr>
                <w:szCs w:val="20"/>
              </w:rPr>
            </w:pPr>
            <w:r w:rsidRPr="000A526E">
              <w:t>10.0</w:t>
            </w:r>
          </w:p>
        </w:tc>
        <w:tc>
          <w:tcPr>
            <w:tcW w:w="721" w:type="pct"/>
            <w:vAlign w:val="center"/>
          </w:tcPr>
          <w:p w:rsidR="00B24083" w:rsidRPr="003A3459" w:rsidRDefault="00B24083" w:rsidP="00F7554A">
            <w:pPr>
              <w:pStyle w:val="TableTextRight"/>
              <w:rPr>
                <w:szCs w:val="20"/>
              </w:rPr>
            </w:pPr>
            <w:r w:rsidRPr="000A526E">
              <w:t>21.9</w:t>
            </w:r>
          </w:p>
        </w:tc>
        <w:tc>
          <w:tcPr>
            <w:tcW w:w="722" w:type="pct"/>
            <w:vAlign w:val="center"/>
          </w:tcPr>
          <w:p w:rsidR="00B24083" w:rsidRPr="00282B94" w:rsidRDefault="00B24083" w:rsidP="00F7554A">
            <w:pPr>
              <w:pStyle w:val="TableTextRight"/>
              <w:rPr>
                <w:b/>
                <w:szCs w:val="20"/>
              </w:rPr>
            </w:pPr>
            <w:r w:rsidRPr="00DB7269">
              <w:rPr>
                <w:b/>
              </w:rPr>
              <w:t>26.9</w:t>
            </w:r>
          </w:p>
        </w:tc>
      </w:tr>
      <w:tr w:rsidR="00B24083" w:rsidTr="00F7554A">
        <w:tc>
          <w:tcPr>
            <w:tcW w:w="1393" w:type="pct"/>
          </w:tcPr>
          <w:p w:rsidR="00B24083" w:rsidRDefault="00B24083" w:rsidP="00F7554A">
            <w:pPr>
              <w:pStyle w:val="TableText"/>
            </w:pPr>
            <w:r>
              <w:t>Underlying cash balance</w:t>
            </w:r>
          </w:p>
        </w:tc>
        <w:tc>
          <w:tcPr>
            <w:tcW w:w="721" w:type="pct"/>
            <w:vAlign w:val="center"/>
          </w:tcPr>
          <w:p w:rsidR="00B24083" w:rsidRPr="003A3459" w:rsidRDefault="00B24083" w:rsidP="00F7554A">
            <w:pPr>
              <w:pStyle w:val="TableTextRight"/>
              <w:rPr>
                <w:szCs w:val="20"/>
              </w:rPr>
            </w:pPr>
            <w:r w:rsidRPr="00F308BE">
              <w:t>-</w:t>
            </w:r>
          </w:p>
        </w:tc>
        <w:tc>
          <w:tcPr>
            <w:tcW w:w="721" w:type="pct"/>
            <w:vAlign w:val="center"/>
          </w:tcPr>
          <w:p w:rsidR="00B24083" w:rsidRPr="003A3459" w:rsidRDefault="00B24083" w:rsidP="00F7554A">
            <w:pPr>
              <w:pStyle w:val="TableTextRight"/>
              <w:rPr>
                <w:szCs w:val="20"/>
              </w:rPr>
            </w:pPr>
            <w:r w:rsidRPr="00F308BE">
              <w:t>-</w:t>
            </w:r>
            <w:r>
              <w:t>5.0</w:t>
            </w:r>
          </w:p>
        </w:tc>
        <w:tc>
          <w:tcPr>
            <w:tcW w:w="722" w:type="pct"/>
            <w:vAlign w:val="center"/>
          </w:tcPr>
          <w:p w:rsidR="00B24083" w:rsidRPr="003A3459" w:rsidRDefault="00B24083" w:rsidP="00F7554A">
            <w:pPr>
              <w:pStyle w:val="TableTextRight"/>
              <w:rPr>
                <w:szCs w:val="20"/>
              </w:rPr>
            </w:pPr>
            <w:r w:rsidRPr="00F308BE">
              <w:t>10.0</w:t>
            </w:r>
          </w:p>
        </w:tc>
        <w:tc>
          <w:tcPr>
            <w:tcW w:w="721" w:type="pct"/>
            <w:vAlign w:val="center"/>
          </w:tcPr>
          <w:p w:rsidR="00B24083" w:rsidRPr="003A3459" w:rsidRDefault="00B24083" w:rsidP="00F7554A">
            <w:pPr>
              <w:pStyle w:val="TableTextRight"/>
              <w:rPr>
                <w:szCs w:val="20"/>
              </w:rPr>
            </w:pPr>
            <w:r w:rsidRPr="00F308BE">
              <w:t>21.9</w:t>
            </w:r>
          </w:p>
        </w:tc>
        <w:tc>
          <w:tcPr>
            <w:tcW w:w="722" w:type="pct"/>
            <w:vAlign w:val="center"/>
          </w:tcPr>
          <w:p w:rsidR="00B24083" w:rsidRPr="00282B94" w:rsidRDefault="00B24083" w:rsidP="00F7554A">
            <w:pPr>
              <w:pStyle w:val="TableTextRight"/>
              <w:rPr>
                <w:b/>
                <w:szCs w:val="20"/>
              </w:rPr>
            </w:pPr>
            <w:r w:rsidRPr="00DB7269">
              <w:rPr>
                <w:b/>
              </w:rPr>
              <w:t>26.9</w:t>
            </w:r>
          </w:p>
        </w:tc>
      </w:tr>
    </w:tbl>
    <w:p w:rsidR="00B24083" w:rsidRDefault="00B24083" w:rsidP="00AE58CE">
      <w:pPr>
        <w:pStyle w:val="Footnotes"/>
        <w:numPr>
          <w:ilvl w:val="0"/>
          <w:numId w:val="119"/>
        </w:numPr>
        <w:ind w:left="284" w:hanging="284"/>
      </w:pPr>
      <w:r>
        <w:t xml:space="preserve">A positive </w:t>
      </w:r>
      <w:r w:rsidRPr="00FC1F1C">
        <w:t>number indicates an increase in the relevant budget balance, a negative number a decrease.</w:t>
      </w:r>
    </w:p>
    <w:p w:rsidR="00B24083" w:rsidRDefault="00B24083" w:rsidP="00AE58CE">
      <w:pPr>
        <w:pStyle w:val="Footnotes"/>
        <w:ind w:left="284" w:hanging="284"/>
      </w:pPr>
      <w:r w:rsidRPr="000E063A">
        <w:t>Figures may not sum to totals due to rounding.</w:t>
      </w:r>
    </w:p>
    <w:p w:rsidR="00B24083" w:rsidRDefault="00B24083" w:rsidP="00AE58CE">
      <w:pPr>
        <w:pStyle w:val="Footnotes"/>
        <w:ind w:left="284" w:hanging="284"/>
      </w:pPr>
      <w:r>
        <w:t>This table provides financial implications for Components 1 to 5 of the proposal.</w:t>
      </w:r>
    </w:p>
    <w:p w:rsidR="00B24083" w:rsidRDefault="00B24083" w:rsidP="00AE58CE">
      <w:pPr>
        <w:pStyle w:val="Footnotes"/>
        <w:numPr>
          <w:ilvl w:val="0"/>
          <w:numId w:val="33"/>
        </w:numPr>
        <w:ind w:left="284" w:hanging="284"/>
      </w:pPr>
      <w:r>
        <w:t>Indicates nil.</w:t>
      </w:r>
    </w:p>
    <w:p w:rsidR="00B24083" w:rsidRDefault="00B24083" w:rsidP="00B24083">
      <w:pPr>
        <w:pStyle w:val="CostingsH7"/>
      </w:pPr>
      <w:r>
        <w:t>Key assumptions</w:t>
      </w:r>
    </w:p>
    <w:p w:rsidR="00B24083" w:rsidRDefault="00B24083" w:rsidP="00B24083">
      <w:pPr>
        <w:pStyle w:val="BodyText"/>
      </w:pPr>
      <w:r>
        <w:t>The Parliamentary Budget Office has made the following assumptions:</w:t>
      </w:r>
    </w:p>
    <w:p w:rsidR="00B24083" w:rsidRDefault="00B24083" w:rsidP="00B24083">
      <w:pPr>
        <w:pStyle w:val="ListBullet"/>
      </w:pPr>
      <w:r>
        <w:t>Establishment of the subclass 457 sponsor register would take place in 2016-17.</w:t>
      </w:r>
    </w:p>
    <w:p w:rsidR="00B24083" w:rsidRDefault="00B24083" w:rsidP="00B24083">
      <w:pPr>
        <w:pStyle w:val="ListBullet"/>
      </w:pPr>
      <w:r>
        <w:t>The DIBP “in house” training would be similar to the Australian Public Service Commission training course on policy implementation and would be attended by 100 staff per year.</w:t>
      </w:r>
    </w:p>
    <w:p w:rsidR="00B24083" w:rsidRDefault="00B24083" w:rsidP="00B24083">
      <w:pPr>
        <w:pStyle w:val="ListBullet"/>
      </w:pPr>
      <w:r>
        <w:t>There would be no material costs associated with amending legislation to allow permanent residency after two years for the Temporary Work (Skilled) Visa components of this proposal.</w:t>
      </w:r>
    </w:p>
    <w:p w:rsidR="00B24083" w:rsidRDefault="00B24083" w:rsidP="00B24083">
      <w:pPr>
        <w:pStyle w:val="ListBullet"/>
        <w:keepLines w:val="0"/>
      </w:pPr>
      <w:r>
        <w:t>Departmental funding associated with Component 2 would come from within the specified capped funding.</w:t>
      </w:r>
    </w:p>
    <w:p w:rsidR="00B24083" w:rsidRDefault="00B24083" w:rsidP="00B24083">
      <w:pPr>
        <w:pStyle w:val="ListBullet"/>
        <w:keepNext/>
      </w:pPr>
      <w:r>
        <w:t xml:space="preserve">Upgrades to online visa processing and </w:t>
      </w:r>
      <w:r w:rsidRPr="004A444F">
        <w:rPr>
          <w:i/>
        </w:rPr>
        <w:t>ImmiAccount</w:t>
      </w:r>
      <w:r>
        <w:t xml:space="preserve"> would be broadly reflective of similar upgrades undertaken by the DIBP.</w:t>
      </w:r>
    </w:p>
    <w:p w:rsidR="00B24083" w:rsidRPr="004A444F" w:rsidRDefault="00B24083" w:rsidP="00B24083">
      <w:pPr>
        <w:pStyle w:val="ListBullet"/>
        <w:keepNext/>
      </w:pPr>
      <w:r>
        <w:t>Online lodgement of visa applications for all visa categories would become compulsory by 2020.</w:t>
      </w:r>
    </w:p>
    <w:p w:rsidR="00B24083" w:rsidRDefault="00B24083" w:rsidP="00B24083">
      <w:pPr>
        <w:pStyle w:val="CostingsH7"/>
      </w:pPr>
      <w:r>
        <w:t>Methodology</w:t>
      </w:r>
    </w:p>
    <w:p w:rsidR="00B24083" w:rsidRDefault="00B24083" w:rsidP="00B24083">
      <w:pPr>
        <w:pStyle w:val="CostingsH8"/>
      </w:pPr>
      <w:r>
        <w:t>Component 1 - Temporary work visas</w:t>
      </w:r>
    </w:p>
    <w:p w:rsidR="00B24083" w:rsidRDefault="00B24083" w:rsidP="00B24083">
      <w:pPr>
        <w:pStyle w:val="BodyText"/>
      </w:pPr>
      <w:r>
        <w:t>The costs of the registers proposed in this component were based on the costs of similar registers.  All other elements of this component were based on assumptions of costs for training and to amend legislation as well as participation in the required training program.</w:t>
      </w:r>
    </w:p>
    <w:p w:rsidR="00B24083" w:rsidRDefault="00B24083" w:rsidP="00B24083">
      <w:pPr>
        <w:pStyle w:val="CostingsH8"/>
      </w:pPr>
      <w:r>
        <w:t>Component 2 - Non-government organisations</w:t>
      </w:r>
    </w:p>
    <w:p w:rsidR="00B24083" w:rsidRDefault="00B24083" w:rsidP="00B24083">
      <w:pPr>
        <w:pStyle w:val="BodyText"/>
      </w:pPr>
      <w:r>
        <w:t>Departmental expenditure estimates are based on similar sized grant programs.  Estimates account for the net effect of indexation parameters and the efficiency dividend, in accordance with the Department of Finance’s costing practices.</w:t>
      </w:r>
    </w:p>
    <w:p w:rsidR="00B24083" w:rsidRDefault="00B24083" w:rsidP="00B24083">
      <w:pPr>
        <w:pStyle w:val="BodyText"/>
      </w:pPr>
      <w:r>
        <w:t>Administered expenditure estimates for NGOs are the remainder of the capped funding amounts after allowing for estimated departmental expenditure.</w:t>
      </w:r>
    </w:p>
    <w:p w:rsidR="00B24083" w:rsidRDefault="00B24083" w:rsidP="00B24083">
      <w:pPr>
        <w:pStyle w:val="CostingsH8"/>
      </w:pPr>
      <w:r>
        <w:t>Component 3 - Skilled migration</w:t>
      </w:r>
    </w:p>
    <w:p w:rsidR="00B24083" w:rsidRDefault="00B24083" w:rsidP="00B24083">
      <w:pPr>
        <w:pStyle w:val="BodyText"/>
      </w:pPr>
      <w:r>
        <w:t>The increase in membership of the MACSM was based on the existing membership and costs associated with similar advisory councils.</w:t>
      </w:r>
    </w:p>
    <w:p w:rsidR="00B24083" w:rsidRDefault="00B24083" w:rsidP="00B24083">
      <w:pPr>
        <w:pStyle w:val="CostingsH8"/>
      </w:pPr>
      <w:r>
        <w:t>Component 4 - Independent reviews of visa programs</w:t>
      </w:r>
    </w:p>
    <w:p w:rsidR="00B24083" w:rsidRDefault="00B24083" w:rsidP="00B24083">
      <w:pPr>
        <w:pStyle w:val="BodyText"/>
      </w:pPr>
      <w:r>
        <w:t>The independent reviews of the student visa programs and working holiday visa programs were based on similar review programs.</w:t>
      </w:r>
    </w:p>
    <w:p w:rsidR="00B24083" w:rsidRDefault="00B24083" w:rsidP="00B24083">
      <w:pPr>
        <w:pStyle w:val="CostingsH8"/>
      </w:pPr>
      <w:r>
        <w:t>Component 5 - Digitisation</w:t>
      </w:r>
    </w:p>
    <w:p w:rsidR="00B24083" w:rsidRPr="004A444F" w:rsidRDefault="00B24083" w:rsidP="00B24083">
      <w:pPr>
        <w:pStyle w:val="BodyText"/>
      </w:pPr>
      <w:r>
        <w:t>The DIBP provided visa processing costs from 2013-14 to 2016-17, which were extended out to 2019-20.  A cost differential between hardcopy and electronic visa applications was derived from the historic changes in costs and the proportion of electronic visa applications.  The rate of electronic application was imposed at 100 per cent in 2019-20 with a straight-line transition over the period 2017-18 to 2019-20.  The increased rate of electronic application was applied to the derived cost differential to determine the level of savings.</w:t>
      </w:r>
    </w:p>
    <w:p w:rsidR="00B24083" w:rsidRDefault="00B24083" w:rsidP="00B24083">
      <w:pPr>
        <w:pStyle w:val="CostingsH7"/>
      </w:pPr>
      <w:r>
        <w:t>Data sources</w:t>
      </w:r>
    </w:p>
    <w:p w:rsidR="00B24083" w:rsidRDefault="00B24083" w:rsidP="00B24083">
      <w:pPr>
        <w:pStyle w:val="BodyText"/>
      </w:pPr>
      <w:r>
        <w:t>The Department of Finance provided indexation and efficiency dividend parameters.</w:t>
      </w:r>
    </w:p>
    <w:p w:rsidR="00B24083" w:rsidRDefault="00B24083" w:rsidP="00B24083">
      <w:pPr>
        <w:pStyle w:val="BodyText"/>
      </w:pPr>
      <w:r>
        <w:t>Department of Immigration and Border Protection provided details of costs and processes associated with several visa programs.</w:t>
      </w:r>
    </w:p>
    <w:p w:rsidR="00AE58CE" w:rsidRDefault="00B24083" w:rsidP="00B24083">
      <w:pPr>
        <w:pStyle w:val="BodyText"/>
        <w:sectPr w:rsidR="00AE58CE" w:rsidSect="00AE58CE">
          <w:headerReference w:type="even" r:id="rId147"/>
          <w:headerReference w:type="default" r:id="rId148"/>
          <w:footerReference w:type="even" r:id="rId149"/>
          <w:footerReference w:type="default" r:id="rId150"/>
          <w:footnotePr>
            <w:numRestart w:val="eachSect"/>
          </w:footnotePr>
          <w:pgSz w:w="11906" w:h="16838" w:code="9"/>
          <w:pgMar w:top="1361" w:right="1797" w:bottom="1474" w:left="1797" w:header="283" w:footer="454" w:gutter="0"/>
          <w:cols w:space="708"/>
          <w:docGrid w:linePitch="360"/>
        </w:sectPr>
      </w:pPr>
      <w:r w:rsidRPr="001C08CC">
        <w:t xml:space="preserve">Department of Finance n.d.,Ministerial Advisory Council on Skilled Migration, available at: </w:t>
      </w:r>
      <w:hyperlink r:id="rId151" w:history="1">
        <w:r w:rsidRPr="001C08CC">
          <w:rPr>
            <w:rStyle w:val="Hyperlink"/>
          </w:rPr>
          <w:t>http://www.finance.gov.au/resource-management/governance/register/body/92321/</w:t>
        </w:r>
      </w:hyperlink>
      <w:r w:rsidRPr="001C08CC">
        <w:t>.</w:t>
      </w:r>
    </w:p>
    <w:p w:rsidR="00B24083" w:rsidRDefault="00B24083" w:rsidP="00B24083">
      <w:pPr>
        <w:pStyle w:val="Heading6"/>
        <w:numPr>
          <w:ilvl w:val="0"/>
          <w:numId w:val="10"/>
        </w:numPr>
        <w:tabs>
          <w:tab w:val="right" w:pos="1418"/>
          <w:tab w:val="right" w:pos="1701"/>
          <w:tab w:val="right" w:pos="1985"/>
        </w:tabs>
      </w:pPr>
      <w:r>
        <w:t xml:space="preserve">Attachment A: </w:t>
      </w:r>
      <w:r w:rsidRPr="00FB046C">
        <w:t>Labor's Plan for a Fairer Temporary Work Visa System</w:t>
      </w:r>
      <w:r>
        <w:t>—</w:t>
      </w:r>
      <w:r w:rsidR="0080154C">
        <w:t>financial implications</w:t>
      </w:r>
    </w:p>
    <w:p w:rsidR="00B24083" w:rsidRDefault="00B24083" w:rsidP="00B24083">
      <w:pPr>
        <w:pStyle w:val="Caption"/>
      </w:pPr>
      <w:r w:rsidRPr="002B36F1">
        <w:t xml:space="preserve">Table </w:t>
      </w:r>
      <w:r>
        <w:t>A1</w:t>
      </w:r>
      <w:r w:rsidRPr="002B36F1">
        <w:t>:</w:t>
      </w:r>
      <w:r>
        <w:t xml:space="preserve"> L</w:t>
      </w:r>
      <w:r w:rsidRPr="008F17C7">
        <w:t>abor's Plan for a Fairer Temporary Work Visa System</w:t>
      </w:r>
      <w:r>
        <w:t>—</w:t>
      </w:r>
      <w:r w:rsidR="0080154C">
        <w:t>Financial implications</w:t>
      </w:r>
      <w:r>
        <w:t xml:space="preserve"> (outturn prices)</w:t>
      </w:r>
      <w:r w:rsidRPr="002B36F1">
        <w:rPr>
          <w:vertAlign w:val="superscript"/>
        </w:rPr>
        <w:t>(a)(b)</w:t>
      </w:r>
      <w:r>
        <w:rPr>
          <w:vertAlign w:val="superscript"/>
        </w:rPr>
        <w:t>(c)</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24083"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24083" w:rsidRPr="007C2713" w:rsidRDefault="00B24083" w:rsidP="00F7554A">
            <w:pPr>
              <w:pStyle w:val="TableText"/>
              <w:rPr>
                <w:b w:val="0"/>
              </w:rPr>
            </w:pPr>
            <w:r>
              <w:t>($)</w:t>
            </w:r>
          </w:p>
        </w:tc>
        <w:tc>
          <w:tcPr>
            <w:tcW w:w="689" w:type="pct"/>
            <w:vAlign w:val="center"/>
          </w:tcPr>
          <w:p w:rsidR="00B24083" w:rsidRDefault="00B24083" w:rsidP="00F7554A">
            <w:pPr>
              <w:pStyle w:val="TableTextRight"/>
              <w:rPr>
                <w:b w:val="0"/>
              </w:rPr>
            </w:pPr>
            <w:r>
              <w:t>2016–17</w:t>
            </w:r>
          </w:p>
        </w:tc>
        <w:tc>
          <w:tcPr>
            <w:tcW w:w="689" w:type="pct"/>
            <w:vAlign w:val="center"/>
          </w:tcPr>
          <w:p w:rsidR="00B24083" w:rsidRDefault="00B24083" w:rsidP="00F7554A">
            <w:pPr>
              <w:pStyle w:val="TableTextRight"/>
              <w:rPr>
                <w:b w:val="0"/>
              </w:rPr>
            </w:pPr>
            <w:r>
              <w:t>2017–18</w:t>
            </w:r>
          </w:p>
        </w:tc>
        <w:tc>
          <w:tcPr>
            <w:tcW w:w="689" w:type="pct"/>
            <w:vAlign w:val="center"/>
          </w:tcPr>
          <w:p w:rsidR="00B24083" w:rsidRDefault="00B24083" w:rsidP="00F7554A">
            <w:pPr>
              <w:pStyle w:val="TableTextRight"/>
              <w:rPr>
                <w:b w:val="0"/>
              </w:rPr>
            </w:pPr>
            <w:r>
              <w:t>2018–19</w:t>
            </w:r>
          </w:p>
        </w:tc>
        <w:tc>
          <w:tcPr>
            <w:tcW w:w="689" w:type="pct"/>
            <w:vAlign w:val="center"/>
          </w:tcPr>
          <w:p w:rsidR="00B24083" w:rsidRDefault="00B24083" w:rsidP="00F7554A">
            <w:pPr>
              <w:pStyle w:val="TableTextRight"/>
              <w:rPr>
                <w:b w:val="0"/>
              </w:rPr>
            </w:pPr>
            <w:r>
              <w:t>2019–20</w:t>
            </w:r>
          </w:p>
        </w:tc>
        <w:tc>
          <w:tcPr>
            <w:tcW w:w="690" w:type="pct"/>
            <w:vAlign w:val="center"/>
          </w:tcPr>
          <w:p w:rsidR="00B24083" w:rsidRDefault="00B24083" w:rsidP="00F7554A">
            <w:pPr>
              <w:pStyle w:val="TableTextRight"/>
            </w:pPr>
            <w:r>
              <w:t>Total to 2019–20</w:t>
            </w:r>
          </w:p>
        </w:tc>
      </w:tr>
      <w:tr w:rsidR="00B24083" w:rsidTr="00F7554A">
        <w:tc>
          <w:tcPr>
            <w:tcW w:w="5000" w:type="pct"/>
            <w:gridSpan w:val="6"/>
            <w:shd w:val="clear" w:color="auto" w:fill="E9ECF3" w:themeFill="accent2" w:themeFillTint="33"/>
            <w:vAlign w:val="center"/>
          </w:tcPr>
          <w:p w:rsidR="00B24083" w:rsidRDefault="00B24083" w:rsidP="00F7554A">
            <w:pPr>
              <w:pStyle w:val="TableHeading"/>
            </w:pPr>
            <w:r>
              <w:t>Fiscal and underlying cash balances</w:t>
            </w:r>
          </w:p>
        </w:tc>
      </w:tr>
      <w:tr w:rsidR="00B24083" w:rsidTr="00F7554A">
        <w:tc>
          <w:tcPr>
            <w:tcW w:w="1554" w:type="pct"/>
            <w:vAlign w:val="center"/>
          </w:tcPr>
          <w:p w:rsidR="00B24083" w:rsidRPr="00027340" w:rsidRDefault="00B24083" w:rsidP="00F7554A">
            <w:pPr>
              <w:pStyle w:val="TableText"/>
              <w:rPr>
                <w:szCs w:val="20"/>
              </w:rPr>
            </w:pPr>
            <w:r>
              <w:t>Administered</w:t>
            </w:r>
          </w:p>
        </w:tc>
        <w:tc>
          <w:tcPr>
            <w:tcW w:w="689" w:type="pct"/>
            <w:vAlign w:val="center"/>
          </w:tcPr>
          <w:p w:rsidR="00B24083" w:rsidRPr="00405299" w:rsidRDefault="00B24083" w:rsidP="00F7554A">
            <w:pPr>
              <w:pStyle w:val="TableTextRight"/>
              <w:rPr>
                <w:i/>
              </w:rPr>
            </w:pPr>
            <w:r w:rsidRPr="00405299">
              <w:rPr>
                <w:i/>
              </w:rPr>
              <w:t>-</w:t>
            </w:r>
          </w:p>
        </w:tc>
        <w:tc>
          <w:tcPr>
            <w:tcW w:w="689" w:type="pct"/>
            <w:vAlign w:val="center"/>
          </w:tcPr>
          <w:p w:rsidR="00B24083" w:rsidRPr="00405299" w:rsidRDefault="00B24083" w:rsidP="00F7554A">
            <w:pPr>
              <w:pStyle w:val="TableTextRight"/>
              <w:rPr>
                <w:i/>
              </w:rPr>
            </w:pPr>
            <w:r w:rsidRPr="00405299">
              <w:rPr>
                <w:i/>
              </w:rPr>
              <w:t>-8.4</w:t>
            </w:r>
          </w:p>
        </w:tc>
        <w:tc>
          <w:tcPr>
            <w:tcW w:w="689" w:type="pct"/>
            <w:vAlign w:val="center"/>
          </w:tcPr>
          <w:p w:rsidR="00B24083" w:rsidRPr="00405299" w:rsidRDefault="00B24083" w:rsidP="00F7554A">
            <w:pPr>
              <w:pStyle w:val="TableTextRight"/>
              <w:rPr>
                <w:i/>
              </w:rPr>
            </w:pPr>
            <w:r w:rsidRPr="00405299">
              <w:rPr>
                <w:i/>
              </w:rPr>
              <w:t>-8.4</w:t>
            </w:r>
          </w:p>
        </w:tc>
        <w:tc>
          <w:tcPr>
            <w:tcW w:w="689" w:type="pct"/>
            <w:vAlign w:val="center"/>
          </w:tcPr>
          <w:p w:rsidR="00B24083" w:rsidRPr="00405299" w:rsidRDefault="00B24083" w:rsidP="00F7554A">
            <w:pPr>
              <w:pStyle w:val="TableTextRight"/>
              <w:rPr>
                <w:i/>
              </w:rPr>
            </w:pPr>
            <w:r w:rsidRPr="00405299">
              <w:rPr>
                <w:i/>
              </w:rPr>
              <w:t>-8.4</w:t>
            </w:r>
          </w:p>
        </w:tc>
        <w:tc>
          <w:tcPr>
            <w:tcW w:w="690" w:type="pct"/>
            <w:vAlign w:val="center"/>
          </w:tcPr>
          <w:p w:rsidR="00B24083" w:rsidRPr="00F52EA6" w:rsidRDefault="00B24083" w:rsidP="00F7554A">
            <w:pPr>
              <w:pStyle w:val="TableTextRight"/>
              <w:rPr>
                <w:b/>
                <w:i/>
              </w:rPr>
            </w:pPr>
            <w:r w:rsidRPr="00F52EA6">
              <w:rPr>
                <w:b/>
                <w:i/>
              </w:rPr>
              <w:t>-25.2</w:t>
            </w:r>
          </w:p>
        </w:tc>
      </w:tr>
      <w:tr w:rsidR="00B24083" w:rsidTr="00F7554A">
        <w:tc>
          <w:tcPr>
            <w:tcW w:w="1554" w:type="pct"/>
            <w:vAlign w:val="center"/>
          </w:tcPr>
          <w:p w:rsidR="00B24083" w:rsidRPr="00027340" w:rsidRDefault="00B24083" w:rsidP="00F7554A">
            <w:pPr>
              <w:pStyle w:val="TableText"/>
              <w:rPr>
                <w:szCs w:val="20"/>
              </w:rPr>
            </w:pPr>
            <w:r>
              <w:t>Departmental</w:t>
            </w:r>
          </w:p>
        </w:tc>
        <w:tc>
          <w:tcPr>
            <w:tcW w:w="689" w:type="pct"/>
            <w:vAlign w:val="center"/>
          </w:tcPr>
          <w:p w:rsidR="00B24083" w:rsidRPr="00405299" w:rsidRDefault="00B24083" w:rsidP="00F7554A">
            <w:pPr>
              <w:pStyle w:val="TableTextRight"/>
              <w:rPr>
                <w:i/>
              </w:rPr>
            </w:pPr>
            <w:r w:rsidRPr="00405299">
              <w:rPr>
                <w:i/>
              </w:rPr>
              <w:t>-</w:t>
            </w:r>
          </w:p>
        </w:tc>
        <w:tc>
          <w:tcPr>
            <w:tcW w:w="689" w:type="pct"/>
            <w:vAlign w:val="center"/>
          </w:tcPr>
          <w:p w:rsidR="00B24083" w:rsidRPr="00405299" w:rsidRDefault="00B24083" w:rsidP="00F7554A">
            <w:pPr>
              <w:pStyle w:val="TableTextRight"/>
              <w:rPr>
                <w:i/>
              </w:rPr>
            </w:pPr>
            <w:r w:rsidRPr="00405299">
              <w:rPr>
                <w:i/>
              </w:rPr>
              <w:t>3.4</w:t>
            </w:r>
          </w:p>
        </w:tc>
        <w:tc>
          <w:tcPr>
            <w:tcW w:w="689" w:type="pct"/>
            <w:vAlign w:val="center"/>
          </w:tcPr>
          <w:p w:rsidR="00B24083" w:rsidRPr="00405299" w:rsidRDefault="00B24083" w:rsidP="00F7554A">
            <w:pPr>
              <w:pStyle w:val="TableTextRight"/>
              <w:rPr>
                <w:i/>
              </w:rPr>
            </w:pPr>
            <w:r w:rsidRPr="00405299">
              <w:rPr>
                <w:i/>
              </w:rPr>
              <w:t>18.4</w:t>
            </w:r>
          </w:p>
        </w:tc>
        <w:tc>
          <w:tcPr>
            <w:tcW w:w="689" w:type="pct"/>
            <w:vAlign w:val="center"/>
          </w:tcPr>
          <w:p w:rsidR="00B24083" w:rsidRPr="00405299" w:rsidRDefault="00B24083" w:rsidP="00F7554A">
            <w:pPr>
              <w:pStyle w:val="TableTextRight"/>
              <w:rPr>
                <w:i/>
              </w:rPr>
            </w:pPr>
            <w:r w:rsidRPr="00405299">
              <w:rPr>
                <w:i/>
              </w:rPr>
              <w:t>30.3</w:t>
            </w:r>
          </w:p>
        </w:tc>
        <w:tc>
          <w:tcPr>
            <w:tcW w:w="690" w:type="pct"/>
            <w:vAlign w:val="center"/>
          </w:tcPr>
          <w:p w:rsidR="00B24083" w:rsidRPr="00F52EA6" w:rsidRDefault="00B24083" w:rsidP="00F7554A">
            <w:pPr>
              <w:pStyle w:val="TableTextRight"/>
              <w:rPr>
                <w:b/>
                <w:i/>
              </w:rPr>
            </w:pPr>
            <w:r w:rsidRPr="00F52EA6">
              <w:rPr>
                <w:b/>
                <w:i/>
              </w:rPr>
              <w:t>52.1</w:t>
            </w:r>
          </w:p>
        </w:tc>
      </w:tr>
      <w:tr w:rsidR="00B24083" w:rsidRPr="00F52EA6" w:rsidTr="00F7554A">
        <w:tc>
          <w:tcPr>
            <w:tcW w:w="1554" w:type="pct"/>
            <w:shd w:val="clear" w:color="auto" w:fill="D7DDE9" w:themeFill="accent3"/>
            <w:vAlign w:val="center"/>
          </w:tcPr>
          <w:p w:rsidR="00B24083" w:rsidRPr="00F52EA6" w:rsidRDefault="00B24083" w:rsidP="00F7554A">
            <w:pPr>
              <w:pStyle w:val="TableText"/>
              <w:rPr>
                <w:b/>
                <w:szCs w:val="20"/>
              </w:rPr>
            </w:pPr>
            <w:r w:rsidRPr="00F52EA6">
              <w:rPr>
                <w:b/>
                <w:szCs w:val="20"/>
              </w:rPr>
              <w:t>Total</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-5.0</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10.0</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21.9</w:t>
            </w:r>
          </w:p>
        </w:tc>
        <w:tc>
          <w:tcPr>
            <w:tcW w:w="690" w:type="pct"/>
            <w:shd w:val="clear" w:color="auto" w:fill="D7DDE9" w:themeFill="accent3"/>
            <w:vAlign w:val="center"/>
          </w:tcPr>
          <w:p w:rsidR="00B24083" w:rsidRPr="00F52EA6" w:rsidRDefault="00B24083" w:rsidP="00F7554A">
            <w:pPr>
              <w:pStyle w:val="TableTextRight"/>
              <w:rPr>
                <w:b/>
              </w:rPr>
            </w:pPr>
            <w:r w:rsidRPr="00F52EA6">
              <w:rPr>
                <w:b/>
              </w:rPr>
              <w:t>26.9</w:t>
            </w:r>
          </w:p>
        </w:tc>
      </w:tr>
    </w:tbl>
    <w:p w:rsidR="00B24083" w:rsidRDefault="00B24083" w:rsidP="002C43F8">
      <w:pPr>
        <w:pStyle w:val="Footnotes"/>
        <w:numPr>
          <w:ilvl w:val="0"/>
          <w:numId w:val="120"/>
        </w:numPr>
        <w:spacing w:before="113"/>
        <w:ind w:left="284" w:hanging="284"/>
      </w:pPr>
      <w:r w:rsidRPr="00F52EA6">
        <w:t>A positive number indicates an increase in revenue or decrease in expenses or net capital investment in accrual and cash terms. A negative number indicates a decrease in revenue or an increase in expenses or net capital investment in accrual and cash terms.</w:t>
      </w:r>
    </w:p>
    <w:p w:rsidR="00B24083" w:rsidRDefault="00B24083" w:rsidP="003768DC">
      <w:pPr>
        <w:pStyle w:val="Footnotes"/>
        <w:spacing w:after="120"/>
        <w:ind w:left="284" w:hanging="284"/>
      </w:pPr>
      <w:r w:rsidRPr="005F544A">
        <w:t>Figures may not sum to totals due to rounding.</w:t>
      </w:r>
    </w:p>
    <w:p w:rsidR="00B24083" w:rsidRPr="005F544A" w:rsidRDefault="00B24083" w:rsidP="003768DC">
      <w:pPr>
        <w:pStyle w:val="Footnotes"/>
        <w:spacing w:after="120"/>
        <w:ind w:left="284" w:hanging="284"/>
      </w:pPr>
      <w:r>
        <w:t>This table includes financial implications for components one to five of the proposal.</w:t>
      </w:r>
    </w:p>
    <w:p w:rsidR="00B24083" w:rsidRDefault="00B24083" w:rsidP="003768DC">
      <w:pPr>
        <w:pStyle w:val="Footnotes"/>
        <w:numPr>
          <w:ilvl w:val="0"/>
          <w:numId w:val="0"/>
        </w:numPr>
        <w:ind w:left="284" w:hanging="284"/>
      </w:pPr>
      <w:r w:rsidRPr="005F544A">
        <w:t>-</w:t>
      </w:r>
      <w:r w:rsidRPr="005F544A">
        <w:tab/>
        <w:t>Indicates nil.</w:t>
      </w:r>
    </w:p>
    <w:p w:rsidR="00B24083" w:rsidRDefault="00B24083" w:rsidP="00B24083">
      <w:pPr>
        <w:pStyle w:val="Caption"/>
      </w:pPr>
      <w:r w:rsidRPr="002B36F1">
        <w:t xml:space="preserve">Table </w:t>
      </w:r>
      <w:r>
        <w:t>A2</w:t>
      </w:r>
      <w:r w:rsidRPr="002B36F1">
        <w:t>:</w:t>
      </w:r>
      <w:r>
        <w:t xml:space="preserve"> </w:t>
      </w:r>
      <w:r w:rsidRPr="008F17C7">
        <w:t>Component 1</w:t>
      </w:r>
      <w:r w:rsidRPr="00A24127">
        <w:t xml:space="preserve"> </w:t>
      </w:r>
      <w:r>
        <w:t xml:space="preserve">– </w:t>
      </w:r>
      <w:r w:rsidRPr="00FB76A4">
        <w:t xml:space="preserve">Temporary </w:t>
      </w:r>
      <w:r>
        <w:t>w</w:t>
      </w:r>
      <w:r w:rsidRPr="00FB76A4">
        <w:t xml:space="preserve">ork </w:t>
      </w:r>
      <w:r>
        <w:t>v</w:t>
      </w:r>
      <w:r w:rsidRPr="00FB76A4">
        <w:t>isas</w:t>
      </w:r>
      <w:r>
        <w:t>—Financial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24083"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24083" w:rsidRPr="007C2713" w:rsidRDefault="00B24083" w:rsidP="00F7554A">
            <w:pPr>
              <w:pStyle w:val="TableText"/>
              <w:rPr>
                <w:b w:val="0"/>
              </w:rPr>
            </w:pPr>
            <w:r>
              <w:t>($)</w:t>
            </w:r>
          </w:p>
        </w:tc>
        <w:tc>
          <w:tcPr>
            <w:tcW w:w="689" w:type="pct"/>
            <w:vAlign w:val="center"/>
          </w:tcPr>
          <w:p w:rsidR="00B24083" w:rsidRDefault="00B24083" w:rsidP="00F7554A">
            <w:pPr>
              <w:pStyle w:val="TableTextRight"/>
              <w:rPr>
                <w:b w:val="0"/>
              </w:rPr>
            </w:pPr>
            <w:r>
              <w:t>2016–17</w:t>
            </w:r>
          </w:p>
        </w:tc>
        <w:tc>
          <w:tcPr>
            <w:tcW w:w="689" w:type="pct"/>
            <w:vAlign w:val="center"/>
          </w:tcPr>
          <w:p w:rsidR="00B24083" w:rsidRDefault="00B24083" w:rsidP="00F7554A">
            <w:pPr>
              <w:pStyle w:val="TableTextRight"/>
              <w:rPr>
                <w:b w:val="0"/>
              </w:rPr>
            </w:pPr>
            <w:r>
              <w:t>2017–18</w:t>
            </w:r>
          </w:p>
        </w:tc>
        <w:tc>
          <w:tcPr>
            <w:tcW w:w="689" w:type="pct"/>
            <w:vAlign w:val="center"/>
          </w:tcPr>
          <w:p w:rsidR="00B24083" w:rsidRDefault="00B24083" w:rsidP="00F7554A">
            <w:pPr>
              <w:pStyle w:val="TableTextRight"/>
              <w:rPr>
                <w:b w:val="0"/>
              </w:rPr>
            </w:pPr>
            <w:r>
              <w:t>2018–19</w:t>
            </w:r>
          </w:p>
        </w:tc>
        <w:tc>
          <w:tcPr>
            <w:tcW w:w="689" w:type="pct"/>
            <w:vAlign w:val="center"/>
          </w:tcPr>
          <w:p w:rsidR="00B24083" w:rsidRDefault="00B24083" w:rsidP="00F7554A">
            <w:pPr>
              <w:pStyle w:val="TableTextRight"/>
              <w:rPr>
                <w:b w:val="0"/>
              </w:rPr>
            </w:pPr>
            <w:r>
              <w:t>2019–20</w:t>
            </w:r>
          </w:p>
        </w:tc>
        <w:tc>
          <w:tcPr>
            <w:tcW w:w="690" w:type="pct"/>
            <w:vAlign w:val="center"/>
          </w:tcPr>
          <w:p w:rsidR="00B24083" w:rsidRDefault="00B24083" w:rsidP="00F7554A">
            <w:pPr>
              <w:pStyle w:val="TableTextRight"/>
            </w:pPr>
            <w:r>
              <w:t>Total to 2019–20</w:t>
            </w:r>
          </w:p>
        </w:tc>
      </w:tr>
      <w:tr w:rsidR="00B24083" w:rsidTr="00F7554A">
        <w:tc>
          <w:tcPr>
            <w:tcW w:w="5000" w:type="pct"/>
            <w:gridSpan w:val="6"/>
            <w:shd w:val="clear" w:color="auto" w:fill="E9ECF3" w:themeFill="accent2" w:themeFillTint="33"/>
            <w:vAlign w:val="center"/>
          </w:tcPr>
          <w:p w:rsidR="00B24083" w:rsidRDefault="00B24083" w:rsidP="00F7554A">
            <w:pPr>
              <w:pStyle w:val="TableHeading"/>
            </w:pPr>
            <w:r>
              <w:t>Fiscal and underlying cash balances</w:t>
            </w:r>
          </w:p>
        </w:tc>
      </w:tr>
      <w:tr w:rsidR="00B24083" w:rsidTr="00F7554A">
        <w:tc>
          <w:tcPr>
            <w:tcW w:w="5000" w:type="pct"/>
            <w:gridSpan w:val="6"/>
            <w:shd w:val="clear" w:color="auto" w:fill="E9ECF3" w:themeFill="accent2" w:themeFillTint="33"/>
            <w:vAlign w:val="center"/>
          </w:tcPr>
          <w:p w:rsidR="00B24083" w:rsidRDefault="00B24083" w:rsidP="00F7554A">
            <w:pPr>
              <w:pStyle w:val="TableHeading"/>
            </w:pPr>
            <w:r>
              <w:t>Departmental</w:t>
            </w:r>
          </w:p>
        </w:tc>
      </w:tr>
      <w:tr w:rsidR="00B24083" w:rsidTr="00F7554A">
        <w:tc>
          <w:tcPr>
            <w:tcW w:w="1554" w:type="pct"/>
            <w:vAlign w:val="center"/>
          </w:tcPr>
          <w:p w:rsidR="00B24083" w:rsidRPr="00F52EA6" w:rsidRDefault="00B24083" w:rsidP="00F7554A">
            <w:pPr>
              <w:pStyle w:val="TableText"/>
            </w:pPr>
            <w:r w:rsidRPr="00F52EA6">
              <w:t>Register of sponsoring employers</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-1.4</w:t>
            </w:r>
          </w:p>
        </w:tc>
        <w:tc>
          <w:tcPr>
            <w:tcW w:w="689" w:type="pct"/>
            <w:vAlign w:val="center"/>
          </w:tcPr>
          <w:p w:rsidR="00B24083" w:rsidRPr="00F52EA6" w:rsidRDefault="00B24083" w:rsidP="00F7554A">
            <w:pPr>
              <w:pStyle w:val="TableTextRight"/>
              <w:rPr>
                <w:i/>
              </w:rPr>
            </w:pPr>
            <w:r w:rsidRPr="00F52EA6">
              <w:rPr>
                <w:i/>
              </w:rPr>
              <w:t>-0.1</w:t>
            </w:r>
          </w:p>
        </w:tc>
        <w:tc>
          <w:tcPr>
            <w:tcW w:w="689" w:type="pct"/>
            <w:vAlign w:val="center"/>
          </w:tcPr>
          <w:p w:rsidR="00B24083" w:rsidRPr="00F52EA6" w:rsidRDefault="00B24083" w:rsidP="00F7554A">
            <w:pPr>
              <w:pStyle w:val="TableTextRight"/>
              <w:rPr>
                <w:i/>
              </w:rPr>
            </w:pPr>
            <w:r w:rsidRPr="00F52EA6">
              <w:rPr>
                <w:i/>
              </w:rPr>
              <w:t>-0.1</w:t>
            </w:r>
          </w:p>
        </w:tc>
        <w:tc>
          <w:tcPr>
            <w:tcW w:w="690" w:type="pct"/>
            <w:vAlign w:val="center"/>
          </w:tcPr>
          <w:p w:rsidR="00B24083" w:rsidRPr="00F52EA6" w:rsidRDefault="00B24083" w:rsidP="00F7554A">
            <w:pPr>
              <w:pStyle w:val="TableTextRight"/>
              <w:rPr>
                <w:b/>
                <w:bCs/>
                <w:i/>
              </w:rPr>
            </w:pPr>
            <w:r w:rsidRPr="00F52EA6">
              <w:rPr>
                <w:b/>
                <w:i/>
              </w:rPr>
              <w:t>-1.6</w:t>
            </w:r>
          </w:p>
        </w:tc>
      </w:tr>
      <w:tr w:rsidR="00B24083" w:rsidTr="00F7554A">
        <w:tc>
          <w:tcPr>
            <w:tcW w:w="1554" w:type="pct"/>
            <w:vAlign w:val="center"/>
          </w:tcPr>
          <w:p w:rsidR="00B24083" w:rsidRPr="00F52EA6" w:rsidRDefault="00B24083" w:rsidP="00F7554A">
            <w:pPr>
              <w:pStyle w:val="TableText"/>
            </w:pPr>
            <w:r w:rsidRPr="00F52EA6">
              <w:t>DIBP training</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-0.2</w:t>
            </w:r>
          </w:p>
        </w:tc>
        <w:tc>
          <w:tcPr>
            <w:tcW w:w="689" w:type="pct"/>
            <w:vAlign w:val="center"/>
          </w:tcPr>
          <w:p w:rsidR="00B24083" w:rsidRPr="00F52EA6" w:rsidRDefault="00B24083" w:rsidP="00F7554A">
            <w:pPr>
              <w:pStyle w:val="TableTextRight"/>
              <w:rPr>
                <w:i/>
              </w:rPr>
            </w:pPr>
            <w:r w:rsidRPr="00F52EA6">
              <w:rPr>
                <w:i/>
              </w:rPr>
              <w:t>-0.2</w:t>
            </w:r>
          </w:p>
        </w:tc>
        <w:tc>
          <w:tcPr>
            <w:tcW w:w="689" w:type="pct"/>
            <w:vAlign w:val="center"/>
          </w:tcPr>
          <w:p w:rsidR="00B24083" w:rsidRPr="00F52EA6" w:rsidRDefault="00B24083" w:rsidP="00F7554A">
            <w:pPr>
              <w:pStyle w:val="TableTextRight"/>
              <w:rPr>
                <w:i/>
              </w:rPr>
            </w:pPr>
            <w:r w:rsidRPr="00F52EA6">
              <w:rPr>
                <w:i/>
              </w:rPr>
              <w:t>-0.2</w:t>
            </w:r>
          </w:p>
        </w:tc>
        <w:tc>
          <w:tcPr>
            <w:tcW w:w="690" w:type="pct"/>
            <w:vAlign w:val="center"/>
          </w:tcPr>
          <w:p w:rsidR="00B24083" w:rsidRPr="00F52EA6" w:rsidRDefault="00B24083" w:rsidP="00F7554A">
            <w:pPr>
              <w:pStyle w:val="TableTextRight"/>
              <w:rPr>
                <w:b/>
                <w:bCs/>
                <w:i/>
              </w:rPr>
            </w:pPr>
            <w:r w:rsidRPr="00F52EA6">
              <w:rPr>
                <w:b/>
                <w:i/>
              </w:rPr>
              <w:t>-0.7</w:t>
            </w:r>
          </w:p>
        </w:tc>
      </w:tr>
      <w:tr w:rsidR="00B24083" w:rsidTr="00F7554A">
        <w:tc>
          <w:tcPr>
            <w:tcW w:w="1554" w:type="pct"/>
            <w:vAlign w:val="center"/>
          </w:tcPr>
          <w:p w:rsidR="00B24083" w:rsidRPr="00F52EA6" w:rsidRDefault="00B24083" w:rsidP="00F7554A">
            <w:pPr>
              <w:pStyle w:val="TableText"/>
            </w:pPr>
            <w:r w:rsidRPr="00F52EA6">
              <w:t>Sponsor appeal/further information</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-0.1</w:t>
            </w:r>
          </w:p>
        </w:tc>
        <w:tc>
          <w:tcPr>
            <w:tcW w:w="689" w:type="pct"/>
            <w:vAlign w:val="center"/>
          </w:tcPr>
          <w:p w:rsidR="00B24083" w:rsidRPr="00F52EA6" w:rsidRDefault="00B24083" w:rsidP="00F7554A">
            <w:pPr>
              <w:pStyle w:val="TableTextRight"/>
              <w:rPr>
                <w:i/>
              </w:rPr>
            </w:pPr>
            <w:r w:rsidRPr="00F52EA6">
              <w:rPr>
                <w:i/>
              </w:rPr>
              <w:t>-0.1</w:t>
            </w:r>
          </w:p>
        </w:tc>
        <w:tc>
          <w:tcPr>
            <w:tcW w:w="689" w:type="pct"/>
            <w:vAlign w:val="center"/>
          </w:tcPr>
          <w:p w:rsidR="00B24083" w:rsidRPr="00F52EA6" w:rsidRDefault="00B24083" w:rsidP="00F7554A">
            <w:pPr>
              <w:pStyle w:val="TableTextRight"/>
              <w:rPr>
                <w:i/>
              </w:rPr>
            </w:pPr>
            <w:r w:rsidRPr="00F52EA6">
              <w:rPr>
                <w:i/>
              </w:rPr>
              <w:t>-0.1</w:t>
            </w:r>
          </w:p>
        </w:tc>
        <w:tc>
          <w:tcPr>
            <w:tcW w:w="690" w:type="pct"/>
            <w:vAlign w:val="center"/>
          </w:tcPr>
          <w:p w:rsidR="00B24083" w:rsidRPr="00F52EA6" w:rsidRDefault="00B24083" w:rsidP="00F7554A">
            <w:pPr>
              <w:pStyle w:val="TableTextRight"/>
              <w:rPr>
                <w:b/>
                <w:bCs/>
                <w:i/>
              </w:rPr>
            </w:pPr>
            <w:r w:rsidRPr="00F52EA6">
              <w:rPr>
                <w:b/>
                <w:i/>
              </w:rPr>
              <w:t>-0.3</w:t>
            </w:r>
          </w:p>
        </w:tc>
      </w:tr>
      <w:tr w:rsidR="00B24083" w:rsidTr="00F7554A">
        <w:tc>
          <w:tcPr>
            <w:tcW w:w="1554" w:type="pct"/>
            <w:vAlign w:val="center"/>
          </w:tcPr>
          <w:p w:rsidR="00B24083" w:rsidRPr="00F52EA6" w:rsidRDefault="00B24083" w:rsidP="00F7554A">
            <w:pPr>
              <w:pStyle w:val="TableText"/>
            </w:pPr>
            <w:r w:rsidRPr="00F52EA6">
              <w:t>Register of work agreements</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-1.4</w:t>
            </w:r>
          </w:p>
        </w:tc>
        <w:tc>
          <w:tcPr>
            <w:tcW w:w="689" w:type="pct"/>
            <w:vAlign w:val="center"/>
          </w:tcPr>
          <w:p w:rsidR="00B24083" w:rsidRPr="00F52EA6" w:rsidRDefault="00B24083" w:rsidP="00F7554A">
            <w:pPr>
              <w:pStyle w:val="TableTextRight"/>
              <w:rPr>
                <w:i/>
              </w:rPr>
            </w:pPr>
            <w:r w:rsidRPr="00F52EA6">
              <w:rPr>
                <w:i/>
              </w:rPr>
              <w:t>-0.1</w:t>
            </w:r>
          </w:p>
        </w:tc>
        <w:tc>
          <w:tcPr>
            <w:tcW w:w="689" w:type="pct"/>
            <w:vAlign w:val="center"/>
          </w:tcPr>
          <w:p w:rsidR="00B24083" w:rsidRPr="00F52EA6" w:rsidRDefault="00B24083" w:rsidP="00F7554A">
            <w:pPr>
              <w:pStyle w:val="TableTextRight"/>
              <w:rPr>
                <w:i/>
              </w:rPr>
            </w:pPr>
            <w:r w:rsidRPr="00F52EA6">
              <w:rPr>
                <w:i/>
              </w:rPr>
              <w:t>-0.1</w:t>
            </w:r>
          </w:p>
        </w:tc>
        <w:tc>
          <w:tcPr>
            <w:tcW w:w="690" w:type="pct"/>
            <w:vAlign w:val="center"/>
          </w:tcPr>
          <w:p w:rsidR="00B24083" w:rsidRPr="00F52EA6" w:rsidRDefault="00B24083" w:rsidP="00F7554A">
            <w:pPr>
              <w:pStyle w:val="TableTextRight"/>
              <w:rPr>
                <w:b/>
                <w:bCs/>
                <w:i/>
              </w:rPr>
            </w:pPr>
            <w:r w:rsidRPr="00F52EA6">
              <w:rPr>
                <w:b/>
                <w:i/>
              </w:rPr>
              <w:t>-1.6</w:t>
            </w:r>
          </w:p>
        </w:tc>
      </w:tr>
      <w:tr w:rsidR="00B24083" w:rsidTr="00F7554A">
        <w:tc>
          <w:tcPr>
            <w:tcW w:w="1554" w:type="pct"/>
            <w:vAlign w:val="center"/>
          </w:tcPr>
          <w:p w:rsidR="00B24083" w:rsidRPr="00F52EA6" w:rsidRDefault="00B24083" w:rsidP="00F7554A">
            <w:pPr>
              <w:pStyle w:val="TableText"/>
            </w:pPr>
            <w:r w:rsidRPr="00F52EA6">
              <w:t>Residency after two years</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w:t>
            </w:r>
          </w:p>
        </w:tc>
        <w:tc>
          <w:tcPr>
            <w:tcW w:w="689" w:type="pct"/>
            <w:vAlign w:val="center"/>
          </w:tcPr>
          <w:p w:rsidR="00B24083" w:rsidRPr="00F52EA6" w:rsidRDefault="00B24083" w:rsidP="00F7554A">
            <w:pPr>
              <w:pStyle w:val="TableTextRight"/>
              <w:rPr>
                <w:i/>
              </w:rPr>
            </w:pPr>
            <w:r w:rsidRPr="00F52EA6">
              <w:rPr>
                <w:i/>
              </w:rPr>
              <w:t>-</w:t>
            </w:r>
          </w:p>
        </w:tc>
        <w:tc>
          <w:tcPr>
            <w:tcW w:w="690" w:type="pct"/>
            <w:vAlign w:val="center"/>
          </w:tcPr>
          <w:p w:rsidR="00B24083" w:rsidRPr="00F52EA6" w:rsidRDefault="00B24083" w:rsidP="00F7554A">
            <w:pPr>
              <w:pStyle w:val="TableTextRight"/>
              <w:rPr>
                <w:b/>
                <w:bCs/>
                <w:i/>
              </w:rPr>
            </w:pPr>
            <w:r w:rsidRPr="00F52EA6">
              <w:rPr>
                <w:b/>
                <w:i/>
              </w:rPr>
              <w:t>-</w:t>
            </w:r>
          </w:p>
        </w:tc>
      </w:tr>
      <w:tr w:rsidR="00B24083" w:rsidRPr="00F52EA6" w:rsidTr="00F7554A">
        <w:tc>
          <w:tcPr>
            <w:tcW w:w="1554" w:type="pct"/>
            <w:shd w:val="clear" w:color="auto" w:fill="E9ECF3" w:themeFill="accent2" w:themeFillTint="33"/>
            <w:vAlign w:val="center"/>
          </w:tcPr>
          <w:p w:rsidR="00B24083" w:rsidRPr="00F52EA6" w:rsidRDefault="00B24083" w:rsidP="00F7554A">
            <w:pPr>
              <w:pStyle w:val="TableText"/>
              <w:rPr>
                <w:b/>
              </w:rPr>
            </w:pPr>
            <w:r w:rsidRPr="00F52EA6">
              <w:rPr>
                <w:b/>
              </w:rPr>
              <w:t>Total – departmental</w:t>
            </w:r>
          </w:p>
        </w:tc>
        <w:tc>
          <w:tcPr>
            <w:tcW w:w="689" w:type="pct"/>
            <w:shd w:val="clear" w:color="auto" w:fill="E9ECF3" w:themeFill="accent2" w:themeFillTint="33"/>
            <w:vAlign w:val="center"/>
          </w:tcPr>
          <w:p w:rsidR="00B24083" w:rsidRPr="00F52EA6" w:rsidRDefault="00B24083" w:rsidP="00F7554A">
            <w:pPr>
              <w:pStyle w:val="TableTextRight"/>
              <w:rPr>
                <w:b/>
                <w:i/>
              </w:rPr>
            </w:pPr>
            <w:r w:rsidRPr="00F52EA6">
              <w:rPr>
                <w:b/>
                <w:bCs/>
                <w:i/>
              </w:rPr>
              <w:t>-</w:t>
            </w:r>
          </w:p>
        </w:tc>
        <w:tc>
          <w:tcPr>
            <w:tcW w:w="689" w:type="pct"/>
            <w:shd w:val="clear" w:color="auto" w:fill="E9ECF3" w:themeFill="accent2" w:themeFillTint="33"/>
            <w:vAlign w:val="center"/>
          </w:tcPr>
          <w:p w:rsidR="00B24083" w:rsidRPr="00F52EA6" w:rsidRDefault="00B24083" w:rsidP="00F7554A">
            <w:pPr>
              <w:pStyle w:val="TableTextRight"/>
              <w:rPr>
                <w:b/>
                <w:i/>
              </w:rPr>
            </w:pPr>
            <w:r w:rsidRPr="00F52EA6">
              <w:rPr>
                <w:b/>
                <w:i/>
              </w:rPr>
              <w:t>-3.1</w:t>
            </w:r>
          </w:p>
        </w:tc>
        <w:tc>
          <w:tcPr>
            <w:tcW w:w="689" w:type="pct"/>
            <w:shd w:val="clear" w:color="auto" w:fill="E9ECF3" w:themeFill="accent2" w:themeFillTint="33"/>
            <w:vAlign w:val="center"/>
          </w:tcPr>
          <w:p w:rsidR="00B24083" w:rsidRPr="00F52EA6" w:rsidRDefault="00B24083" w:rsidP="00F7554A">
            <w:pPr>
              <w:pStyle w:val="TableTextRight"/>
              <w:rPr>
                <w:b/>
                <w:i/>
              </w:rPr>
            </w:pPr>
            <w:r w:rsidRPr="00F52EA6">
              <w:rPr>
                <w:b/>
                <w:i/>
              </w:rPr>
              <w:t>-0.6</w:t>
            </w:r>
          </w:p>
        </w:tc>
        <w:tc>
          <w:tcPr>
            <w:tcW w:w="689" w:type="pct"/>
            <w:shd w:val="clear" w:color="auto" w:fill="E9ECF3" w:themeFill="accent2" w:themeFillTint="33"/>
            <w:vAlign w:val="center"/>
          </w:tcPr>
          <w:p w:rsidR="00B24083" w:rsidRPr="00F52EA6" w:rsidRDefault="00B24083" w:rsidP="00F7554A">
            <w:pPr>
              <w:pStyle w:val="TableTextRight"/>
              <w:rPr>
                <w:b/>
                <w:i/>
              </w:rPr>
            </w:pPr>
            <w:r w:rsidRPr="00F52EA6">
              <w:rPr>
                <w:b/>
                <w:i/>
              </w:rPr>
              <w:t>-0.6</w:t>
            </w:r>
          </w:p>
        </w:tc>
        <w:tc>
          <w:tcPr>
            <w:tcW w:w="690" w:type="pct"/>
            <w:shd w:val="clear" w:color="auto" w:fill="E9ECF3" w:themeFill="accent2" w:themeFillTint="33"/>
            <w:vAlign w:val="center"/>
          </w:tcPr>
          <w:p w:rsidR="00B24083" w:rsidRPr="00F52EA6" w:rsidRDefault="00B24083" w:rsidP="00F7554A">
            <w:pPr>
              <w:pStyle w:val="TableTextRight"/>
              <w:rPr>
                <w:b/>
                <w:bCs/>
                <w:i/>
              </w:rPr>
            </w:pPr>
            <w:r w:rsidRPr="00F52EA6">
              <w:rPr>
                <w:b/>
                <w:i/>
              </w:rPr>
              <w:t>-4.2</w:t>
            </w:r>
          </w:p>
        </w:tc>
      </w:tr>
      <w:tr w:rsidR="00B24083" w:rsidRPr="00F52EA6" w:rsidTr="00F7554A">
        <w:tc>
          <w:tcPr>
            <w:tcW w:w="1554" w:type="pct"/>
            <w:shd w:val="clear" w:color="auto" w:fill="D7DDE9" w:themeFill="accent3"/>
            <w:vAlign w:val="center"/>
          </w:tcPr>
          <w:p w:rsidR="00B24083" w:rsidRPr="00F52EA6" w:rsidRDefault="00B24083" w:rsidP="00F7554A">
            <w:pPr>
              <w:pStyle w:val="TableText"/>
              <w:rPr>
                <w:b/>
              </w:rPr>
            </w:pPr>
            <w:r w:rsidRPr="00F52EA6">
              <w:rPr>
                <w:b/>
              </w:rPr>
              <w:t>Total</w:t>
            </w:r>
          </w:p>
        </w:tc>
        <w:tc>
          <w:tcPr>
            <w:tcW w:w="689" w:type="pct"/>
            <w:shd w:val="clear" w:color="auto" w:fill="D7DDE9" w:themeFill="accent3"/>
            <w:vAlign w:val="center"/>
          </w:tcPr>
          <w:p w:rsidR="00B24083" w:rsidRPr="00F52EA6" w:rsidRDefault="00B24083" w:rsidP="00F7554A">
            <w:pPr>
              <w:pStyle w:val="TableTextRight"/>
              <w:rPr>
                <w:b/>
              </w:rPr>
            </w:pPr>
            <w:r w:rsidRPr="00F52EA6">
              <w:rPr>
                <w:b/>
                <w:bCs/>
              </w:rPr>
              <w:t>-</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-3.1</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-0.6</w:t>
            </w:r>
          </w:p>
        </w:tc>
        <w:tc>
          <w:tcPr>
            <w:tcW w:w="689" w:type="pct"/>
            <w:shd w:val="clear" w:color="auto" w:fill="D7DDE9" w:themeFill="accent3"/>
            <w:vAlign w:val="center"/>
          </w:tcPr>
          <w:p w:rsidR="00B24083" w:rsidRPr="00F52EA6" w:rsidRDefault="00B24083" w:rsidP="00F7554A">
            <w:pPr>
              <w:pStyle w:val="TableTextRight"/>
              <w:rPr>
                <w:b/>
              </w:rPr>
            </w:pPr>
            <w:r w:rsidRPr="00F52EA6">
              <w:rPr>
                <w:b/>
              </w:rPr>
              <w:t>-0.6</w:t>
            </w:r>
          </w:p>
        </w:tc>
        <w:tc>
          <w:tcPr>
            <w:tcW w:w="690" w:type="pct"/>
            <w:shd w:val="clear" w:color="auto" w:fill="D7DDE9" w:themeFill="accent3"/>
            <w:vAlign w:val="center"/>
          </w:tcPr>
          <w:p w:rsidR="00B24083" w:rsidRPr="00F52EA6" w:rsidRDefault="00B24083" w:rsidP="00F7554A">
            <w:pPr>
              <w:pStyle w:val="TableTextRight"/>
              <w:rPr>
                <w:b/>
              </w:rPr>
            </w:pPr>
            <w:r w:rsidRPr="00F52EA6">
              <w:rPr>
                <w:b/>
              </w:rPr>
              <w:t>-4.2</w:t>
            </w:r>
          </w:p>
        </w:tc>
      </w:tr>
    </w:tbl>
    <w:p w:rsidR="00B24083" w:rsidRDefault="00B24083" w:rsidP="005826BC">
      <w:pPr>
        <w:pStyle w:val="Footnotes"/>
        <w:numPr>
          <w:ilvl w:val="0"/>
          <w:numId w:val="121"/>
        </w:numPr>
        <w:spacing w:before="113"/>
        <w:ind w:left="284" w:hanging="284"/>
      </w:pPr>
      <w:r w:rsidRPr="0084536A">
        <w:t>A positive number indicates an increase in revenue or decrease in expenses or net capital investment in accrual and cash terms. A negative number indicates a decrease in revenue or an increase in expenses or net capital investment in accrual and cash terms.</w:t>
      </w:r>
    </w:p>
    <w:p w:rsidR="00B24083" w:rsidRPr="005F544A" w:rsidRDefault="00B24083" w:rsidP="005826BC">
      <w:pPr>
        <w:pStyle w:val="Footnotes"/>
        <w:spacing w:after="120"/>
        <w:ind w:left="284" w:hanging="284"/>
      </w:pPr>
      <w:r w:rsidRPr="005F544A">
        <w:t>Figures may not sum to totals due to rounding.</w:t>
      </w:r>
    </w:p>
    <w:p w:rsidR="00B24083" w:rsidRPr="005F544A" w:rsidRDefault="00B24083" w:rsidP="005826BC">
      <w:pPr>
        <w:pStyle w:val="Footnotes"/>
        <w:numPr>
          <w:ilvl w:val="0"/>
          <w:numId w:val="0"/>
        </w:numPr>
        <w:ind w:left="284" w:hanging="284"/>
      </w:pPr>
      <w:r w:rsidRPr="005F544A">
        <w:t>-</w:t>
      </w:r>
      <w:r w:rsidRPr="005F544A">
        <w:tab/>
        <w:t>Indicates nil.</w:t>
      </w:r>
    </w:p>
    <w:p w:rsidR="00B24083" w:rsidRDefault="00B24083" w:rsidP="00B24083">
      <w:pPr>
        <w:pStyle w:val="Caption"/>
      </w:pPr>
      <w:r w:rsidRPr="002B36F1">
        <w:t xml:space="preserve">Table </w:t>
      </w:r>
      <w:r>
        <w:t>A3</w:t>
      </w:r>
      <w:r w:rsidRPr="002B36F1">
        <w:t>:</w:t>
      </w:r>
      <w:r>
        <w:t xml:space="preserve"> </w:t>
      </w:r>
      <w:r w:rsidRPr="008F17C7">
        <w:t xml:space="preserve">Component </w:t>
      </w:r>
      <w:r>
        <w:t>2</w:t>
      </w:r>
      <w:r w:rsidRPr="00A24127">
        <w:t xml:space="preserve"> </w:t>
      </w:r>
      <w:r>
        <w:t xml:space="preserve">– </w:t>
      </w:r>
      <w:r w:rsidRPr="00FB76A4">
        <w:t>Non-government organisations</w:t>
      </w:r>
      <w:r>
        <w:t>—Financial implications (outturn prices)</w:t>
      </w:r>
      <w:r w:rsidRPr="002B36F1">
        <w:rPr>
          <w:vertAlign w:val="superscript"/>
        </w:rPr>
        <w:t xml:space="preserve"> (a)(b)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24083"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24083" w:rsidRPr="007C2713" w:rsidRDefault="00B24083" w:rsidP="00F7554A">
            <w:pPr>
              <w:pStyle w:val="TableText"/>
              <w:rPr>
                <w:b w:val="0"/>
              </w:rPr>
            </w:pPr>
            <w:r>
              <w:t>($)</w:t>
            </w:r>
          </w:p>
        </w:tc>
        <w:tc>
          <w:tcPr>
            <w:tcW w:w="689" w:type="pct"/>
            <w:vAlign w:val="center"/>
          </w:tcPr>
          <w:p w:rsidR="00B24083" w:rsidRDefault="00B24083" w:rsidP="00F7554A">
            <w:pPr>
              <w:pStyle w:val="TableTextRight"/>
              <w:rPr>
                <w:b w:val="0"/>
              </w:rPr>
            </w:pPr>
            <w:r>
              <w:t>2016–17</w:t>
            </w:r>
          </w:p>
        </w:tc>
        <w:tc>
          <w:tcPr>
            <w:tcW w:w="689" w:type="pct"/>
            <w:vAlign w:val="center"/>
          </w:tcPr>
          <w:p w:rsidR="00B24083" w:rsidRDefault="00B24083" w:rsidP="00F7554A">
            <w:pPr>
              <w:pStyle w:val="TableTextRight"/>
              <w:rPr>
                <w:b w:val="0"/>
              </w:rPr>
            </w:pPr>
            <w:r>
              <w:t>2017–18</w:t>
            </w:r>
          </w:p>
        </w:tc>
        <w:tc>
          <w:tcPr>
            <w:tcW w:w="689" w:type="pct"/>
            <w:vAlign w:val="center"/>
          </w:tcPr>
          <w:p w:rsidR="00B24083" w:rsidRDefault="00B24083" w:rsidP="00F7554A">
            <w:pPr>
              <w:pStyle w:val="TableTextRight"/>
              <w:rPr>
                <w:b w:val="0"/>
              </w:rPr>
            </w:pPr>
            <w:r>
              <w:t>2018–19</w:t>
            </w:r>
          </w:p>
        </w:tc>
        <w:tc>
          <w:tcPr>
            <w:tcW w:w="689" w:type="pct"/>
            <w:vAlign w:val="center"/>
          </w:tcPr>
          <w:p w:rsidR="00B24083" w:rsidRDefault="00B24083" w:rsidP="00F7554A">
            <w:pPr>
              <w:pStyle w:val="TableTextRight"/>
              <w:rPr>
                <w:b w:val="0"/>
              </w:rPr>
            </w:pPr>
            <w:r>
              <w:t>2019–20</w:t>
            </w:r>
          </w:p>
        </w:tc>
        <w:tc>
          <w:tcPr>
            <w:tcW w:w="690" w:type="pct"/>
            <w:vAlign w:val="center"/>
          </w:tcPr>
          <w:p w:rsidR="00B24083" w:rsidRDefault="00B24083" w:rsidP="00F7554A">
            <w:pPr>
              <w:pStyle w:val="TableTextRight"/>
            </w:pPr>
            <w:r>
              <w:t>Total to 2019–20</w:t>
            </w:r>
          </w:p>
        </w:tc>
      </w:tr>
      <w:tr w:rsidR="00B24083" w:rsidTr="00F7554A">
        <w:tc>
          <w:tcPr>
            <w:tcW w:w="5000" w:type="pct"/>
            <w:gridSpan w:val="6"/>
            <w:vAlign w:val="center"/>
          </w:tcPr>
          <w:p w:rsidR="00B24083" w:rsidRDefault="00B24083" w:rsidP="00F7554A">
            <w:pPr>
              <w:pStyle w:val="TableHeading"/>
            </w:pPr>
            <w:r>
              <w:t>Fiscal and underlying cash balances</w:t>
            </w:r>
          </w:p>
        </w:tc>
      </w:tr>
      <w:tr w:rsidR="00B24083" w:rsidTr="00F7554A">
        <w:tc>
          <w:tcPr>
            <w:tcW w:w="1554" w:type="pct"/>
            <w:vAlign w:val="center"/>
          </w:tcPr>
          <w:p w:rsidR="00B24083" w:rsidRPr="00027340" w:rsidRDefault="00B24083" w:rsidP="00F7554A">
            <w:pPr>
              <w:pStyle w:val="TableText"/>
              <w:rPr>
                <w:szCs w:val="20"/>
              </w:rPr>
            </w:pPr>
            <w:r>
              <w:t>Administered</w:t>
            </w:r>
          </w:p>
        </w:tc>
        <w:tc>
          <w:tcPr>
            <w:tcW w:w="689" w:type="pct"/>
            <w:vAlign w:val="center"/>
          </w:tcPr>
          <w:p w:rsidR="00B24083" w:rsidRPr="00253471" w:rsidRDefault="00B24083" w:rsidP="00F7554A">
            <w:pPr>
              <w:pStyle w:val="TableTextRight"/>
              <w:rPr>
                <w:i/>
              </w:rPr>
            </w:pPr>
            <w:r w:rsidRPr="00253471">
              <w:rPr>
                <w:i/>
              </w:rPr>
              <w:t>-</w:t>
            </w:r>
          </w:p>
        </w:tc>
        <w:tc>
          <w:tcPr>
            <w:tcW w:w="689" w:type="pct"/>
            <w:vAlign w:val="center"/>
          </w:tcPr>
          <w:p w:rsidR="00B24083" w:rsidRPr="00253471" w:rsidRDefault="00B24083" w:rsidP="00F7554A">
            <w:pPr>
              <w:pStyle w:val="TableTextRight"/>
              <w:rPr>
                <w:i/>
              </w:rPr>
            </w:pPr>
            <w:r w:rsidRPr="00253471">
              <w:rPr>
                <w:i/>
              </w:rPr>
              <w:t>-8.4</w:t>
            </w:r>
          </w:p>
        </w:tc>
        <w:tc>
          <w:tcPr>
            <w:tcW w:w="689" w:type="pct"/>
            <w:vAlign w:val="center"/>
          </w:tcPr>
          <w:p w:rsidR="00B24083" w:rsidRPr="00253471" w:rsidRDefault="00B24083" w:rsidP="00F7554A">
            <w:pPr>
              <w:pStyle w:val="TableTextRight"/>
              <w:rPr>
                <w:i/>
              </w:rPr>
            </w:pPr>
            <w:r w:rsidRPr="00253471">
              <w:rPr>
                <w:i/>
              </w:rPr>
              <w:t>-8.4</w:t>
            </w:r>
          </w:p>
        </w:tc>
        <w:tc>
          <w:tcPr>
            <w:tcW w:w="689" w:type="pct"/>
            <w:vAlign w:val="center"/>
          </w:tcPr>
          <w:p w:rsidR="00B24083" w:rsidRPr="00253471" w:rsidRDefault="00B24083" w:rsidP="00F7554A">
            <w:pPr>
              <w:pStyle w:val="TableTextRight"/>
              <w:rPr>
                <w:i/>
              </w:rPr>
            </w:pPr>
            <w:r w:rsidRPr="00253471">
              <w:rPr>
                <w:i/>
              </w:rPr>
              <w:t>-8.4</w:t>
            </w:r>
          </w:p>
        </w:tc>
        <w:tc>
          <w:tcPr>
            <w:tcW w:w="690" w:type="pct"/>
            <w:vAlign w:val="center"/>
          </w:tcPr>
          <w:p w:rsidR="00B24083" w:rsidRPr="00253471" w:rsidRDefault="00B24083" w:rsidP="00F7554A">
            <w:pPr>
              <w:pStyle w:val="TableTextRight"/>
              <w:rPr>
                <w:b/>
                <w:i/>
              </w:rPr>
            </w:pPr>
            <w:r w:rsidRPr="00253471">
              <w:rPr>
                <w:b/>
                <w:bCs/>
                <w:i/>
              </w:rPr>
              <w:t>-25.2</w:t>
            </w:r>
          </w:p>
        </w:tc>
      </w:tr>
      <w:tr w:rsidR="00B24083" w:rsidTr="00F7554A">
        <w:tc>
          <w:tcPr>
            <w:tcW w:w="1554" w:type="pct"/>
            <w:vAlign w:val="center"/>
          </w:tcPr>
          <w:p w:rsidR="00B24083" w:rsidRPr="00027340" w:rsidRDefault="00B24083" w:rsidP="00F7554A">
            <w:pPr>
              <w:pStyle w:val="TableText"/>
              <w:rPr>
                <w:szCs w:val="20"/>
              </w:rPr>
            </w:pPr>
            <w:r>
              <w:t>Departmental</w:t>
            </w:r>
          </w:p>
        </w:tc>
        <w:tc>
          <w:tcPr>
            <w:tcW w:w="689" w:type="pct"/>
            <w:vAlign w:val="center"/>
          </w:tcPr>
          <w:p w:rsidR="00B24083" w:rsidRPr="00253471" w:rsidRDefault="00B24083" w:rsidP="00F7554A">
            <w:pPr>
              <w:pStyle w:val="TableTextRight"/>
              <w:rPr>
                <w:i/>
              </w:rPr>
            </w:pPr>
            <w:r w:rsidRPr="00253471">
              <w:rPr>
                <w:i/>
              </w:rPr>
              <w:t>-</w:t>
            </w:r>
          </w:p>
        </w:tc>
        <w:tc>
          <w:tcPr>
            <w:tcW w:w="689" w:type="pct"/>
            <w:vAlign w:val="center"/>
          </w:tcPr>
          <w:p w:rsidR="00B24083" w:rsidRPr="00253471" w:rsidRDefault="00B24083" w:rsidP="00F7554A">
            <w:pPr>
              <w:pStyle w:val="TableTextRight"/>
              <w:rPr>
                <w:i/>
              </w:rPr>
            </w:pPr>
            <w:r w:rsidRPr="00253471">
              <w:rPr>
                <w:i/>
              </w:rPr>
              <w:t>-0.1</w:t>
            </w:r>
          </w:p>
        </w:tc>
        <w:tc>
          <w:tcPr>
            <w:tcW w:w="689" w:type="pct"/>
            <w:vAlign w:val="center"/>
          </w:tcPr>
          <w:p w:rsidR="00B24083" w:rsidRPr="00253471" w:rsidRDefault="00B24083" w:rsidP="00F7554A">
            <w:pPr>
              <w:pStyle w:val="TableTextRight"/>
              <w:rPr>
                <w:i/>
              </w:rPr>
            </w:pPr>
            <w:r w:rsidRPr="00253471">
              <w:rPr>
                <w:i/>
              </w:rPr>
              <w:t>-0.1</w:t>
            </w:r>
          </w:p>
        </w:tc>
        <w:tc>
          <w:tcPr>
            <w:tcW w:w="689" w:type="pct"/>
            <w:vAlign w:val="center"/>
          </w:tcPr>
          <w:p w:rsidR="00B24083" w:rsidRPr="00253471" w:rsidRDefault="00B24083" w:rsidP="00F7554A">
            <w:pPr>
              <w:pStyle w:val="TableTextRight"/>
              <w:rPr>
                <w:i/>
              </w:rPr>
            </w:pPr>
            <w:r w:rsidRPr="00253471">
              <w:rPr>
                <w:i/>
              </w:rPr>
              <w:t>-0.1</w:t>
            </w:r>
          </w:p>
        </w:tc>
        <w:tc>
          <w:tcPr>
            <w:tcW w:w="690" w:type="pct"/>
            <w:vAlign w:val="center"/>
          </w:tcPr>
          <w:p w:rsidR="00B24083" w:rsidRPr="00253471" w:rsidRDefault="00B24083" w:rsidP="00F7554A">
            <w:pPr>
              <w:pStyle w:val="TableTextRight"/>
              <w:rPr>
                <w:b/>
                <w:bCs/>
                <w:i/>
              </w:rPr>
            </w:pPr>
            <w:r w:rsidRPr="00253471">
              <w:rPr>
                <w:b/>
                <w:bCs/>
                <w:i/>
              </w:rPr>
              <w:t>-0.3</w:t>
            </w:r>
          </w:p>
        </w:tc>
      </w:tr>
      <w:tr w:rsidR="00B24083" w:rsidRPr="007C2713" w:rsidTr="00F7554A">
        <w:tc>
          <w:tcPr>
            <w:tcW w:w="1554" w:type="pct"/>
            <w:shd w:val="clear" w:color="auto" w:fill="D7DDE9" w:themeFill="accent3"/>
            <w:vAlign w:val="center"/>
          </w:tcPr>
          <w:p w:rsidR="00B24083" w:rsidRPr="0055406D" w:rsidRDefault="00B24083" w:rsidP="00F7554A">
            <w:pPr>
              <w:pStyle w:val="TableText"/>
              <w:rPr>
                <w:b/>
                <w:szCs w:val="20"/>
              </w:rPr>
            </w:pPr>
            <w:r w:rsidRPr="0055406D">
              <w:rPr>
                <w:b/>
                <w:szCs w:val="20"/>
              </w:rPr>
              <w:t>Total</w:t>
            </w:r>
          </w:p>
        </w:tc>
        <w:tc>
          <w:tcPr>
            <w:tcW w:w="689" w:type="pct"/>
            <w:shd w:val="clear" w:color="auto" w:fill="D7DDE9" w:themeFill="accent3"/>
            <w:vAlign w:val="center"/>
          </w:tcPr>
          <w:p w:rsidR="00B24083" w:rsidRPr="008F17C7" w:rsidRDefault="00B24083" w:rsidP="00F7554A">
            <w:pPr>
              <w:pStyle w:val="TableTextRight"/>
              <w:rPr>
                <w:b/>
              </w:rPr>
            </w:pPr>
            <w:r w:rsidRPr="008F17C7">
              <w:rPr>
                <w:b/>
                <w:bCs/>
              </w:rPr>
              <w:t>-</w:t>
            </w:r>
          </w:p>
        </w:tc>
        <w:tc>
          <w:tcPr>
            <w:tcW w:w="689" w:type="pct"/>
            <w:shd w:val="clear" w:color="auto" w:fill="D7DDE9" w:themeFill="accent3"/>
            <w:vAlign w:val="center"/>
          </w:tcPr>
          <w:p w:rsidR="00B24083" w:rsidRPr="008F17C7" w:rsidRDefault="00B24083" w:rsidP="00F7554A">
            <w:pPr>
              <w:pStyle w:val="TableTextRight"/>
              <w:rPr>
                <w:b/>
              </w:rPr>
            </w:pPr>
            <w:r w:rsidRPr="008F17C7">
              <w:rPr>
                <w:b/>
                <w:bCs/>
              </w:rPr>
              <w:t>-8.5</w:t>
            </w:r>
          </w:p>
        </w:tc>
        <w:tc>
          <w:tcPr>
            <w:tcW w:w="689" w:type="pct"/>
            <w:shd w:val="clear" w:color="auto" w:fill="D7DDE9" w:themeFill="accent3"/>
            <w:vAlign w:val="center"/>
          </w:tcPr>
          <w:p w:rsidR="00B24083" w:rsidRPr="008F17C7" w:rsidRDefault="00B24083" w:rsidP="00F7554A">
            <w:pPr>
              <w:pStyle w:val="TableTextRight"/>
              <w:rPr>
                <w:b/>
              </w:rPr>
            </w:pPr>
            <w:r w:rsidRPr="008F17C7">
              <w:rPr>
                <w:b/>
                <w:bCs/>
              </w:rPr>
              <w:t>-8.5</w:t>
            </w:r>
          </w:p>
        </w:tc>
        <w:tc>
          <w:tcPr>
            <w:tcW w:w="689" w:type="pct"/>
            <w:shd w:val="clear" w:color="auto" w:fill="D7DDE9" w:themeFill="accent3"/>
            <w:vAlign w:val="center"/>
          </w:tcPr>
          <w:p w:rsidR="00B24083" w:rsidRPr="008F17C7" w:rsidRDefault="00B24083" w:rsidP="00F7554A">
            <w:pPr>
              <w:pStyle w:val="TableTextRight"/>
              <w:rPr>
                <w:b/>
              </w:rPr>
            </w:pPr>
            <w:r w:rsidRPr="008F17C7">
              <w:rPr>
                <w:b/>
                <w:bCs/>
              </w:rPr>
              <w:t>-8.5</w:t>
            </w:r>
          </w:p>
        </w:tc>
        <w:tc>
          <w:tcPr>
            <w:tcW w:w="690" w:type="pct"/>
            <w:shd w:val="clear" w:color="auto" w:fill="D7DDE9" w:themeFill="accent3"/>
            <w:vAlign w:val="center"/>
          </w:tcPr>
          <w:p w:rsidR="00B24083" w:rsidRPr="008F17C7" w:rsidRDefault="00B24083" w:rsidP="00F7554A">
            <w:pPr>
              <w:pStyle w:val="TableTextRight"/>
              <w:rPr>
                <w:b/>
                <w:bCs/>
              </w:rPr>
            </w:pPr>
            <w:r w:rsidRPr="008F17C7">
              <w:rPr>
                <w:b/>
                <w:bCs/>
              </w:rPr>
              <w:t>-25.5</w:t>
            </w:r>
          </w:p>
        </w:tc>
      </w:tr>
    </w:tbl>
    <w:p w:rsidR="00B24083" w:rsidRDefault="00B24083" w:rsidP="005826BC">
      <w:pPr>
        <w:pStyle w:val="Footnotes"/>
        <w:numPr>
          <w:ilvl w:val="0"/>
          <w:numId w:val="124"/>
        </w:numPr>
        <w:spacing w:before="113"/>
        <w:ind w:left="284" w:hanging="284"/>
      </w:pPr>
      <w:r w:rsidRPr="0084536A">
        <w:t>A positive number indicates an increase in revenue or decrease in expenses or net capital investment in accrual and cash terms. A negative number indicates a decrease in revenue or an increase in expenses or net capital investm</w:t>
      </w:r>
      <w:r>
        <w:t>ent in accrual and cash terms.</w:t>
      </w:r>
    </w:p>
    <w:p w:rsidR="00B24083" w:rsidRPr="005F544A" w:rsidRDefault="00B24083" w:rsidP="005826BC">
      <w:pPr>
        <w:pStyle w:val="Footnotes"/>
        <w:ind w:left="284" w:hanging="284"/>
      </w:pPr>
      <w:r w:rsidRPr="005F544A">
        <w:t>Figures may not sum to totals due to rounding.</w:t>
      </w:r>
    </w:p>
    <w:p w:rsidR="00B24083" w:rsidRPr="005F544A" w:rsidRDefault="00B24083" w:rsidP="005826BC">
      <w:pPr>
        <w:pStyle w:val="Footnotes"/>
        <w:numPr>
          <w:ilvl w:val="0"/>
          <w:numId w:val="0"/>
        </w:numPr>
        <w:ind w:left="284" w:hanging="284"/>
      </w:pPr>
      <w:r w:rsidRPr="005F544A">
        <w:t>-</w:t>
      </w:r>
      <w:r w:rsidRPr="005F544A">
        <w:tab/>
        <w:t>Indicates nil.</w:t>
      </w:r>
    </w:p>
    <w:p w:rsidR="00B24083" w:rsidRDefault="00B24083" w:rsidP="00B24083">
      <w:pPr>
        <w:pStyle w:val="Caption"/>
      </w:pPr>
      <w:r w:rsidRPr="002B36F1">
        <w:t xml:space="preserve">Table </w:t>
      </w:r>
      <w:r>
        <w:t>A4</w:t>
      </w:r>
      <w:r w:rsidRPr="002B36F1">
        <w:t>:</w:t>
      </w:r>
      <w:r>
        <w:t xml:space="preserve"> </w:t>
      </w:r>
      <w:r w:rsidRPr="008F17C7">
        <w:t xml:space="preserve">Component </w:t>
      </w:r>
      <w:r>
        <w:t>3</w:t>
      </w:r>
      <w:r w:rsidRPr="00A24127">
        <w:t xml:space="preserve"> - </w:t>
      </w:r>
      <w:r w:rsidRPr="00BE08F2">
        <w:t>Skilled migration</w:t>
      </w:r>
      <w:r>
        <w:t>—Financial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B24083"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B24083" w:rsidRPr="007C2713" w:rsidRDefault="00B24083" w:rsidP="00F7554A">
            <w:pPr>
              <w:pStyle w:val="TableText"/>
              <w:rPr>
                <w:b w:val="0"/>
              </w:rPr>
            </w:pPr>
            <w:r>
              <w:t>($)</w:t>
            </w:r>
          </w:p>
        </w:tc>
        <w:tc>
          <w:tcPr>
            <w:tcW w:w="689" w:type="pct"/>
            <w:vAlign w:val="center"/>
          </w:tcPr>
          <w:p w:rsidR="00B24083" w:rsidRDefault="00B24083" w:rsidP="00F7554A">
            <w:pPr>
              <w:pStyle w:val="TableTextRight"/>
              <w:rPr>
                <w:b w:val="0"/>
              </w:rPr>
            </w:pPr>
            <w:r>
              <w:t>2016–17</w:t>
            </w:r>
          </w:p>
        </w:tc>
        <w:tc>
          <w:tcPr>
            <w:tcW w:w="689" w:type="pct"/>
            <w:vAlign w:val="center"/>
          </w:tcPr>
          <w:p w:rsidR="00B24083" w:rsidRDefault="00B24083" w:rsidP="00F7554A">
            <w:pPr>
              <w:pStyle w:val="TableTextRight"/>
              <w:rPr>
                <w:b w:val="0"/>
              </w:rPr>
            </w:pPr>
            <w:r>
              <w:t>2017–18</w:t>
            </w:r>
          </w:p>
        </w:tc>
        <w:tc>
          <w:tcPr>
            <w:tcW w:w="689" w:type="pct"/>
            <w:vAlign w:val="center"/>
          </w:tcPr>
          <w:p w:rsidR="00B24083" w:rsidRDefault="00B24083" w:rsidP="00F7554A">
            <w:pPr>
              <w:pStyle w:val="TableTextRight"/>
              <w:rPr>
                <w:b w:val="0"/>
              </w:rPr>
            </w:pPr>
            <w:r>
              <w:t>2018–19</w:t>
            </w:r>
          </w:p>
        </w:tc>
        <w:tc>
          <w:tcPr>
            <w:tcW w:w="689" w:type="pct"/>
            <w:vAlign w:val="center"/>
          </w:tcPr>
          <w:p w:rsidR="00B24083" w:rsidRDefault="00B24083" w:rsidP="00F7554A">
            <w:pPr>
              <w:pStyle w:val="TableTextRight"/>
              <w:rPr>
                <w:b w:val="0"/>
              </w:rPr>
            </w:pPr>
            <w:r>
              <w:t>2019–20</w:t>
            </w:r>
          </w:p>
        </w:tc>
        <w:tc>
          <w:tcPr>
            <w:tcW w:w="690" w:type="pct"/>
            <w:vAlign w:val="center"/>
          </w:tcPr>
          <w:p w:rsidR="00B24083" w:rsidRDefault="00B24083" w:rsidP="00F7554A">
            <w:pPr>
              <w:pStyle w:val="TableTextRight"/>
            </w:pPr>
            <w:r>
              <w:t>Total to 2019–20</w:t>
            </w:r>
          </w:p>
        </w:tc>
      </w:tr>
      <w:tr w:rsidR="00B24083" w:rsidTr="00F7554A">
        <w:tc>
          <w:tcPr>
            <w:tcW w:w="5000" w:type="pct"/>
            <w:gridSpan w:val="6"/>
            <w:shd w:val="clear" w:color="auto" w:fill="E9ECF3" w:themeFill="accent2" w:themeFillTint="33"/>
            <w:vAlign w:val="center"/>
          </w:tcPr>
          <w:p w:rsidR="00B24083" w:rsidRDefault="00B24083" w:rsidP="00F7554A">
            <w:pPr>
              <w:pStyle w:val="TableHeading"/>
            </w:pPr>
            <w:r>
              <w:t>Fiscal and underlying cash balances</w:t>
            </w:r>
          </w:p>
        </w:tc>
      </w:tr>
      <w:tr w:rsidR="00B24083" w:rsidTr="00F7554A">
        <w:tc>
          <w:tcPr>
            <w:tcW w:w="5000" w:type="pct"/>
            <w:gridSpan w:val="6"/>
            <w:shd w:val="clear" w:color="auto" w:fill="E9ECF3" w:themeFill="accent2" w:themeFillTint="33"/>
            <w:vAlign w:val="center"/>
          </w:tcPr>
          <w:p w:rsidR="00B24083" w:rsidRDefault="00B24083" w:rsidP="00F7554A">
            <w:pPr>
              <w:pStyle w:val="TableHeading"/>
            </w:pPr>
            <w:r>
              <w:t>Departmental</w:t>
            </w:r>
          </w:p>
        </w:tc>
      </w:tr>
      <w:tr w:rsidR="00B24083" w:rsidTr="00F7554A">
        <w:tc>
          <w:tcPr>
            <w:tcW w:w="1554" w:type="pct"/>
            <w:vAlign w:val="center"/>
          </w:tcPr>
          <w:p w:rsidR="00B24083" w:rsidRPr="007C2713" w:rsidRDefault="00B24083" w:rsidP="00F7554A">
            <w:pPr>
              <w:pStyle w:val="TableText"/>
            </w:pPr>
            <w:r>
              <w:t>MACSM</w:t>
            </w:r>
          </w:p>
        </w:tc>
        <w:tc>
          <w:tcPr>
            <w:tcW w:w="689" w:type="pct"/>
            <w:vAlign w:val="center"/>
          </w:tcPr>
          <w:p w:rsidR="00B24083" w:rsidRPr="002F603B" w:rsidRDefault="00B24083" w:rsidP="00F7554A">
            <w:pPr>
              <w:pStyle w:val="TableTextRight"/>
              <w:rPr>
                <w:i/>
              </w:rPr>
            </w:pPr>
            <w:r w:rsidRPr="002F603B">
              <w:rPr>
                <w:i/>
              </w:rPr>
              <w:t>-</w:t>
            </w:r>
          </w:p>
        </w:tc>
        <w:tc>
          <w:tcPr>
            <w:tcW w:w="689" w:type="pct"/>
            <w:vAlign w:val="center"/>
          </w:tcPr>
          <w:p w:rsidR="00B24083" w:rsidRPr="002F603B" w:rsidRDefault="00B24083" w:rsidP="00F7554A">
            <w:pPr>
              <w:pStyle w:val="TableTextRight"/>
              <w:rPr>
                <w:i/>
              </w:rPr>
            </w:pPr>
            <w:r w:rsidRPr="002F603B">
              <w:rPr>
                <w:i/>
              </w:rPr>
              <w:t>-1.3</w:t>
            </w:r>
          </w:p>
        </w:tc>
        <w:tc>
          <w:tcPr>
            <w:tcW w:w="689" w:type="pct"/>
            <w:vAlign w:val="center"/>
          </w:tcPr>
          <w:p w:rsidR="00B24083" w:rsidRPr="002F603B" w:rsidRDefault="00B24083" w:rsidP="00F7554A">
            <w:pPr>
              <w:pStyle w:val="TableTextRight"/>
              <w:rPr>
                <w:i/>
              </w:rPr>
            </w:pPr>
            <w:r w:rsidRPr="002F603B">
              <w:rPr>
                <w:i/>
              </w:rPr>
              <w:t>-1.3</w:t>
            </w:r>
          </w:p>
        </w:tc>
        <w:tc>
          <w:tcPr>
            <w:tcW w:w="689" w:type="pct"/>
            <w:vAlign w:val="center"/>
          </w:tcPr>
          <w:p w:rsidR="00B24083" w:rsidRPr="002F603B" w:rsidRDefault="00B24083" w:rsidP="00F7554A">
            <w:pPr>
              <w:pStyle w:val="TableTextRight"/>
              <w:rPr>
                <w:i/>
              </w:rPr>
            </w:pPr>
            <w:r w:rsidRPr="002F603B">
              <w:rPr>
                <w:i/>
              </w:rPr>
              <w:t>-1.3</w:t>
            </w:r>
          </w:p>
        </w:tc>
        <w:tc>
          <w:tcPr>
            <w:tcW w:w="690" w:type="pct"/>
            <w:vAlign w:val="center"/>
          </w:tcPr>
          <w:p w:rsidR="00B24083" w:rsidRPr="002F603B" w:rsidRDefault="00B24083" w:rsidP="00F7554A">
            <w:pPr>
              <w:pStyle w:val="TableTextRight"/>
              <w:rPr>
                <w:b/>
                <w:bCs/>
                <w:i/>
              </w:rPr>
            </w:pPr>
            <w:r w:rsidRPr="002F603B">
              <w:rPr>
                <w:b/>
                <w:i/>
              </w:rPr>
              <w:t>-3.9</w:t>
            </w:r>
          </w:p>
        </w:tc>
      </w:tr>
      <w:tr w:rsidR="00B24083" w:rsidRPr="002F603B" w:rsidTr="00F7554A">
        <w:tc>
          <w:tcPr>
            <w:tcW w:w="1554" w:type="pct"/>
            <w:shd w:val="clear" w:color="auto" w:fill="E9ECF3" w:themeFill="accent2" w:themeFillTint="33"/>
            <w:vAlign w:val="center"/>
          </w:tcPr>
          <w:p w:rsidR="00B24083" w:rsidRPr="002F603B" w:rsidRDefault="00B24083" w:rsidP="00F7554A">
            <w:pPr>
              <w:pStyle w:val="TableText"/>
              <w:rPr>
                <w:b/>
              </w:rPr>
            </w:pPr>
            <w:r w:rsidRPr="002F603B">
              <w:rPr>
                <w:b/>
              </w:rPr>
              <w:t>Total – departmental</w:t>
            </w:r>
          </w:p>
        </w:tc>
        <w:tc>
          <w:tcPr>
            <w:tcW w:w="689" w:type="pct"/>
            <w:shd w:val="clear" w:color="auto" w:fill="E9ECF3" w:themeFill="accent2" w:themeFillTint="33"/>
            <w:vAlign w:val="center"/>
          </w:tcPr>
          <w:p w:rsidR="00B24083" w:rsidRPr="002F603B" w:rsidRDefault="00B24083" w:rsidP="00F7554A">
            <w:pPr>
              <w:pStyle w:val="TableTextRight"/>
              <w:rPr>
                <w:b/>
                <w:i/>
              </w:rPr>
            </w:pPr>
            <w:r w:rsidRPr="002F603B">
              <w:rPr>
                <w:b/>
                <w:bCs/>
                <w:i/>
              </w:rPr>
              <w:t>-</w:t>
            </w:r>
          </w:p>
        </w:tc>
        <w:tc>
          <w:tcPr>
            <w:tcW w:w="689" w:type="pct"/>
            <w:shd w:val="clear" w:color="auto" w:fill="E9ECF3" w:themeFill="accent2" w:themeFillTint="33"/>
            <w:vAlign w:val="center"/>
          </w:tcPr>
          <w:p w:rsidR="00B24083" w:rsidRPr="002F603B" w:rsidRDefault="00B24083" w:rsidP="00F7554A">
            <w:pPr>
              <w:pStyle w:val="TableTextRight"/>
              <w:rPr>
                <w:b/>
                <w:i/>
              </w:rPr>
            </w:pPr>
            <w:r w:rsidRPr="002F603B">
              <w:rPr>
                <w:b/>
                <w:i/>
              </w:rPr>
              <w:t>-1.3</w:t>
            </w:r>
          </w:p>
        </w:tc>
        <w:tc>
          <w:tcPr>
            <w:tcW w:w="689" w:type="pct"/>
            <w:shd w:val="clear" w:color="auto" w:fill="E9ECF3" w:themeFill="accent2" w:themeFillTint="33"/>
            <w:vAlign w:val="center"/>
          </w:tcPr>
          <w:p w:rsidR="00B24083" w:rsidRPr="002F603B" w:rsidRDefault="00B24083" w:rsidP="00F7554A">
            <w:pPr>
              <w:pStyle w:val="TableTextRight"/>
              <w:rPr>
                <w:b/>
                <w:i/>
              </w:rPr>
            </w:pPr>
            <w:r w:rsidRPr="002F603B">
              <w:rPr>
                <w:b/>
                <w:i/>
              </w:rPr>
              <w:t>-1.3</w:t>
            </w:r>
          </w:p>
        </w:tc>
        <w:tc>
          <w:tcPr>
            <w:tcW w:w="689" w:type="pct"/>
            <w:shd w:val="clear" w:color="auto" w:fill="E9ECF3" w:themeFill="accent2" w:themeFillTint="33"/>
            <w:vAlign w:val="center"/>
          </w:tcPr>
          <w:p w:rsidR="00B24083" w:rsidRPr="002F603B" w:rsidRDefault="00B24083" w:rsidP="00F7554A">
            <w:pPr>
              <w:pStyle w:val="TableTextRight"/>
              <w:rPr>
                <w:b/>
                <w:i/>
              </w:rPr>
            </w:pPr>
            <w:r w:rsidRPr="002F603B">
              <w:rPr>
                <w:b/>
                <w:i/>
              </w:rPr>
              <w:t>-1.3</w:t>
            </w:r>
          </w:p>
        </w:tc>
        <w:tc>
          <w:tcPr>
            <w:tcW w:w="690" w:type="pct"/>
            <w:shd w:val="clear" w:color="auto" w:fill="E9ECF3" w:themeFill="accent2" w:themeFillTint="33"/>
            <w:vAlign w:val="center"/>
          </w:tcPr>
          <w:p w:rsidR="00B24083" w:rsidRPr="002F603B" w:rsidRDefault="00B24083" w:rsidP="00F7554A">
            <w:pPr>
              <w:pStyle w:val="TableTextRight"/>
              <w:rPr>
                <w:b/>
                <w:bCs/>
                <w:i/>
              </w:rPr>
            </w:pPr>
            <w:r w:rsidRPr="002F603B">
              <w:rPr>
                <w:b/>
                <w:i/>
              </w:rPr>
              <w:t>-3.9</w:t>
            </w:r>
          </w:p>
        </w:tc>
      </w:tr>
      <w:tr w:rsidR="00B24083" w:rsidRPr="007C2713" w:rsidTr="00F7554A">
        <w:tc>
          <w:tcPr>
            <w:tcW w:w="1554" w:type="pct"/>
            <w:shd w:val="clear" w:color="auto" w:fill="D7DDE9" w:themeFill="accent3"/>
            <w:vAlign w:val="center"/>
          </w:tcPr>
          <w:p w:rsidR="00B24083" w:rsidRPr="007C2713" w:rsidRDefault="00B24083" w:rsidP="00F7554A">
            <w:pPr>
              <w:pStyle w:val="TableText"/>
              <w:rPr>
                <w:b/>
              </w:rPr>
            </w:pPr>
            <w:r w:rsidRPr="007C2713">
              <w:rPr>
                <w:b/>
              </w:rPr>
              <w:t>Total</w:t>
            </w:r>
          </w:p>
        </w:tc>
        <w:tc>
          <w:tcPr>
            <w:tcW w:w="689" w:type="pct"/>
            <w:shd w:val="clear" w:color="auto" w:fill="D7DDE9" w:themeFill="accent3"/>
            <w:vAlign w:val="center"/>
          </w:tcPr>
          <w:p w:rsidR="00B24083" w:rsidRPr="00354DA4" w:rsidRDefault="00B24083" w:rsidP="00F7554A">
            <w:pPr>
              <w:pStyle w:val="TableTextRight"/>
              <w:rPr>
                <w:b/>
              </w:rPr>
            </w:pPr>
            <w:r w:rsidRPr="00354DA4">
              <w:rPr>
                <w:b/>
                <w:bCs/>
              </w:rPr>
              <w:t>-</w:t>
            </w:r>
          </w:p>
        </w:tc>
        <w:tc>
          <w:tcPr>
            <w:tcW w:w="689" w:type="pct"/>
            <w:shd w:val="clear" w:color="auto" w:fill="D7DDE9" w:themeFill="accent3"/>
            <w:vAlign w:val="center"/>
          </w:tcPr>
          <w:p w:rsidR="00B24083" w:rsidRPr="00006274" w:rsidRDefault="00B24083" w:rsidP="00F7554A">
            <w:pPr>
              <w:pStyle w:val="TableTextRight"/>
              <w:rPr>
                <w:b/>
              </w:rPr>
            </w:pPr>
            <w:r w:rsidRPr="00006274">
              <w:rPr>
                <w:b/>
              </w:rPr>
              <w:t>-</w:t>
            </w:r>
            <w:r>
              <w:rPr>
                <w:b/>
              </w:rPr>
              <w:t>1.3</w:t>
            </w:r>
          </w:p>
        </w:tc>
        <w:tc>
          <w:tcPr>
            <w:tcW w:w="689" w:type="pct"/>
            <w:shd w:val="clear" w:color="auto" w:fill="D7DDE9" w:themeFill="accent3"/>
            <w:vAlign w:val="center"/>
          </w:tcPr>
          <w:p w:rsidR="00B24083" w:rsidRPr="00006274" w:rsidRDefault="00B24083" w:rsidP="00F7554A">
            <w:pPr>
              <w:pStyle w:val="TableTextRight"/>
              <w:rPr>
                <w:b/>
              </w:rPr>
            </w:pPr>
            <w:r w:rsidRPr="00006274">
              <w:rPr>
                <w:b/>
              </w:rPr>
              <w:t>-</w:t>
            </w:r>
            <w:r>
              <w:rPr>
                <w:b/>
              </w:rPr>
              <w:t>1.3</w:t>
            </w:r>
          </w:p>
        </w:tc>
        <w:tc>
          <w:tcPr>
            <w:tcW w:w="689" w:type="pct"/>
            <w:shd w:val="clear" w:color="auto" w:fill="D7DDE9" w:themeFill="accent3"/>
            <w:vAlign w:val="center"/>
          </w:tcPr>
          <w:p w:rsidR="00B24083" w:rsidRPr="00006274" w:rsidRDefault="00B24083" w:rsidP="00F7554A">
            <w:pPr>
              <w:pStyle w:val="TableTextRight"/>
              <w:rPr>
                <w:b/>
              </w:rPr>
            </w:pPr>
            <w:r w:rsidRPr="00006274">
              <w:rPr>
                <w:b/>
              </w:rPr>
              <w:t>-</w:t>
            </w:r>
            <w:r>
              <w:rPr>
                <w:b/>
              </w:rPr>
              <w:t>1.3</w:t>
            </w:r>
          </w:p>
        </w:tc>
        <w:tc>
          <w:tcPr>
            <w:tcW w:w="690" w:type="pct"/>
            <w:shd w:val="clear" w:color="auto" w:fill="D7DDE9" w:themeFill="accent3"/>
            <w:vAlign w:val="center"/>
          </w:tcPr>
          <w:p w:rsidR="00B24083" w:rsidRPr="00006274" w:rsidRDefault="00B24083" w:rsidP="00F7554A">
            <w:pPr>
              <w:pStyle w:val="TableTextRight"/>
              <w:rPr>
                <w:b/>
              </w:rPr>
            </w:pPr>
            <w:r w:rsidRPr="00006274">
              <w:rPr>
                <w:b/>
              </w:rPr>
              <w:t>-</w:t>
            </w:r>
            <w:r>
              <w:rPr>
                <w:b/>
              </w:rPr>
              <w:t>3.9</w:t>
            </w:r>
          </w:p>
        </w:tc>
      </w:tr>
    </w:tbl>
    <w:p w:rsidR="00B24083" w:rsidRDefault="00B24083" w:rsidP="005826BC">
      <w:pPr>
        <w:pStyle w:val="Footnotes"/>
        <w:numPr>
          <w:ilvl w:val="0"/>
          <w:numId w:val="122"/>
        </w:numPr>
        <w:spacing w:before="113"/>
        <w:ind w:left="284" w:hanging="284"/>
      </w:pPr>
      <w:r w:rsidRPr="0084536A">
        <w:t>A positive number indicates an increase in revenue or decrease in expenses or net capital investment in accrual and cash terms. A negative number indicates a decrease in revenue or an increase in expenses or net capital investment in accrual and cash terms.</w:t>
      </w:r>
    </w:p>
    <w:p w:rsidR="00B24083" w:rsidRPr="005F544A" w:rsidRDefault="00B24083" w:rsidP="005826BC">
      <w:pPr>
        <w:pStyle w:val="Footnotes"/>
        <w:spacing w:after="120"/>
        <w:ind w:left="284" w:hanging="284"/>
      </w:pPr>
      <w:r w:rsidRPr="005F544A">
        <w:t>Figures may not sum to totals due to rounding.</w:t>
      </w:r>
    </w:p>
    <w:p w:rsidR="00B24083" w:rsidRPr="005F544A" w:rsidRDefault="00B24083" w:rsidP="005826BC">
      <w:pPr>
        <w:pStyle w:val="Footnotes"/>
        <w:numPr>
          <w:ilvl w:val="0"/>
          <w:numId w:val="0"/>
        </w:numPr>
        <w:ind w:left="284" w:hanging="284"/>
      </w:pPr>
      <w:r w:rsidRPr="005F544A">
        <w:t>-</w:t>
      </w:r>
      <w:r w:rsidRPr="005F544A">
        <w:tab/>
        <w:t>Indicates nil.</w:t>
      </w:r>
    </w:p>
    <w:p w:rsidR="000A3B1E" w:rsidRPr="000A3B1E" w:rsidRDefault="000A3B1E" w:rsidP="000A3B1E">
      <w:pPr>
        <w:keepNext/>
        <w:keepLines/>
        <w:spacing w:before="340" w:after="114"/>
        <w:rPr>
          <w:rFonts w:ascii="Calibri" w:eastAsia="Calibri" w:hAnsi="Calibri" w:cs="Times New Roman"/>
          <w:b/>
          <w:bCs/>
          <w:color w:val="1F497D"/>
          <w:spacing w:val="-4"/>
          <w:vertAlign w:val="superscript"/>
        </w:rPr>
      </w:pPr>
      <w:r w:rsidRPr="000A3B1E">
        <w:rPr>
          <w:rFonts w:ascii="Calibri" w:eastAsia="Calibri" w:hAnsi="Calibri" w:cs="Times New Roman"/>
          <w:b/>
          <w:bCs/>
          <w:color w:val="1F497D"/>
          <w:spacing w:val="-4"/>
        </w:rPr>
        <w:t>Table A5: Component 4 - Independent reviews of visa programs—Financial implications (outturn prices)</w:t>
      </w:r>
      <w:r w:rsidRPr="000A3B1E">
        <w:rPr>
          <w:rFonts w:ascii="Calibri" w:eastAsia="Calibri" w:hAnsi="Calibri" w:cs="Times New Roman"/>
          <w:b/>
          <w:bCs/>
          <w:color w:val="1F497D"/>
          <w:spacing w:val="-4"/>
          <w:vertAlign w:val="superscript"/>
        </w:rPr>
        <w:t>(a)(b)</w:t>
      </w:r>
    </w:p>
    <w:tbl>
      <w:tblPr>
        <w:tblStyle w:val="TableGrid5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0A3B1E" w:rsidRPr="000A3B1E" w:rsidTr="00712B7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rPr>
                <w:b/>
                <w:szCs w:val="20"/>
              </w:rPr>
            </w:pPr>
            <w:r w:rsidRPr="000A3B1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2016–17</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2017–18</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2018–19</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2019–20</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A3B1E">
              <w:rPr>
                <w:b/>
              </w:rPr>
              <w:t>Total</w:t>
            </w:r>
            <w:r w:rsidRPr="000A3B1E">
              <w:rPr>
                <w:b/>
                <w:szCs w:val="20"/>
              </w:rPr>
              <w:t xml:space="preserve"> to 2019–20</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Fiscal and underlying cash balances</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Departmental</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ind w:left="57" w:right="57"/>
              <w:rPr>
                <w:color w:val="000000"/>
              </w:rPr>
            </w:pPr>
            <w:r w:rsidRPr="000A3B1E">
              <w:t xml:space="preserve">Student visas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-1.7</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-1.8</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i/>
              </w:rPr>
              <w:t>-3.5</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ind w:left="57" w:right="57"/>
              <w:rPr>
                <w:color w:val="000000"/>
              </w:rPr>
            </w:pPr>
            <w:r w:rsidRPr="000A3B1E">
              <w:t>Working holiday visas</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rPr>
              <w:t>-1.7</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rPr>
              <w:t>-1.8</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bCs/>
                <w:i/>
                <w:color w:val="000000"/>
              </w:rPr>
            </w:pPr>
            <w:r w:rsidRPr="000A3B1E">
              <w:rPr>
                <w:b/>
                <w:i/>
              </w:rPr>
              <w:t>-3.5</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ind w:left="57" w:right="57"/>
              <w:rPr>
                <w:b/>
                <w:color w:val="000000"/>
              </w:rPr>
            </w:pPr>
            <w:r w:rsidRPr="000A3B1E">
              <w:rPr>
                <w:b/>
              </w:rPr>
              <w:t>Total – departmental</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-3.5</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-3.5</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i/>
              </w:rPr>
              <w:t>-7.0</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ind w:left="57" w:right="57"/>
              <w:rPr>
                <w:b/>
                <w:bCs/>
                <w:color w:val="000000"/>
              </w:rPr>
            </w:pPr>
            <w:r w:rsidRPr="000A3B1E">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rPr>
              <w:t>-3.5</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rPr>
              <w:t>-3.5</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rPr>
              <w:t>-7.0</w:t>
            </w:r>
          </w:p>
        </w:tc>
      </w:tr>
    </w:tbl>
    <w:p w:rsidR="005826BC" w:rsidRDefault="000A3B1E" w:rsidP="005826BC">
      <w:pPr>
        <w:pStyle w:val="Footnotes"/>
        <w:keepNext/>
        <w:keepLines/>
        <w:numPr>
          <w:ilvl w:val="0"/>
          <w:numId w:val="219"/>
        </w:numPr>
        <w:spacing w:before="113" w:after="113"/>
        <w:ind w:left="284" w:hanging="284"/>
        <w:rPr>
          <w:rFonts w:ascii="Calibri" w:eastAsia="Calibri" w:hAnsi="Calibri" w:cs="Times New Roman"/>
        </w:rPr>
      </w:pPr>
      <w:r w:rsidRPr="005826BC">
        <w:rPr>
          <w:rFonts w:ascii="Calibri" w:eastAsia="Calibri" w:hAnsi="Calibri" w:cs="Times New Roman"/>
        </w:rPr>
        <w:t>A positive number indicates an increase in revenue or decrease in expenses or net capital investment in accrual and cash terms. A negative number indicates a decrease in revenue or an increase in expenses or net capital investment in accrual and cash terms.</w:t>
      </w:r>
    </w:p>
    <w:p w:rsidR="000A3B1E" w:rsidRPr="005826BC" w:rsidRDefault="000A3B1E" w:rsidP="005826BC">
      <w:pPr>
        <w:pStyle w:val="Footnotes"/>
        <w:keepNext/>
        <w:keepLines/>
        <w:numPr>
          <w:ilvl w:val="0"/>
          <w:numId w:val="219"/>
        </w:numPr>
        <w:spacing w:before="113" w:after="113"/>
        <w:ind w:left="284" w:hanging="284"/>
        <w:rPr>
          <w:rFonts w:ascii="Calibri" w:eastAsia="Calibri" w:hAnsi="Calibri" w:cs="Times New Roman"/>
        </w:rPr>
      </w:pPr>
      <w:r w:rsidRPr="005826BC">
        <w:rPr>
          <w:rFonts w:ascii="Calibri" w:eastAsia="Calibri" w:hAnsi="Calibri" w:cs="Times New Roman"/>
        </w:rPr>
        <w:t>Figures may not sum to totals due to rounding.</w:t>
      </w:r>
    </w:p>
    <w:p w:rsidR="000A3B1E" w:rsidRPr="000A3B1E" w:rsidRDefault="000A3B1E" w:rsidP="005826BC">
      <w:pPr>
        <w:keepNext/>
        <w:keepLines/>
        <w:numPr>
          <w:ilvl w:val="0"/>
          <w:numId w:val="13"/>
        </w:numPr>
        <w:spacing w:before="113" w:after="113" w:line="260" w:lineRule="atLeast"/>
        <w:ind w:left="284" w:hanging="284"/>
        <w:contextualSpacing/>
        <w:rPr>
          <w:rFonts w:ascii="Calibri" w:eastAsia="Calibri" w:hAnsi="Calibri" w:cs="Times New Roman"/>
          <w:sz w:val="20"/>
          <w:szCs w:val="20"/>
        </w:rPr>
      </w:pPr>
      <w:r w:rsidRPr="000A3B1E">
        <w:rPr>
          <w:rFonts w:ascii="Calibri" w:eastAsia="Calibri" w:hAnsi="Calibri" w:cs="Times New Roman"/>
          <w:sz w:val="20"/>
          <w:szCs w:val="20"/>
        </w:rPr>
        <w:t>Indicates nil.</w:t>
      </w:r>
    </w:p>
    <w:p w:rsidR="000A3B1E" w:rsidRPr="000A3B1E" w:rsidRDefault="000A3B1E" w:rsidP="000A3B1E">
      <w:pPr>
        <w:keepNext/>
        <w:spacing w:before="340" w:after="114"/>
        <w:rPr>
          <w:rFonts w:ascii="Calibri" w:eastAsia="Calibri" w:hAnsi="Calibri" w:cs="Times New Roman"/>
          <w:b/>
          <w:bCs/>
          <w:color w:val="1F497D"/>
          <w:spacing w:val="-4"/>
        </w:rPr>
      </w:pPr>
      <w:r w:rsidRPr="000A3B1E">
        <w:rPr>
          <w:rFonts w:ascii="Calibri" w:eastAsia="Calibri" w:hAnsi="Calibri" w:cs="Times New Roman"/>
          <w:b/>
          <w:bCs/>
          <w:color w:val="1F497D"/>
          <w:spacing w:val="-4"/>
        </w:rPr>
        <w:t>Table A6: Component 5 - Digitisation—Financial implications (outturn prices)</w:t>
      </w:r>
      <w:r w:rsidRPr="000A3B1E">
        <w:rPr>
          <w:rFonts w:ascii="Calibri" w:eastAsia="Calibri" w:hAnsi="Calibri" w:cs="Times New Roman"/>
          <w:b/>
          <w:bCs/>
          <w:color w:val="1F497D"/>
          <w:spacing w:val="-4"/>
          <w:vertAlign w:val="superscript"/>
        </w:rPr>
        <w:t>(a)(b)</w:t>
      </w:r>
    </w:p>
    <w:tbl>
      <w:tblPr>
        <w:tblStyle w:val="TableGrid5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0A3B1E" w:rsidRPr="000A3B1E" w:rsidTr="00712B7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rPr>
                <w:b/>
                <w:szCs w:val="20"/>
              </w:rPr>
            </w:pPr>
            <w:r w:rsidRPr="000A3B1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2016–17</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2017–18</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2018–19</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2019–20</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A3B1E">
              <w:rPr>
                <w:b/>
              </w:rPr>
              <w:t>Total</w:t>
            </w:r>
            <w:r w:rsidRPr="000A3B1E">
              <w:rPr>
                <w:b/>
                <w:szCs w:val="20"/>
              </w:rPr>
              <w:t xml:space="preserve"> to 2019–20</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Fiscal and underlying cash balances</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Departmental</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ind w:left="57" w:right="57"/>
              <w:rPr>
                <w:color w:val="000000"/>
              </w:rPr>
            </w:pPr>
            <w:r w:rsidRPr="000A3B1E">
              <w:t>Transition to electronic visa processing</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13.6</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23.9</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rPr>
              <w:t>32.3</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i/>
              </w:rPr>
              <w:t>69.7</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ind w:left="57" w:right="57"/>
              <w:rPr>
                <w:color w:val="000000"/>
              </w:rPr>
            </w:pPr>
            <w:r w:rsidRPr="000A3B1E">
              <w:t xml:space="preserve">Expansion of </w:t>
            </w:r>
            <w:r w:rsidRPr="000A3B1E">
              <w:rPr>
                <w:i/>
              </w:rPr>
              <w:t>ImmiAccount</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rPr>
              <w:t>-2.2</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bCs/>
                <w:i/>
                <w:color w:val="000000"/>
              </w:rPr>
            </w:pPr>
            <w:r w:rsidRPr="000A3B1E">
              <w:rPr>
                <w:b/>
                <w:i/>
              </w:rPr>
              <w:t>-2.2</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ind w:left="57" w:right="57"/>
              <w:rPr>
                <w:b/>
                <w:color w:val="000000"/>
              </w:rPr>
            </w:pPr>
            <w:r w:rsidRPr="000A3B1E">
              <w:rPr>
                <w:b/>
              </w:rPr>
              <w:t>Total – departmental</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 xml:space="preserve"> -  </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11.4</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23.9</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i/>
                <w:color w:val="000000"/>
              </w:rPr>
            </w:pPr>
            <w:r w:rsidRPr="000A3B1E">
              <w:rPr>
                <w:rFonts w:ascii="Calibri" w:hAnsi="Calibri"/>
                <w:b/>
                <w:i/>
              </w:rPr>
              <w:t>32.3</w:t>
            </w:r>
          </w:p>
        </w:tc>
        <w:tc>
          <w:tcPr>
            <w:tcW w:w="682" w:type="pct"/>
            <w:tcBorders>
              <w:top w:val="single" w:sz="4" w:space="0" w:color="788184"/>
              <w:left w:val="single" w:sz="4" w:space="0" w:color="788184"/>
              <w:bottom w:val="single" w:sz="4" w:space="0" w:color="788184"/>
              <w:right w:val="single" w:sz="4" w:space="0" w:color="788184"/>
            </w:tcBorders>
            <w:vAlign w:val="top"/>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i/>
              </w:rPr>
              <w:t>67.5</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ind w:left="57" w:right="57"/>
              <w:rPr>
                <w:b/>
                <w:bCs/>
                <w:color w:val="000000"/>
              </w:rPr>
            </w:pPr>
            <w:r w:rsidRPr="000A3B1E">
              <w:rPr>
                <w:b/>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rPr>
              <w:t xml:space="preserve"> -  </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rPr>
              <w:t>11.4</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rPr>
              <w:t>23.9</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rPr>
              <w:t>32.3</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top"/>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rPr>
              <w:t>67.5</w:t>
            </w:r>
          </w:p>
        </w:tc>
      </w:tr>
    </w:tbl>
    <w:p w:rsidR="005826BC" w:rsidRDefault="000A3B1E" w:rsidP="005826BC">
      <w:pPr>
        <w:pStyle w:val="Footnotes"/>
        <w:numPr>
          <w:ilvl w:val="0"/>
          <w:numId w:val="220"/>
        </w:numPr>
        <w:spacing w:before="113" w:after="113"/>
        <w:ind w:left="284" w:hanging="284"/>
        <w:rPr>
          <w:rFonts w:ascii="Calibri" w:eastAsia="Calibri" w:hAnsi="Calibri" w:cs="Times New Roman"/>
        </w:rPr>
      </w:pPr>
      <w:r w:rsidRPr="005826BC">
        <w:rPr>
          <w:rFonts w:ascii="Calibri" w:eastAsia="Calibri" w:hAnsi="Calibri" w:cs="Times New Roman"/>
        </w:rPr>
        <w:t>A positive number indicates an increase in revenue or decrease in expenses or net capital investment in accrual and cash terms. A negative number indicates a decrease in revenue or an increase in expenses or net capital investment in accrual and cash terms.</w:t>
      </w:r>
    </w:p>
    <w:p w:rsidR="000A3B1E" w:rsidRPr="005826BC" w:rsidRDefault="000A3B1E" w:rsidP="005826BC">
      <w:pPr>
        <w:pStyle w:val="Footnotes"/>
        <w:numPr>
          <w:ilvl w:val="0"/>
          <w:numId w:val="220"/>
        </w:numPr>
        <w:spacing w:before="113" w:after="113"/>
        <w:ind w:left="284" w:hanging="284"/>
        <w:rPr>
          <w:rFonts w:ascii="Calibri" w:eastAsia="Calibri" w:hAnsi="Calibri" w:cs="Times New Roman"/>
        </w:rPr>
      </w:pPr>
      <w:r w:rsidRPr="005826BC">
        <w:rPr>
          <w:rFonts w:ascii="Calibri" w:eastAsia="Calibri" w:hAnsi="Calibri" w:cs="Times New Roman"/>
        </w:rPr>
        <w:t>Figures may not sum to totals due to rounding.</w:t>
      </w:r>
    </w:p>
    <w:p w:rsidR="000A3B1E" w:rsidRPr="000A3B1E" w:rsidRDefault="000A3B1E" w:rsidP="005826BC">
      <w:pPr>
        <w:numPr>
          <w:ilvl w:val="0"/>
          <w:numId w:val="13"/>
        </w:numPr>
        <w:spacing w:before="113" w:after="113" w:line="260" w:lineRule="atLeast"/>
        <w:ind w:left="284" w:hanging="284"/>
        <w:contextualSpacing/>
        <w:rPr>
          <w:rFonts w:ascii="Calibri" w:eastAsia="Calibri" w:hAnsi="Calibri" w:cs="Times New Roman"/>
          <w:sz w:val="20"/>
          <w:szCs w:val="20"/>
        </w:rPr>
      </w:pPr>
      <w:r w:rsidRPr="000A3B1E">
        <w:rPr>
          <w:rFonts w:ascii="Calibri" w:eastAsia="Calibri" w:hAnsi="Calibri" w:cs="Times New Roman"/>
          <w:sz w:val="20"/>
          <w:szCs w:val="20"/>
        </w:rPr>
        <w:t>Indicates nil.</w:t>
      </w:r>
    </w:p>
    <w:p w:rsidR="000A3B1E" w:rsidRPr="000A3B1E" w:rsidRDefault="000A3B1E" w:rsidP="005826BC">
      <w:pPr>
        <w:keepNext/>
        <w:keepLines/>
        <w:widowControl w:val="0"/>
        <w:spacing w:before="340" w:after="114"/>
        <w:rPr>
          <w:rFonts w:ascii="Calibri" w:eastAsia="Calibri" w:hAnsi="Calibri" w:cs="Times New Roman"/>
          <w:b/>
          <w:bCs/>
          <w:color w:val="1F497D"/>
          <w:spacing w:val="-4"/>
          <w:vertAlign w:val="superscript"/>
        </w:rPr>
      </w:pPr>
      <w:r w:rsidRPr="000A3B1E">
        <w:rPr>
          <w:rFonts w:ascii="Calibri" w:eastAsia="Calibri" w:hAnsi="Calibri" w:cs="Times New Roman"/>
          <w:b/>
          <w:bCs/>
          <w:color w:val="1F497D"/>
          <w:spacing w:val="-4"/>
        </w:rPr>
        <w:t>Table A7: Component 6 - Intra-Company Transfer Visa—Financial implications (outturn prices)</w:t>
      </w:r>
    </w:p>
    <w:tbl>
      <w:tblPr>
        <w:tblStyle w:val="TableGrid5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0A3B1E" w:rsidRPr="000A3B1E" w:rsidTr="00712B7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rPr>
                <w:b/>
                <w:szCs w:val="20"/>
              </w:rPr>
            </w:pPr>
            <w:r w:rsidRPr="000A3B1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2016–17</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2017–18</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2018–19</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2019–20</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A3B1E">
              <w:rPr>
                <w:b/>
              </w:rPr>
              <w:t>Total</w:t>
            </w:r>
            <w:r w:rsidRPr="000A3B1E">
              <w:rPr>
                <w:b/>
                <w:szCs w:val="20"/>
              </w:rPr>
              <w:t xml:space="preserve"> to 2019–20</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5826BC">
            <w:pPr>
              <w:keepNext/>
              <w:keepLines/>
              <w:ind w:left="57" w:right="57"/>
              <w:rPr>
                <w:b/>
              </w:rPr>
            </w:pPr>
            <w:r w:rsidRPr="000A3B1E">
              <w:rPr>
                <w:b/>
              </w:rPr>
              <w:t>Fiscal and underlying cash balances</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ind w:left="57" w:right="57"/>
              <w:rPr>
                <w:szCs w:val="20"/>
              </w:rPr>
            </w:pPr>
            <w:r w:rsidRPr="000A3B1E">
              <w:rPr>
                <w:color w:val="00000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i/>
                <w:color w:val="000000"/>
              </w:rPr>
            </w:pPr>
            <w:r w:rsidRPr="000A3B1E">
              <w:rPr>
                <w:b/>
                <w:bCs/>
                <w:i/>
                <w:color w:val="000000"/>
              </w:rPr>
              <w:t>*</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5826BC">
            <w:pPr>
              <w:keepNext/>
              <w:keepLines/>
              <w:ind w:left="57" w:right="57"/>
              <w:rPr>
                <w:szCs w:val="20"/>
              </w:rPr>
            </w:pPr>
            <w:r w:rsidRPr="000A3B1E">
              <w:rPr>
                <w:color w:val="00000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5826BC">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bCs/>
                <w:i/>
                <w:color w:val="000000"/>
              </w:rPr>
              <w:t>*</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A3B1E" w:rsidRPr="000A3B1E" w:rsidRDefault="000A3B1E" w:rsidP="005826BC">
            <w:pPr>
              <w:keepNext/>
              <w:keepLines/>
              <w:ind w:left="57" w:right="57"/>
              <w:rPr>
                <w:b/>
                <w:szCs w:val="20"/>
              </w:rPr>
            </w:pPr>
            <w:r w:rsidRPr="000A3B1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5826BC">
            <w:pPr>
              <w:keepNext/>
              <w:keepLines/>
              <w:cnfStyle w:val="000000010000" w:firstRow="0" w:lastRow="0" w:firstColumn="0" w:lastColumn="0" w:oddVBand="0" w:evenVBand="0" w:oddHBand="0" w:evenHBand="1" w:firstRowFirstColumn="0" w:firstRowLastColumn="0" w:lastRowFirstColumn="0" w:lastRowLastColumn="0"/>
              <w:rPr>
                <w:b/>
                <w:bCs/>
                <w:color w:val="000000"/>
              </w:rPr>
            </w:pPr>
            <w:r w:rsidRPr="000A3B1E">
              <w:rPr>
                <w:b/>
                <w:bCs/>
                <w:color w:val="000000"/>
              </w:rPr>
              <w:t>*</w:t>
            </w:r>
          </w:p>
        </w:tc>
      </w:tr>
    </w:tbl>
    <w:p w:rsidR="000A3B1E" w:rsidRPr="000A3B1E" w:rsidRDefault="000A3B1E" w:rsidP="000A3B1E">
      <w:pPr>
        <w:spacing w:before="113" w:after="113" w:line="260" w:lineRule="atLeast"/>
        <w:ind w:left="284" w:hanging="284"/>
        <w:rPr>
          <w:rFonts w:ascii="Calibri" w:eastAsia="Calibri" w:hAnsi="Calibri" w:cs="Times New Roman"/>
          <w:sz w:val="20"/>
          <w:szCs w:val="20"/>
        </w:rPr>
      </w:pPr>
      <w:r w:rsidRPr="000A3B1E">
        <w:rPr>
          <w:rFonts w:ascii="Calibri" w:eastAsia="Calibri" w:hAnsi="Calibri" w:cs="Times New Roman"/>
          <w:sz w:val="20"/>
          <w:szCs w:val="20"/>
        </w:rPr>
        <w:t>*</w:t>
      </w:r>
      <w:r w:rsidRPr="000A3B1E">
        <w:rPr>
          <w:rFonts w:ascii="Calibri" w:eastAsia="Calibri" w:hAnsi="Calibri" w:cs="Times New Roman"/>
          <w:sz w:val="20"/>
          <w:szCs w:val="20"/>
        </w:rPr>
        <w:tab/>
        <w:t>Indicates unquantifiable.</w:t>
      </w:r>
    </w:p>
    <w:p w:rsidR="000A3B1E" w:rsidRPr="000A3B1E" w:rsidRDefault="000A3B1E" w:rsidP="000A3B1E">
      <w:pPr>
        <w:widowControl w:val="0"/>
        <w:spacing w:before="340" w:after="114"/>
        <w:rPr>
          <w:rFonts w:ascii="Calibri" w:eastAsia="Calibri" w:hAnsi="Calibri" w:cs="Times New Roman"/>
          <w:b/>
          <w:bCs/>
          <w:color w:val="1F497D"/>
          <w:spacing w:val="-4"/>
        </w:rPr>
      </w:pPr>
      <w:r w:rsidRPr="000A3B1E">
        <w:rPr>
          <w:rFonts w:ascii="Calibri" w:eastAsia="Calibri" w:hAnsi="Calibri" w:cs="Times New Roman"/>
          <w:b/>
          <w:bCs/>
          <w:color w:val="1F497D"/>
          <w:spacing w:val="-4"/>
        </w:rPr>
        <w:t>Table A8: Component 7 - Sponsorship fees and applications for skilled visas—Financial implications (outturn prices)</w:t>
      </w:r>
    </w:p>
    <w:tbl>
      <w:tblPr>
        <w:tblStyle w:val="TableGrid5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0A3B1E" w:rsidRPr="000A3B1E" w:rsidTr="00712B7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rPr>
                <w:b/>
                <w:szCs w:val="20"/>
              </w:rPr>
            </w:pPr>
            <w:r w:rsidRPr="000A3B1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2016–17</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2017–18</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2018–19</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2019–20</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A3B1E">
              <w:rPr>
                <w:b/>
              </w:rPr>
              <w:t>Total</w:t>
            </w:r>
            <w:r w:rsidRPr="000A3B1E">
              <w:rPr>
                <w:b/>
                <w:szCs w:val="20"/>
              </w:rPr>
              <w:t xml:space="preserve"> to 2019–20</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Fiscal and underlying cash balances</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ind w:left="57" w:right="57"/>
              <w:rPr>
                <w:szCs w:val="20"/>
              </w:rPr>
            </w:pPr>
            <w:r w:rsidRPr="000A3B1E">
              <w:rPr>
                <w:color w:val="00000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i/>
                <w:color w:val="000000"/>
              </w:rPr>
            </w:pPr>
            <w:r w:rsidRPr="000A3B1E">
              <w:rPr>
                <w:b/>
                <w:bCs/>
                <w:i/>
                <w:color w:val="000000"/>
              </w:rPr>
              <w:t>*</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ind w:left="57" w:right="57"/>
              <w:rPr>
                <w:szCs w:val="20"/>
              </w:rPr>
            </w:pPr>
            <w:r w:rsidRPr="000A3B1E">
              <w:rPr>
                <w:color w:val="00000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bCs/>
                <w:i/>
                <w:color w:val="000000"/>
              </w:rPr>
              <w:t>*</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A3B1E" w:rsidRPr="000A3B1E" w:rsidRDefault="000A3B1E" w:rsidP="000A3B1E">
            <w:pPr>
              <w:keepNext/>
              <w:keepLines/>
              <w:ind w:left="57" w:right="57"/>
              <w:rPr>
                <w:b/>
                <w:szCs w:val="20"/>
              </w:rPr>
            </w:pPr>
            <w:r w:rsidRPr="000A3B1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bCs/>
                <w:color w:val="000000"/>
              </w:rPr>
            </w:pPr>
            <w:r w:rsidRPr="000A3B1E">
              <w:rPr>
                <w:b/>
                <w:bCs/>
                <w:color w:val="000000"/>
              </w:rPr>
              <w:t>*</w:t>
            </w:r>
          </w:p>
        </w:tc>
      </w:tr>
    </w:tbl>
    <w:p w:rsidR="000A3B1E" w:rsidRPr="000A3B1E" w:rsidRDefault="000A3B1E" w:rsidP="000A3B1E">
      <w:pPr>
        <w:spacing w:before="113" w:after="113" w:line="260" w:lineRule="atLeast"/>
        <w:ind w:left="284" w:hanging="284"/>
        <w:rPr>
          <w:rFonts w:ascii="Calibri" w:eastAsia="Calibri" w:hAnsi="Calibri" w:cs="Times New Roman"/>
          <w:sz w:val="20"/>
          <w:szCs w:val="20"/>
        </w:rPr>
      </w:pPr>
      <w:r w:rsidRPr="000A3B1E">
        <w:rPr>
          <w:rFonts w:ascii="Calibri" w:eastAsia="Calibri" w:hAnsi="Calibri" w:cs="Times New Roman"/>
          <w:sz w:val="20"/>
          <w:szCs w:val="20"/>
        </w:rPr>
        <w:t>*</w:t>
      </w:r>
      <w:r w:rsidRPr="000A3B1E">
        <w:rPr>
          <w:rFonts w:ascii="Calibri" w:eastAsia="Calibri" w:hAnsi="Calibri" w:cs="Times New Roman"/>
          <w:sz w:val="20"/>
          <w:szCs w:val="20"/>
        </w:rPr>
        <w:tab/>
        <w:t>Indicates unquantifiable.</w:t>
      </w:r>
    </w:p>
    <w:p w:rsidR="000A3B1E" w:rsidRPr="000A3B1E" w:rsidRDefault="000A3B1E" w:rsidP="000A3B1E">
      <w:pPr>
        <w:widowControl w:val="0"/>
        <w:spacing w:before="340" w:after="114"/>
        <w:rPr>
          <w:rFonts w:ascii="Calibri" w:eastAsia="Calibri" w:hAnsi="Calibri" w:cs="Times New Roman"/>
          <w:b/>
          <w:bCs/>
          <w:color w:val="1F497D"/>
          <w:spacing w:val="-4"/>
          <w:vertAlign w:val="superscript"/>
        </w:rPr>
      </w:pPr>
      <w:r w:rsidRPr="000A3B1E">
        <w:rPr>
          <w:rFonts w:ascii="Calibri" w:eastAsia="Calibri" w:hAnsi="Calibri" w:cs="Times New Roman"/>
          <w:b/>
          <w:bCs/>
          <w:color w:val="1F497D"/>
          <w:spacing w:val="-4"/>
        </w:rPr>
        <w:t>Table A9: Component 8 - Sanctions and penalties for temporary visa holder exploitation—Financial implications (outturn prices)</w:t>
      </w:r>
    </w:p>
    <w:tbl>
      <w:tblPr>
        <w:tblStyle w:val="TableGrid51"/>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0A3B1E" w:rsidRPr="000A3B1E" w:rsidTr="00712B79">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rPr>
                <w:b/>
                <w:szCs w:val="20"/>
              </w:rPr>
            </w:pPr>
            <w:r w:rsidRPr="000A3B1E">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2016–17</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2017–18</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2018–19</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0A3B1E">
              <w:t>2019–20</w:t>
            </w:r>
          </w:p>
        </w:tc>
        <w:tc>
          <w:tcPr>
            <w:tcW w:w="682"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0A3B1E">
              <w:rPr>
                <w:b/>
              </w:rPr>
              <w:t>Total</w:t>
            </w:r>
            <w:r w:rsidRPr="000A3B1E">
              <w:rPr>
                <w:b/>
                <w:szCs w:val="20"/>
              </w:rPr>
              <w:t xml:space="preserve"> to 2019–20</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0A3B1E" w:rsidRPr="000A3B1E" w:rsidRDefault="000A3B1E" w:rsidP="000A3B1E">
            <w:pPr>
              <w:keepNext/>
              <w:keepLines/>
              <w:ind w:left="57" w:right="57"/>
              <w:rPr>
                <w:b/>
              </w:rPr>
            </w:pPr>
            <w:r w:rsidRPr="000A3B1E">
              <w:rPr>
                <w:b/>
              </w:rPr>
              <w:t>Fiscal and underlying cash balances</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ind w:left="57" w:right="57"/>
              <w:rPr>
                <w:szCs w:val="20"/>
              </w:rPr>
            </w:pPr>
            <w:r w:rsidRPr="000A3B1E">
              <w:rPr>
                <w:color w:val="000000"/>
              </w:rPr>
              <w:t>Administered</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i/>
                <w:color w:val="000000"/>
              </w:rPr>
            </w:pPr>
            <w:r w:rsidRPr="000A3B1E">
              <w:rPr>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i/>
                <w:color w:val="000000"/>
              </w:rPr>
            </w:pPr>
            <w:r w:rsidRPr="000A3B1E">
              <w:rPr>
                <w:b/>
                <w:bCs/>
                <w:i/>
                <w:color w:val="000000"/>
              </w:rPr>
              <w:t>*</w:t>
            </w:r>
          </w:p>
        </w:tc>
      </w:tr>
      <w:tr w:rsidR="000A3B1E" w:rsidRPr="000A3B1E" w:rsidTr="00712B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0A3B1E" w:rsidRPr="000A3B1E" w:rsidRDefault="000A3B1E" w:rsidP="000A3B1E">
            <w:pPr>
              <w:keepNext/>
              <w:keepLines/>
              <w:ind w:left="57" w:right="57"/>
              <w:rPr>
                <w:szCs w:val="20"/>
              </w:rPr>
            </w:pPr>
            <w:r w:rsidRPr="000A3B1E">
              <w:rPr>
                <w:color w:val="000000"/>
              </w:rPr>
              <w:t>Departmental</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i/>
                <w:color w:val="000000"/>
              </w:rPr>
            </w:pPr>
            <w:r w:rsidRPr="000A3B1E">
              <w:rPr>
                <w:rFonts w:ascii="Calibri" w:hAnsi="Calibri"/>
                <w:i/>
                <w:color w:val="000000"/>
              </w:rPr>
              <w:t>*</w:t>
            </w:r>
          </w:p>
        </w:tc>
        <w:tc>
          <w:tcPr>
            <w:tcW w:w="682" w:type="pct"/>
            <w:tcBorders>
              <w:top w:val="single" w:sz="4" w:space="0" w:color="788184"/>
              <w:left w:val="single" w:sz="4" w:space="0" w:color="788184"/>
              <w:bottom w:val="single" w:sz="4" w:space="0" w:color="788184"/>
              <w:right w:val="single" w:sz="4" w:space="0" w:color="788184"/>
            </w:tcBorders>
            <w:vAlign w:val="bottom"/>
          </w:tcPr>
          <w:p w:rsidR="000A3B1E" w:rsidRPr="000A3B1E" w:rsidRDefault="000A3B1E" w:rsidP="000A3B1E">
            <w:pPr>
              <w:jc w:val="right"/>
              <w:cnfStyle w:val="000000100000" w:firstRow="0" w:lastRow="0" w:firstColumn="0" w:lastColumn="0" w:oddVBand="0" w:evenVBand="0" w:oddHBand="1" w:evenHBand="0" w:firstRowFirstColumn="0" w:firstRowLastColumn="0" w:lastRowFirstColumn="0" w:lastRowLastColumn="0"/>
              <w:rPr>
                <w:rFonts w:ascii="Calibri" w:hAnsi="Calibri"/>
                <w:b/>
                <w:bCs/>
                <w:i/>
                <w:color w:val="000000"/>
              </w:rPr>
            </w:pPr>
            <w:r w:rsidRPr="000A3B1E">
              <w:rPr>
                <w:rFonts w:ascii="Calibri" w:hAnsi="Calibri"/>
                <w:b/>
                <w:bCs/>
                <w:i/>
                <w:color w:val="000000"/>
              </w:rPr>
              <w:t>*</w:t>
            </w:r>
          </w:p>
        </w:tc>
      </w:tr>
      <w:tr w:rsidR="000A3B1E" w:rsidRPr="000A3B1E" w:rsidTr="00712B7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0A3B1E" w:rsidRPr="000A3B1E" w:rsidRDefault="000A3B1E" w:rsidP="000A3B1E">
            <w:pPr>
              <w:keepNext/>
              <w:keepLines/>
              <w:ind w:left="57" w:right="57"/>
              <w:rPr>
                <w:b/>
                <w:szCs w:val="20"/>
              </w:rPr>
            </w:pPr>
            <w:r w:rsidRPr="000A3B1E">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color w:val="000000"/>
              </w:rPr>
            </w:pPr>
            <w:r w:rsidRPr="000A3B1E">
              <w:rPr>
                <w:b/>
                <w:bCs/>
                <w:color w:val="00000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vAlign w:val="bottom"/>
          </w:tcPr>
          <w:p w:rsidR="000A3B1E" w:rsidRPr="000A3B1E" w:rsidRDefault="000A3B1E" w:rsidP="000A3B1E">
            <w:pPr>
              <w:cnfStyle w:val="000000010000" w:firstRow="0" w:lastRow="0" w:firstColumn="0" w:lastColumn="0" w:oddVBand="0" w:evenVBand="0" w:oddHBand="0" w:evenHBand="1" w:firstRowFirstColumn="0" w:firstRowLastColumn="0" w:lastRowFirstColumn="0" w:lastRowLastColumn="0"/>
              <w:rPr>
                <w:b/>
                <w:bCs/>
                <w:color w:val="000000"/>
              </w:rPr>
            </w:pPr>
            <w:r w:rsidRPr="000A3B1E">
              <w:rPr>
                <w:b/>
                <w:bCs/>
                <w:color w:val="000000"/>
              </w:rPr>
              <w:t>*</w:t>
            </w:r>
          </w:p>
        </w:tc>
      </w:tr>
    </w:tbl>
    <w:p w:rsidR="000A3B1E" w:rsidRPr="000A3B1E" w:rsidRDefault="000A3B1E" w:rsidP="000A3B1E">
      <w:pPr>
        <w:spacing w:before="113" w:after="113" w:line="260" w:lineRule="atLeast"/>
        <w:ind w:left="284" w:hanging="284"/>
        <w:rPr>
          <w:rFonts w:ascii="Calibri" w:eastAsia="Calibri" w:hAnsi="Calibri" w:cs="Times New Roman"/>
          <w:sz w:val="20"/>
          <w:szCs w:val="20"/>
        </w:rPr>
      </w:pPr>
      <w:r w:rsidRPr="000A3B1E">
        <w:rPr>
          <w:rFonts w:ascii="Calibri" w:eastAsia="Calibri" w:hAnsi="Calibri" w:cs="Times New Roman"/>
          <w:sz w:val="20"/>
          <w:szCs w:val="20"/>
        </w:rPr>
        <w:t>*</w:t>
      </w:r>
      <w:r w:rsidRPr="000A3B1E">
        <w:rPr>
          <w:rFonts w:ascii="Calibri" w:eastAsia="Calibri" w:hAnsi="Calibri" w:cs="Times New Roman"/>
          <w:sz w:val="20"/>
          <w:szCs w:val="20"/>
        </w:rPr>
        <w:tab/>
        <w:t>Indicates unquantifiable.</w:t>
      </w:r>
    </w:p>
    <w:p w:rsidR="000A3B1E" w:rsidRPr="000A3B1E" w:rsidRDefault="000A3B1E" w:rsidP="000A3B1E">
      <w:pPr>
        <w:spacing w:before="113" w:after="113" w:line="260" w:lineRule="atLeast"/>
        <w:ind w:left="284" w:hanging="284"/>
        <w:rPr>
          <w:rFonts w:ascii="Calibri" w:eastAsia="Calibri" w:hAnsi="Calibri" w:cs="Times New Roman"/>
          <w:sz w:val="20"/>
          <w:szCs w:val="20"/>
        </w:rPr>
      </w:pPr>
    </w:p>
    <w:p w:rsidR="00420CF4" w:rsidRDefault="00420CF4" w:rsidP="00420CF4">
      <w:pPr>
        <w:pStyle w:val="BodyText"/>
        <w:sectPr w:rsidR="00420CF4" w:rsidSect="00AE58CE">
          <w:footnotePr>
            <w:numRestart w:val="eachSect"/>
          </w:footnotePr>
          <w:pgSz w:w="11906" w:h="16838" w:code="9"/>
          <w:pgMar w:top="1361" w:right="1797" w:bottom="1474" w:left="1797" w:header="283" w:footer="454" w:gutter="0"/>
          <w:cols w:space="708"/>
          <w:docGrid w:linePitch="360"/>
        </w:sectPr>
      </w:pPr>
    </w:p>
    <w:p w:rsidR="00D41682" w:rsidRDefault="00D41682" w:rsidP="00D41682">
      <w:pPr>
        <w:pStyle w:val="Heading5"/>
        <w:ind w:left="1080" w:hanging="1080"/>
      </w:pPr>
      <w:bookmarkStart w:id="59" w:name="_Toc455655007"/>
      <w:bookmarkStart w:id="60" w:name="_Toc458081676"/>
      <w:r>
        <w:t>ALP05</w:t>
      </w:r>
      <w:r w:rsidR="00A00D61">
        <w:t>2</w:t>
      </w:r>
      <w:r>
        <w:t>: Office of Multicultural Affairs</w:t>
      </w:r>
      <w:bookmarkEnd w:id="59"/>
      <w:bookmarkEnd w:id="60"/>
    </w:p>
    <w:p w:rsidR="00D41682" w:rsidRDefault="00D41682" w:rsidP="00967B83">
      <w:pPr>
        <w:pStyle w:val="BodyText"/>
      </w:pPr>
      <w:r>
        <w:rPr>
          <w:noProof/>
          <w:lang w:eastAsia="en-AU"/>
        </w:rPr>
        <w:drawing>
          <wp:inline distT="0" distB="0" distL="0" distR="0" wp14:anchorId="3E5C2A0F" wp14:editId="70C654D7">
            <wp:extent cx="2696845" cy="572135"/>
            <wp:effectExtent l="0" t="0" r="8255" b="0"/>
            <wp:docPr id="468" name="Picture 46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D41682" w:rsidRDefault="00D41682" w:rsidP="00D41682">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D41682"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D41682" w:rsidRPr="00A71F7B" w:rsidRDefault="00D41682" w:rsidP="00F7554A">
            <w:pPr>
              <w:pStyle w:val="PullOutBoxHeading"/>
              <w:rPr>
                <w:b/>
              </w:rPr>
            </w:pPr>
            <w:r w:rsidRPr="00A71F7B">
              <w:rPr>
                <w:b/>
              </w:rPr>
              <w:t>Name of proposal:</w:t>
            </w:r>
          </w:p>
        </w:tc>
        <w:tc>
          <w:tcPr>
            <w:tcW w:w="3191" w:type="pct"/>
          </w:tcPr>
          <w:p w:rsidR="00D41682" w:rsidRPr="00A71F7B" w:rsidRDefault="00D41682" w:rsidP="00F7554A">
            <w:pPr>
              <w:pStyle w:val="PullOutBoxHeading"/>
              <w:rPr>
                <w:b/>
              </w:rPr>
            </w:pPr>
            <w:r w:rsidRPr="00A71F7B">
              <w:rPr>
                <w:b/>
              </w:rPr>
              <w:t>Office of Multicultural Affairs</w:t>
            </w:r>
          </w:p>
        </w:tc>
      </w:tr>
      <w:tr w:rsidR="00D41682" w:rsidRPr="00B45F94" w:rsidTr="00F7554A">
        <w:tc>
          <w:tcPr>
            <w:tcW w:w="1809" w:type="pct"/>
          </w:tcPr>
          <w:p w:rsidR="00D41682" w:rsidRPr="00B45F94" w:rsidRDefault="00D41682" w:rsidP="00F7554A">
            <w:pPr>
              <w:pStyle w:val="PullOutBoxBodyText"/>
            </w:pPr>
            <w:r w:rsidRPr="00B45F94">
              <w:t>Summary of proposal:</w:t>
            </w:r>
          </w:p>
        </w:tc>
        <w:tc>
          <w:tcPr>
            <w:tcW w:w="3191" w:type="pct"/>
          </w:tcPr>
          <w:p w:rsidR="00D41682" w:rsidRDefault="00D41682" w:rsidP="00F7554A">
            <w:pPr>
              <w:pStyle w:val="PullOutBoxBodyText"/>
            </w:pPr>
            <w:r>
              <w:t>The proposal would establish an Office of Multicultural Affairs (OMA) to implement a whole-of-government policy and research focus, and administer grants funding to community organisations and ethnic groups.</w:t>
            </w:r>
          </w:p>
          <w:p w:rsidR="00D41682" w:rsidRDefault="00D41682" w:rsidP="00F7554A">
            <w:pPr>
              <w:pStyle w:val="PullOutBoxBodyText"/>
            </w:pPr>
            <w:r>
              <w:t>The OMA would be part of the Department of Social Services (DSS).</w:t>
            </w:r>
          </w:p>
          <w:p w:rsidR="00D41682" w:rsidRDefault="00D41682" w:rsidP="00F7554A">
            <w:pPr>
              <w:pStyle w:val="PullOutBoxBodyText"/>
            </w:pPr>
            <w:r>
              <w:t>The OMA would be similar in size and function to the existing Office for Women, administered by the Department of the Prime Minister &amp; Cabinet (PM&amp;C).</w:t>
            </w:r>
          </w:p>
          <w:p w:rsidR="00D41682" w:rsidRDefault="00D41682" w:rsidP="00F7554A">
            <w:pPr>
              <w:pStyle w:val="PullOutBoxBodyText"/>
            </w:pPr>
            <w:r>
              <w:t>Funding for the OMA would be capped at the level currently provided for the Office of Women.</w:t>
            </w:r>
          </w:p>
          <w:p w:rsidR="00D41682" w:rsidRPr="00B45F94" w:rsidRDefault="00D41682" w:rsidP="00F7554A">
            <w:pPr>
              <w:pStyle w:val="PullOutBoxBodyText"/>
            </w:pPr>
            <w:r>
              <w:t>The proposal would have effect from 1 July 2016.</w:t>
            </w:r>
          </w:p>
        </w:tc>
      </w:tr>
      <w:tr w:rsidR="00D41682" w:rsidRPr="00B45F94" w:rsidTr="00F7554A">
        <w:tc>
          <w:tcPr>
            <w:tcW w:w="1809" w:type="pct"/>
          </w:tcPr>
          <w:p w:rsidR="00D41682" w:rsidRPr="00B45F94" w:rsidRDefault="00D41682" w:rsidP="00F7554A">
            <w:pPr>
              <w:pStyle w:val="PullOutBoxBodyText"/>
            </w:pPr>
            <w:r>
              <w:t>Party:</w:t>
            </w:r>
          </w:p>
        </w:tc>
        <w:tc>
          <w:tcPr>
            <w:tcW w:w="3191" w:type="pct"/>
          </w:tcPr>
          <w:p w:rsidR="00D41682" w:rsidRPr="00B45F94" w:rsidRDefault="00D41682" w:rsidP="00F7554A">
            <w:pPr>
              <w:pStyle w:val="PullOutBoxBodyText"/>
            </w:pPr>
            <w:r>
              <w:t>Australian Labor Party</w:t>
            </w:r>
          </w:p>
        </w:tc>
      </w:tr>
      <w:tr w:rsidR="00D41682" w:rsidRPr="00B45F94" w:rsidTr="00F7554A">
        <w:tc>
          <w:tcPr>
            <w:tcW w:w="1809" w:type="pct"/>
          </w:tcPr>
          <w:p w:rsidR="00D41682" w:rsidRPr="00B45F94" w:rsidRDefault="00D41682" w:rsidP="00F7554A">
            <w:pPr>
              <w:pStyle w:val="PullOutBoxBodyText"/>
            </w:pPr>
            <w:r w:rsidRPr="00B45F94">
              <w:t>Expiry date for the costing:</w:t>
            </w:r>
          </w:p>
        </w:tc>
        <w:tc>
          <w:tcPr>
            <w:tcW w:w="3191" w:type="pct"/>
          </w:tcPr>
          <w:p w:rsidR="00D41682" w:rsidRPr="00B45F94" w:rsidRDefault="00D41682" w:rsidP="00F7554A">
            <w:pPr>
              <w:pStyle w:val="PullOutBoxBodyText"/>
            </w:pPr>
            <w:r>
              <w:t>Release of the next economic and fiscal update</w:t>
            </w:r>
          </w:p>
        </w:tc>
      </w:tr>
    </w:tbl>
    <w:p w:rsidR="00D41682" w:rsidRDefault="00D41682" w:rsidP="00D41682">
      <w:pPr>
        <w:pStyle w:val="CostingsH7"/>
      </w:pPr>
      <w:r w:rsidRPr="00BF1EE6">
        <w:t>Costing overview</w:t>
      </w:r>
    </w:p>
    <w:p w:rsidR="00D41682" w:rsidRDefault="00D41682" w:rsidP="00D41682">
      <w:pPr>
        <w:pStyle w:val="BodyText"/>
      </w:pPr>
      <w:r>
        <w:t>This proposal would be expected to decrease both the fiscal and underlying cash balances by $12.6 million over the 2016-17 Budget forward estimates period.  This impact is entirely due to an increase in departmental expenses.</w:t>
      </w:r>
    </w:p>
    <w:p w:rsidR="00D41682" w:rsidRDefault="00D41682" w:rsidP="00D41682">
      <w:pPr>
        <w:pStyle w:val="BodyText"/>
      </w:pPr>
      <w:r>
        <w:t>The financial impact of the proposal reflects departmental costs for DSS to administer proposed new grant programs</w:t>
      </w:r>
      <w:r>
        <w:rPr>
          <w:vertAlign w:val="superscript"/>
        </w:rPr>
        <w:t>1</w:t>
      </w:r>
      <w:r>
        <w:rPr>
          <w:rStyle w:val="FootnoteReference"/>
        </w:rPr>
        <w:fldChar w:fldCharType="begin"/>
      </w:r>
      <w:r>
        <w:rPr>
          <w:rStyle w:val="FootnoteReference"/>
        </w:rPr>
        <w:instrText xml:space="preserve"> </w:instrText>
      </w:r>
      <w:r>
        <w:rPr>
          <w:rStyle w:val="FootnoteReference"/>
        </w:rPr>
        <w:footnoteReference w:id="18"/>
      </w:r>
      <w:r>
        <w:rPr>
          <w:rStyle w:val="FootnoteReference"/>
        </w:rPr>
        <w:instrText xml:space="preserve"> </w:instrText>
      </w:r>
      <w:r>
        <w:rPr>
          <w:rStyle w:val="FootnoteReference"/>
        </w:rPr>
        <w:fldChar w:fldCharType="end"/>
      </w:r>
      <w:r>
        <w:t xml:space="preserve"> and undertake a range of activities related to coordinating and promoting government policy in the area of multicultural affairs.</w:t>
      </w:r>
    </w:p>
    <w:p w:rsidR="00D41682" w:rsidRDefault="00D41682" w:rsidP="00D41682">
      <w:pPr>
        <w:pStyle w:val="BodyText"/>
      </w:pPr>
      <w:r>
        <w:t>This proposal would be expected to have an ongoing impact that extends beyond the 2016</w:t>
      </w:r>
      <w:r>
        <w:noBreakHyphen/>
        <w:t>17 Budget forward estimates period.</w:t>
      </w:r>
    </w:p>
    <w:p w:rsidR="00D41682" w:rsidRPr="002C740E" w:rsidRDefault="00D41682" w:rsidP="00D41682">
      <w:pPr>
        <w:pStyle w:val="BodyText"/>
      </w:pPr>
      <w:r>
        <w:t>This costing is considered to be of high reliability as the estimates are based on expenditure estimates for the Office for Women from PM&amp;C, updated for changes in parameters.</w:t>
      </w:r>
    </w:p>
    <w:p w:rsidR="00D41682" w:rsidRDefault="00D41682" w:rsidP="00D41682">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D41682"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D41682" w:rsidRPr="00D264E1" w:rsidRDefault="00D41682" w:rsidP="00F7554A">
            <w:pPr>
              <w:pStyle w:val="TableHeading"/>
            </w:pPr>
            <w:r>
              <w:t>Impact on ($m)</w:t>
            </w:r>
          </w:p>
        </w:tc>
        <w:tc>
          <w:tcPr>
            <w:tcW w:w="721" w:type="pct"/>
            <w:vAlign w:val="center"/>
          </w:tcPr>
          <w:p w:rsidR="00D41682" w:rsidRPr="00FC1F1C" w:rsidRDefault="00D41682" w:rsidP="00F7554A">
            <w:pPr>
              <w:pStyle w:val="TableHeadingRight"/>
            </w:pPr>
            <w:r>
              <w:t>2016–17</w:t>
            </w:r>
          </w:p>
        </w:tc>
        <w:tc>
          <w:tcPr>
            <w:tcW w:w="721" w:type="pct"/>
            <w:vAlign w:val="center"/>
          </w:tcPr>
          <w:p w:rsidR="00D41682" w:rsidRPr="00FC1F1C" w:rsidRDefault="00D41682" w:rsidP="00F7554A">
            <w:pPr>
              <w:pStyle w:val="TableHeadingRight"/>
            </w:pPr>
            <w:r>
              <w:t>2017–18</w:t>
            </w:r>
          </w:p>
        </w:tc>
        <w:tc>
          <w:tcPr>
            <w:tcW w:w="722" w:type="pct"/>
            <w:vAlign w:val="center"/>
          </w:tcPr>
          <w:p w:rsidR="00D41682" w:rsidRPr="00FC1F1C" w:rsidRDefault="00D41682" w:rsidP="00F7554A">
            <w:pPr>
              <w:pStyle w:val="TableHeadingRight"/>
            </w:pPr>
            <w:r>
              <w:t>2018–19</w:t>
            </w:r>
          </w:p>
        </w:tc>
        <w:tc>
          <w:tcPr>
            <w:tcW w:w="721" w:type="pct"/>
            <w:vAlign w:val="center"/>
          </w:tcPr>
          <w:p w:rsidR="00D41682" w:rsidRPr="00FC1F1C" w:rsidRDefault="00D41682" w:rsidP="00F7554A">
            <w:pPr>
              <w:pStyle w:val="TableHeadingRight"/>
            </w:pPr>
            <w:r>
              <w:t>2019–20</w:t>
            </w:r>
          </w:p>
        </w:tc>
        <w:tc>
          <w:tcPr>
            <w:tcW w:w="722" w:type="pct"/>
            <w:vAlign w:val="center"/>
          </w:tcPr>
          <w:p w:rsidR="00D41682" w:rsidRPr="00FC1F1C" w:rsidRDefault="00D41682" w:rsidP="00F7554A">
            <w:pPr>
              <w:pStyle w:val="TableHeadingRight"/>
              <w:rPr>
                <w:b/>
              </w:rPr>
            </w:pPr>
            <w:r w:rsidRPr="00FC1F1C">
              <w:t>Total</w:t>
            </w:r>
          </w:p>
        </w:tc>
      </w:tr>
      <w:tr w:rsidR="00D41682" w:rsidTr="00F7554A">
        <w:tc>
          <w:tcPr>
            <w:tcW w:w="1393" w:type="pct"/>
            <w:vAlign w:val="center"/>
          </w:tcPr>
          <w:p w:rsidR="00D41682" w:rsidRDefault="00D41682" w:rsidP="00F7554A">
            <w:pPr>
              <w:pStyle w:val="TableText"/>
            </w:pPr>
            <w:r>
              <w:t>Fiscal balance</w:t>
            </w:r>
          </w:p>
        </w:tc>
        <w:tc>
          <w:tcPr>
            <w:tcW w:w="721" w:type="pct"/>
            <w:vAlign w:val="center"/>
          </w:tcPr>
          <w:p w:rsidR="00D41682" w:rsidRPr="00907B94" w:rsidRDefault="00D41682" w:rsidP="00F7554A">
            <w:pPr>
              <w:pStyle w:val="TableTextRight"/>
            </w:pPr>
            <w:r>
              <w:t>-</w:t>
            </w:r>
            <w:r w:rsidRPr="00907B94">
              <w:t>3.0</w:t>
            </w:r>
          </w:p>
        </w:tc>
        <w:tc>
          <w:tcPr>
            <w:tcW w:w="721" w:type="pct"/>
            <w:vAlign w:val="center"/>
          </w:tcPr>
          <w:p w:rsidR="00D41682" w:rsidRPr="00907B94" w:rsidRDefault="00D41682" w:rsidP="00F7554A">
            <w:pPr>
              <w:pStyle w:val="TableTextRight"/>
            </w:pPr>
            <w:r>
              <w:t>-</w:t>
            </w:r>
            <w:r w:rsidRPr="00907B94">
              <w:t>3.2</w:t>
            </w:r>
          </w:p>
        </w:tc>
        <w:tc>
          <w:tcPr>
            <w:tcW w:w="722" w:type="pct"/>
            <w:vAlign w:val="center"/>
          </w:tcPr>
          <w:p w:rsidR="00D41682" w:rsidRPr="00907B94" w:rsidRDefault="00D41682" w:rsidP="00F7554A">
            <w:pPr>
              <w:pStyle w:val="TableTextRight"/>
            </w:pPr>
            <w:r>
              <w:t>-</w:t>
            </w:r>
            <w:r w:rsidRPr="00907B94">
              <w:t>3.2</w:t>
            </w:r>
          </w:p>
        </w:tc>
        <w:tc>
          <w:tcPr>
            <w:tcW w:w="721" w:type="pct"/>
            <w:vAlign w:val="center"/>
          </w:tcPr>
          <w:p w:rsidR="00D41682" w:rsidRPr="00907B94" w:rsidRDefault="00D41682" w:rsidP="00F7554A">
            <w:pPr>
              <w:pStyle w:val="TableTextRight"/>
            </w:pPr>
            <w:r>
              <w:t>-</w:t>
            </w:r>
            <w:r w:rsidRPr="00907B94">
              <w:t>3.2</w:t>
            </w:r>
          </w:p>
        </w:tc>
        <w:tc>
          <w:tcPr>
            <w:tcW w:w="722" w:type="pct"/>
            <w:vAlign w:val="center"/>
          </w:tcPr>
          <w:p w:rsidR="00D41682" w:rsidRPr="00907B94" w:rsidRDefault="00D41682" w:rsidP="00F7554A">
            <w:pPr>
              <w:pStyle w:val="TableTextRight"/>
              <w:rPr>
                <w:b/>
              </w:rPr>
            </w:pPr>
            <w:r>
              <w:rPr>
                <w:b/>
              </w:rPr>
              <w:t>-</w:t>
            </w:r>
            <w:r w:rsidRPr="00907B94">
              <w:rPr>
                <w:b/>
              </w:rPr>
              <w:t>12.6</w:t>
            </w:r>
          </w:p>
        </w:tc>
      </w:tr>
      <w:tr w:rsidR="00D41682" w:rsidTr="00F7554A">
        <w:tc>
          <w:tcPr>
            <w:tcW w:w="1393" w:type="pct"/>
            <w:vAlign w:val="center"/>
          </w:tcPr>
          <w:p w:rsidR="00D41682" w:rsidRDefault="00D41682" w:rsidP="00F7554A">
            <w:pPr>
              <w:pStyle w:val="TableText"/>
            </w:pPr>
            <w:r>
              <w:t>Underlying cash balance</w:t>
            </w:r>
          </w:p>
        </w:tc>
        <w:tc>
          <w:tcPr>
            <w:tcW w:w="721" w:type="pct"/>
            <w:vAlign w:val="center"/>
          </w:tcPr>
          <w:p w:rsidR="00D41682" w:rsidRPr="00907B94" w:rsidRDefault="00D41682" w:rsidP="00F7554A">
            <w:pPr>
              <w:pStyle w:val="TableTextRight"/>
            </w:pPr>
            <w:r>
              <w:t>-</w:t>
            </w:r>
            <w:r w:rsidRPr="00907B94">
              <w:t>3.0</w:t>
            </w:r>
          </w:p>
        </w:tc>
        <w:tc>
          <w:tcPr>
            <w:tcW w:w="721" w:type="pct"/>
            <w:vAlign w:val="center"/>
          </w:tcPr>
          <w:p w:rsidR="00D41682" w:rsidRPr="00907B94" w:rsidRDefault="00D41682" w:rsidP="00F7554A">
            <w:pPr>
              <w:pStyle w:val="TableTextRight"/>
            </w:pPr>
            <w:r>
              <w:t>-</w:t>
            </w:r>
            <w:r w:rsidRPr="00907B94">
              <w:t>3.2</w:t>
            </w:r>
          </w:p>
        </w:tc>
        <w:tc>
          <w:tcPr>
            <w:tcW w:w="722" w:type="pct"/>
            <w:vAlign w:val="center"/>
          </w:tcPr>
          <w:p w:rsidR="00D41682" w:rsidRPr="00907B94" w:rsidRDefault="00D41682" w:rsidP="00F7554A">
            <w:pPr>
              <w:pStyle w:val="TableTextRight"/>
            </w:pPr>
            <w:r>
              <w:t>-</w:t>
            </w:r>
            <w:r w:rsidRPr="00907B94">
              <w:t>3.2</w:t>
            </w:r>
          </w:p>
        </w:tc>
        <w:tc>
          <w:tcPr>
            <w:tcW w:w="721" w:type="pct"/>
            <w:vAlign w:val="center"/>
          </w:tcPr>
          <w:p w:rsidR="00D41682" w:rsidRPr="00907B94" w:rsidRDefault="00D41682" w:rsidP="00F7554A">
            <w:pPr>
              <w:pStyle w:val="TableTextRight"/>
            </w:pPr>
            <w:r>
              <w:t>-</w:t>
            </w:r>
            <w:r w:rsidRPr="00907B94">
              <w:t>3.2</w:t>
            </w:r>
          </w:p>
        </w:tc>
        <w:tc>
          <w:tcPr>
            <w:tcW w:w="722" w:type="pct"/>
            <w:vAlign w:val="center"/>
          </w:tcPr>
          <w:p w:rsidR="00D41682" w:rsidRPr="00907B94" w:rsidRDefault="00D41682" w:rsidP="00F7554A">
            <w:pPr>
              <w:pStyle w:val="TableTextRight"/>
              <w:rPr>
                <w:b/>
              </w:rPr>
            </w:pPr>
            <w:r>
              <w:rPr>
                <w:b/>
              </w:rPr>
              <w:t>-</w:t>
            </w:r>
            <w:r w:rsidRPr="00907B94">
              <w:rPr>
                <w:b/>
              </w:rPr>
              <w:t>12.6</w:t>
            </w:r>
          </w:p>
        </w:tc>
      </w:tr>
    </w:tbl>
    <w:p w:rsidR="00D41682" w:rsidRDefault="00D41682" w:rsidP="00EB640A">
      <w:pPr>
        <w:pStyle w:val="Footnotes"/>
        <w:numPr>
          <w:ilvl w:val="0"/>
          <w:numId w:val="125"/>
        </w:numPr>
        <w:ind w:left="284" w:hanging="284"/>
      </w:pPr>
      <w:r>
        <w:t xml:space="preserve">A positive </w:t>
      </w:r>
      <w:r w:rsidRPr="00FC1F1C">
        <w:t>number indicates an increase in the relevant budget balance, a negative number a decrease.</w:t>
      </w:r>
    </w:p>
    <w:p w:rsidR="00D41682" w:rsidRPr="000E063A" w:rsidRDefault="00D41682" w:rsidP="00EB640A">
      <w:pPr>
        <w:pStyle w:val="Footnotes"/>
        <w:ind w:left="284" w:hanging="284"/>
        <w:rPr>
          <w:rStyle w:val="FootnoteReference"/>
          <w:vertAlign w:val="baseline"/>
        </w:rPr>
      </w:pPr>
      <w:r w:rsidRPr="000E063A">
        <w:t>Figures may not sum to totals due to rounding.</w:t>
      </w:r>
    </w:p>
    <w:p w:rsidR="00D41682" w:rsidRDefault="00D41682" w:rsidP="00D41682">
      <w:pPr>
        <w:pStyle w:val="CostingsH7"/>
      </w:pPr>
      <w:r>
        <w:t>Methodology</w:t>
      </w:r>
    </w:p>
    <w:p w:rsidR="00D41682" w:rsidRDefault="00D41682" w:rsidP="00D41682">
      <w:pPr>
        <w:pStyle w:val="BodyText"/>
      </w:pPr>
      <w:r w:rsidRPr="0097526F">
        <w:t>The impact of the proposal over the 2016</w:t>
      </w:r>
      <w:r w:rsidR="001C08CC">
        <w:t>-</w:t>
      </w:r>
      <w:r w:rsidRPr="0097526F">
        <w:t>17 Budget forward estimates period was based on the expenditure estimates for the Office for Women.</w:t>
      </w:r>
    </w:p>
    <w:p w:rsidR="00D41682" w:rsidRDefault="00D41682" w:rsidP="00D41682">
      <w:pPr>
        <w:pStyle w:val="CostingsH7"/>
      </w:pPr>
      <w:r>
        <w:t>Data sources</w:t>
      </w:r>
    </w:p>
    <w:p w:rsidR="00D41682" w:rsidRDefault="004125B6" w:rsidP="00D41682">
      <w:pPr>
        <w:pStyle w:val="BodyText"/>
      </w:pPr>
      <w:r>
        <w:t xml:space="preserve">The Department of the </w:t>
      </w:r>
      <w:r w:rsidR="00D41682">
        <w:t>Prime Minister and Cabinet provided Office for Women departmental estimates.</w:t>
      </w:r>
    </w:p>
    <w:p w:rsidR="00D41682" w:rsidRDefault="004125B6" w:rsidP="00D41682">
      <w:pPr>
        <w:pStyle w:val="BodyText"/>
      </w:pPr>
      <w:r>
        <w:t xml:space="preserve">Department of the Prime Minister and Cabinet 2016, </w:t>
      </w:r>
      <w:r w:rsidR="00D41682" w:rsidRPr="0073534F">
        <w:rPr>
          <w:i/>
        </w:rPr>
        <w:t>2016</w:t>
      </w:r>
      <w:r>
        <w:rPr>
          <w:i/>
        </w:rPr>
        <w:noBreakHyphen/>
      </w:r>
      <w:r w:rsidR="00D41682" w:rsidRPr="0073534F">
        <w:rPr>
          <w:i/>
        </w:rPr>
        <w:t>17</w:t>
      </w:r>
      <w:r w:rsidRPr="004125B6">
        <w:t xml:space="preserve"> </w:t>
      </w:r>
      <w:r w:rsidRPr="0073534F">
        <w:rPr>
          <w:i/>
        </w:rPr>
        <w:t>Portfolio Budget Statements</w:t>
      </w:r>
      <w:r w:rsidR="00D41682">
        <w:t>.</w:t>
      </w:r>
    </w:p>
    <w:p w:rsidR="00D41682" w:rsidRPr="0097526F" w:rsidRDefault="00D41682" w:rsidP="00D41682">
      <w:pPr>
        <w:pStyle w:val="BodyText"/>
      </w:pPr>
      <w:r>
        <w:t>The Department of Finance provided agency indexation rates.</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B606B2" w:rsidRDefault="00B606B2" w:rsidP="00B606B2">
      <w:pPr>
        <w:pStyle w:val="Heading5"/>
        <w:ind w:left="1080" w:hanging="1080"/>
      </w:pPr>
      <w:bookmarkStart w:id="61" w:name="_Toc455655008"/>
      <w:bookmarkStart w:id="62" w:name="_Toc458081677"/>
      <w:r>
        <w:t>ALP05</w:t>
      </w:r>
      <w:r w:rsidR="00A00D61">
        <w:t>3</w:t>
      </w:r>
      <w:r>
        <w:t>: Doubling Indigenous Rangers by 2020–21</w:t>
      </w:r>
      <w:bookmarkEnd w:id="61"/>
      <w:bookmarkEnd w:id="62"/>
    </w:p>
    <w:p w:rsidR="00B606B2" w:rsidRDefault="00B606B2" w:rsidP="00967B83">
      <w:pPr>
        <w:pStyle w:val="BodyText"/>
      </w:pPr>
      <w:r>
        <w:rPr>
          <w:noProof/>
          <w:lang w:eastAsia="en-AU"/>
        </w:rPr>
        <w:drawing>
          <wp:inline distT="0" distB="0" distL="0" distR="0" wp14:anchorId="03B1C2AE" wp14:editId="55864961">
            <wp:extent cx="2696845" cy="572135"/>
            <wp:effectExtent l="0" t="0" r="8255" b="0"/>
            <wp:docPr id="466" name="Picture 46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B606B2" w:rsidRDefault="00B606B2" w:rsidP="00B606B2">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B606B2"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B606B2" w:rsidRPr="00A71F7B" w:rsidRDefault="00B606B2" w:rsidP="00F7554A">
            <w:pPr>
              <w:pStyle w:val="PullOutBoxHeading"/>
              <w:rPr>
                <w:b/>
              </w:rPr>
            </w:pPr>
            <w:r w:rsidRPr="00A71F7B">
              <w:rPr>
                <w:b/>
              </w:rPr>
              <w:t>Name of proposal:</w:t>
            </w:r>
          </w:p>
        </w:tc>
        <w:tc>
          <w:tcPr>
            <w:tcW w:w="3191" w:type="pct"/>
          </w:tcPr>
          <w:p w:rsidR="00B606B2" w:rsidRPr="00A71F7B" w:rsidRDefault="00B606B2" w:rsidP="00F7554A">
            <w:pPr>
              <w:pStyle w:val="PullOutBoxHeading"/>
              <w:rPr>
                <w:b/>
              </w:rPr>
            </w:pPr>
            <w:r w:rsidRPr="00A71F7B">
              <w:rPr>
                <w:b/>
              </w:rPr>
              <w:t>Doubling Indigenous Rangers by 2020-21</w:t>
            </w:r>
          </w:p>
        </w:tc>
      </w:tr>
      <w:tr w:rsidR="00B606B2" w:rsidRPr="00B45F94" w:rsidTr="00F7554A">
        <w:tc>
          <w:tcPr>
            <w:tcW w:w="1809" w:type="pct"/>
          </w:tcPr>
          <w:p w:rsidR="00B606B2" w:rsidRPr="00B45F94" w:rsidRDefault="00B606B2" w:rsidP="00F7554A">
            <w:pPr>
              <w:pStyle w:val="PullOutBoxBodyText"/>
            </w:pPr>
            <w:r w:rsidRPr="00B45F94">
              <w:t>Summary of proposal:</w:t>
            </w:r>
          </w:p>
        </w:tc>
        <w:tc>
          <w:tcPr>
            <w:tcW w:w="3191" w:type="pct"/>
          </w:tcPr>
          <w:p w:rsidR="00B606B2" w:rsidRDefault="00B606B2" w:rsidP="00F7554A">
            <w:pPr>
              <w:pStyle w:val="PullOutBoxBodyText"/>
            </w:pPr>
            <w:r>
              <w:t>The proposal would double the number of Indigenous rangers through the Working on Country program.</w:t>
            </w:r>
          </w:p>
          <w:p w:rsidR="00B606B2" w:rsidRDefault="00B606B2" w:rsidP="00F7554A">
            <w:pPr>
              <w:pStyle w:val="PullOutBoxBodyText"/>
            </w:pPr>
            <w:r>
              <w:t>The number of Indigenous rangers would be doubled from the 775 full-time equivalent (FTE) contracted positions (as at November 2015) to 1,550 FTE contracted positions by 2020-21.  The increase in the number of rangers would occur from 1 July 2017 with an additional 194 FTE contracted positions added each year from 2017</w:t>
            </w:r>
            <w:r>
              <w:noBreakHyphen/>
              <w:t>18 to 2020-21.</w:t>
            </w:r>
          </w:p>
          <w:p w:rsidR="00B606B2" w:rsidRPr="00B45F94" w:rsidRDefault="00B606B2" w:rsidP="00F7554A">
            <w:pPr>
              <w:pStyle w:val="PullOutBoxBodyText"/>
            </w:pPr>
            <w:r>
              <w:t>The proposal would have effect from 1 July 2017.</w:t>
            </w:r>
          </w:p>
        </w:tc>
      </w:tr>
      <w:tr w:rsidR="00B606B2" w:rsidRPr="00B45F94" w:rsidTr="00F7554A">
        <w:tc>
          <w:tcPr>
            <w:tcW w:w="1809" w:type="pct"/>
          </w:tcPr>
          <w:p w:rsidR="00B606B2" w:rsidRPr="00B45F94" w:rsidRDefault="00B606B2" w:rsidP="00F7554A">
            <w:pPr>
              <w:pStyle w:val="PullOutBoxBodyText"/>
            </w:pPr>
            <w:r>
              <w:t>Party:</w:t>
            </w:r>
          </w:p>
        </w:tc>
        <w:tc>
          <w:tcPr>
            <w:tcW w:w="3191" w:type="pct"/>
          </w:tcPr>
          <w:p w:rsidR="00B606B2" w:rsidRPr="00B45F94" w:rsidRDefault="00B606B2" w:rsidP="00F7554A">
            <w:pPr>
              <w:pStyle w:val="PullOutBoxBodyText"/>
            </w:pPr>
            <w:r>
              <w:t>Australian Labor Party</w:t>
            </w:r>
          </w:p>
        </w:tc>
      </w:tr>
      <w:tr w:rsidR="00B606B2" w:rsidRPr="00B45F94" w:rsidTr="00F7554A">
        <w:tc>
          <w:tcPr>
            <w:tcW w:w="1809" w:type="pct"/>
          </w:tcPr>
          <w:p w:rsidR="00B606B2" w:rsidRPr="00B45F94" w:rsidRDefault="00B606B2" w:rsidP="00F7554A">
            <w:pPr>
              <w:pStyle w:val="PullOutBoxBodyText"/>
            </w:pPr>
            <w:r w:rsidRPr="00B45F94">
              <w:t>Expiry date for the costing:</w:t>
            </w:r>
          </w:p>
        </w:tc>
        <w:tc>
          <w:tcPr>
            <w:tcW w:w="3191" w:type="pct"/>
          </w:tcPr>
          <w:p w:rsidR="00B606B2" w:rsidRPr="00B45F94" w:rsidRDefault="00B606B2" w:rsidP="00F7554A">
            <w:pPr>
              <w:pStyle w:val="PullOutBoxBodyText"/>
            </w:pPr>
            <w:r>
              <w:t>Release of the next economic and fiscal update</w:t>
            </w:r>
          </w:p>
        </w:tc>
      </w:tr>
    </w:tbl>
    <w:p w:rsidR="00B606B2" w:rsidRDefault="00B606B2" w:rsidP="00B606B2">
      <w:pPr>
        <w:pStyle w:val="CostingsH7"/>
        <w:tabs>
          <w:tab w:val="left" w:pos="2667"/>
        </w:tabs>
      </w:pPr>
      <w:r w:rsidRPr="00BF1EE6">
        <w:t>Costing overview</w:t>
      </w:r>
    </w:p>
    <w:p w:rsidR="00B606B2" w:rsidRDefault="00B606B2" w:rsidP="00B606B2">
      <w:pPr>
        <w:pStyle w:val="BodyText"/>
      </w:pPr>
      <w:r>
        <w:t>The proposal would be expected to decrease both the fiscal and underlying cash balances by $118.6 million over the 2016-17 Budget forward estimates period.  This impact is entirely due to an increase in administered expenses.  The proposal is not expected to have a material impact on departmental expenses as it is an expansion of an existing program.</w:t>
      </w:r>
    </w:p>
    <w:p w:rsidR="00B606B2" w:rsidRDefault="00B606B2" w:rsidP="00B606B2">
      <w:pPr>
        <w:pStyle w:val="BodyText"/>
      </w:pPr>
      <w:r>
        <w:t>The proposal would have ongoing financial implications beyond the 2016-17 Budget forward estimates period.  The proposal would reach maturity in 2020-21 when the number of indigenous rangers would be 1,550 FTE contracted positions.  The estimated impact of the proposal in 2020-21 ($82.3 million) would be indicative of its ongoing impact.</w:t>
      </w:r>
    </w:p>
    <w:p w:rsidR="00B606B2" w:rsidRPr="005E5A21" w:rsidRDefault="00B606B2" w:rsidP="00B606B2">
      <w:pPr>
        <w:pStyle w:val="BodyText"/>
      </w:pPr>
      <w:r>
        <w:t>This costing is considered to be of high reliability as it is based on information regarding average costs per ranger under the current program.</w:t>
      </w:r>
    </w:p>
    <w:p w:rsidR="00B606B2" w:rsidRDefault="00B606B2" w:rsidP="001C08CC">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B606B2"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B606B2" w:rsidRPr="00D264E1" w:rsidRDefault="00B606B2" w:rsidP="001C08CC">
            <w:pPr>
              <w:pStyle w:val="TableHeading"/>
            </w:pPr>
            <w:r>
              <w:t>Impact on ($m)</w:t>
            </w:r>
          </w:p>
        </w:tc>
        <w:tc>
          <w:tcPr>
            <w:tcW w:w="721" w:type="pct"/>
          </w:tcPr>
          <w:p w:rsidR="00B606B2" w:rsidRPr="00FC1F1C" w:rsidRDefault="00B606B2" w:rsidP="001C08CC">
            <w:pPr>
              <w:pStyle w:val="TableHeadingRight"/>
            </w:pPr>
            <w:r>
              <w:t>2016–17</w:t>
            </w:r>
          </w:p>
        </w:tc>
        <w:tc>
          <w:tcPr>
            <w:tcW w:w="721" w:type="pct"/>
          </w:tcPr>
          <w:p w:rsidR="00B606B2" w:rsidRPr="00FC1F1C" w:rsidRDefault="00B606B2" w:rsidP="001C08CC">
            <w:pPr>
              <w:pStyle w:val="TableHeadingRight"/>
            </w:pPr>
            <w:r>
              <w:t>2017–18</w:t>
            </w:r>
          </w:p>
        </w:tc>
        <w:tc>
          <w:tcPr>
            <w:tcW w:w="722" w:type="pct"/>
          </w:tcPr>
          <w:p w:rsidR="00B606B2" w:rsidRPr="00FC1F1C" w:rsidRDefault="00B606B2" w:rsidP="001C08CC">
            <w:pPr>
              <w:pStyle w:val="TableHeadingRight"/>
            </w:pPr>
            <w:r>
              <w:t>2018–19</w:t>
            </w:r>
          </w:p>
        </w:tc>
        <w:tc>
          <w:tcPr>
            <w:tcW w:w="721" w:type="pct"/>
          </w:tcPr>
          <w:p w:rsidR="00B606B2" w:rsidRPr="00FC1F1C" w:rsidRDefault="00B606B2" w:rsidP="001C08CC">
            <w:pPr>
              <w:pStyle w:val="TableHeadingRight"/>
            </w:pPr>
            <w:r>
              <w:t>2019–20</w:t>
            </w:r>
          </w:p>
        </w:tc>
        <w:tc>
          <w:tcPr>
            <w:tcW w:w="722" w:type="pct"/>
          </w:tcPr>
          <w:p w:rsidR="00B606B2" w:rsidRPr="00FC1F1C" w:rsidRDefault="00B606B2" w:rsidP="001C08CC">
            <w:pPr>
              <w:pStyle w:val="TableHeadingRight"/>
              <w:rPr>
                <w:b/>
              </w:rPr>
            </w:pPr>
            <w:r w:rsidRPr="00FC1F1C">
              <w:t>Total</w:t>
            </w:r>
          </w:p>
        </w:tc>
      </w:tr>
      <w:tr w:rsidR="00B606B2" w:rsidTr="00F7554A">
        <w:tc>
          <w:tcPr>
            <w:tcW w:w="1393" w:type="pct"/>
          </w:tcPr>
          <w:p w:rsidR="00B606B2" w:rsidRDefault="00B606B2" w:rsidP="001C08CC">
            <w:pPr>
              <w:pStyle w:val="TableText"/>
              <w:keepNext/>
              <w:keepLines/>
            </w:pPr>
            <w:r>
              <w:t>Fiscal balance</w:t>
            </w:r>
          </w:p>
        </w:tc>
        <w:tc>
          <w:tcPr>
            <w:tcW w:w="721" w:type="pct"/>
          </w:tcPr>
          <w:p w:rsidR="00B606B2" w:rsidRPr="00F85E5F" w:rsidRDefault="00B606B2" w:rsidP="001C08CC">
            <w:pPr>
              <w:pStyle w:val="TableTextRight"/>
              <w:keepNext/>
              <w:keepLines/>
            </w:pPr>
            <w:r w:rsidRPr="00F85E5F">
              <w:t>-</w:t>
            </w:r>
          </w:p>
        </w:tc>
        <w:tc>
          <w:tcPr>
            <w:tcW w:w="721" w:type="pct"/>
          </w:tcPr>
          <w:p w:rsidR="00B606B2" w:rsidRPr="00F85E5F" w:rsidRDefault="00B606B2" w:rsidP="001C08CC">
            <w:pPr>
              <w:pStyle w:val="TableTextRight"/>
              <w:keepNext/>
              <w:keepLines/>
            </w:pPr>
            <w:r>
              <w:t>-19.1</w:t>
            </w:r>
          </w:p>
        </w:tc>
        <w:tc>
          <w:tcPr>
            <w:tcW w:w="722" w:type="pct"/>
          </w:tcPr>
          <w:p w:rsidR="00B606B2" w:rsidRPr="00F85E5F" w:rsidRDefault="00B606B2" w:rsidP="001C08CC">
            <w:pPr>
              <w:pStyle w:val="TableTextRight"/>
              <w:keepNext/>
              <w:keepLines/>
            </w:pPr>
            <w:r>
              <w:t>-39.2</w:t>
            </w:r>
          </w:p>
        </w:tc>
        <w:tc>
          <w:tcPr>
            <w:tcW w:w="721" w:type="pct"/>
          </w:tcPr>
          <w:p w:rsidR="00B606B2" w:rsidRPr="00F85E5F" w:rsidRDefault="00B606B2" w:rsidP="001C08CC">
            <w:pPr>
              <w:pStyle w:val="TableTextRight"/>
              <w:keepNext/>
              <w:keepLines/>
            </w:pPr>
            <w:r>
              <w:t>-60.3</w:t>
            </w:r>
          </w:p>
        </w:tc>
        <w:tc>
          <w:tcPr>
            <w:tcW w:w="722" w:type="pct"/>
          </w:tcPr>
          <w:p w:rsidR="00B606B2" w:rsidRPr="002001F8" w:rsidRDefault="00B606B2" w:rsidP="001C08CC">
            <w:pPr>
              <w:pStyle w:val="TableTextRight"/>
              <w:keepNext/>
              <w:keepLines/>
              <w:rPr>
                <w:b/>
              </w:rPr>
            </w:pPr>
            <w:r>
              <w:rPr>
                <w:b/>
              </w:rPr>
              <w:t>-118.6</w:t>
            </w:r>
          </w:p>
        </w:tc>
      </w:tr>
      <w:tr w:rsidR="00B606B2" w:rsidTr="00F7554A">
        <w:tc>
          <w:tcPr>
            <w:tcW w:w="1393" w:type="pct"/>
          </w:tcPr>
          <w:p w:rsidR="00B606B2" w:rsidRDefault="00B606B2" w:rsidP="001C08CC">
            <w:pPr>
              <w:pStyle w:val="TableText"/>
              <w:keepNext/>
              <w:keepLines/>
            </w:pPr>
            <w:r>
              <w:t>Underlying cash balance</w:t>
            </w:r>
          </w:p>
        </w:tc>
        <w:tc>
          <w:tcPr>
            <w:tcW w:w="721" w:type="pct"/>
          </w:tcPr>
          <w:p w:rsidR="00B606B2" w:rsidRPr="00F85E5F" w:rsidRDefault="00B606B2" w:rsidP="001C08CC">
            <w:pPr>
              <w:pStyle w:val="TableTextRight"/>
              <w:keepNext/>
              <w:keepLines/>
            </w:pPr>
            <w:r>
              <w:t>-</w:t>
            </w:r>
          </w:p>
        </w:tc>
        <w:tc>
          <w:tcPr>
            <w:tcW w:w="721" w:type="pct"/>
          </w:tcPr>
          <w:p w:rsidR="00B606B2" w:rsidRPr="00F85E5F" w:rsidRDefault="00B606B2" w:rsidP="001C08CC">
            <w:pPr>
              <w:pStyle w:val="TableTextRight"/>
              <w:keepNext/>
              <w:keepLines/>
            </w:pPr>
            <w:r>
              <w:t>-19.1</w:t>
            </w:r>
          </w:p>
        </w:tc>
        <w:tc>
          <w:tcPr>
            <w:tcW w:w="722" w:type="pct"/>
          </w:tcPr>
          <w:p w:rsidR="00B606B2" w:rsidRPr="00F85E5F" w:rsidRDefault="00B606B2" w:rsidP="001C08CC">
            <w:pPr>
              <w:pStyle w:val="TableTextRight"/>
              <w:keepNext/>
              <w:keepLines/>
            </w:pPr>
            <w:r>
              <w:t>-39.2</w:t>
            </w:r>
          </w:p>
        </w:tc>
        <w:tc>
          <w:tcPr>
            <w:tcW w:w="721" w:type="pct"/>
          </w:tcPr>
          <w:p w:rsidR="00B606B2" w:rsidRPr="00F85E5F" w:rsidRDefault="00B606B2" w:rsidP="001C08CC">
            <w:pPr>
              <w:pStyle w:val="TableTextRight"/>
              <w:keepNext/>
              <w:keepLines/>
            </w:pPr>
            <w:r>
              <w:t>-60.3</w:t>
            </w:r>
          </w:p>
        </w:tc>
        <w:tc>
          <w:tcPr>
            <w:tcW w:w="722" w:type="pct"/>
          </w:tcPr>
          <w:p w:rsidR="00B606B2" w:rsidRPr="002001F8" w:rsidRDefault="00B606B2" w:rsidP="001C08CC">
            <w:pPr>
              <w:pStyle w:val="TableTextRight"/>
              <w:keepNext/>
              <w:keepLines/>
              <w:rPr>
                <w:b/>
              </w:rPr>
            </w:pPr>
            <w:r>
              <w:rPr>
                <w:b/>
              </w:rPr>
              <w:t>-118.6</w:t>
            </w:r>
          </w:p>
        </w:tc>
      </w:tr>
    </w:tbl>
    <w:p w:rsidR="00B606B2" w:rsidRDefault="00B606B2" w:rsidP="00941E82">
      <w:pPr>
        <w:pStyle w:val="Footnotes"/>
        <w:keepNext/>
        <w:keepLines/>
        <w:numPr>
          <w:ilvl w:val="0"/>
          <w:numId w:val="126"/>
        </w:numPr>
        <w:ind w:left="284" w:hanging="284"/>
      </w:pPr>
      <w:r>
        <w:t xml:space="preserve">A positive </w:t>
      </w:r>
      <w:r w:rsidRPr="00FC1F1C">
        <w:t>number indicates an increase in the relevant budget balance, a negative number a decrease.</w:t>
      </w:r>
    </w:p>
    <w:p w:rsidR="00B606B2" w:rsidRDefault="00B606B2" w:rsidP="00941E82">
      <w:pPr>
        <w:pStyle w:val="Footnotes"/>
        <w:keepNext/>
        <w:keepLines/>
        <w:ind w:left="284" w:hanging="284"/>
      </w:pPr>
      <w:r w:rsidRPr="000E063A">
        <w:t>Figures may not sum to totals due to rounding.</w:t>
      </w:r>
    </w:p>
    <w:p w:rsidR="00B606B2" w:rsidRPr="000E063A" w:rsidRDefault="00B606B2" w:rsidP="00941E82">
      <w:pPr>
        <w:pStyle w:val="Footnotes"/>
        <w:keepNext/>
        <w:keepLines/>
        <w:numPr>
          <w:ilvl w:val="0"/>
          <w:numId w:val="0"/>
        </w:numPr>
        <w:ind w:left="284" w:hanging="284"/>
        <w:rPr>
          <w:rStyle w:val="FootnoteReference"/>
          <w:vertAlign w:val="baseline"/>
        </w:rPr>
      </w:pPr>
      <w:r w:rsidRPr="005F544A">
        <w:t>-</w:t>
      </w:r>
      <w:r w:rsidRPr="005F544A">
        <w:tab/>
        <w:t>Indicates nil.</w:t>
      </w:r>
    </w:p>
    <w:p w:rsidR="00B606B2" w:rsidRDefault="00B606B2" w:rsidP="00B606B2">
      <w:pPr>
        <w:pStyle w:val="CostingsH7"/>
      </w:pPr>
      <w:r>
        <w:t>Key assumptions</w:t>
      </w:r>
    </w:p>
    <w:p w:rsidR="00B606B2" w:rsidRPr="005E5A21" w:rsidRDefault="00B606B2" w:rsidP="00B606B2">
      <w:pPr>
        <w:pStyle w:val="BodyText"/>
      </w:pPr>
      <w:r w:rsidRPr="005E5A21">
        <w:t>There would be full take up of the additional contracted positions.</w:t>
      </w:r>
    </w:p>
    <w:p w:rsidR="00B606B2" w:rsidRDefault="00B606B2" w:rsidP="00B606B2">
      <w:pPr>
        <w:pStyle w:val="CostingsH7"/>
      </w:pPr>
      <w:r>
        <w:t>Methodology</w:t>
      </w:r>
    </w:p>
    <w:p w:rsidR="00B606B2" w:rsidRPr="005E5A21" w:rsidRDefault="00B606B2" w:rsidP="00B606B2">
      <w:pPr>
        <w:pStyle w:val="BodyText"/>
      </w:pPr>
      <w:r w:rsidRPr="005E5A21">
        <w:t>The financial implications of the proposal were derived by multiplying the specified number of additional rangers b</w:t>
      </w:r>
      <w:r>
        <w:t>y the average cost per ranger.</w:t>
      </w:r>
    </w:p>
    <w:p w:rsidR="00B606B2" w:rsidRDefault="00B606B2" w:rsidP="00B606B2">
      <w:pPr>
        <w:pStyle w:val="CostingsH7"/>
      </w:pPr>
      <w:r>
        <w:t>Data sources</w:t>
      </w:r>
    </w:p>
    <w:p w:rsidR="00B606B2" w:rsidRPr="005E5A21" w:rsidRDefault="004125B6" w:rsidP="00B606B2">
      <w:pPr>
        <w:pStyle w:val="BodyText"/>
      </w:pPr>
      <w:r>
        <w:t>T</w:t>
      </w:r>
      <w:r w:rsidRPr="005E5A21">
        <w:t>he Department of the Prime Minister and Cabinet</w:t>
      </w:r>
      <w:r w:rsidRPr="004125B6">
        <w:t xml:space="preserve"> </w:t>
      </w:r>
      <w:r w:rsidRPr="005E5A21">
        <w:t>provided</w:t>
      </w:r>
      <w:r>
        <w:t xml:space="preserve"> e</w:t>
      </w:r>
      <w:r w:rsidR="00B606B2" w:rsidRPr="005E5A21">
        <w:t xml:space="preserve">stimates of the number of rangers in the current program </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B606B2" w:rsidRDefault="00B606B2" w:rsidP="00B606B2">
      <w:pPr>
        <w:pStyle w:val="Heading5"/>
        <w:ind w:left="1080" w:hanging="1080"/>
      </w:pPr>
      <w:bookmarkStart w:id="63" w:name="_Toc455655009"/>
      <w:bookmarkStart w:id="64" w:name="_Toc458081678"/>
      <w:r>
        <w:t>ALP05</w:t>
      </w:r>
      <w:r w:rsidR="00A00D61">
        <w:t>4</w:t>
      </w:r>
      <w:r>
        <w:t>: Infrastructure Financing Facility</w:t>
      </w:r>
      <w:bookmarkEnd w:id="63"/>
      <w:bookmarkEnd w:id="64"/>
    </w:p>
    <w:p w:rsidR="00B606B2" w:rsidRDefault="00B606B2" w:rsidP="00967B83">
      <w:pPr>
        <w:pStyle w:val="BodyText"/>
      </w:pPr>
      <w:r>
        <w:rPr>
          <w:noProof/>
          <w:lang w:eastAsia="en-AU"/>
        </w:rPr>
        <w:drawing>
          <wp:inline distT="0" distB="0" distL="0" distR="0" wp14:anchorId="1BB9E29C" wp14:editId="45374261">
            <wp:extent cx="2696845" cy="572135"/>
            <wp:effectExtent l="0" t="0" r="8255" b="0"/>
            <wp:docPr id="465" name="Picture 46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B606B2" w:rsidRDefault="00B606B2" w:rsidP="00B606B2">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B606B2"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B606B2" w:rsidRPr="00A71F7B" w:rsidRDefault="00B606B2" w:rsidP="00F7554A">
            <w:pPr>
              <w:pStyle w:val="PullOutBoxHeading"/>
              <w:rPr>
                <w:b/>
              </w:rPr>
            </w:pPr>
            <w:r w:rsidRPr="00A71F7B">
              <w:rPr>
                <w:b/>
              </w:rPr>
              <w:t>Name of proposal:</w:t>
            </w:r>
          </w:p>
        </w:tc>
        <w:tc>
          <w:tcPr>
            <w:tcW w:w="3191" w:type="pct"/>
          </w:tcPr>
          <w:p w:rsidR="00B606B2" w:rsidRPr="00A71F7B" w:rsidRDefault="00B606B2" w:rsidP="00F7554A">
            <w:pPr>
              <w:pStyle w:val="PullOutBoxHeading"/>
              <w:rPr>
                <w:b/>
              </w:rPr>
            </w:pPr>
            <w:r w:rsidRPr="00A71F7B">
              <w:rPr>
                <w:b/>
              </w:rPr>
              <w:t>Infrastructure Financing Facility</w:t>
            </w:r>
          </w:p>
        </w:tc>
      </w:tr>
      <w:tr w:rsidR="00B606B2" w:rsidRPr="00B45F94" w:rsidTr="00F7554A">
        <w:tc>
          <w:tcPr>
            <w:tcW w:w="1809" w:type="pct"/>
          </w:tcPr>
          <w:p w:rsidR="00B606B2" w:rsidRPr="00B45F94" w:rsidRDefault="00B606B2" w:rsidP="00F7554A">
            <w:pPr>
              <w:pStyle w:val="PullOutBoxBodyText"/>
            </w:pPr>
            <w:r w:rsidRPr="00B45F94">
              <w:t>Summary of proposal:</w:t>
            </w:r>
          </w:p>
        </w:tc>
        <w:tc>
          <w:tcPr>
            <w:tcW w:w="3191" w:type="pct"/>
          </w:tcPr>
          <w:p w:rsidR="00B606B2" w:rsidRDefault="00B606B2" w:rsidP="00F7554A">
            <w:pPr>
              <w:pStyle w:val="PullOutBoxBodyText"/>
            </w:pPr>
            <w:r>
              <w:t>The proposal would establish an Infrastructure Investment Fund (IIF), capitalised with the existing $3.6 billion allocated to the Building Australia Fund (BAF) (injection in 2017-18), and additional capital injections in the following manner:</w:t>
            </w:r>
          </w:p>
          <w:p w:rsidR="00B606B2" w:rsidRDefault="00B606B2" w:rsidP="00F7554A">
            <w:pPr>
              <w:pStyle w:val="PullOutBoxBullet"/>
            </w:pPr>
            <w:r>
              <w:t>$2.0 billion on 1 July 2017</w:t>
            </w:r>
          </w:p>
          <w:p w:rsidR="00B606B2" w:rsidRDefault="00B606B2" w:rsidP="00F7554A">
            <w:pPr>
              <w:pStyle w:val="PullOutBoxBullet"/>
            </w:pPr>
            <w:r>
              <w:t>$2.0 billion on 1 July 2018</w:t>
            </w:r>
          </w:p>
          <w:p w:rsidR="00B606B2" w:rsidRDefault="00B606B2" w:rsidP="00F7554A">
            <w:pPr>
              <w:pStyle w:val="PullOutBoxBullet"/>
            </w:pPr>
            <w:r>
              <w:t>$2.4 billion on 1 July 2019.</w:t>
            </w:r>
          </w:p>
          <w:p w:rsidR="00B606B2" w:rsidRDefault="00B606B2" w:rsidP="00F7554A">
            <w:pPr>
              <w:pStyle w:val="PullOutBoxBodyText"/>
            </w:pPr>
            <w:r>
              <w:t>The IIF would have a mandate consistent with the Clean Energy Finance Corporation (CEFC), as announced in the 2011-12 Mid-Year Economic and Fiscal Outlook (MYEFO) (with the exception of the grant provision), however the interest rate and loan terms would be as per the Northern Australia Infrastructure Facility (NAIF) as announced in the 2015-16 Budget.</w:t>
            </w:r>
          </w:p>
          <w:p w:rsidR="00B606B2" w:rsidRDefault="00B606B2" w:rsidP="00F7554A">
            <w:pPr>
              <w:pStyle w:val="PullOutBoxBodyText"/>
            </w:pPr>
            <w:r>
              <w:t>The IIF would be administered by Infrastructure Australia.</w:t>
            </w:r>
          </w:p>
          <w:p w:rsidR="00B606B2" w:rsidRPr="00B45F94" w:rsidRDefault="00B606B2" w:rsidP="00F7554A">
            <w:pPr>
              <w:pStyle w:val="PullOutBoxBodyText"/>
            </w:pPr>
            <w:r>
              <w:t>The proposal would have effect from 1 July 2017.</w:t>
            </w:r>
          </w:p>
        </w:tc>
      </w:tr>
      <w:tr w:rsidR="00B606B2" w:rsidRPr="00B45F94" w:rsidTr="00F7554A">
        <w:tc>
          <w:tcPr>
            <w:tcW w:w="1809" w:type="pct"/>
          </w:tcPr>
          <w:p w:rsidR="00B606B2" w:rsidRPr="00B45F94" w:rsidRDefault="00B606B2" w:rsidP="00F7554A">
            <w:pPr>
              <w:pStyle w:val="PullOutBoxBodyText"/>
            </w:pPr>
            <w:r>
              <w:t>Party:</w:t>
            </w:r>
          </w:p>
        </w:tc>
        <w:tc>
          <w:tcPr>
            <w:tcW w:w="3191" w:type="pct"/>
          </w:tcPr>
          <w:p w:rsidR="00B606B2" w:rsidRPr="00B45F94" w:rsidRDefault="00B606B2" w:rsidP="00F7554A">
            <w:pPr>
              <w:pStyle w:val="PullOutBoxBodyText"/>
            </w:pPr>
            <w:r>
              <w:t>Australian Labor Party</w:t>
            </w:r>
          </w:p>
        </w:tc>
      </w:tr>
      <w:tr w:rsidR="00B606B2" w:rsidRPr="00B45F94" w:rsidTr="00F7554A">
        <w:tc>
          <w:tcPr>
            <w:tcW w:w="1809" w:type="pct"/>
          </w:tcPr>
          <w:p w:rsidR="00B606B2" w:rsidRPr="00B45F94" w:rsidRDefault="00B606B2" w:rsidP="00F7554A">
            <w:pPr>
              <w:pStyle w:val="PullOutBoxBodyText"/>
            </w:pPr>
            <w:r w:rsidRPr="00B45F94">
              <w:t>Expiry date for the costing:</w:t>
            </w:r>
          </w:p>
        </w:tc>
        <w:tc>
          <w:tcPr>
            <w:tcW w:w="3191" w:type="pct"/>
          </w:tcPr>
          <w:p w:rsidR="00B606B2" w:rsidRPr="00B45F94" w:rsidRDefault="00B606B2" w:rsidP="00F7554A">
            <w:pPr>
              <w:pStyle w:val="PullOutBoxBodyText"/>
            </w:pPr>
            <w:r>
              <w:t>Release of the next economic and fiscal update</w:t>
            </w:r>
          </w:p>
        </w:tc>
      </w:tr>
    </w:tbl>
    <w:p w:rsidR="00B606B2" w:rsidRDefault="00B606B2" w:rsidP="00B606B2">
      <w:pPr>
        <w:pStyle w:val="CostingsH7"/>
      </w:pPr>
      <w:r w:rsidRPr="00BF1EE6">
        <w:t>Costing overview</w:t>
      </w:r>
    </w:p>
    <w:p w:rsidR="00B606B2" w:rsidRDefault="00B606B2" w:rsidP="00B606B2">
      <w:pPr>
        <w:pStyle w:val="BodyText"/>
      </w:pPr>
      <w:r>
        <w:t xml:space="preserve">As advised by the Department of Finance (see </w:t>
      </w:r>
      <w:r w:rsidRPr="00A0270F">
        <w:rPr>
          <w:i/>
        </w:rPr>
        <w:t>Data sources</w:t>
      </w:r>
      <w:r>
        <w:t>), the remaining uncommitted capital funding at 1 July 2017 from the BAF is $3,254 million, none of which has been budgeted as expenditure.  The reallocation of uncommitted BAF capital to establish the new IIF would not impact on the Budget until loans were issued by the IIF.</w:t>
      </w:r>
    </w:p>
    <w:p w:rsidR="00B606B2" w:rsidRDefault="00B606B2" w:rsidP="00B606B2">
      <w:pPr>
        <w:pStyle w:val="BodyText"/>
      </w:pPr>
      <w:r>
        <w:t>This proposal would be expected to decrease the fiscal balance by $760 million, increase the underlying cash balance by $190 million and decrease the headline cash balance by $2,650 million over the 2016-17 Budget forward estimates period.</w:t>
      </w:r>
    </w:p>
    <w:p w:rsidR="00B606B2" w:rsidRDefault="00B606B2" w:rsidP="00B606B2">
      <w:pPr>
        <w:pStyle w:val="BodyText"/>
      </w:pPr>
      <w:r>
        <w:t xml:space="preserve">The </w:t>
      </w:r>
      <w:r w:rsidRPr="00A0270F">
        <w:rPr>
          <w:i/>
        </w:rPr>
        <w:t>Methodology</w:t>
      </w:r>
      <w:r>
        <w:t xml:space="preserve"> section provides information on how the impacts on each budget balance were calculated.  As the proposal affects financial asset transactions, the public debt interest (PDI) impact of the proposal has been included in this costing.</w:t>
      </w:r>
    </w:p>
    <w:p w:rsidR="00B606B2" w:rsidRDefault="00B606B2" w:rsidP="00B606B2">
      <w:pPr>
        <w:pStyle w:val="BodyText"/>
      </w:pPr>
      <w:r>
        <w:t xml:space="preserve">The proposal would have an impact beyond the forward estimates and the financial impacts for the period 2016-17 to 2026-27 are provided at </w:t>
      </w:r>
      <w:r w:rsidRPr="00A0270F">
        <w:rPr>
          <w:u w:val="single"/>
        </w:rPr>
        <w:t>Attachment A</w:t>
      </w:r>
      <w:r>
        <w:t xml:space="preserve"> and a disaggregation of the impacts is provided at </w:t>
      </w:r>
      <w:r w:rsidRPr="00A0270F">
        <w:rPr>
          <w:u w:val="single"/>
        </w:rPr>
        <w:t>Attachment B</w:t>
      </w:r>
      <w:r>
        <w:t>.</w:t>
      </w:r>
    </w:p>
    <w:p w:rsidR="00B606B2" w:rsidRPr="00A0270F" w:rsidRDefault="00B606B2" w:rsidP="00B606B2">
      <w:pPr>
        <w:pStyle w:val="BodyText"/>
      </w:pPr>
      <w:r>
        <w:t>This costing is considered to be of low reliability as there is uncertainty around the availability and timing of appropriate projects that would be eligible for financing from the IIF.  Further, as the NAIF is yet to commence, the terms of issuance of loans under the NAIF are yet to be finalised and may differ from arrangements assumed for the purposes of this costing.</w:t>
      </w:r>
    </w:p>
    <w:p w:rsidR="00B606B2" w:rsidRDefault="00B606B2" w:rsidP="00B606B2">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B606B2"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B606B2" w:rsidRPr="00D264E1" w:rsidRDefault="00B606B2" w:rsidP="00F7554A">
            <w:pPr>
              <w:pStyle w:val="TableHeading"/>
            </w:pPr>
            <w:r>
              <w:t>Impact on ($m)</w:t>
            </w:r>
          </w:p>
        </w:tc>
        <w:tc>
          <w:tcPr>
            <w:tcW w:w="721" w:type="pct"/>
            <w:vAlign w:val="center"/>
          </w:tcPr>
          <w:p w:rsidR="00B606B2" w:rsidRPr="00FC1F1C" w:rsidRDefault="00B606B2" w:rsidP="00F7554A">
            <w:pPr>
              <w:pStyle w:val="TableHeadingRight"/>
            </w:pPr>
            <w:r>
              <w:t>2016–17</w:t>
            </w:r>
          </w:p>
        </w:tc>
        <w:tc>
          <w:tcPr>
            <w:tcW w:w="721" w:type="pct"/>
            <w:vAlign w:val="center"/>
          </w:tcPr>
          <w:p w:rsidR="00B606B2" w:rsidRPr="00FC1F1C" w:rsidRDefault="00B606B2" w:rsidP="00F7554A">
            <w:pPr>
              <w:pStyle w:val="TableHeadingRight"/>
            </w:pPr>
            <w:r>
              <w:t>2017–18</w:t>
            </w:r>
          </w:p>
        </w:tc>
        <w:tc>
          <w:tcPr>
            <w:tcW w:w="722" w:type="pct"/>
            <w:vAlign w:val="center"/>
          </w:tcPr>
          <w:p w:rsidR="00B606B2" w:rsidRPr="00FC1F1C" w:rsidRDefault="00B606B2" w:rsidP="00F7554A">
            <w:pPr>
              <w:pStyle w:val="TableHeadingRight"/>
            </w:pPr>
            <w:r>
              <w:t>2018–19</w:t>
            </w:r>
          </w:p>
        </w:tc>
        <w:tc>
          <w:tcPr>
            <w:tcW w:w="721" w:type="pct"/>
            <w:vAlign w:val="center"/>
          </w:tcPr>
          <w:p w:rsidR="00B606B2" w:rsidRPr="00FC1F1C" w:rsidRDefault="00B606B2" w:rsidP="00F7554A">
            <w:pPr>
              <w:pStyle w:val="TableHeadingRight"/>
            </w:pPr>
            <w:r>
              <w:t>2019–20</w:t>
            </w:r>
          </w:p>
        </w:tc>
        <w:tc>
          <w:tcPr>
            <w:tcW w:w="722" w:type="pct"/>
            <w:vAlign w:val="center"/>
          </w:tcPr>
          <w:p w:rsidR="00B606B2" w:rsidRPr="00FC1F1C" w:rsidRDefault="00B606B2" w:rsidP="00F7554A">
            <w:pPr>
              <w:pStyle w:val="TableHeadingRight"/>
              <w:rPr>
                <w:b/>
              </w:rPr>
            </w:pPr>
            <w:r w:rsidRPr="00FC1F1C">
              <w:t>Total</w:t>
            </w:r>
          </w:p>
        </w:tc>
      </w:tr>
      <w:tr w:rsidR="00B606B2" w:rsidTr="00F7554A">
        <w:tc>
          <w:tcPr>
            <w:tcW w:w="1393" w:type="pct"/>
            <w:vAlign w:val="center"/>
          </w:tcPr>
          <w:p w:rsidR="00B606B2" w:rsidRDefault="00B606B2" w:rsidP="00F7554A">
            <w:pPr>
              <w:pStyle w:val="TableText"/>
            </w:pPr>
            <w:r>
              <w:t>Fiscal balance</w:t>
            </w:r>
          </w:p>
        </w:tc>
        <w:tc>
          <w:tcPr>
            <w:tcW w:w="721" w:type="pct"/>
            <w:vAlign w:val="center"/>
          </w:tcPr>
          <w:p w:rsidR="00B606B2" w:rsidRPr="00215D77" w:rsidRDefault="00B606B2" w:rsidP="00F7554A">
            <w:pPr>
              <w:pStyle w:val="TableTextRight"/>
            </w:pPr>
            <w:r w:rsidRPr="00215D77">
              <w:t>-</w:t>
            </w:r>
          </w:p>
        </w:tc>
        <w:tc>
          <w:tcPr>
            <w:tcW w:w="721" w:type="pct"/>
            <w:vAlign w:val="center"/>
          </w:tcPr>
          <w:p w:rsidR="00B606B2" w:rsidRPr="00215D77" w:rsidRDefault="00B606B2" w:rsidP="00F7554A">
            <w:pPr>
              <w:pStyle w:val="TableTextRight"/>
            </w:pPr>
            <w:r>
              <w:t>-400</w:t>
            </w:r>
          </w:p>
        </w:tc>
        <w:tc>
          <w:tcPr>
            <w:tcW w:w="722" w:type="pct"/>
            <w:vAlign w:val="center"/>
          </w:tcPr>
          <w:p w:rsidR="00B606B2" w:rsidRPr="00215D77" w:rsidRDefault="00B606B2" w:rsidP="00F7554A">
            <w:pPr>
              <w:pStyle w:val="TableTextRight"/>
            </w:pPr>
            <w:r w:rsidRPr="00215D77">
              <w:t>-110</w:t>
            </w:r>
          </w:p>
        </w:tc>
        <w:tc>
          <w:tcPr>
            <w:tcW w:w="721" w:type="pct"/>
            <w:vAlign w:val="center"/>
          </w:tcPr>
          <w:p w:rsidR="00B606B2" w:rsidRPr="00215D77" w:rsidRDefault="00B606B2" w:rsidP="00F7554A">
            <w:pPr>
              <w:pStyle w:val="TableTextRight"/>
            </w:pPr>
            <w:r w:rsidRPr="00215D77">
              <w:t>-250</w:t>
            </w:r>
          </w:p>
        </w:tc>
        <w:tc>
          <w:tcPr>
            <w:tcW w:w="722" w:type="pct"/>
            <w:vAlign w:val="center"/>
          </w:tcPr>
          <w:p w:rsidR="00B606B2" w:rsidRPr="00215D77" w:rsidRDefault="00B606B2" w:rsidP="00F7554A">
            <w:pPr>
              <w:pStyle w:val="TableTextRight"/>
              <w:rPr>
                <w:b/>
              </w:rPr>
            </w:pPr>
            <w:r w:rsidRPr="00215D77">
              <w:rPr>
                <w:b/>
              </w:rPr>
              <w:t>-760</w:t>
            </w:r>
          </w:p>
        </w:tc>
      </w:tr>
      <w:tr w:rsidR="00B606B2" w:rsidTr="00F7554A">
        <w:tc>
          <w:tcPr>
            <w:tcW w:w="1393" w:type="pct"/>
            <w:vAlign w:val="center"/>
          </w:tcPr>
          <w:p w:rsidR="00B606B2" w:rsidRDefault="00B606B2" w:rsidP="00F7554A">
            <w:pPr>
              <w:pStyle w:val="TableText"/>
            </w:pPr>
            <w:r>
              <w:t>Underlying cash balance</w:t>
            </w:r>
          </w:p>
        </w:tc>
        <w:tc>
          <w:tcPr>
            <w:tcW w:w="721" w:type="pct"/>
            <w:vAlign w:val="center"/>
          </w:tcPr>
          <w:p w:rsidR="00B606B2" w:rsidRPr="00B602EC" w:rsidRDefault="00B606B2" w:rsidP="00F7554A">
            <w:pPr>
              <w:pStyle w:val="TableTextRight"/>
            </w:pPr>
            <w:r w:rsidRPr="00E31DD4">
              <w:t>-</w:t>
            </w:r>
          </w:p>
        </w:tc>
        <w:tc>
          <w:tcPr>
            <w:tcW w:w="721" w:type="pct"/>
            <w:vAlign w:val="center"/>
          </w:tcPr>
          <w:p w:rsidR="00B606B2" w:rsidRPr="00215D77" w:rsidRDefault="00B606B2" w:rsidP="00F7554A">
            <w:pPr>
              <w:pStyle w:val="TableTextRight"/>
            </w:pPr>
            <w:r w:rsidRPr="001B2F8D">
              <w:t>50</w:t>
            </w:r>
          </w:p>
        </w:tc>
        <w:tc>
          <w:tcPr>
            <w:tcW w:w="722" w:type="pct"/>
            <w:vAlign w:val="center"/>
          </w:tcPr>
          <w:p w:rsidR="00B606B2" w:rsidRPr="00215D77" w:rsidRDefault="00B606B2" w:rsidP="00F7554A">
            <w:pPr>
              <w:pStyle w:val="TableTextRight"/>
            </w:pPr>
            <w:r w:rsidRPr="00215D77">
              <w:t>50</w:t>
            </w:r>
          </w:p>
        </w:tc>
        <w:tc>
          <w:tcPr>
            <w:tcW w:w="721" w:type="pct"/>
            <w:vAlign w:val="center"/>
          </w:tcPr>
          <w:p w:rsidR="00B606B2" w:rsidRPr="00215D77" w:rsidRDefault="00B606B2" w:rsidP="00F7554A">
            <w:pPr>
              <w:pStyle w:val="TableTextRight"/>
            </w:pPr>
            <w:r w:rsidRPr="00215D77">
              <w:t>90</w:t>
            </w:r>
          </w:p>
        </w:tc>
        <w:tc>
          <w:tcPr>
            <w:tcW w:w="722" w:type="pct"/>
            <w:vAlign w:val="center"/>
          </w:tcPr>
          <w:p w:rsidR="00B606B2" w:rsidRPr="00215D77" w:rsidRDefault="00B606B2" w:rsidP="00F7554A">
            <w:pPr>
              <w:pStyle w:val="TableTextRight"/>
              <w:rPr>
                <w:b/>
              </w:rPr>
            </w:pPr>
            <w:r>
              <w:rPr>
                <w:b/>
              </w:rPr>
              <w:t>190</w:t>
            </w:r>
          </w:p>
        </w:tc>
      </w:tr>
      <w:tr w:rsidR="00B606B2" w:rsidTr="00F7554A">
        <w:tc>
          <w:tcPr>
            <w:tcW w:w="1393" w:type="pct"/>
            <w:vAlign w:val="center"/>
          </w:tcPr>
          <w:p w:rsidR="00B606B2" w:rsidRDefault="00B606B2" w:rsidP="00F7554A">
            <w:pPr>
              <w:pStyle w:val="TableText"/>
            </w:pPr>
            <w:r>
              <w:t>Headline cash balance</w:t>
            </w:r>
          </w:p>
        </w:tc>
        <w:tc>
          <w:tcPr>
            <w:tcW w:w="721" w:type="pct"/>
            <w:vAlign w:val="center"/>
          </w:tcPr>
          <w:p w:rsidR="00B606B2" w:rsidRPr="00215D77" w:rsidRDefault="00B606B2" w:rsidP="00F7554A">
            <w:pPr>
              <w:pStyle w:val="TableTextRight"/>
            </w:pPr>
            <w:r w:rsidRPr="00215D77">
              <w:t>-</w:t>
            </w:r>
          </w:p>
        </w:tc>
        <w:tc>
          <w:tcPr>
            <w:tcW w:w="721" w:type="pct"/>
            <w:vAlign w:val="center"/>
          </w:tcPr>
          <w:p w:rsidR="00B606B2" w:rsidRPr="00215D77" w:rsidRDefault="00B606B2" w:rsidP="00F7554A">
            <w:pPr>
              <w:pStyle w:val="TableTextRight"/>
            </w:pPr>
            <w:r>
              <w:t>-1,270</w:t>
            </w:r>
          </w:p>
        </w:tc>
        <w:tc>
          <w:tcPr>
            <w:tcW w:w="722" w:type="pct"/>
            <w:vAlign w:val="center"/>
          </w:tcPr>
          <w:p w:rsidR="00B606B2" w:rsidRPr="00215D77" w:rsidRDefault="00B606B2" w:rsidP="00F7554A">
            <w:pPr>
              <w:pStyle w:val="TableTextRight"/>
            </w:pPr>
            <w:r w:rsidRPr="00215D77">
              <w:t>-440</w:t>
            </w:r>
          </w:p>
        </w:tc>
        <w:tc>
          <w:tcPr>
            <w:tcW w:w="721" w:type="pct"/>
            <w:vAlign w:val="center"/>
          </w:tcPr>
          <w:p w:rsidR="00B606B2" w:rsidRPr="00215D77" w:rsidRDefault="00B606B2" w:rsidP="00F7554A">
            <w:pPr>
              <w:pStyle w:val="TableTextRight"/>
            </w:pPr>
            <w:r w:rsidRPr="00215D77">
              <w:t>-940</w:t>
            </w:r>
          </w:p>
        </w:tc>
        <w:tc>
          <w:tcPr>
            <w:tcW w:w="722" w:type="pct"/>
            <w:vAlign w:val="center"/>
          </w:tcPr>
          <w:p w:rsidR="00B606B2" w:rsidRPr="00215D77" w:rsidRDefault="00B606B2" w:rsidP="00F7554A">
            <w:pPr>
              <w:pStyle w:val="TableTextRight"/>
              <w:rPr>
                <w:b/>
              </w:rPr>
            </w:pPr>
            <w:r w:rsidRPr="00215D77">
              <w:rPr>
                <w:b/>
              </w:rPr>
              <w:t>-2,650</w:t>
            </w:r>
          </w:p>
        </w:tc>
      </w:tr>
    </w:tbl>
    <w:p w:rsidR="00B606B2" w:rsidRDefault="00B606B2" w:rsidP="0037146E">
      <w:pPr>
        <w:pStyle w:val="Footnotes"/>
        <w:numPr>
          <w:ilvl w:val="0"/>
          <w:numId w:val="127"/>
        </w:numPr>
        <w:ind w:left="284" w:hanging="284"/>
      </w:pPr>
      <w:r>
        <w:t xml:space="preserve">A positive </w:t>
      </w:r>
      <w:r w:rsidRPr="00FC1F1C">
        <w:t>number indicates an increase in the relevant budget balance, a negative number a decrease.</w:t>
      </w:r>
    </w:p>
    <w:p w:rsidR="00B606B2" w:rsidRPr="000E063A" w:rsidRDefault="00B606B2" w:rsidP="0037146E">
      <w:pPr>
        <w:pStyle w:val="Footnotes"/>
        <w:ind w:left="284" w:hanging="284"/>
        <w:rPr>
          <w:rStyle w:val="FootnoteReference"/>
          <w:vertAlign w:val="baseline"/>
        </w:rPr>
      </w:pPr>
      <w:r w:rsidRPr="000E063A">
        <w:t>Figures may not sum to totals due to rounding.</w:t>
      </w:r>
      <w:r w:rsidR="001C08CC">
        <w:t xml:space="preserve"> – Indicates nil.</w:t>
      </w:r>
    </w:p>
    <w:p w:rsidR="00B606B2" w:rsidRDefault="00B606B2" w:rsidP="00B606B2">
      <w:pPr>
        <w:pStyle w:val="CostingsH7"/>
      </w:pPr>
      <w:r>
        <w:t>Key assumptions</w:t>
      </w:r>
    </w:p>
    <w:p w:rsidR="00B606B2" w:rsidRDefault="00B606B2" w:rsidP="00B606B2">
      <w:pPr>
        <w:pStyle w:val="BodyText"/>
      </w:pPr>
      <w:r>
        <w:t>It has been assumed that:</w:t>
      </w:r>
    </w:p>
    <w:p w:rsidR="00B606B2" w:rsidRDefault="00B606B2" w:rsidP="00B606B2">
      <w:pPr>
        <w:pStyle w:val="ListBullet"/>
      </w:pPr>
      <w:r>
        <w:t>consistent with the policy specification, the terms under which loans are to be issued, including the concessional rate of interest and the loan period (excluding the interest free period), are to reflect those used for the NAIF</w:t>
      </w:r>
    </w:p>
    <w:p w:rsidR="00B606B2" w:rsidRDefault="00B606B2" w:rsidP="00B606B2">
      <w:pPr>
        <w:pStyle w:val="ListBullet"/>
      </w:pPr>
      <w:r>
        <w:t>as per the CEFC, IIF funds would not be drawn down from the Consolidated Revenue Fund until loans are to be provided</w:t>
      </w:r>
    </w:p>
    <w:p w:rsidR="00B606B2" w:rsidRPr="006456BD" w:rsidRDefault="00B606B2" w:rsidP="00B606B2">
      <w:pPr>
        <w:pStyle w:val="ListBullet"/>
      </w:pPr>
      <w:r>
        <w:t>the profile for the provision of loans for projects would mirror the timing of funding provided for projects under the BAF.</w:t>
      </w:r>
    </w:p>
    <w:p w:rsidR="00B606B2" w:rsidRDefault="00B606B2" w:rsidP="00B606B2">
      <w:pPr>
        <w:pStyle w:val="CostingsH7"/>
      </w:pPr>
      <w:r>
        <w:t>Methodology</w:t>
      </w:r>
    </w:p>
    <w:p w:rsidR="00B606B2" w:rsidRDefault="00B606B2" w:rsidP="00B606B2">
      <w:pPr>
        <w:pStyle w:val="BodyText"/>
      </w:pPr>
      <w:r>
        <w:t>A concessional loan model was developed, based on the Department of Finance Accounting for Concessional Loans policy guidelines (see Data sources), to cost the impact of loans under the IIF on administered expenditure and revenue.  The IIF loan specifications were based on loan terms and the concessional interest rate as per modelli</w:t>
      </w:r>
      <w:r w:rsidR="006E7A9D">
        <w:t>ng undertaken for the NAIF 2015</w:t>
      </w:r>
      <w:r w:rsidR="006E7A9D">
        <w:noBreakHyphen/>
      </w:r>
      <w:r>
        <w:t>16 Budget measure (excluding the interest-free period) and the timing of the provision of loans based on the expenditure profile of the BAF.</w:t>
      </w:r>
    </w:p>
    <w:p w:rsidR="00B606B2" w:rsidRDefault="00B606B2" w:rsidP="00B606B2">
      <w:pPr>
        <w:pStyle w:val="BodyText"/>
      </w:pPr>
      <w:r>
        <w:t>The impact on departmental expenses for Infrastructure Australia was based on departmental funding for similar activities.</w:t>
      </w:r>
    </w:p>
    <w:p w:rsidR="00B606B2" w:rsidRDefault="00B606B2" w:rsidP="00B606B2">
      <w:pPr>
        <w:pStyle w:val="BodyText"/>
      </w:pPr>
      <w:r>
        <w:t>The financial implications of the concessional financing facility were estimated by applying the standard treatment for estimating the cost of concessional loans, including PDI costs.</w:t>
      </w:r>
    </w:p>
    <w:p w:rsidR="00B606B2" w:rsidRDefault="00B606B2" w:rsidP="005E628D">
      <w:pPr>
        <w:pStyle w:val="BodyText"/>
        <w:keepNext/>
        <w:keepLines/>
      </w:pPr>
      <w:r>
        <w:t>The fiscal balance impact for each year is:</w:t>
      </w:r>
    </w:p>
    <w:p w:rsidR="00B606B2" w:rsidRDefault="00B606B2" w:rsidP="00B606B2">
      <w:pPr>
        <w:pStyle w:val="ListBullet"/>
      </w:pPr>
      <w:r>
        <w:t>the departmental costs (negative impact)</w:t>
      </w:r>
    </w:p>
    <w:p w:rsidR="00B606B2" w:rsidRDefault="00B606B2" w:rsidP="00B606B2">
      <w:pPr>
        <w:pStyle w:val="ListBullet"/>
      </w:pPr>
      <w:r>
        <w:t>interest revenue that accrues (positive impact)</w:t>
      </w:r>
    </w:p>
    <w:p w:rsidR="00B606B2" w:rsidRDefault="00B606B2" w:rsidP="00B606B2">
      <w:pPr>
        <w:pStyle w:val="ListBullet"/>
      </w:pPr>
      <w:r>
        <w:t>the concessional loan discount expense (negative impact)</w:t>
      </w:r>
    </w:p>
    <w:p w:rsidR="00B606B2" w:rsidRDefault="00B606B2" w:rsidP="00B606B2">
      <w:pPr>
        <w:pStyle w:val="ListBullet"/>
      </w:pPr>
      <w:r>
        <w:t>the unwinding of the concessional loan discount expense (positive impact)</w:t>
      </w:r>
    </w:p>
    <w:p w:rsidR="00B606B2" w:rsidRDefault="00B606B2" w:rsidP="00B606B2">
      <w:pPr>
        <w:pStyle w:val="ListBullet"/>
      </w:pPr>
      <w:r>
        <w:t>the PDI/financing cost (negative impact).</w:t>
      </w:r>
    </w:p>
    <w:p w:rsidR="00B606B2" w:rsidRDefault="00B606B2" w:rsidP="00B606B2">
      <w:pPr>
        <w:pStyle w:val="BodyText"/>
      </w:pPr>
      <w:r>
        <w:t>The underlying cash balance impact for each year is:</w:t>
      </w:r>
    </w:p>
    <w:p w:rsidR="00B606B2" w:rsidRDefault="00B606B2" w:rsidP="00B606B2">
      <w:pPr>
        <w:pStyle w:val="ListBullet"/>
      </w:pPr>
      <w:r>
        <w:t>the departmental costs (negative impact)</w:t>
      </w:r>
    </w:p>
    <w:p w:rsidR="00B606B2" w:rsidRDefault="00B606B2" w:rsidP="00B606B2">
      <w:pPr>
        <w:pStyle w:val="ListBullet"/>
      </w:pPr>
      <w:r>
        <w:t>interest receipts received by the Government from loan recipients (positive impact)</w:t>
      </w:r>
    </w:p>
    <w:p w:rsidR="00B606B2" w:rsidRDefault="00B606B2" w:rsidP="00B606B2">
      <w:pPr>
        <w:pStyle w:val="ListBullet"/>
      </w:pPr>
      <w:r>
        <w:t>the PDI/financing cost (negative impact).</w:t>
      </w:r>
    </w:p>
    <w:p w:rsidR="00B606B2" w:rsidRDefault="00B606B2" w:rsidP="00B606B2">
      <w:pPr>
        <w:pStyle w:val="BodyText"/>
      </w:pPr>
      <w:r>
        <w:t>The headline cash balance impact for each year is:</w:t>
      </w:r>
    </w:p>
    <w:p w:rsidR="00B606B2" w:rsidRDefault="00B606B2" w:rsidP="00B606B2">
      <w:pPr>
        <w:pStyle w:val="ListBullet"/>
      </w:pPr>
      <w:r>
        <w:t>the departmental costs (negative impact)</w:t>
      </w:r>
    </w:p>
    <w:p w:rsidR="00B606B2" w:rsidRDefault="00B606B2" w:rsidP="00B606B2">
      <w:pPr>
        <w:pStyle w:val="ListBullet"/>
      </w:pPr>
      <w:r>
        <w:t>the loan principal advanced under the financing facility (negative impact)</w:t>
      </w:r>
    </w:p>
    <w:p w:rsidR="00B606B2" w:rsidRDefault="00B606B2" w:rsidP="00B606B2">
      <w:pPr>
        <w:pStyle w:val="ListBullet"/>
      </w:pPr>
      <w:r>
        <w:t>interest receipts received by the Government from loan recipients (positive impact)</w:t>
      </w:r>
    </w:p>
    <w:p w:rsidR="00B606B2" w:rsidRDefault="00B606B2" w:rsidP="00B606B2">
      <w:pPr>
        <w:pStyle w:val="ListBullet"/>
      </w:pPr>
      <w:r>
        <w:t>loan repayments (positive impact)</w:t>
      </w:r>
    </w:p>
    <w:p w:rsidR="00B606B2" w:rsidRDefault="00B606B2" w:rsidP="00B606B2">
      <w:pPr>
        <w:pStyle w:val="ListBullet"/>
      </w:pPr>
      <w:r>
        <w:t>the PDI/financing cost (negative impact).</w:t>
      </w:r>
    </w:p>
    <w:p w:rsidR="00B606B2" w:rsidRPr="006456BD" w:rsidRDefault="00B606B2" w:rsidP="00B606B2">
      <w:pPr>
        <w:pStyle w:val="BodyText"/>
      </w:pPr>
      <w:r>
        <w:t>Estimates are rounded to the nearest $10 million.</w:t>
      </w:r>
    </w:p>
    <w:p w:rsidR="00B606B2" w:rsidRDefault="00B606B2" w:rsidP="00B606B2">
      <w:pPr>
        <w:pStyle w:val="CostingsH7"/>
      </w:pPr>
      <w:r>
        <w:t>Data sources</w:t>
      </w:r>
    </w:p>
    <w:p w:rsidR="00B606B2" w:rsidRDefault="00B606B2" w:rsidP="00B606B2">
      <w:pPr>
        <w:pStyle w:val="BodyText"/>
      </w:pPr>
      <w:r>
        <w:t xml:space="preserve">The Department of the Treasury provided the 2015-16 Budget measure, </w:t>
      </w:r>
      <w:r w:rsidRPr="00DA43CB">
        <w:rPr>
          <w:i/>
        </w:rPr>
        <w:t>Developing Northern Australia - Northern Australia Infrastructure Facility</w:t>
      </w:r>
      <w:r>
        <w:t xml:space="preserve"> costing model.</w:t>
      </w:r>
    </w:p>
    <w:p w:rsidR="00B606B2" w:rsidRDefault="00B606B2" w:rsidP="00B606B2">
      <w:pPr>
        <w:pStyle w:val="BodyText"/>
      </w:pPr>
      <w:r>
        <w:t>The Department of Finance advised that $3,254 million of BAF capital is expected to be uncommitted at 1 July 2017.</w:t>
      </w:r>
    </w:p>
    <w:p w:rsidR="00B606B2" w:rsidRDefault="004125B6" w:rsidP="00B606B2">
      <w:pPr>
        <w:pStyle w:val="BodyText"/>
      </w:pPr>
      <w:r w:rsidRPr="00FE1233">
        <w:rPr>
          <w:rStyle w:val="Italics"/>
          <w:i w:val="0"/>
        </w:rPr>
        <w:t xml:space="preserve">Department of Finance, </w:t>
      </w:r>
      <w:r w:rsidRPr="00E74927">
        <w:rPr>
          <w:rStyle w:val="Italics"/>
        </w:rPr>
        <w:t>Resource Management Guide No. 115 Accounting for concessional</w:t>
      </w:r>
      <w:r w:rsidRPr="00E74927">
        <w:t xml:space="preserve"> loans</w:t>
      </w:r>
      <w:r>
        <w:t xml:space="preserve">, available at: </w:t>
      </w:r>
      <w:hyperlink r:id="rId152" w:history="1">
        <w:r w:rsidR="00B606B2" w:rsidRPr="00F4241B">
          <w:rPr>
            <w:rStyle w:val="Hyperlink"/>
          </w:rPr>
          <w:t>http://www.finance.gov.au/resource-management/reporting-accounting/accounting-guidance/</w:t>
        </w:r>
      </w:hyperlink>
      <w:r w:rsidR="00B606B2">
        <w:t>.</w:t>
      </w:r>
    </w:p>
    <w:p w:rsidR="00B606B2" w:rsidRDefault="00B606B2" w:rsidP="00B606B2">
      <w:pPr>
        <w:pStyle w:val="BodyText"/>
        <w:sectPr w:rsidR="00B606B2" w:rsidSect="00967BCD">
          <w:footnotePr>
            <w:numRestart w:val="eachSect"/>
          </w:footnotePr>
          <w:pgSz w:w="11906" w:h="16838" w:code="9"/>
          <w:pgMar w:top="1361" w:right="1797" w:bottom="1474" w:left="1797" w:header="283" w:footer="454" w:gutter="0"/>
          <w:cols w:space="708"/>
          <w:docGrid w:linePitch="360"/>
        </w:sectPr>
      </w:pPr>
    </w:p>
    <w:p w:rsidR="00B606B2" w:rsidRDefault="00B606B2" w:rsidP="00B606B2">
      <w:pPr>
        <w:pStyle w:val="Heading6"/>
        <w:numPr>
          <w:ilvl w:val="0"/>
          <w:numId w:val="10"/>
        </w:numPr>
        <w:tabs>
          <w:tab w:val="right" w:pos="1418"/>
          <w:tab w:val="right" w:pos="1701"/>
          <w:tab w:val="right" w:pos="1985"/>
        </w:tabs>
      </w:pPr>
      <w:r>
        <w:t>Attachment A: Infrastructure Financing Facility—</w:t>
      </w:r>
      <w:r w:rsidR="0080154C">
        <w:t>financial implications</w:t>
      </w:r>
    </w:p>
    <w:p w:rsidR="00B606B2" w:rsidRPr="00DA43CB" w:rsidRDefault="00B606B2" w:rsidP="00B606B2">
      <w:pPr>
        <w:pStyle w:val="Caption"/>
      </w:pPr>
      <w:r w:rsidRPr="002B36F1">
        <w:t xml:space="preserve">Table </w:t>
      </w:r>
      <w:r>
        <w:t>A1</w:t>
      </w:r>
      <w:r w:rsidRPr="002B36F1">
        <w:t>:</w:t>
      </w:r>
      <w:r>
        <w:t xml:space="preserve"> Infrastructure Financing Facility—</w:t>
      </w:r>
      <w:r w:rsidR="0080154C">
        <w:t>Financial implications</w:t>
      </w:r>
      <w:r>
        <w:t xml:space="preserve"> (outturn prices)</w:t>
      </w:r>
      <w:r w:rsidRPr="002B36F1">
        <w:rPr>
          <w:vertAlign w:val="superscript"/>
        </w:rPr>
        <w:t>(a)(b)</w:t>
      </w:r>
      <w:r>
        <w:rPr>
          <w:vertAlign w:val="superscript"/>
        </w:rPr>
        <w:t>(c)</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B606B2"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B606B2" w:rsidRPr="007C2713" w:rsidRDefault="00B606B2" w:rsidP="00F7554A">
            <w:pPr>
              <w:pStyle w:val="TableText"/>
              <w:keepNext/>
              <w:keepLines/>
              <w:rPr>
                <w:b w:val="0"/>
              </w:rPr>
            </w:pPr>
            <w:r>
              <w:t>($)</w:t>
            </w:r>
          </w:p>
        </w:tc>
        <w:tc>
          <w:tcPr>
            <w:tcW w:w="312" w:type="pct"/>
            <w:vAlign w:val="center"/>
          </w:tcPr>
          <w:p w:rsidR="00B606B2" w:rsidRDefault="00B606B2" w:rsidP="00F7554A">
            <w:pPr>
              <w:pStyle w:val="TableTextRight"/>
              <w:keepNext/>
              <w:keepLines/>
              <w:spacing w:before="0" w:after="0" w:line="240" w:lineRule="auto"/>
              <w:ind w:left="-57" w:right="-57"/>
              <w:rPr>
                <w:b w:val="0"/>
              </w:rPr>
            </w:pPr>
            <w:r>
              <w:t>2016–17</w:t>
            </w:r>
          </w:p>
        </w:tc>
        <w:tc>
          <w:tcPr>
            <w:tcW w:w="312" w:type="pct"/>
            <w:vAlign w:val="center"/>
          </w:tcPr>
          <w:p w:rsidR="00B606B2" w:rsidRDefault="00B606B2" w:rsidP="00F7554A">
            <w:pPr>
              <w:pStyle w:val="TableTextRight"/>
              <w:keepNext/>
              <w:keepLines/>
              <w:spacing w:before="0" w:after="0" w:line="240" w:lineRule="auto"/>
              <w:ind w:left="-57" w:right="-57"/>
              <w:rPr>
                <w:b w:val="0"/>
              </w:rPr>
            </w:pPr>
            <w:r>
              <w:t>2017–18</w:t>
            </w:r>
          </w:p>
        </w:tc>
        <w:tc>
          <w:tcPr>
            <w:tcW w:w="312" w:type="pct"/>
            <w:vAlign w:val="center"/>
          </w:tcPr>
          <w:p w:rsidR="00B606B2" w:rsidRDefault="00B606B2" w:rsidP="00F7554A">
            <w:pPr>
              <w:pStyle w:val="TableTextRight"/>
              <w:keepNext/>
              <w:keepLines/>
              <w:spacing w:before="0" w:after="0" w:line="240" w:lineRule="auto"/>
              <w:ind w:left="-57" w:right="-57"/>
              <w:rPr>
                <w:b w:val="0"/>
              </w:rPr>
            </w:pPr>
            <w:r>
              <w:t>2018–19</w:t>
            </w:r>
          </w:p>
        </w:tc>
        <w:tc>
          <w:tcPr>
            <w:tcW w:w="312" w:type="pct"/>
            <w:vAlign w:val="center"/>
          </w:tcPr>
          <w:p w:rsidR="00B606B2" w:rsidRDefault="00B606B2" w:rsidP="00F7554A">
            <w:pPr>
              <w:pStyle w:val="TableTextRight"/>
              <w:keepNext/>
              <w:keepLines/>
              <w:spacing w:before="0" w:after="0" w:line="240" w:lineRule="auto"/>
              <w:ind w:left="-57" w:right="-57"/>
              <w:rPr>
                <w:b w:val="0"/>
              </w:rPr>
            </w:pPr>
            <w:r>
              <w:t>2019–20</w:t>
            </w:r>
          </w:p>
        </w:tc>
        <w:tc>
          <w:tcPr>
            <w:tcW w:w="312" w:type="pct"/>
            <w:vAlign w:val="center"/>
          </w:tcPr>
          <w:p w:rsidR="00B606B2" w:rsidRDefault="00B606B2" w:rsidP="00F7554A">
            <w:pPr>
              <w:pStyle w:val="TableTextRight"/>
              <w:keepNext/>
              <w:keepLines/>
              <w:spacing w:before="0" w:after="0" w:line="240" w:lineRule="auto"/>
              <w:ind w:left="-57" w:right="-57"/>
              <w:rPr>
                <w:b w:val="0"/>
              </w:rPr>
            </w:pPr>
            <w:r>
              <w:t>Total to 2019–20</w:t>
            </w:r>
          </w:p>
        </w:tc>
        <w:tc>
          <w:tcPr>
            <w:tcW w:w="312" w:type="pct"/>
            <w:vAlign w:val="center"/>
          </w:tcPr>
          <w:p w:rsidR="00B606B2" w:rsidRDefault="00B606B2" w:rsidP="00F7554A">
            <w:pPr>
              <w:pStyle w:val="TableTextRight"/>
              <w:keepNext/>
              <w:keepLines/>
              <w:spacing w:before="0" w:after="0" w:line="240" w:lineRule="auto"/>
              <w:ind w:left="-57" w:right="-57"/>
              <w:rPr>
                <w:b w:val="0"/>
              </w:rPr>
            </w:pPr>
            <w:r>
              <w:t>2020–21</w:t>
            </w:r>
          </w:p>
        </w:tc>
        <w:tc>
          <w:tcPr>
            <w:tcW w:w="312" w:type="pct"/>
            <w:vAlign w:val="center"/>
          </w:tcPr>
          <w:p w:rsidR="00B606B2" w:rsidRDefault="00B606B2" w:rsidP="00F7554A">
            <w:pPr>
              <w:pStyle w:val="TableTextRight"/>
              <w:keepNext/>
              <w:keepLines/>
              <w:spacing w:before="0" w:after="0" w:line="240" w:lineRule="auto"/>
              <w:ind w:left="-57" w:right="-57"/>
              <w:rPr>
                <w:b w:val="0"/>
              </w:rPr>
            </w:pPr>
            <w:r>
              <w:t>2021–22</w:t>
            </w:r>
          </w:p>
        </w:tc>
        <w:tc>
          <w:tcPr>
            <w:tcW w:w="312" w:type="pct"/>
            <w:vAlign w:val="center"/>
          </w:tcPr>
          <w:p w:rsidR="00B606B2" w:rsidRDefault="00B606B2" w:rsidP="00F7554A">
            <w:pPr>
              <w:pStyle w:val="TableTextRight"/>
              <w:keepNext/>
              <w:keepLines/>
              <w:spacing w:before="0" w:after="0" w:line="240" w:lineRule="auto"/>
              <w:ind w:left="-57" w:right="-57"/>
              <w:rPr>
                <w:b w:val="0"/>
              </w:rPr>
            </w:pPr>
            <w:r>
              <w:t>2022–23</w:t>
            </w:r>
          </w:p>
        </w:tc>
        <w:tc>
          <w:tcPr>
            <w:tcW w:w="312" w:type="pct"/>
            <w:vAlign w:val="center"/>
          </w:tcPr>
          <w:p w:rsidR="00B606B2" w:rsidRDefault="00B606B2" w:rsidP="00F7554A">
            <w:pPr>
              <w:pStyle w:val="TableTextRight"/>
              <w:keepNext/>
              <w:keepLines/>
              <w:spacing w:before="0" w:after="0" w:line="240" w:lineRule="auto"/>
              <w:ind w:left="-57" w:right="-57"/>
              <w:rPr>
                <w:b w:val="0"/>
              </w:rPr>
            </w:pPr>
            <w:r>
              <w:t>2023–24</w:t>
            </w:r>
          </w:p>
        </w:tc>
        <w:tc>
          <w:tcPr>
            <w:tcW w:w="312" w:type="pct"/>
            <w:vAlign w:val="center"/>
          </w:tcPr>
          <w:p w:rsidR="00B606B2" w:rsidRDefault="00B606B2" w:rsidP="00F7554A">
            <w:pPr>
              <w:pStyle w:val="TableTextRight"/>
              <w:keepNext/>
              <w:keepLines/>
              <w:spacing w:before="0" w:after="0" w:line="240" w:lineRule="auto"/>
              <w:ind w:left="-57" w:right="-57"/>
              <w:rPr>
                <w:b w:val="0"/>
              </w:rPr>
            </w:pPr>
            <w:r>
              <w:t>2024–25</w:t>
            </w:r>
          </w:p>
        </w:tc>
        <w:tc>
          <w:tcPr>
            <w:tcW w:w="312" w:type="pct"/>
            <w:vAlign w:val="center"/>
          </w:tcPr>
          <w:p w:rsidR="00B606B2" w:rsidRDefault="00B606B2" w:rsidP="00F7554A">
            <w:pPr>
              <w:pStyle w:val="TableTextRight"/>
              <w:keepNext/>
              <w:keepLines/>
              <w:spacing w:before="0" w:after="0" w:line="240" w:lineRule="auto"/>
              <w:ind w:left="-57" w:right="-57"/>
              <w:rPr>
                <w:b w:val="0"/>
              </w:rPr>
            </w:pPr>
            <w:r>
              <w:t>2025–26</w:t>
            </w:r>
          </w:p>
        </w:tc>
        <w:tc>
          <w:tcPr>
            <w:tcW w:w="312" w:type="pct"/>
            <w:vAlign w:val="center"/>
          </w:tcPr>
          <w:p w:rsidR="00B606B2" w:rsidRDefault="00B606B2" w:rsidP="00F7554A">
            <w:pPr>
              <w:pStyle w:val="TableTextRight"/>
              <w:keepNext/>
              <w:keepLines/>
              <w:spacing w:before="0" w:after="0" w:line="240" w:lineRule="auto"/>
              <w:ind w:left="-57" w:right="-57"/>
              <w:rPr>
                <w:b w:val="0"/>
              </w:rPr>
            </w:pPr>
            <w:r>
              <w:t>2026–27</w:t>
            </w:r>
          </w:p>
        </w:tc>
        <w:tc>
          <w:tcPr>
            <w:tcW w:w="311" w:type="pct"/>
            <w:vAlign w:val="center"/>
          </w:tcPr>
          <w:p w:rsidR="00B606B2" w:rsidRDefault="00B606B2" w:rsidP="00F7554A">
            <w:pPr>
              <w:pStyle w:val="TableTextRight"/>
              <w:keepNext/>
              <w:keepLines/>
              <w:spacing w:before="0" w:after="0" w:line="240" w:lineRule="auto"/>
              <w:ind w:left="-57" w:right="-57"/>
            </w:pPr>
            <w:r>
              <w:t>Total to 2026–27</w:t>
            </w:r>
          </w:p>
        </w:tc>
      </w:tr>
      <w:tr w:rsidR="00B606B2" w:rsidTr="00F7554A">
        <w:tc>
          <w:tcPr>
            <w:tcW w:w="945" w:type="pct"/>
            <w:vAlign w:val="center"/>
          </w:tcPr>
          <w:p w:rsidR="00B606B2" w:rsidRDefault="00B606B2" w:rsidP="00F7554A">
            <w:pPr>
              <w:pStyle w:val="TableText"/>
            </w:pPr>
            <w:r>
              <w:t>Fiscal balance</w:t>
            </w:r>
          </w:p>
        </w:tc>
        <w:tc>
          <w:tcPr>
            <w:tcW w:w="312" w:type="pct"/>
          </w:tcPr>
          <w:p w:rsidR="00B606B2" w:rsidRPr="00F56B4D" w:rsidRDefault="00B606B2" w:rsidP="00F7554A">
            <w:pPr>
              <w:pStyle w:val="TableTextRight"/>
              <w:ind w:left="-57" w:right="-57"/>
              <w:rPr>
                <w:i/>
              </w:rPr>
            </w:pPr>
            <w:r w:rsidRPr="00F56B4D">
              <w:rPr>
                <w:i/>
              </w:rPr>
              <w:t>-</w:t>
            </w:r>
          </w:p>
        </w:tc>
        <w:tc>
          <w:tcPr>
            <w:tcW w:w="312" w:type="pct"/>
          </w:tcPr>
          <w:p w:rsidR="00B606B2" w:rsidRPr="00F56B4D" w:rsidRDefault="00B606B2" w:rsidP="00F7554A">
            <w:pPr>
              <w:pStyle w:val="TableTextRight"/>
              <w:ind w:left="-57" w:right="-57"/>
              <w:rPr>
                <w:i/>
              </w:rPr>
            </w:pPr>
            <w:r w:rsidRPr="00F56B4D">
              <w:rPr>
                <w:i/>
              </w:rPr>
              <w:t>-400</w:t>
            </w:r>
          </w:p>
        </w:tc>
        <w:tc>
          <w:tcPr>
            <w:tcW w:w="312" w:type="pct"/>
          </w:tcPr>
          <w:p w:rsidR="00B606B2" w:rsidRPr="00F56B4D" w:rsidRDefault="00B606B2" w:rsidP="00F7554A">
            <w:pPr>
              <w:pStyle w:val="TableTextRight"/>
              <w:ind w:left="-57" w:right="-57"/>
              <w:rPr>
                <w:i/>
              </w:rPr>
            </w:pPr>
            <w:r w:rsidRPr="00F56B4D">
              <w:rPr>
                <w:i/>
              </w:rPr>
              <w:t>-110</w:t>
            </w:r>
          </w:p>
        </w:tc>
        <w:tc>
          <w:tcPr>
            <w:tcW w:w="312" w:type="pct"/>
          </w:tcPr>
          <w:p w:rsidR="00B606B2" w:rsidRPr="00F56B4D" w:rsidRDefault="00B606B2" w:rsidP="00F7554A">
            <w:pPr>
              <w:pStyle w:val="TableTextRight"/>
              <w:ind w:left="-57" w:right="-57"/>
              <w:rPr>
                <w:i/>
              </w:rPr>
            </w:pPr>
            <w:r w:rsidRPr="00F56B4D">
              <w:rPr>
                <w:i/>
              </w:rPr>
              <w:t>-250</w:t>
            </w:r>
          </w:p>
        </w:tc>
        <w:tc>
          <w:tcPr>
            <w:tcW w:w="312" w:type="pct"/>
          </w:tcPr>
          <w:p w:rsidR="00B606B2" w:rsidRPr="00F56B4D" w:rsidRDefault="00B606B2" w:rsidP="00F7554A">
            <w:pPr>
              <w:pStyle w:val="TableTextRight"/>
              <w:ind w:left="-57" w:right="-57"/>
              <w:rPr>
                <w:b/>
                <w:i/>
              </w:rPr>
            </w:pPr>
            <w:r w:rsidRPr="00F56B4D">
              <w:rPr>
                <w:b/>
                <w:i/>
              </w:rPr>
              <w:t>-760</w:t>
            </w:r>
          </w:p>
        </w:tc>
        <w:tc>
          <w:tcPr>
            <w:tcW w:w="312" w:type="pct"/>
          </w:tcPr>
          <w:p w:rsidR="00B606B2" w:rsidRPr="00F56B4D" w:rsidRDefault="00B606B2" w:rsidP="00F7554A">
            <w:pPr>
              <w:pStyle w:val="TableTextRight"/>
              <w:ind w:left="-57" w:right="-57"/>
              <w:rPr>
                <w:i/>
              </w:rPr>
            </w:pPr>
            <w:r w:rsidRPr="00F56B4D">
              <w:rPr>
                <w:i/>
              </w:rPr>
              <w:t>-800</w:t>
            </w:r>
          </w:p>
        </w:tc>
        <w:tc>
          <w:tcPr>
            <w:tcW w:w="312" w:type="pct"/>
          </w:tcPr>
          <w:p w:rsidR="00B606B2" w:rsidRPr="00F56B4D" w:rsidRDefault="00B606B2" w:rsidP="00F7554A">
            <w:pPr>
              <w:pStyle w:val="TableTextRight"/>
              <w:ind w:left="-57" w:right="-57"/>
              <w:rPr>
                <w:i/>
              </w:rPr>
            </w:pPr>
            <w:r w:rsidRPr="00F56B4D">
              <w:rPr>
                <w:i/>
              </w:rPr>
              <w:t>-230</w:t>
            </w:r>
          </w:p>
        </w:tc>
        <w:tc>
          <w:tcPr>
            <w:tcW w:w="312" w:type="pct"/>
          </w:tcPr>
          <w:p w:rsidR="00B606B2" w:rsidRPr="00F56B4D" w:rsidRDefault="00B606B2" w:rsidP="00F7554A">
            <w:pPr>
              <w:pStyle w:val="TableTextRight"/>
              <w:ind w:left="-57" w:right="-57"/>
              <w:rPr>
                <w:i/>
              </w:rPr>
            </w:pPr>
            <w:r w:rsidRPr="00F56B4D">
              <w:rPr>
                <w:i/>
              </w:rPr>
              <w:t>-310</w:t>
            </w:r>
          </w:p>
        </w:tc>
        <w:tc>
          <w:tcPr>
            <w:tcW w:w="312" w:type="pct"/>
          </w:tcPr>
          <w:p w:rsidR="00B606B2" w:rsidRPr="00F56B4D" w:rsidRDefault="00B606B2" w:rsidP="00F7554A">
            <w:pPr>
              <w:pStyle w:val="TableTextRight"/>
              <w:ind w:left="-57" w:right="-57"/>
              <w:rPr>
                <w:i/>
              </w:rPr>
            </w:pPr>
            <w:r w:rsidRPr="00F56B4D">
              <w:rPr>
                <w:i/>
              </w:rPr>
              <w:t>110</w:t>
            </w:r>
          </w:p>
        </w:tc>
        <w:tc>
          <w:tcPr>
            <w:tcW w:w="312" w:type="pct"/>
          </w:tcPr>
          <w:p w:rsidR="00B606B2" w:rsidRPr="00F56B4D" w:rsidRDefault="00B606B2" w:rsidP="00F7554A">
            <w:pPr>
              <w:pStyle w:val="TableTextRight"/>
              <w:ind w:left="-57" w:right="-57"/>
              <w:rPr>
                <w:i/>
              </w:rPr>
            </w:pPr>
            <w:r w:rsidRPr="00F56B4D">
              <w:rPr>
                <w:i/>
              </w:rPr>
              <w:t>130</w:t>
            </w:r>
          </w:p>
        </w:tc>
        <w:tc>
          <w:tcPr>
            <w:tcW w:w="312" w:type="pct"/>
          </w:tcPr>
          <w:p w:rsidR="00B606B2" w:rsidRPr="00F56B4D" w:rsidRDefault="00B606B2" w:rsidP="00F7554A">
            <w:pPr>
              <w:pStyle w:val="TableTextRight"/>
              <w:ind w:left="-57" w:right="-57"/>
              <w:rPr>
                <w:i/>
              </w:rPr>
            </w:pPr>
            <w:r w:rsidRPr="00F56B4D">
              <w:rPr>
                <w:i/>
              </w:rPr>
              <w:t>110</w:t>
            </w:r>
          </w:p>
        </w:tc>
        <w:tc>
          <w:tcPr>
            <w:tcW w:w="312" w:type="pct"/>
          </w:tcPr>
          <w:p w:rsidR="00B606B2" w:rsidRPr="00F56B4D" w:rsidRDefault="00B606B2" w:rsidP="00F7554A">
            <w:pPr>
              <w:pStyle w:val="TableTextRight"/>
              <w:ind w:left="-57" w:right="-57"/>
              <w:rPr>
                <w:i/>
              </w:rPr>
            </w:pPr>
            <w:r w:rsidRPr="00F56B4D">
              <w:rPr>
                <w:i/>
              </w:rPr>
              <w:t>150</w:t>
            </w:r>
          </w:p>
        </w:tc>
        <w:tc>
          <w:tcPr>
            <w:tcW w:w="311" w:type="pct"/>
          </w:tcPr>
          <w:p w:rsidR="00B606B2" w:rsidRPr="00F56B4D" w:rsidRDefault="00B606B2" w:rsidP="00F7554A">
            <w:pPr>
              <w:pStyle w:val="TableTextRight"/>
              <w:ind w:left="-57" w:right="-57"/>
              <w:rPr>
                <w:b/>
                <w:i/>
              </w:rPr>
            </w:pPr>
            <w:r w:rsidRPr="00F56B4D">
              <w:rPr>
                <w:b/>
                <w:i/>
              </w:rPr>
              <w:t>-1,600</w:t>
            </w:r>
          </w:p>
        </w:tc>
      </w:tr>
      <w:tr w:rsidR="00B606B2" w:rsidTr="00F7554A">
        <w:tc>
          <w:tcPr>
            <w:tcW w:w="945" w:type="pct"/>
            <w:vAlign w:val="center"/>
          </w:tcPr>
          <w:p w:rsidR="00B606B2" w:rsidRDefault="00B606B2" w:rsidP="00F7554A">
            <w:pPr>
              <w:pStyle w:val="TableText"/>
            </w:pPr>
            <w:r>
              <w:t>Underlying cash balance</w:t>
            </w:r>
          </w:p>
        </w:tc>
        <w:tc>
          <w:tcPr>
            <w:tcW w:w="312" w:type="pct"/>
          </w:tcPr>
          <w:p w:rsidR="00B606B2" w:rsidRPr="00F56B4D" w:rsidRDefault="00B606B2" w:rsidP="00F7554A">
            <w:pPr>
              <w:pStyle w:val="TableTextRight"/>
              <w:ind w:left="-57" w:right="-57"/>
              <w:rPr>
                <w:i/>
              </w:rPr>
            </w:pPr>
            <w:r w:rsidRPr="00F56B4D">
              <w:rPr>
                <w:i/>
              </w:rPr>
              <w:t>-</w:t>
            </w:r>
          </w:p>
        </w:tc>
        <w:tc>
          <w:tcPr>
            <w:tcW w:w="312" w:type="pct"/>
          </w:tcPr>
          <w:p w:rsidR="00B606B2" w:rsidRPr="00F56B4D" w:rsidRDefault="00B606B2" w:rsidP="00F7554A">
            <w:pPr>
              <w:pStyle w:val="TableTextRight"/>
              <w:ind w:left="-57" w:right="-57"/>
              <w:rPr>
                <w:i/>
              </w:rPr>
            </w:pPr>
            <w:r w:rsidRPr="00F56B4D">
              <w:rPr>
                <w:i/>
              </w:rPr>
              <w:t>50</w:t>
            </w:r>
          </w:p>
        </w:tc>
        <w:tc>
          <w:tcPr>
            <w:tcW w:w="312" w:type="pct"/>
          </w:tcPr>
          <w:p w:rsidR="00B606B2" w:rsidRPr="00F56B4D" w:rsidRDefault="00B606B2" w:rsidP="00F7554A">
            <w:pPr>
              <w:pStyle w:val="TableTextRight"/>
              <w:ind w:left="-57" w:right="-57"/>
              <w:rPr>
                <w:i/>
              </w:rPr>
            </w:pPr>
            <w:r w:rsidRPr="00F56B4D">
              <w:rPr>
                <w:i/>
              </w:rPr>
              <w:t>50</w:t>
            </w:r>
          </w:p>
        </w:tc>
        <w:tc>
          <w:tcPr>
            <w:tcW w:w="312" w:type="pct"/>
          </w:tcPr>
          <w:p w:rsidR="00B606B2" w:rsidRPr="00F56B4D" w:rsidRDefault="00B606B2" w:rsidP="00F7554A">
            <w:pPr>
              <w:pStyle w:val="TableTextRight"/>
              <w:ind w:left="-57" w:right="-57"/>
              <w:rPr>
                <w:i/>
              </w:rPr>
            </w:pPr>
            <w:r w:rsidRPr="00F56B4D">
              <w:rPr>
                <w:i/>
              </w:rPr>
              <w:t>90</w:t>
            </w:r>
          </w:p>
        </w:tc>
        <w:tc>
          <w:tcPr>
            <w:tcW w:w="312" w:type="pct"/>
          </w:tcPr>
          <w:p w:rsidR="00B606B2" w:rsidRPr="00F56B4D" w:rsidRDefault="00B606B2" w:rsidP="00F7554A">
            <w:pPr>
              <w:pStyle w:val="TableTextRight"/>
              <w:ind w:left="-57" w:right="-57"/>
              <w:rPr>
                <w:b/>
                <w:i/>
              </w:rPr>
            </w:pPr>
            <w:r w:rsidRPr="00F56B4D">
              <w:rPr>
                <w:b/>
                <w:i/>
              </w:rPr>
              <w:t>190</w:t>
            </w:r>
          </w:p>
        </w:tc>
        <w:tc>
          <w:tcPr>
            <w:tcW w:w="312" w:type="pct"/>
          </w:tcPr>
          <w:p w:rsidR="00B606B2" w:rsidRPr="00F56B4D" w:rsidRDefault="00B606B2" w:rsidP="00F7554A">
            <w:pPr>
              <w:pStyle w:val="TableTextRight"/>
              <w:ind w:left="-57" w:right="-57"/>
              <w:rPr>
                <w:i/>
              </w:rPr>
            </w:pPr>
            <w:r w:rsidRPr="00F56B4D">
              <w:rPr>
                <w:i/>
              </w:rPr>
              <w:t>160</w:t>
            </w:r>
          </w:p>
        </w:tc>
        <w:tc>
          <w:tcPr>
            <w:tcW w:w="312" w:type="pct"/>
          </w:tcPr>
          <w:p w:rsidR="00B606B2" w:rsidRPr="00F56B4D" w:rsidRDefault="00B606B2" w:rsidP="00F7554A">
            <w:pPr>
              <w:pStyle w:val="TableTextRight"/>
              <w:ind w:left="-57" w:right="-57"/>
              <w:rPr>
                <w:i/>
              </w:rPr>
            </w:pPr>
            <w:r w:rsidRPr="00F56B4D">
              <w:rPr>
                <w:i/>
              </w:rPr>
              <w:t>120</w:t>
            </w:r>
          </w:p>
        </w:tc>
        <w:tc>
          <w:tcPr>
            <w:tcW w:w="312" w:type="pct"/>
          </w:tcPr>
          <w:p w:rsidR="00B606B2" w:rsidRPr="00F56B4D" w:rsidRDefault="00B606B2" w:rsidP="00F7554A">
            <w:pPr>
              <w:pStyle w:val="TableTextRight"/>
              <w:ind w:left="-57" w:right="-57"/>
              <w:rPr>
                <w:i/>
              </w:rPr>
            </w:pPr>
            <w:r w:rsidRPr="00F56B4D">
              <w:rPr>
                <w:i/>
              </w:rPr>
              <w:t>110</w:t>
            </w:r>
          </w:p>
        </w:tc>
        <w:tc>
          <w:tcPr>
            <w:tcW w:w="312" w:type="pct"/>
          </w:tcPr>
          <w:p w:rsidR="00B606B2" w:rsidRPr="00F56B4D" w:rsidRDefault="00B606B2" w:rsidP="00F7554A">
            <w:pPr>
              <w:pStyle w:val="TableTextRight"/>
              <w:ind w:left="-57" w:right="-57"/>
              <w:rPr>
                <w:i/>
              </w:rPr>
            </w:pPr>
            <w:r w:rsidRPr="00F56B4D">
              <w:rPr>
                <w:i/>
              </w:rPr>
              <w:t>60</w:t>
            </w:r>
          </w:p>
        </w:tc>
        <w:tc>
          <w:tcPr>
            <w:tcW w:w="312" w:type="pct"/>
          </w:tcPr>
          <w:p w:rsidR="00B606B2" w:rsidRPr="00F56B4D" w:rsidRDefault="00B606B2" w:rsidP="00F7554A">
            <w:pPr>
              <w:pStyle w:val="TableTextRight"/>
              <w:ind w:left="-57" w:right="-57"/>
              <w:rPr>
                <w:i/>
              </w:rPr>
            </w:pPr>
            <w:r w:rsidRPr="00F56B4D">
              <w:rPr>
                <w:i/>
              </w:rPr>
              <w:t>30</w:t>
            </w:r>
          </w:p>
        </w:tc>
        <w:tc>
          <w:tcPr>
            <w:tcW w:w="312" w:type="pct"/>
          </w:tcPr>
          <w:p w:rsidR="00B606B2" w:rsidRPr="00F56B4D" w:rsidRDefault="00B606B2" w:rsidP="00F7554A">
            <w:pPr>
              <w:pStyle w:val="TableTextRight"/>
              <w:ind w:left="-57" w:right="-57"/>
              <w:rPr>
                <w:i/>
              </w:rPr>
            </w:pPr>
            <w:r w:rsidRPr="00F56B4D">
              <w:rPr>
                <w:i/>
              </w:rPr>
              <w:t>20</w:t>
            </w:r>
          </w:p>
        </w:tc>
        <w:tc>
          <w:tcPr>
            <w:tcW w:w="312" w:type="pct"/>
          </w:tcPr>
          <w:p w:rsidR="00B606B2" w:rsidRPr="00F56B4D" w:rsidRDefault="00B606B2" w:rsidP="00F7554A">
            <w:pPr>
              <w:pStyle w:val="TableTextRight"/>
              <w:ind w:left="-57" w:right="-57"/>
              <w:rPr>
                <w:i/>
              </w:rPr>
            </w:pPr>
            <w:r w:rsidRPr="00F56B4D">
              <w:rPr>
                <w:i/>
              </w:rPr>
              <w:t>10</w:t>
            </w:r>
          </w:p>
        </w:tc>
        <w:tc>
          <w:tcPr>
            <w:tcW w:w="311" w:type="pct"/>
          </w:tcPr>
          <w:p w:rsidR="00B606B2" w:rsidRPr="00F56B4D" w:rsidRDefault="00B606B2" w:rsidP="00F7554A">
            <w:pPr>
              <w:pStyle w:val="TableTextRight"/>
              <w:ind w:left="-57" w:right="-57"/>
              <w:rPr>
                <w:b/>
                <w:i/>
              </w:rPr>
            </w:pPr>
            <w:r w:rsidRPr="00F56B4D">
              <w:rPr>
                <w:b/>
                <w:i/>
              </w:rPr>
              <w:t>710</w:t>
            </w:r>
          </w:p>
        </w:tc>
      </w:tr>
      <w:tr w:rsidR="00B606B2" w:rsidTr="00F7554A">
        <w:tc>
          <w:tcPr>
            <w:tcW w:w="945" w:type="pct"/>
            <w:vAlign w:val="center"/>
          </w:tcPr>
          <w:p w:rsidR="00B606B2" w:rsidRDefault="00B606B2" w:rsidP="00F7554A">
            <w:pPr>
              <w:pStyle w:val="TableText"/>
            </w:pPr>
            <w:r>
              <w:t>Headline cash balance</w:t>
            </w:r>
          </w:p>
        </w:tc>
        <w:tc>
          <w:tcPr>
            <w:tcW w:w="312" w:type="pct"/>
          </w:tcPr>
          <w:p w:rsidR="00B606B2" w:rsidRPr="00F56B4D" w:rsidRDefault="00B606B2" w:rsidP="00F7554A">
            <w:pPr>
              <w:pStyle w:val="TableTextRight"/>
              <w:ind w:left="-57" w:right="-57"/>
              <w:rPr>
                <w:i/>
              </w:rPr>
            </w:pPr>
            <w:r w:rsidRPr="00F56B4D">
              <w:rPr>
                <w:i/>
              </w:rPr>
              <w:t>-</w:t>
            </w:r>
          </w:p>
        </w:tc>
        <w:tc>
          <w:tcPr>
            <w:tcW w:w="312" w:type="pct"/>
          </w:tcPr>
          <w:p w:rsidR="00B606B2" w:rsidRPr="00F56B4D" w:rsidRDefault="00B606B2" w:rsidP="00F7554A">
            <w:pPr>
              <w:pStyle w:val="TableTextRight"/>
              <w:ind w:left="-57" w:right="-57"/>
              <w:rPr>
                <w:i/>
              </w:rPr>
            </w:pPr>
            <w:r w:rsidRPr="00F56B4D">
              <w:rPr>
                <w:i/>
              </w:rPr>
              <w:t>-1,270</w:t>
            </w:r>
          </w:p>
        </w:tc>
        <w:tc>
          <w:tcPr>
            <w:tcW w:w="312" w:type="pct"/>
          </w:tcPr>
          <w:p w:rsidR="00B606B2" w:rsidRPr="00F56B4D" w:rsidRDefault="00B606B2" w:rsidP="00F7554A">
            <w:pPr>
              <w:pStyle w:val="TableTextRight"/>
              <w:ind w:left="-57" w:right="-57"/>
              <w:rPr>
                <w:i/>
              </w:rPr>
            </w:pPr>
            <w:r w:rsidRPr="00F56B4D">
              <w:rPr>
                <w:i/>
              </w:rPr>
              <w:t>-440</w:t>
            </w:r>
          </w:p>
        </w:tc>
        <w:tc>
          <w:tcPr>
            <w:tcW w:w="312" w:type="pct"/>
          </w:tcPr>
          <w:p w:rsidR="00B606B2" w:rsidRPr="00F56B4D" w:rsidRDefault="00B606B2" w:rsidP="00F7554A">
            <w:pPr>
              <w:pStyle w:val="TableTextRight"/>
              <w:ind w:left="-57" w:right="-57"/>
              <w:rPr>
                <w:i/>
              </w:rPr>
            </w:pPr>
            <w:r w:rsidRPr="00F56B4D">
              <w:rPr>
                <w:i/>
              </w:rPr>
              <w:t>-940</w:t>
            </w:r>
          </w:p>
        </w:tc>
        <w:tc>
          <w:tcPr>
            <w:tcW w:w="312" w:type="pct"/>
          </w:tcPr>
          <w:p w:rsidR="00B606B2" w:rsidRPr="00F56B4D" w:rsidRDefault="00B606B2" w:rsidP="00F7554A">
            <w:pPr>
              <w:pStyle w:val="TableTextRight"/>
              <w:ind w:left="-57" w:right="-57"/>
              <w:rPr>
                <w:b/>
                <w:i/>
              </w:rPr>
            </w:pPr>
            <w:r w:rsidRPr="00F56B4D">
              <w:rPr>
                <w:b/>
                <w:i/>
              </w:rPr>
              <w:t>-2,650</w:t>
            </w:r>
          </w:p>
        </w:tc>
        <w:tc>
          <w:tcPr>
            <w:tcW w:w="312" w:type="pct"/>
          </w:tcPr>
          <w:p w:rsidR="00B606B2" w:rsidRPr="00F56B4D" w:rsidRDefault="00B606B2" w:rsidP="00F7554A">
            <w:pPr>
              <w:pStyle w:val="TableTextRight"/>
              <w:ind w:left="-57" w:right="-57"/>
              <w:rPr>
                <w:i/>
              </w:rPr>
            </w:pPr>
            <w:r w:rsidRPr="00F56B4D">
              <w:rPr>
                <w:i/>
              </w:rPr>
              <w:t>-2,690</w:t>
            </w:r>
          </w:p>
        </w:tc>
        <w:tc>
          <w:tcPr>
            <w:tcW w:w="312" w:type="pct"/>
          </w:tcPr>
          <w:p w:rsidR="00B606B2" w:rsidRPr="00F56B4D" w:rsidRDefault="00B606B2" w:rsidP="00F7554A">
            <w:pPr>
              <w:pStyle w:val="TableTextRight"/>
              <w:ind w:left="-57" w:right="-57"/>
              <w:rPr>
                <w:i/>
              </w:rPr>
            </w:pPr>
            <w:r w:rsidRPr="00F56B4D">
              <w:rPr>
                <w:i/>
              </w:rPr>
              <w:t>-970</w:t>
            </w:r>
          </w:p>
        </w:tc>
        <w:tc>
          <w:tcPr>
            <w:tcW w:w="312" w:type="pct"/>
          </w:tcPr>
          <w:p w:rsidR="00B606B2" w:rsidRPr="00F56B4D" w:rsidRDefault="00B606B2" w:rsidP="00F7554A">
            <w:pPr>
              <w:pStyle w:val="TableTextRight"/>
              <w:ind w:left="-57" w:right="-57"/>
              <w:rPr>
                <w:i/>
              </w:rPr>
            </w:pPr>
            <w:r w:rsidRPr="00F56B4D">
              <w:rPr>
                <w:i/>
              </w:rPr>
              <w:t>-1,220</w:t>
            </w:r>
          </w:p>
        </w:tc>
        <w:tc>
          <w:tcPr>
            <w:tcW w:w="312" w:type="pct"/>
          </w:tcPr>
          <w:p w:rsidR="00B606B2" w:rsidRPr="00F56B4D" w:rsidRDefault="00B606B2" w:rsidP="00F7554A">
            <w:pPr>
              <w:pStyle w:val="TableTextRight"/>
              <w:ind w:left="-57" w:right="-57"/>
              <w:rPr>
                <w:i/>
              </w:rPr>
            </w:pPr>
            <w:r w:rsidRPr="00F56B4D">
              <w:rPr>
                <w:i/>
              </w:rPr>
              <w:t>120</w:t>
            </w:r>
          </w:p>
        </w:tc>
        <w:tc>
          <w:tcPr>
            <w:tcW w:w="312" w:type="pct"/>
          </w:tcPr>
          <w:p w:rsidR="00B606B2" w:rsidRPr="00F56B4D" w:rsidRDefault="00B606B2" w:rsidP="00F7554A">
            <w:pPr>
              <w:pStyle w:val="TableTextRight"/>
              <w:ind w:left="-57" w:right="-57"/>
              <w:rPr>
                <w:i/>
              </w:rPr>
            </w:pPr>
            <w:r w:rsidRPr="00F56B4D">
              <w:rPr>
                <w:i/>
              </w:rPr>
              <w:t>200</w:t>
            </w:r>
          </w:p>
        </w:tc>
        <w:tc>
          <w:tcPr>
            <w:tcW w:w="312" w:type="pct"/>
          </w:tcPr>
          <w:p w:rsidR="00B606B2" w:rsidRPr="00F56B4D" w:rsidRDefault="00B606B2" w:rsidP="00F7554A">
            <w:pPr>
              <w:pStyle w:val="TableTextRight"/>
              <w:ind w:left="-57" w:right="-57"/>
              <w:rPr>
                <w:i/>
              </w:rPr>
            </w:pPr>
            <w:r w:rsidRPr="00F56B4D">
              <w:rPr>
                <w:i/>
              </w:rPr>
              <w:t>170</w:t>
            </w:r>
          </w:p>
        </w:tc>
        <w:tc>
          <w:tcPr>
            <w:tcW w:w="312" w:type="pct"/>
          </w:tcPr>
          <w:p w:rsidR="00B606B2" w:rsidRPr="00F56B4D" w:rsidRDefault="00B606B2" w:rsidP="00F7554A">
            <w:pPr>
              <w:pStyle w:val="TableTextRight"/>
              <w:ind w:left="-57" w:right="-57"/>
              <w:rPr>
                <w:i/>
              </w:rPr>
            </w:pPr>
            <w:r w:rsidRPr="00F56B4D">
              <w:rPr>
                <w:i/>
              </w:rPr>
              <w:t>330</w:t>
            </w:r>
          </w:p>
        </w:tc>
        <w:tc>
          <w:tcPr>
            <w:tcW w:w="311" w:type="pct"/>
          </w:tcPr>
          <w:p w:rsidR="00B606B2" w:rsidRPr="00F56B4D" w:rsidRDefault="00B606B2" w:rsidP="00F7554A">
            <w:pPr>
              <w:pStyle w:val="TableTextRight"/>
              <w:ind w:left="-57" w:right="-57"/>
              <w:rPr>
                <w:b/>
                <w:i/>
              </w:rPr>
            </w:pPr>
            <w:r w:rsidRPr="00F56B4D">
              <w:rPr>
                <w:b/>
                <w:i/>
              </w:rPr>
              <w:t>-6,710</w:t>
            </w:r>
          </w:p>
        </w:tc>
      </w:tr>
    </w:tbl>
    <w:p w:rsidR="00B606B2" w:rsidRDefault="00B606B2" w:rsidP="002C43F8">
      <w:pPr>
        <w:pStyle w:val="Footnotes"/>
        <w:numPr>
          <w:ilvl w:val="0"/>
          <w:numId w:val="128"/>
        </w:numPr>
        <w:spacing w:before="113"/>
        <w:ind w:left="284" w:hanging="284"/>
      </w:pPr>
      <w:r w:rsidRPr="00897347">
        <w:t>A positive number indicates an increase in the relevant budget balance, a negative number a decrease.</w:t>
      </w:r>
    </w:p>
    <w:p w:rsidR="00B606B2" w:rsidRDefault="00B606B2" w:rsidP="003C1923">
      <w:pPr>
        <w:pStyle w:val="Footnotes"/>
        <w:spacing w:after="120"/>
        <w:ind w:left="284" w:hanging="284"/>
      </w:pPr>
      <w:r w:rsidRPr="005F544A">
        <w:t>Figures may not sum to totals due to rounding.</w:t>
      </w:r>
    </w:p>
    <w:p w:rsidR="00B606B2" w:rsidRPr="005F544A" w:rsidRDefault="00B606B2" w:rsidP="003C1923">
      <w:pPr>
        <w:pStyle w:val="Footnotes"/>
        <w:spacing w:after="120"/>
        <w:ind w:left="284" w:hanging="284"/>
      </w:pPr>
      <w:r>
        <w:t>See Attachment B for further breakdown.</w:t>
      </w:r>
    </w:p>
    <w:p w:rsidR="00B606B2" w:rsidRDefault="00B606B2" w:rsidP="003C1923">
      <w:pPr>
        <w:pStyle w:val="Footnotes"/>
        <w:numPr>
          <w:ilvl w:val="0"/>
          <w:numId w:val="0"/>
        </w:numPr>
        <w:ind w:left="284" w:hanging="284"/>
      </w:pPr>
      <w:r w:rsidRPr="005F544A">
        <w:t>-</w:t>
      </w:r>
      <w:r w:rsidRPr="005F544A">
        <w:tab/>
        <w:t>Indicates nil.</w:t>
      </w:r>
    </w:p>
    <w:p w:rsidR="006F56B8" w:rsidRDefault="006F56B8" w:rsidP="006F56B8">
      <w:pPr>
        <w:pStyle w:val="BodyText"/>
      </w:pPr>
    </w:p>
    <w:p w:rsidR="006F56B8" w:rsidRDefault="006F56B8" w:rsidP="006F56B8">
      <w:pPr>
        <w:pStyle w:val="BodyText"/>
        <w:sectPr w:rsidR="006F56B8" w:rsidSect="006F56B8">
          <w:headerReference w:type="even" r:id="rId153"/>
          <w:headerReference w:type="default" r:id="rId154"/>
          <w:footerReference w:type="even" r:id="rId155"/>
          <w:footerReference w:type="default" r:id="rId156"/>
          <w:footnotePr>
            <w:numRestart w:val="eachSect"/>
          </w:footnotePr>
          <w:pgSz w:w="16839" w:h="11907" w:orient="landscape" w:code="9"/>
          <w:pgMar w:top="1361" w:right="1797" w:bottom="1474" w:left="1797" w:header="283" w:footer="454" w:gutter="0"/>
          <w:cols w:space="708"/>
          <w:docGrid w:linePitch="360"/>
        </w:sectPr>
      </w:pPr>
    </w:p>
    <w:p w:rsidR="00B606B2" w:rsidRDefault="00B606B2" w:rsidP="00B606B2">
      <w:pPr>
        <w:pStyle w:val="Heading6"/>
        <w:numPr>
          <w:ilvl w:val="0"/>
          <w:numId w:val="10"/>
        </w:numPr>
        <w:tabs>
          <w:tab w:val="right" w:pos="1418"/>
          <w:tab w:val="right" w:pos="1701"/>
          <w:tab w:val="right" w:pos="1985"/>
        </w:tabs>
      </w:pPr>
      <w:r>
        <w:t>Attachment B: Infrastructure Financing Facility—</w:t>
      </w:r>
      <w:r w:rsidR="0080154C">
        <w:t>financial implications</w:t>
      </w:r>
      <w:r>
        <w:t xml:space="preserve"> disaggregated</w:t>
      </w:r>
    </w:p>
    <w:p w:rsidR="00B606B2" w:rsidRDefault="00B606B2" w:rsidP="00B606B2">
      <w:pPr>
        <w:pStyle w:val="Caption"/>
        <w:keepLines/>
      </w:pPr>
      <w:r w:rsidRPr="002B36F1">
        <w:t xml:space="preserve">Table </w:t>
      </w:r>
      <w:r>
        <w:t>B1</w:t>
      </w:r>
      <w:r w:rsidRPr="002B36F1">
        <w:t>:</w:t>
      </w:r>
      <w:r>
        <w:t xml:space="preserve"> Infrastructure Financing Facility—Fiscal balance (outturn prices)</w:t>
      </w:r>
      <w:r w:rsidRPr="002B36F1">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B606B2"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B606B2" w:rsidRPr="007C2713" w:rsidRDefault="00B606B2" w:rsidP="00F7554A">
            <w:pPr>
              <w:pStyle w:val="TableText"/>
              <w:keepNext/>
              <w:keepLines/>
              <w:rPr>
                <w:b w:val="0"/>
              </w:rPr>
            </w:pPr>
            <w:r>
              <w:t>($)</w:t>
            </w:r>
          </w:p>
        </w:tc>
        <w:tc>
          <w:tcPr>
            <w:tcW w:w="312" w:type="pct"/>
            <w:vAlign w:val="center"/>
          </w:tcPr>
          <w:p w:rsidR="00B606B2" w:rsidRDefault="00B606B2" w:rsidP="00F7554A">
            <w:pPr>
              <w:pStyle w:val="TableTextRight"/>
              <w:keepNext/>
              <w:keepLines/>
              <w:spacing w:before="0" w:after="0" w:line="240" w:lineRule="auto"/>
              <w:ind w:left="-57" w:right="-57"/>
              <w:rPr>
                <w:b w:val="0"/>
              </w:rPr>
            </w:pPr>
            <w:r>
              <w:t>2016–17</w:t>
            </w:r>
          </w:p>
        </w:tc>
        <w:tc>
          <w:tcPr>
            <w:tcW w:w="312" w:type="pct"/>
            <w:vAlign w:val="center"/>
          </w:tcPr>
          <w:p w:rsidR="00B606B2" w:rsidRDefault="00B606B2" w:rsidP="00F7554A">
            <w:pPr>
              <w:pStyle w:val="TableTextRight"/>
              <w:keepNext/>
              <w:keepLines/>
              <w:spacing w:before="0" w:after="0" w:line="240" w:lineRule="auto"/>
              <w:ind w:left="-57" w:right="-57"/>
              <w:rPr>
                <w:b w:val="0"/>
              </w:rPr>
            </w:pPr>
            <w:r>
              <w:t>2017–18</w:t>
            </w:r>
          </w:p>
        </w:tc>
        <w:tc>
          <w:tcPr>
            <w:tcW w:w="312" w:type="pct"/>
            <w:vAlign w:val="center"/>
          </w:tcPr>
          <w:p w:rsidR="00B606B2" w:rsidRDefault="00B606B2" w:rsidP="00F7554A">
            <w:pPr>
              <w:pStyle w:val="TableTextRight"/>
              <w:keepNext/>
              <w:keepLines/>
              <w:spacing w:before="0" w:after="0" w:line="240" w:lineRule="auto"/>
              <w:ind w:left="-57" w:right="-57"/>
              <w:rPr>
                <w:b w:val="0"/>
              </w:rPr>
            </w:pPr>
            <w:r>
              <w:t>2018–19</w:t>
            </w:r>
          </w:p>
        </w:tc>
        <w:tc>
          <w:tcPr>
            <w:tcW w:w="312" w:type="pct"/>
            <w:vAlign w:val="center"/>
          </w:tcPr>
          <w:p w:rsidR="00B606B2" w:rsidRDefault="00B606B2" w:rsidP="00F7554A">
            <w:pPr>
              <w:pStyle w:val="TableTextRight"/>
              <w:keepNext/>
              <w:keepLines/>
              <w:spacing w:before="0" w:after="0" w:line="240" w:lineRule="auto"/>
              <w:ind w:left="-57" w:right="-57"/>
              <w:rPr>
                <w:b w:val="0"/>
              </w:rPr>
            </w:pPr>
            <w:r>
              <w:t>2019–20</w:t>
            </w:r>
          </w:p>
        </w:tc>
        <w:tc>
          <w:tcPr>
            <w:tcW w:w="312" w:type="pct"/>
            <w:vAlign w:val="center"/>
          </w:tcPr>
          <w:p w:rsidR="00B606B2" w:rsidRDefault="00B606B2" w:rsidP="00F7554A">
            <w:pPr>
              <w:pStyle w:val="TableTextRight"/>
              <w:keepNext/>
              <w:keepLines/>
              <w:spacing w:before="0" w:after="0" w:line="240" w:lineRule="auto"/>
              <w:ind w:left="-57" w:right="-57"/>
              <w:rPr>
                <w:b w:val="0"/>
              </w:rPr>
            </w:pPr>
            <w:r>
              <w:t>Total to 2019–20</w:t>
            </w:r>
          </w:p>
        </w:tc>
        <w:tc>
          <w:tcPr>
            <w:tcW w:w="312" w:type="pct"/>
            <w:vAlign w:val="center"/>
          </w:tcPr>
          <w:p w:rsidR="00B606B2" w:rsidRDefault="00B606B2" w:rsidP="00F7554A">
            <w:pPr>
              <w:pStyle w:val="TableTextRight"/>
              <w:keepNext/>
              <w:keepLines/>
              <w:spacing w:before="0" w:after="0" w:line="240" w:lineRule="auto"/>
              <w:ind w:left="-57" w:right="-57"/>
              <w:rPr>
                <w:b w:val="0"/>
              </w:rPr>
            </w:pPr>
            <w:r>
              <w:t>2020–21</w:t>
            </w:r>
          </w:p>
        </w:tc>
        <w:tc>
          <w:tcPr>
            <w:tcW w:w="312" w:type="pct"/>
            <w:vAlign w:val="center"/>
          </w:tcPr>
          <w:p w:rsidR="00B606B2" w:rsidRDefault="00B606B2" w:rsidP="00F7554A">
            <w:pPr>
              <w:pStyle w:val="TableTextRight"/>
              <w:keepNext/>
              <w:keepLines/>
              <w:spacing w:before="0" w:after="0" w:line="240" w:lineRule="auto"/>
              <w:ind w:left="-57" w:right="-57"/>
              <w:rPr>
                <w:b w:val="0"/>
              </w:rPr>
            </w:pPr>
            <w:r>
              <w:t>2021–22</w:t>
            </w:r>
          </w:p>
        </w:tc>
        <w:tc>
          <w:tcPr>
            <w:tcW w:w="312" w:type="pct"/>
            <w:vAlign w:val="center"/>
          </w:tcPr>
          <w:p w:rsidR="00B606B2" w:rsidRDefault="00B606B2" w:rsidP="00F7554A">
            <w:pPr>
              <w:pStyle w:val="TableTextRight"/>
              <w:keepNext/>
              <w:keepLines/>
              <w:spacing w:before="0" w:after="0" w:line="240" w:lineRule="auto"/>
              <w:ind w:left="-57" w:right="-57"/>
              <w:rPr>
                <w:b w:val="0"/>
              </w:rPr>
            </w:pPr>
            <w:r>
              <w:t>2022–23</w:t>
            </w:r>
          </w:p>
        </w:tc>
        <w:tc>
          <w:tcPr>
            <w:tcW w:w="312" w:type="pct"/>
            <w:vAlign w:val="center"/>
          </w:tcPr>
          <w:p w:rsidR="00B606B2" w:rsidRDefault="00B606B2" w:rsidP="00F7554A">
            <w:pPr>
              <w:pStyle w:val="TableTextRight"/>
              <w:keepNext/>
              <w:keepLines/>
              <w:spacing w:before="0" w:after="0" w:line="240" w:lineRule="auto"/>
              <w:ind w:left="-57" w:right="-57"/>
              <w:rPr>
                <w:b w:val="0"/>
              </w:rPr>
            </w:pPr>
            <w:r>
              <w:t>2023–24</w:t>
            </w:r>
          </w:p>
        </w:tc>
        <w:tc>
          <w:tcPr>
            <w:tcW w:w="312" w:type="pct"/>
            <w:vAlign w:val="center"/>
          </w:tcPr>
          <w:p w:rsidR="00B606B2" w:rsidRDefault="00B606B2" w:rsidP="00F7554A">
            <w:pPr>
              <w:pStyle w:val="TableTextRight"/>
              <w:keepNext/>
              <w:keepLines/>
              <w:spacing w:before="0" w:after="0" w:line="240" w:lineRule="auto"/>
              <w:ind w:left="-57" w:right="-57"/>
              <w:rPr>
                <w:b w:val="0"/>
              </w:rPr>
            </w:pPr>
            <w:r>
              <w:t>2024–25</w:t>
            </w:r>
          </w:p>
        </w:tc>
        <w:tc>
          <w:tcPr>
            <w:tcW w:w="312" w:type="pct"/>
            <w:vAlign w:val="center"/>
          </w:tcPr>
          <w:p w:rsidR="00B606B2" w:rsidRDefault="00B606B2" w:rsidP="00F7554A">
            <w:pPr>
              <w:pStyle w:val="TableTextRight"/>
              <w:keepNext/>
              <w:keepLines/>
              <w:spacing w:before="0" w:after="0" w:line="240" w:lineRule="auto"/>
              <w:ind w:left="-57" w:right="-57"/>
              <w:rPr>
                <w:b w:val="0"/>
              </w:rPr>
            </w:pPr>
            <w:r>
              <w:t>2025–26</w:t>
            </w:r>
          </w:p>
        </w:tc>
        <w:tc>
          <w:tcPr>
            <w:tcW w:w="312" w:type="pct"/>
            <w:vAlign w:val="center"/>
          </w:tcPr>
          <w:p w:rsidR="00B606B2" w:rsidRDefault="00B606B2" w:rsidP="00F7554A">
            <w:pPr>
              <w:pStyle w:val="TableTextRight"/>
              <w:keepNext/>
              <w:keepLines/>
              <w:spacing w:before="0" w:after="0" w:line="240" w:lineRule="auto"/>
              <w:ind w:left="-57" w:right="-57"/>
              <w:rPr>
                <w:b w:val="0"/>
              </w:rPr>
            </w:pPr>
            <w:r>
              <w:t>2026–27</w:t>
            </w:r>
          </w:p>
        </w:tc>
        <w:tc>
          <w:tcPr>
            <w:tcW w:w="311" w:type="pct"/>
            <w:vAlign w:val="center"/>
          </w:tcPr>
          <w:p w:rsidR="00B606B2" w:rsidRDefault="00B606B2" w:rsidP="00F7554A">
            <w:pPr>
              <w:pStyle w:val="TableTextRight"/>
              <w:keepNext/>
              <w:keepLines/>
              <w:spacing w:before="0" w:after="0" w:line="240" w:lineRule="auto"/>
              <w:ind w:left="-57" w:right="-57"/>
            </w:pPr>
            <w:r>
              <w:t>Total to 2026–27</w:t>
            </w:r>
          </w:p>
        </w:tc>
      </w:tr>
      <w:tr w:rsidR="00B606B2" w:rsidTr="00F7554A">
        <w:tc>
          <w:tcPr>
            <w:tcW w:w="945" w:type="pct"/>
          </w:tcPr>
          <w:p w:rsidR="00B606B2" w:rsidRPr="00215D77" w:rsidRDefault="00B606B2" w:rsidP="00F7554A">
            <w:pPr>
              <w:pStyle w:val="TableText"/>
              <w:keepNext/>
              <w:keepLines/>
            </w:pPr>
            <w:r w:rsidRPr="000E3ACD">
              <w:t>Departmental expenses</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b/>
                <w:i/>
              </w:rPr>
            </w:pPr>
            <w:r w:rsidRPr="007C4E64">
              <w:rPr>
                <w:b/>
                <w:i/>
              </w:rPr>
              <w:t>-20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2" w:type="pct"/>
          </w:tcPr>
          <w:p w:rsidR="00B606B2" w:rsidRPr="007C4E64" w:rsidRDefault="00B606B2" w:rsidP="00F7554A">
            <w:pPr>
              <w:pStyle w:val="TableTextRight"/>
              <w:ind w:left="-57" w:right="-57"/>
              <w:rPr>
                <w:i/>
              </w:rPr>
            </w:pPr>
            <w:r w:rsidRPr="007C4E64">
              <w:rPr>
                <w:i/>
              </w:rPr>
              <w:t>-10</w:t>
            </w:r>
          </w:p>
        </w:tc>
        <w:tc>
          <w:tcPr>
            <w:tcW w:w="311" w:type="pct"/>
          </w:tcPr>
          <w:p w:rsidR="00B606B2" w:rsidRPr="007C4E64" w:rsidRDefault="00B606B2" w:rsidP="00F7554A">
            <w:pPr>
              <w:pStyle w:val="TableTextRight"/>
              <w:ind w:left="-57" w:right="-57"/>
              <w:rPr>
                <w:b/>
                <w:i/>
              </w:rPr>
            </w:pPr>
            <w:r w:rsidRPr="007C4E64">
              <w:rPr>
                <w:b/>
                <w:i/>
              </w:rPr>
              <w:t>-100</w:t>
            </w:r>
          </w:p>
        </w:tc>
      </w:tr>
      <w:tr w:rsidR="00B606B2" w:rsidTr="00F7554A">
        <w:tc>
          <w:tcPr>
            <w:tcW w:w="945" w:type="pct"/>
          </w:tcPr>
          <w:p w:rsidR="00B606B2" w:rsidRPr="00215D77" w:rsidRDefault="00B606B2" w:rsidP="00F7554A">
            <w:pPr>
              <w:pStyle w:val="TableText"/>
              <w:keepNext/>
              <w:keepLines/>
            </w:pPr>
            <w:r w:rsidRPr="000E3ACD">
              <w:t>Interest accrued</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70</w:t>
            </w:r>
          </w:p>
        </w:tc>
        <w:tc>
          <w:tcPr>
            <w:tcW w:w="312" w:type="pct"/>
          </w:tcPr>
          <w:p w:rsidR="00B606B2" w:rsidRPr="007C4E64" w:rsidRDefault="00B606B2" w:rsidP="00F7554A">
            <w:pPr>
              <w:pStyle w:val="TableTextRight"/>
              <w:ind w:left="-57" w:right="-57"/>
              <w:rPr>
                <w:i/>
              </w:rPr>
            </w:pPr>
            <w:r w:rsidRPr="007C4E64">
              <w:rPr>
                <w:i/>
              </w:rPr>
              <w:t>90</w:t>
            </w:r>
          </w:p>
        </w:tc>
        <w:tc>
          <w:tcPr>
            <w:tcW w:w="312" w:type="pct"/>
          </w:tcPr>
          <w:p w:rsidR="00B606B2" w:rsidRPr="007C4E64" w:rsidRDefault="00B606B2" w:rsidP="00F7554A">
            <w:pPr>
              <w:pStyle w:val="TableTextRight"/>
              <w:ind w:left="-57" w:right="-57"/>
              <w:rPr>
                <w:i/>
              </w:rPr>
            </w:pPr>
            <w:r w:rsidRPr="007C4E64">
              <w:rPr>
                <w:i/>
              </w:rPr>
              <w:t>150</w:t>
            </w:r>
          </w:p>
        </w:tc>
        <w:tc>
          <w:tcPr>
            <w:tcW w:w="312" w:type="pct"/>
          </w:tcPr>
          <w:p w:rsidR="00B606B2" w:rsidRPr="007C4E64" w:rsidRDefault="00B606B2" w:rsidP="00F7554A">
            <w:pPr>
              <w:pStyle w:val="TableTextRight"/>
              <w:ind w:left="-57" w:right="-57"/>
              <w:rPr>
                <w:b/>
                <w:i/>
              </w:rPr>
            </w:pPr>
            <w:r w:rsidRPr="007C4E64">
              <w:rPr>
                <w:b/>
                <w:i/>
              </w:rPr>
              <w:t>310</w:t>
            </w:r>
          </w:p>
        </w:tc>
        <w:tc>
          <w:tcPr>
            <w:tcW w:w="312" w:type="pct"/>
          </w:tcPr>
          <w:p w:rsidR="00B606B2" w:rsidRPr="007C4E64" w:rsidRDefault="00B606B2" w:rsidP="00F7554A">
            <w:pPr>
              <w:pStyle w:val="TableTextRight"/>
              <w:ind w:left="-57" w:right="-57"/>
              <w:rPr>
                <w:i/>
              </w:rPr>
            </w:pPr>
            <w:r w:rsidRPr="007C4E64">
              <w:rPr>
                <w:i/>
              </w:rPr>
              <w:t>290</w:t>
            </w:r>
          </w:p>
        </w:tc>
        <w:tc>
          <w:tcPr>
            <w:tcW w:w="312" w:type="pct"/>
          </w:tcPr>
          <w:p w:rsidR="00B606B2" w:rsidRPr="007C4E64" w:rsidRDefault="00B606B2" w:rsidP="00F7554A">
            <w:pPr>
              <w:pStyle w:val="TableTextRight"/>
              <w:ind w:left="-57" w:right="-57"/>
              <w:rPr>
                <w:i/>
              </w:rPr>
            </w:pPr>
            <w:r w:rsidRPr="007C4E64">
              <w:rPr>
                <w:i/>
              </w:rPr>
              <w:t>350</w:t>
            </w:r>
          </w:p>
        </w:tc>
        <w:tc>
          <w:tcPr>
            <w:tcW w:w="312" w:type="pct"/>
          </w:tcPr>
          <w:p w:rsidR="00B606B2" w:rsidRPr="007C4E64" w:rsidRDefault="00B606B2" w:rsidP="00F7554A">
            <w:pPr>
              <w:pStyle w:val="TableTextRight"/>
              <w:ind w:left="-57" w:right="-57"/>
              <w:rPr>
                <w:i/>
              </w:rPr>
            </w:pPr>
            <w:r w:rsidRPr="007C4E64">
              <w:rPr>
                <w:i/>
              </w:rPr>
              <w:t>420</w:t>
            </w:r>
          </w:p>
        </w:tc>
        <w:tc>
          <w:tcPr>
            <w:tcW w:w="312" w:type="pct"/>
          </w:tcPr>
          <w:p w:rsidR="00B606B2" w:rsidRPr="007C4E64" w:rsidRDefault="00B606B2" w:rsidP="00F7554A">
            <w:pPr>
              <w:pStyle w:val="TableTextRight"/>
              <w:ind w:left="-57" w:right="-57"/>
              <w:rPr>
                <w:i/>
              </w:rPr>
            </w:pPr>
            <w:r w:rsidRPr="007C4E64">
              <w:rPr>
                <w:i/>
              </w:rPr>
              <w:t>420</w:t>
            </w:r>
          </w:p>
        </w:tc>
        <w:tc>
          <w:tcPr>
            <w:tcW w:w="312" w:type="pct"/>
          </w:tcPr>
          <w:p w:rsidR="00B606B2" w:rsidRPr="007C4E64" w:rsidRDefault="00B606B2" w:rsidP="00F7554A">
            <w:pPr>
              <w:pStyle w:val="TableTextRight"/>
              <w:ind w:left="-57" w:right="-57"/>
              <w:rPr>
                <w:i/>
              </w:rPr>
            </w:pPr>
            <w:r w:rsidRPr="007C4E64">
              <w:rPr>
                <w:i/>
              </w:rPr>
              <w:t>410</w:t>
            </w:r>
          </w:p>
        </w:tc>
        <w:tc>
          <w:tcPr>
            <w:tcW w:w="312" w:type="pct"/>
          </w:tcPr>
          <w:p w:rsidR="00B606B2" w:rsidRPr="007C4E64" w:rsidRDefault="00B606B2" w:rsidP="00F7554A">
            <w:pPr>
              <w:pStyle w:val="TableTextRight"/>
              <w:ind w:left="-57" w:right="-57"/>
              <w:rPr>
                <w:i/>
              </w:rPr>
            </w:pPr>
            <w:r w:rsidRPr="007C4E64">
              <w:rPr>
                <w:i/>
              </w:rPr>
              <w:t>400</w:t>
            </w:r>
          </w:p>
        </w:tc>
        <w:tc>
          <w:tcPr>
            <w:tcW w:w="312" w:type="pct"/>
          </w:tcPr>
          <w:p w:rsidR="00B606B2" w:rsidRPr="007C4E64" w:rsidRDefault="00B606B2" w:rsidP="00F7554A">
            <w:pPr>
              <w:pStyle w:val="TableTextRight"/>
              <w:ind w:left="-57" w:right="-57"/>
              <w:rPr>
                <w:i/>
              </w:rPr>
            </w:pPr>
            <w:r w:rsidRPr="007C4E64">
              <w:rPr>
                <w:i/>
              </w:rPr>
              <w:t>390</w:t>
            </w:r>
          </w:p>
        </w:tc>
        <w:tc>
          <w:tcPr>
            <w:tcW w:w="311" w:type="pct"/>
          </w:tcPr>
          <w:p w:rsidR="00B606B2" w:rsidRPr="007C4E64" w:rsidRDefault="00B606B2" w:rsidP="00F7554A">
            <w:pPr>
              <w:pStyle w:val="TableTextRight"/>
              <w:ind w:left="-57" w:right="-57"/>
              <w:rPr>
                <w:b/>
                <w:i/>
              </w:rPr>
            </w:pPr>
            <w:r w:rsidRPr="007C4E64">
              <w:rPr>
                <w:b/>
                <w:i/>
              </w:rPr>
              <w:t>2,990</w:t>
            </w:r>
          </w:p>
        </w:tc>
      </w:tr>
      <w:tr w:rsidR="00B606B2" w:rsidTr="00F7554A">
        <w:tc>
          <w:tcPr>
            <w:tcW w:w="945" w:type="pct"/>
          </w:tcPr>
          <w:p w:rsidR="00B606B2" w:rsidRPr="00215D77" w:rsidRDefault="00B606B2" w:rsidP="00F7554A">
            <w:pPr>
              <w:pStyle w:val="TableText"/>
              <w:keepNext/>
              <w:keepLines/>
              <w:rPr>
                <w:u w:val="single"/>
              </w:rPr>
            </w:pPr>
            <w:r w:rsidRPr="000E3ACD">
              <w:rPr>
                <w:u w:val="single"/>
              </w:rPr>
              <w:t>Net concessional loan discount</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-450</w:t>
            </w:r>
          </w:p>
        </w:tc>
        <w:tc>
          <w:tcPr>
            <w:tcW w:w="312" w:type="pct"/>
          </w:tcPr>
          <w:p w:rsidR="00B606B2" w:rsidRPr="007C4E64" w:rsidRDefault="00B606B2" w:rsidP="00F7554A">
            <w:pPr>
              <w:pStyle w:val="TableTextRight"/>
              <w:ind w:left="-57" w:right="-57"/>
              <w:rPr>
                <w:i/>
              </w:rPr>
            </w:pPr>
            <w:r w:rsidRPr="007C4E64">
              <w:rPr>
                <w:i/>
              </w:rPr>
              <w:t>-160</w:t>
            </w:r>
          </w:p>
        </w:tc>
        <w:tc>
          <w:tcPr>
            <w:tcW w:w="312" w:type="pct"/>
          </w:tcPr>
          <w:p w:rsidR="00B606B2" w:rsidRPr="007C4E64" w:rsidRDefault="00B606B2" w:rsidP="00F7554A">
            <w:pPr>
              <w:pStyle w:val="TableTextRight"/>
              <w:ind w:left="-57" w:right="-57"/>
              <w:rPr>
                <w:i/>
              </w:rPr>
            </w:pPr>
            <w:r w:rsidRPr="007C4E64">
              <w:rPr>
                <w:i/>
              </w:rPr>
              <w:t>-340</w:t>
            </w:r>
          </w:p>
        </w:tc>
        <w:tc>
          <w:tcPr>
            <w:tcW w:w="312" w:type="pct"/>
          </w:tcPr>
          <w:p w:rsidR="00B606B2" w:rsidRPr="007C4E64" w:rsidRDefault="00B606B2" w:rsidP="00F7554A">
            <w:pPr>
              <w:pStyle w:val="TableTextRight"/>
              <w:ind w:left="-57" w:right="-57"/>
              <w:rPr>
                <w:b/>
                <w:i/>
              </w:rPr>
            </w:pPr>
            <w:r w:rsidRPr="007C4E64">
              <w:rPr>
                <w:b/>
                <w:i/>
              </w:rPr>
              <w:t>-950</w:t>
            </w:r>
          </w:p>
        </w:tc>
        <w:tc>
          <w:tcPr>
            <w:tcW w:w="312" w:type="pct"/>
          </w:tcPr>
          <w:p w:rsidR="00B606B2" w:rsidRPr="007C4E64" w:rsidRDefault="00B606B2" w:rsidP="00F7554A">
            <w:pPr>
              <w:pStyle w:val="TableTextRight"/>
              <w:ind w:left="-57" w:right="-57"/>
              <w:rPr>
                <w:i/>
              </w:rPr>
            </w:pPr>
            <w:r w:rsidRPr="007C4E64">
              <w:rPr>
                <w:i/>
              </w:rPr>
              <w:t>-950</w:t>
            </w:r>
          </w:p>
        </w:tc>
        <w:tc>
          <w:tcPr>
            <w:tcW w:w="312" w:type="pct"/>
          </w:tcPr>
          <w:p w:rsidR="00B606B2" w:rsidRPr="007C4E64" w:rsidRDefault="00B606B2" w:rsidP="00F7554A">
            <w:pPr>
              <w:pStyle w:val="TableTextRight"/>
              <w:ind w:left="-57" w:right="-57"/>
              <w:rPr>
                <w:i/>
              </w:rPr>
            </w:pPr>
            <w:r w:rsidRPr="007C4E64">
              <w:rPr>
                <w:i/>
              </w:rPr>
              <w:t>-340</w:t>
            </w:r>
          </w:p>
        </w:tc>
        <w:tc>
          <w:tcPr>
            <w:tcW w:w="312" w:type="pct"/>
          </w:tcPr>
          <w:p w:rsidR="00B606B2" w:rsidRPr="007C4E64" w:rsidRDefault="00B606B2" w:rsidP="00F7554A">
            <w:pPr>
              <w:pStyle w:val="TableTextRight"/>
              <w:ind w:left="-57" w:right="-57"/>
              <w:rPr>
                <w:i/>
              </w:rPr>
            </w:pPr>
            <w:r w:rsidRPr="007C4E64">
              <w:rPr>
                <w:i/>
              </w:rPr>
              <w:t>-420</w:t>
            </w:r>
          </w:p>
        </w:tc>
        <w:tc>
          <w:tcPr>
            <w:tcW w:w="312" w:type="pct"/>
          </w:tcPr>
          <w:p w:rsidR="00B606B2" w:rsidRPr="007C4E64" w:rsidRDefault="00B606B2" w:rsidP="00F7554A">
            <w:pPr>
              <w:pStyle w:val="TableTextRight"/>
              <w:ind w:left="-57" w:right="-57"/>
              <w:rPr>
                <w:i/>
              </w:rPr>
            </w:pPr>
            <w:r w:rsidRPr="007C4E64">
              <w:rPr>
                <w:i/>
              </w:rPr>
              <w:t>60</w:t>
            </w:r>
          </w:p>
        </w:tc>
        <w:tc>
          <w:tcPr>
            <w:tcW w:w="312" w:type="pct"/>
          </w:tcPr>
          <w:p w:rsidR="00B606B2" w:rsidRPr="007C4E64" w:rsidRDefault="00B606B2" w:rsidP="00F7554A">
            <w:pPr>
              <w:pStyle w:val="TableTextRight"/>
              <w:ind w:left="-57" w:right="-57"/>
              <w:rPr>
                <w:i/>
              </w:rPr>
            </w:pPr>
            <w:r w:rsidRPr="007C4E64">
              <w:rPr>
                <w:i/>
              </w:rPr>
              <w:t>90</w:t>
            </w:r>
          </w:p>
        </w:tc>
        <w:tc>
          <w:tcPr>
            <w:tcW w:w="312" w:type="pct"/>
          </w:tcPr>
          <w:p w:rsidR="00B606B2" w:rsidRPr="007C4E64" w:rsidRDefault="00B606B2" w:rsidP="00F7554A">
            <w:pPr>
              <w:pStyle w:val="TableTextRight"/>
              <w:ind w:left="-57" w:right="-57"/>
              <w:rPr>
                <w:i/>
              </w:rPr>
            </w:pPr>
            <w:r w:rsidRPr="007C4E64">
              <w:rPr>
                <w:i/>
              </w:rPr>
              <w:t>90</w:t>
            </w:r>
          </w:p>
        </w:tc>
        <w:tc>
          <w:tcPr>
            <w:tcW w:w="312" w:type="pct"/>
          </w:tcPr>
          <w:p w:rsidR="00B606B2" w:rsidRPr="007C4E64" w:rsidRDefault="00B606B2" w:rsidP="00F7554A">
            <w:pPr>
              <w:pStyle w:val="TableTextRight"/>
              <w:ind w:left="-57" w:right="-57"/>
              <w:rPr>
                <w:i/>
              </w:rPr>
            </w:pPr>
            <w:r w:rsidRPr="007C4E64">
              <w:rPr>
                <w:i/>
              </w:rPr>
              <w:t>140</w:t>
            </w:r>
          </w:p>
        </w:tc>
        <w:tc>
          <w:tcPr>
            <w:tcW w:w="311" w:type="pct"/>
          </w:tcPr>
          <w:p w:rsidR="00B606B2" w:rsidRPr="007C4E64" w:rsidRDefault="00B606B2" w:rsidP="00F7554A">
            <w:pPr>
              <w:pStyle w:val="TableTextRight"/>
              <w:ind w:left="-57" w:right="-57"/>
              <w:rPr>
                <w:b/>
                <w:i/>
              </w:rPr>
            </w:pPr>
            <w:r w:rsidRPr="007C4E64">
              <w:rPr>
                <w:b/>
                <w:i/>
              </w:rPr>
              <w:t>-2,280</w:t>
            </w:r>
          </w:p>
        </w:tc>
      </w:tr>
      <w:tr w:rsidR="00B606B2" w:rsidTr="00F7554A">
        <w:tc>
          <w:tcPr>
            <w:tcW w:w="945" w:type="pct"/>
          </w:tcPr>
          <w:p w:rsidR="00B606B2" w:rsidRPr="00215D77" w:rsidRDefault="00B606B2" w:rsidP="00F7554A">
            <w:pPr>
              <w:pStyle w:val="TableText"/>
              <w:keepNext/>
              <w:keepLines/>
              <w:rPr>
                <w:i/>
              </w:rPr>
            </w:pPr>
            <w:r w:rsidRPr="000E3ACD">
              <w:rPr>
                <w:i/>
              </w:rPr>
              <w:t>Concessional loan discount</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-470</w:t>
            </w:r>
          </w:p>
        </w:tc>
        <w:tc>
          <w:tcPr>
            <w:tcW w:w="312" w:type="pct"/>
          </w:tcPr>
          <w:p w:rsidR="00B606B2" w:rsidRPr="007C4E64" w:rsidRDefault="00B606B2" w:rsidP="00F7554A">
            <w:pPr>
              <w:pStyle w:val="TableTextRight"/>
              <w:ind w:left="-57" w:right="-57"/>
              <w:rPr>
                <w:i/>
              </w:rPr>
            </w:pPr>
            <w:r w:rsidRPr="007C4E64">
              <w:rPr>
                <w:i/>
              </w:rPr>
              <w:t>-190</w:t>
            </w:r>
          </w:p>
        </w:tc>
        <w:tc>
          <w:tcPr>
            <w:tcW w:w="312" w:type="pct"/>
          </w:tcPr>
          <w:p w:rsidR="00B606B2" w:rsidRPr="007C4E64" w:rsidRDefault="00B606B2" w:rsidP="00F7554A">
            <w:pPr>
              <w:pStyle w:val="TableTextRight"/>
              <w:ind w:left="-57" w:right="-57"/>
              <w:rPr>
                <w:i/>
              </w:rPr>
            </w:pPr>
            <w:r w:rsidRPr="007C4E64">
              <w:rPr>
                <w:i/>
              </w:rPr>
              <w:t>-390</w:t>
            </w:r>
          </w:p>
        </w:tc>
        <w:tc>
          <w:tcPr>
            <w:tcW w:w="312" w:type="pct"/>
          </w:tcPr>
          <w:p w:rsidR="00B606B2" w:rsidRPr="007C4E64" w:rsidRDefault="00B606B2" w:rsidP="00F7554A">
            <w:pPr>
              <w:pStyle w:val="TableTextRight"/>
              <w:ind w:left="-57" w:right="-57"/>
              <w:rPr>
                <w:b/>
                <w:i/>
              </w:rPr>
            </w:pPr>
            <w:r w:rsidRPr="007C4E64">
              <w:rPr>
                <w:b/>
                <w:i/>
              </w:rPr>
              <w:t>-1,050</w:t>
            </w:r>
          </w:p>
        </w:tc>
        <w:tc>
          <w:tcPr>
            <w:tcW w:w="312" w:type="pct"/>
          </w:tcPr>
          <w:p w:rsidR="00B606B2" w:rsidRPr="007C4E64" w:rsidRDefault="00B606B2" w:rsidP="00F7554A">
            <w:pPr>
              <w:pStyle w:val="TableTextRight"/>
              <w:ind w:left="-57" w:right="-57"/>
              <w:rPr>
                <w:i/>
              </w:rPr>
            </w:pPr>
            <w:r w:rsidRPr="007C4E64">
              <w:rPr>
                <w:i/>
              </w:rPr>
              <w:t>-1,050</w:t>
            </w:r>
          </w:p>
        </w:tc>
        <w:tc>
          <w:tcPr>
            <w:tcW w:w="312" w:type="pct"/>
          </w:tcPr>
          <w:p w:rsidR="00B606B2" w:rsidRPr="007C4E64" w:rsidRDefault="00B606B2" w:rsidP="00F7554A">
            <w:pPr>
              <w:pStyle w:val="TableTextRight"/>
              <w:ind w:left="-57" w:right="-57"/>
              <w:rPr>
                <w:i/>
              </w:rPr>
            </w:pPr>
            <w:r w:rsidRPr="007C4E64">
              <w:rPr>
                <w:i/>
              </w:rPr>
              <w:t>-460</w:t>
            </w:r>
          </w:p>
        </w:tc>
        <w:tc>
          <w:tcPr>
            <w:tcW w:w="312" w:type="pct"/>
          </w:tcPr>
          <w:p w:rsidR="00B606B2" w:rsidRPr="007C4E64" w:rsidRDefault="00B606B2" w:rsidP="00F7554A">
            <w:pPr>
              <w:pStyle w:val="TableTextRight"/>
              <w:ind w:left="-57" w:right="-57"/>
              <w:rPr>
                <w:i/>
              </w:rPr>
            </w:pPr>
            <w:r w:rsidRPr="007C4E64">
              <w:rPr>
                <w:i/>
              </w:rPr>
              <w:t>-560</w:t>
            </w:r>
          </w:p>
        </w:tc>
        <w:tc>
          <w:tcPr>
            <w:tcW w:w="312" w:type="pct"/>
          </w:tcPr>
          <w:p w:rsidR="00B606B2" w:rsidRPr="007C4E64" w:rsidRDefault="00B606B2" w:rsidP="00F7554A">
            <w:pPr>
              <w:pStyle w:val="TableTextRight"/>
              <w:ind w:left="-57" w:right="-57"/>
              <w:rPr>
                <w:i/>
              </w:rPr>
            </w:pPr>
            <w:r w:rsidRPr="007C4E64">
              <w:rPr>
                <w:i/>
              </w:rPr>
              <w:t>-90</w:t>
            </w:r>
          </w:p>
        </w:tc>
        <w:tc>
          <w:tcPr>
            <w:tcW w:w="312" w:type="pct"/>
          </w:tcPr>
          <w:p w:rsidR="00B606B2" w:rsidRPr="007C4E64" w:rsidRDefault="00B606B2" w:rsidP="00F7554A">
            <w:pPr>
              <w:pStyle w:val="TableTextRight"/>
              <w:ind w:left="-57" w:right="-57"/>
              <w:rPr>
                <w:i/>
              </w:rPr>
            </w:pPr>
            <w:r w:rsidRPr="007C4E64">
              <w:rPr>
                <w:i/>
              </w:rPr>
              <w:t>-50</w:t>
            </w:r>
          </w:p>
        </w:tc>
        <w:tc>
          <w:tcPr>
            <w:tcW w:w="312" w:type="pct"/>
          </w:tcPr>
          <w:p w:rsidR="00B606B2" w:rsidRPr="007C4E64" w:rsidRDefault="00B606B2" w:rsidP="00F7554A">
            <w:pPr>
              <w:pStyle w:val="TableTextRight"/>
              <w:ind w:left="-57" w:right="-57"/>
              <w:rPr>
                <w:i/>
              </w:rPr>
            </w:pPr>
            <w:r w:rsidRPr="007C4E64">
              <w:rPr>
                <w:i/>
              </w:rPr>
              <w:t>-60</w:t>
            </w:r>
          </w:p>
        </w:tc>
        <w:tc>
          <w:tcPr>
            <w:tcW w:w="312" w:type="pct"/>
          </w:tcPr>
          <w:p w:rsidR="00B606B2" w:rsidRPr="007C4E64" w:rsidRDefault="00B606B2" w:rsidP="00F7554A">
            <w:pPr>
              <w:pStyle w:val="TableTextRight"/>
              <w:ind w:left="-57" w:right="-57"/>
              <w:rPr>
                <w:i/>
              </w:rPr>
            </w:pPr>
            <w:r w:rsidRPr="007C4E64">
              <w:rPr>
                <w:i/>
              </w:rPr>
              <w:t>-</w:t>
            </w:r>
          </w:p>
        </w:tc>
        <w:tc>
          <w:tcPr>
            <w:tcW w:w="311" w:type="pct"/>
          </w:tcPr>
          <w:p w:rsidR="00B606B2" w:rsidRPr="007C4E64" w:rsidRDefault="00B606B2" w:rsidP="00F7554A">
            <w:pPr>
              <w:pStyle w:val="TableTextRight"/>
              <w:ind w:left="-57" w:right="-57"/>
              <w:rPr>
                <w:b/>
                <w:i/>
              </w:rPr>
            </w:pPr>
            <w:r w:rsidRPr="007C4E64">
              <w:rPr>
                <w:b/>
                <w:i/>
              </w:rPr>
              <w:t>-3,310</w:t>
            </w:r>
          </w:p>
        </w:tc>
      </w:tr>
      <w:tr w:rsidR="00B606B2" w:rsidTr="00F7554A">
        <w:tc>
          <w:tcPr>
            <w:tcW w:w="945" w:type="pct"/>
          </w:tcPr>
          <w:p w:rsidR="00B606B2" w:rsidRPr="00215D77" w:rsidRDefault="00B606B2" w:rsidP="00F7554A">
            <w:pPr>
              <w:pStyle w:val="TableText"/>
              <w:keepNext/>
              <w:keepLines/>
              <w:rPr>
                <w:i/>
              </w:rPr>
            </w:pPr>
            <w:r w:rsidRPr="000E3ACD">
              <w:rPr>
                <w:i/>
              </w:rPr>
              <w:t xml:space="preserve">Unwinding of the concessional loan discount </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20</w:t>
            </w:r>
          </w:p>
        </w:tc>
        <w:tc>
          <w:tcPr>
            <w:tcW w:w="312" w:type="pct"/>
          </w:tcPr>
          <w:p w:rsidR="00B606B2" w:rsidRPr="007C4E64" w:rsidRDefault="00B606B2" w:rsidP="00F7554A">
            <w:pPr>
              <w:pStyle w:val="TableTextRight"/>
              <w:ind w:left="-57" w:right="-57"/>
              <w:rPr>
                <w:i/>
              </w:rPr>
            </w:pPr>
            <w:r w:rsidRPr="007C4E64">
              <w:rPr>
                <w:i/>
              </w:rPr>
              <w:t>30</w:t>
            </w:r>
          </w:p>
        </w:tc>
        <w:tc>
          <w:tcPr>
            <w:tcW w:w="312" w:type="pct"/>
          </w:tcPr>
          <w:p w:rsidR="00B606B2" w:rsidRPr="007C4E64" w:rsidRDefault="00B606B2" w:rsidP="00F7554A">
            <w:pPr>
              <w:pStyle w:val="TableTextRight"/>
              <w:ind w:left="-57" w:right="-57"/>
              <w:rPr>
                <w:i/>
              </w:rPr>
            </w:pPr>
            <w:r w:rsidRPr="007C4E64">
              <w:rPr>
                <w:i/>
              </w:rPr>
              <w:t>50</w:t>
            </w:r>
          </w:p>
        </w:tc>
        <w:tc>
          <w:tcPr>
            <w:tcW w:w="312" w:type="pct"/>
          </w:tcPr>
          <w:p w:rsidR="00B606B2" w:rsidRPr="007C4E64" w:rsidRDefault="00B606B2" w:rsidP="00F7554A">
            <w:pPr>
              <w:pStyle w:val="TableTextRight"/>
              <w:ind w:left="-57" w:right="-57"/>
              <w:rPr>
                <w:b/>
                <w:i/>
              </w:rPr>
            </w:pPr>
            <w:r w:rsidRPr="007C4E64">
              <w:rPr>
                <w:b/>
                <w:i/>
              </w:rPr>
              <w:t>100</w:t>
            </w:r>
          </w:p>
        </w:tc>
        <w:tc>
          <w:tcPr>
            <w:tcW w:w="312" w:type="pct"/>
          </w:tcPr>
          <w:p w:rsidR="00B606B2" w:rsidRPr="007C4E64" w:rsidRDefault="00B606B2" w:rsidP="00F7554A">
            <w:pPr>
              <w:pStyle w:val="TableTextRight"/>
              <w:ind w:left="-57" w:right="-57"/>
              <w:rPr>
                <w:i/>
              </w:rPr>
            </w:pPr>
            <w:r w:rsidRPr="007C4E64">
              <w:rPr>
                <w:i/>
              </w:rPr>
              <w:t>100</w:t>
            </w:r>
          </w:p>
        </w:tc>
        <w:tc>
          <w:tcPr>
            <w:tcW w:w="312" w:type="pct"/>
          </w:tcPr>
          <w:p w:rsidR="00B606B2" w:rsidRPr="007C4E64" w:rsidRDefault="00B606B2" w:rsidP="00F7554A">
            <w:pPr>
              <w:pStyle w:val="TableTextRight"/>
              <w:ind w:left="-57" w:right="-57"/>
              <w:rPr>
                <w:i/>
              </w:rPr>
            </w:pPr>
            <w:r w:rsidRPr="007C4E64">
              <w:rPr>
                <w:i/>
              </w:rPr>
              <w:t>120</w:t>
            </w:r>
          </w:p>
        </w:tc>
        <w:tc>
          <w:tcPr>
            <w:tcW w:w="312" w:type="pct"/>
          </w:tcPr>
          <w:p w:rsidR="00B606B2" w:rsidRPr="007C4E64" w:rsidRDefault="00B606B2" w:rsidP="00F7554A">
            <w:pPr>
              <w:pStyle w:val="TableTextRight"/>
              <w:ind w:left="-57" w:right="-57"/>
              <w:rPr>
                <w:i/>
              </w:rPr>
            </w:pPr>
            <w:r w:rsidRPr="007C4E64">
              <w:rPr>
                <w:i/>
              </w:rPr>
              <w:t>140</w:t>
            </w:r>
          </w:p>
        </w:tc>
        <w:tc>
          <w:tcPr>
            <w:tcW w:w="312" w:type="pct"/>
          </w:tcPr>
          <w:p w:rsidR="00B606B2" w:rsidRPr="007C4E64" w:rsidRDefault="00B606B2" w:rsidP="00F7554A">
            <w:pPr>
              <w:pStyle w:val="TableTextRight"/>
              <w:ind w:left="-57" w:right="-57"/>
              <w:rPr>
                <w:i/>
              </w:rPr>
            </w:pPr>
            <w:r w:rsidRPr="007C4E64">
              <w:rPr>
                <w:i/>
              </w:rPr>
              <w:t>140</w:t>
            </w:r>
          </w:p>
        </w:tc>
        <w:tc>
          <w:tcPr>
            <w:tcW w:w="312" w:type="pct"/>
          </w:tcPr>
          <w:p w:rsidR="00B606B2" w:rsidRPr="007C4E64" w:rsidRDefault="00B606B2" w:rsidP="00F7554A">
            <w:pPr>
              <w:pStyle w:val="TableTextRight"/>
              <w:ind w:left="-57" w:right="-57"/>
              <w:rPr>
                <w:i/>
              </w:rPr>
            </w:pPr>
            <w:r w:rsidRPr="007C4E64">
              <w:rPr>
                <w:i/>
              </w:rPr>
              <w:t>140</w:t>
            </w:r>
          </w:p>
        </w:tc>
        <w:tc>
          <w:tcPr>
            <w:tcW w:w="312" w:type="pct"/>
          </w:tcPr>
          <w:p w:rsidR="00B606B2" w:rsidRPr="007C4E64" w:rsidRDefault="00B606B2" w:rsidP="00F7554A">
            <w:pPr>
              <w:pStyle w:val="TableTextRight"/>
              <w:ind w:left="-57" w:right="-57"/>
              <w:rPr>
                <w:i/>
              </w:rPr>
            </w:pPr>
            <w:r w:rsidRPr="007C4E64">
              <w:rPr>
                <w:i/>
              </w:rPr>
              <w:t>150</w:t>
            </w:r>
          </w:p>
        </w:tc>
        <w:tc>
          <w:tcPr>
            <w:tcW w:w="312" w:type="pct"/>
          </w:tcPr>
          <w:p w:rsidR="00B606B2" w:rsidRPr="007C4E64" w:rsidRDefault="00B606B2" w:rsidP="00F7554A">
            <w:pPr>
              <w:pStyle w:val="TableTextRight"/>
              <w:ind w:left="-57" w:right="-57"/>
              <w:rPr>
                <w:i/>
              </w:rPr>
            </w:pPr>
            <w:r w:rsidRPr="007C4E64">
              <w:rPr>
                <w:i/>
              </w:rPr>
              <w:t>140</w:t>
            </w:r>
          </w:p>
        </w:tc>
        <w:tc>
          <w:tcPr>
            <w:tcW w:w="311" w:type="pct"/>
          </w:tcPr>
          <w:p w:rsidR="00B606B2" w:rsidRPr="007C4E64" w:rsidRDefault="00B606B2" w:rsidP="00F7554A">
            <w:pPr>
              <w:pStyle w:val="TableTextRight"/>
              <w:ind w:left="-57" w:right="-57"/>
              <w:rPr>
                <w:b/>
                <w:i/>
              </w:rPr>
            </w:pPr>
            <w:r w:rsidRPr="007C4E64">
              <w:rPr>
                <w:b/>
                <w:i/>
              </w:rPr>
              <w:t>1,030</w:t>
            </w:r>
          </w:p>
        </w:tc>
      </w:tr>
      <w:tr w:rsidR="00B606B2" w:rsidTr="00F7554A">
        <w:tc>
          <w:tcPr>
            <w:tcW w:w="945" w:type="pct"/>
          </w:tcPr>
          <w:p w:rsidR="00B606B2" w:rsidRPr="00215D77" w:rsidRDefault="00B606B2" w:rsidP="00F7554A">
            <w:pPr>
              <w:pStyle w:val="TableText"/>
              <w:keepNext/>
              <w:keepLines/>
            </w:pPr>
            <w:r w:rsidRPr="000E3ACD">
              <w:t>Public debt interest</w:t>
            </w:r>
          </w:p>
        </w:tc>
        <w:tc>
          <w:tcPr>
            <w:tcW w:w="312" w:type="pct"/>
          </w:tcPr>
          <w:p w:rsidR="00B606B2" w:rsidRPr="007C4E64" w:rsidRDefault="00B606B2" w:rsidP="00F7554A">
            <w:pPr>
              <w:pStyle w:val="TableTextRight"/>
              <w:ind w:left="-57" w:right="-57"/>
              <w:rPr>
                <w:i/>
              </w:rPr>
            </w:pPr>
            <w:r w:rsidRPr="007C4E64">
              <w:rPr>
                <w:i/>
              </w:rPr>
              <w:t>-</w:t>
            </w:r>
          </w:p>
        </w:tc>
        <w:tc>
          <w:tcPr>
            <w:tcW w:w="312" w:type="pct"/>
          </w:tcPr>
          <w:p w:rsidR="00B606B2" w:rsidRPr="007C4E64" w:rsidRDefault="00B606B2" w:rsidP="00F7554A">
            <w:pPr>
              <w:pStyle w:val="TableTextRight"/>
              <w:ind w:left="-57" w:right="-57"/>
              <w:rPr>
                <w:i/>
              </w:rPr>
            </w:pPr>
            <w:r w:rsidRPr="007C4E64">
              <w:rPr>
                <w:i/>
              </w:rPr>
              <w:t>-20</w:t>
            </w:r>
          </w:p>
        </w:tc>
        <w:tc>
          <w:tcPr>
            <w:tcW w:w="312" w:type="pct"/>
          </w:tcPr>
          <w:p w:rsidR="00B606B2" w:rsidRPr="007C4E64" w:rsidRDefault="00B606B2" w:rsidP="00F7554A">
            <w:pPr>
              <w:pStyle w:val="TableTextRight"/>
              <w:ind w:left="-57" w:right="-57"/>
              <w:rPr>
                <w:i/>
              </w:rPr>
            </w:pPr>
            <w:r w:rsidRPr="007C4E64">
              <w:rPr>
                <w:i/>
              </w:rPr>
              <w:t>-40</w:t>
            </w:r>
          </w:p>
        </w:tc>
        <w:tc>
          <w:tcPr>
            <w:tcW w:w="312" w:type="pct"/>
          </w:tcPr>
          <w:p w:rsidR="00B606B2" w:rsidRPr="007C4E64" w:rsidRDefault="00B606B2" w:rsidP="00F7554A">
            <w:pPr>
              <w:pStyle w:val="TableTextRight"/>
              <w:ind w:left="-57" w:right="-57"/>
              <w:rPr>
                <w:i/>
              </w:rPr>
            </w:pPr>
            <w:r w:rsidRPr="007C4E64">
              <w:rPr>
                <w:i/>
              </w:rPr>
              <w:t>-50</w:t>
            </w:r>
          </w:p>
        </w:tc>
        <w:tc>
          <w:tcPr>
            <w:tcW w:w="312" w:type="pct"/>
          </w:tcPr>
          <w:p w:rsidR="00B606B2" w:rsidRPr="007C4E64" w:rsidRDefault="00B606B2" w:rsidP="00F7554A">
            <w:pPr>
              <w:pStyle w:val="TableTextRight"/>
              <w:ind w:left="-57" w:right="-57"/>
              <w:rPr>
                <w:b/>
                <w:i/>
              </w:rPr>
            </w:pPr>
            <w:r w:rsidRPr="007C4E64">
              <w:rPr>
                <w:b/>
                <w:i/>
              </w:rPr>
              <w:t>-110</w:t>
            </w:r>
          </w:p>
        </w:tc>
        <w:tc>
          <w:tcPr>
            <w:tcW w:w="312" w:type="pct"/>
          </w:tcPr>
          <w:p w:rsidR="00B606B2" w:rsidRPr="007C4E64" w:rsidRDefault="00B606B2" w:rsidP="00F7554A">
            <w:pPr>
              <w:pStyle w:val="TableTextRight"/>
              <w:ind w:left="-57" w:right="-57"/>
              <w:rPr>
                <w:i/>
              </w:rPr>
            </w:pPr>
            <w:r w:rsidRPr="007C4E64">
              <w:rPr>
                <w:i/>
              </w:rPr>
              <w:t>-130</w:t>
            </w:r>
          </w:p>
        </w:tc>
        <w:tc>
          <w:tcPr>
            <w:tcW w:w="312" w:type="pct"/>
          </w:tcPr>
          <w:p w:rsidR="00B606B2" w:rsidRPr="007C4E64" w:rsidRDefault="00B606B2" w:rsidP="00F7554A">
            <w:pPr>
              <w:pStyle w:val="TableTextRight"/>
              <w:ind w:left="-57" w:right="-57"/>
              <w:rPr>
                <w:i/>
              </w:rPr>
            </w:pPr>
            <w:r w:rsidRPr="007C4E64">
              <w:rPr>
                <w:i/>
              </w:rPr>
              <w:t>-230</w:t>
            </w:r>
          </w:p>
        </w:tc>
        <w:tc>
          <w:tcPr>
            <w:tcW w:w="312" w:type="pct"/>
          </w:tcPr>
          <w:p w:rsidR="00B606B2" w:rsidRPr="007C4E64" w:rsidRDefault="00B606B2" w:rsidP="00F7554A">
            <w:pPr>
              <w:pStyle w:val="TableTextRight"/>
              <w:ind w:left="-57" w:right="-57"/>
              <w:rPr>
                <w:i/>
              </w:rPr>
            </w:pPr>
            <w:r w:rsidRPr="007C4E64">
              <w:rPr>
                <w:i/>
              </w:rPr>
              <w:t>-310</w:t>
            </w:r>
          </w:p>
        </w:tc>
        <w:tc>
          <w:tcPr>
            <w:tcW w:w="312" w:type="pct"/>
          </w:tcPr>
          <w:p w:rsidR="00B606B2" w:rsidRPr="007C4E64" w:rsidRDefault="00B606B2" w:rsidP="00F7554A">
            <w:pPr>
              <w:pStyle w:val="TableTextRight"/>
              <w:ind w:left="-57" w:right="-57"/>
              <w:rPr>
                <w:i/>
              </w:rPr>
            </w:pPr>
            <w:r w:rsidRPr="007C4E64">
              <w:rPr>
                <w:i/>
              </w:rPr>
              <w:t>-360</w:t>
            </w:r>
          </w:p>
        </w:tc>
        <w:tc>
          <w:tcPr>
            <w:tcW w:w="312" w:type="pct"/>
          </w:tcPr>
          <w:p w:rsidR="00B606B2" w:rsidRPr="007C4E64" w:rsidRDefault="00B606B2" w:rsidP="00F7554A">
            <w:pPr>
              <w:pStyle w:val="TableTextRight"/>
              <w:ind w:left="-57" w:right="-57"/>
              <w:rPr>
                <w:i/>
              </w:rPr>
            </w:pPr>
            <w:r w:rsidRPr="007C4E64">
              <w:rPr>
                <w:i/>
              </w:rPr>
              <w:t>-370</w:t>
            </w:r>
          </w:p>
        </w:tc>
        <w:tc>
          <w:tcPr>
            <w:tcW w:w="312" w:type="pct"/>
          </w:tcPr>
          <w:p w:rsidR="00B606B2" w:rsidRPr="007C4E64" w:rsidRDefault="00B606B2" w:rsidP="00F7554A">
            <w:pPr>
              <w:pStyle w:val="TableTextRight"/>
              <w:ind w:left="-57" w:right="-57"/>
              <w:rPr>
                <w:i/>
              </w:rPr>
            </w:pPr>
            <w:r w:rsidRPr="007C4E64">
              <w:rPr>
                <w:i/>
              </w:rPr>
              <w:t>-370</w:t>
            </w:r>
          </w:p>
        </w:tc>
        <w:tc>
          <w:tcPr>
            <w:tcW w:w="312" w:type="pct"/>
          </w:tcPr>
          <w:p w:rsidR="00B606B2" w:rsidRPr="007C4E64" w:rsidRDefault="00B606B2" w:rsidP="00F7554A">
            <w:pPr>
              <w:pStyle w:val="TableTextRight"/>
              <w:ind w:left="-57" w:right="-57"/>
              <w:rPr>
                <w:i/>
              </w:rPr>
            </w:pPr>
            <w:r w:rsidRPr="007C4E64">
              <w:rPr>
                <w:i/>
              </w:rPr>
              <w:t>-370</w:t>
            </w:r>
          </w:p>
        </w:tc>
        <w:tc>
          <w:tcPr>
            <w:tcW w:w="311" w:type="pct"/>
          </w:tcPr>
          <w:p w:rsidR="00B606B2" w:rsidRPr="007C4E64" w:rsidRDefault="00B606B2" w:rsidP="00F7554A">
            <w:pPr>
              <w:pStyle w:val="TableTextRight"/>
              <w:ind w:left="-57" w:right="-57"/>
              <w:rPr>
                <w:b/>
                <w:i/>
              </w:rPr>
            </w:pPr>
            <w:r w:rsidRPr="007C4E64">
              <w:rPr>
                <w:b/>
                <w:i/>
              </w:rPr>
              <w:t>-2,250</w:t>
            </w:r>
          </w:p>
        </w:tc>
      </w:tr>
      <w:tr w:rsidR="0073534F" w:rsidRPr="007C2713" w:rsidTr="00F7554A">
        <w:tc>
          <w:tcPr>
            <w:tcW w:w="945" w:type="pct"/>
            <w:shd w:val="clear" w:color="auto" w:fill="D7DDE9" w:themeFill="accent3"/>
            <w:vAlign w:val="center"/>
          </w:tcPr>
          <w:p w:rsidR="00B606B2" w:rsidRPr="007C2713" w:rsidRDefault="00B606B2" w:rsidP="00F7554A">
            <w:pPr>
              <w:pStyle w:val="TableText"/>
              <w:keepNext/>
              <w:keepLines/>
              <w:rPr>
                <w:b/>
              </w:rPr>
            </w:pPr>
            <w:r w:rsidRPr="007C2713">
              <w:rPr>
                <w:b/>
              </w:rPr>
              <w:t>Total</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-400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-110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-250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-760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-800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-230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-310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110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130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110</w:t>
            </w:r>
          </w:p>
        </w:tc>
        <w:tc>
          <w:tcPr>
            <w:tcW w:w="312" w:type="pct"/>
            <w:shd w:val="clear" w:color="auto" w:fill="D7DDE9" w:themeFill="accent3"/>
          </w:tcPr>
          <w:p w:rsidR="00B606B2" w:rsidRPr="00215D77" w:rsidRDefault="00B606B2" w:rsidP="00F7554A">
            <w:pPr>
              <w:pStyle w:val="TableTextRight"/>
              <w:ind w:left="-57" w:right="-57"/>
              <w:rPr>
                <w:b/>
              </w:rPr>
            </w:pPr>
            <w:r w:rsidRPr="00215D77">
              <w:rPr>
                <w:b/>
              </w:rPr>
              <w:t>150</w:t>
            </w:r>
          </w:p>
        </w:tc>
        <w:tc>
          <w:tcPr>
            <w:tcW w:w="311" w:type="pct"/>
            <w:shd w:val="clear" w:color="auto" w:fill="D7DDE9" w:themeFill="accent3"/>
          </w:tcPr>
          <w:p w:rsidR="00B606B2" w:rsidRPr="00215D77" w:rsidRDefault="00B606B2" w:rsidP="00F7554A">
            <w:pPr>
              <w:pStyle w:val="TableTextRight"/>
              <w:ind w:left="-57" w:right="-57"/>
              <w:rPr>
                <w:b/>
              </w:rPr>
            </w:pPr>
            <w:r w:rsidRPr="00215D77">
              <w:rPr>
                <w:b/>
              </w:rPr>
              <w:t>-1,600</w:t>
            </w:r>
          </w:p>
        </w:tc>
      </w:tr>
    </w:tbl>
    <w:p w:rsidR="00B606B2" w:rsidRDefault="00B606B2" w:rsidP="006F56B8">
      <w:pPr>
        <w:pStyle w:val="Footnotes"/>
        <w:numPr>
          <w:ilvl w:val="0"/>
          <w:numId w:val="129"/>
        </w:numPr>
        <w:spacing w:before="113"/>
        <w:ind w:left="284" w:hanging="284"/>
      </w:pPr>
      <w: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B606B2" w:rsidRPr="005F544A" w:rsidRDefault="00B606B2" w:rsidP="006F56B8">
      <w:pPr>
        <w:pStyle w:val="Footnotes"/>
        <w:spacing w:after="120"/>
        <w:ind w:left="284" w:hanging="284"/>
      </w:pPr>
      <w:r w:rsidRPr="005F544A">
        <w:t>Figures may not sum to totals due to rounding.</w:t>
      </w:r>
    </w:p>
    <w:p w:rsidR="00B606B2" w:rsidRPr="005F544A" w:rsidRDefault="00B606B2" w:rsidP="006F56B8">
      <w:pPr>
        <w:pStyle w:val="Footnotes"/>
        <w:numPr>
          <w:ilvl w:val="0"/>
          <w:numId w:val="0"/>
        </w:numPr>
        <w:ind w:left="284" w:hanging="284"/>
      </w:pPr>
      <w:r w:rsidRPr="005F544A">
        <w:t>-</w:t>
      </w:r>
      <w:r w:rsidRPr="005F544A">
        <w:tab/>
        <w:t>Indicates nil.</w:t>
      </w:r>
    </w:p>
    <w:p w:rsidR="00532ABE" w:rsidRPr="00FC6579" w:rsidRDefault="00532ABE" w:rsidP="006F56B8">
      <w:pPr>
        <w:pStyle w:val="Captionheading"/>
        <w:keepLines/>
      </w:pPr>
      <w:r w:rsidRPr="00FC6579">
        <w:t xml:space="preserve">Table </w:t>
      </w:r>
      <w:r>
        <w:t>B2</w:t>
      </w:r>
      <w:r w:rsidRPr="00FC6579">
        <w:t>:</w:t>
      </w:r>
      <w:r>
        <w:t xml:space="preserve"> Infrastructure Financing Facility—</w:t>
      </w:r>
      <w:r w:rsidRPr="00140478">
        <w:t xml:space="preserve">Underlying cash </w:t>
      </w:r>
      <w:r>
        <w:t>balance</w:t>
      </w:r>
      <w:r w:rsidRPr="00140478">
        <w:t xml:space="preserve"> </w:t>
      </w:r>
      <w:r w:rsidRPr="00FC6579">
        <w:t>(outturn prices)</w:t>
      </w:r>
      <w:r w:rsidRPr="0056054A">
        <w:rPr>
          <w:vertAlign w:val="superscript"/>
        </w:rPr>
        <w:t>(a)(b)</w:t>
      </w:r>
    </w:p>
    <w:tbl>
      <w:tblPr>
        <w:tblStyle w:val="TableGrid"/>
        <w:tblW w:w="4948" w:type="pct"/>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D1D90" w:rsidRPr="00B31810" w:rsidTr="000A5C15">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532ABE" w:rsidRPr="00D105E9" w:rsidRDefault="00532ABE" w:rsidP="006F56B8">
            <w:pPr>
              <w:keepNext/>
              <w:keepLines/>
              <w:spacing w:line="240" w:lineRule="auto"/>
              <w:ind w:left="57" w:right="57"/>
              <w:rPr>
                <w:szCs w:val="20"/>
              </w:rPr>
            </w:pPr>
            <w:r w:rsidRPr="00774C50">
              <w:rPr>
                <w:szCs w:val="20"/>
              </w:rPr>
              <w:t>($m)</w:t>
            </w:r>
          </w:p>
        </w:tc>
        <w:tc>
          <w:tcPr>
            <w:tcW w:w="326"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2016–17</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2017–18</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2018–19</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2019–20</w:t>
            </w:r>
          </w:p>
        </w:tc>
        <w:tc>
          <w:tcPr>
            <w:tcW w:w="327"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szCs w:val="20"/>
              </w:rPr>
            </w:pPr>
            <w:r w:rsidRPr="00774C50">
              <w:rPr>
                <w:szCs w:val="20"/>
              </w:rPr>
              <w:t>Total to 2019–20</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2020–21</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2021–22</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2022–23</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2023–24</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2024–25</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2025–26</w:t>
            </w:r>
          </w:p>
        </w:tc>
        <w:tc>
          <w:tcPr>
            <w:tcW w:w="325"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2026–27</w:t>
            </w:r>
          </w:p>
        </w:tc>
        <w:tc>
          <w:tcPr>
            <w:tcW w:w="326" w:type="pct"/>
            <w:shd w:val="clear" w:color="auto" w:fill="D7DDE9"/>
          </w:tcPr>
          <w:p w:rsidR="00532ABE" w:rsidRPr="00774C50" w:rsidRDefault="00532ABE" w:rsidP="006F56B8">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szCs w:val="20"/>
              </w:rPr>
            </w:pPr>
            <w:r w:rsidRPr="00774C50">
              <w:rPr>
                <w:szCs w:val="20"/>
              </w:rPr>
              <w:t>Total to 2026–27</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6F56B8">
            <w:pPr>
              <w:keepNext/>
              <w:keepLines/>
              <w:spacing w:line="240" w:lineRule="auto"/>
              <w:ind w:left="57" w:right="57"/>
              <w:rPr>
                <w:szCs w:val="20"/>
              </w:rPr>
            </w:pPr>
            <w:r w:rsidRPr="00774C50">
              <w:rPr>
                <w:szCs w:val="20"/>
              </w:rPr>
              <w:t>Departmental payments</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7"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-20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-100</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6F56B8">
            <w:pPr>
              <w:keepNext/>
              <w:keepLines/>
              <w:spacing w:line="240" w:lineRule="auto"/>
              <w:ind w:left="57" w:right="57"/>
              <w:rPr>
                <w:szCs w:val="20"/>
              </w:rPr>
            </w:pPr>
            <w:r w:rsidRPr="00774C50">
              <w:rPr>
                <w:szCs w:val="20"/>
              </w:rPr>
              <w:t>Interest receipts</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70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90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150 </w:t>
            </w:r>
          </w:p>
        </w:tc>
        <w:tc>
          <w:tcPr>
            <w:tcW w:w="327"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310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290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350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420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420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400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390 </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2,990 </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6F56B8">
            <w:pPr>
              <w:keepNext/>
              <w:keepLines/>
              <w:spacing w:line="240" w:lineRule="auto"/>
              <w:ind w:left="57" w:right="57"/>
              <w:rPr>
                <w:szCs w:val="20"/>
              </w:rPr>
            </w:pPr>
            <w:r w:rsidRPr="00774C50">
              <w:rPr>
                <w:szCs w:val="20"/>
              </w:rPr>
              <w:t>Public debt interest</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-50 </w:t>
            </w:r>
          </w:p>
        </w:tc>
        <w:tc>
          <w:tcPr>
            <w:tcW w:w="327"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-100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-130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-220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-300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-350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5"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6" w:type="pct"/>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-2,230 </w:t>
            </w:r>
          </w:p>
        </w:tc>
      </w:tr>
      <w:tr w:rsidR="00ED1D90" w:rsidRPr="00521DD7" w:rsidTr="000A5C15">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532ABE" w:rsidRPr="00D105E9" w:rsidRDefault="00532ABE" w:rsidP="006F56B8">
            <w:pPr>
              <w:keepNext/>
              <w:keepLines/>
              <w:spacing w:line="240" w:lineRule="auto"/>
              <w:ind w:left="57" w:right="57"/>
              <w:rPr>
                <w:b/>
                <w:szCs w:val="20"/>
              </w:rPr>
            </w:pPr>
            <w:r w:rsidRPr="00774C50">
              <w:rPr>
                <w:b/>
                <w:szCs w:val="20"/>
              </w:rPr>
              <w:t xml:space="preserve">Total </w:t>
            </w:r>
          </w:p>
        </w:tc>
        <w:tc>
          <w:tcPr>
            <w:tcW w:w="326" w:type="pct"/>
            <w:shd w:val="clear" w:color="auto" w:fill="D7DDE9"/>
          </w:tcPr>
          <w:p w:rsidR="00532ABE" w:rsidRPr="00B602EC"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E31DD4">
              <w:rPr>
                <w:b/>
                <w:szCs w:val="20"/>
              </w:rPr>
              <w:t xml:space="preserve"> -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50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50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90 </w:t>
            </w:r>
          </w:p>
        </w:tc>
        <w:tc>
          <w:tcPr>
            <w:tcW w:w="327"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190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160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120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110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60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30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20 </w:t>
            </w:r>
          </w:p>
        </w:tc>
        <w:tc>
          <w:tcPr>
            <w:tcW w:w="325"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10 </w:t>
            </w:r>
          </w:p>
        </w:tc>
        <w:tc>
          <w:tcPr>
            <w:tcW w:w="326" w:type="pct"/>
            <w:shd w:val="clear" w:color="auto" w:fill="D7DDE9"/>
          </w:tcPr>
          <w:p w:rsidR="00532ABE" w:rsidRPr="00D105E9" w:rsidRDefault="00532ABE" w:rsidP="006F56B8">
            <w:pPr>
              <w:keepNext/>
              <w:keepLines/>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710 </w:t>
            </w:r>
          </w:p>
        </w:tc>
      </w:tr>
    </w:tbl>
    <w:p w:rsidR="00532ABE" w:rsidRDefault="00532ABE" w:rsidP="006F56B8">
      <w:pPr>
        <w:pStyle w:val="Footnotes"/>
        <w:keepNext/>
        <w:keepLines/>
        <w:numPr>
          <w:ilvl w:val="0"/>
          <w:numId w:val="212"/>
        </w:numPr>
        <w:spacing w:before="113"/>
        <w:ind w:left="284" w:hanging="284"/>
      </w:pPr>
      <w:r>
        <w:t>A positive number for the underlying cash balance indicates an increase in receipts or a decrease in outlays or net capital investment in cash terms.  A negative number for the underlying cash balance indicates a decrease in receipts or an increase in outlays or net capital investment in cash terms.</w:t>
      </w:r>
    </w:p>
    <w:p w:rsidR="00532ABE" w:rsidRDefault="00532ABE" w:rsidP="006F56B8">
      <w:pPr>
        <w:pStyle w:val="Footnotes"/>
        <w:spacing w:before="113"/>
        <w:ind w:left="284" w:hanging="284"/>
      </w:pPr>
      <w:r>
        <w:t>Figures may not sum to totals due to rounding. - Indicates nil.</w:t>
      </w:r>
    </w:p>
    <w:p w:rsidR="00532ABE" w:rsidRPr="00FC6579" w:rsidRDefault="00532ABE" w:rsidP="00532ABE">
      <w:pPr>
        <w:pStyle w:val="Captionheading"/>
      </w:pPr>
      <w:r w:rsidRPr="00FC6579">
        <w:t xml:space="preserve">Table </w:t>
      </w:r>
      <w:r>
        <w:t>B3</w:t>
      </w:r>
      <w:r w:rsidRPr="00FC6579">
        <w:t>:</w:t>
      </w:r>
      <w:r>
        <w:t xml:space="preserve"> Infrastructure Financing Facility—Headline </w:t>
      </w:r>
      <w:r w:rsidRPr="00140478">
        <w:t xml:space="preserve">cash </w:t>
      </w:r>
      <w:r>
        <w:t>balance</w:t>
      </w:r>
      <w:r w:rsidRPr="00140478">
        <w:t xml:space="preserve"> </w:t>
      </w:r>
      <w:r w:rsidRPr="00FC6579">
        <w:t>(outturn prices)</w:t>
      </w:r>
      <w:r w:rsidRPr="0056054A">
        <w:rPr>
          <w:vertAlign w:val="superscript"/>
        </w:rPr>
        <w:t>(a)(b)</w:t>
      </w:r>
    </w:p>
    <w:tbl>
      <w:tblPr>
        <w:tblStyle w:val="TableGrid"/>
        <w:tblW w:w="4948" w:type="pct"/>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Look w:val="0680" w:firstRow="0" w:lastRow="0" w:firstColumn="1" w:lastColumn="0" w:noHBand="1" w:noVBand="1"/>
      </w:tblPr>
      <w:tblGrid>
        <w:gridCol w:w="2022"/>
        <w:gridCol w:w="854"/>
        <w:gridCol w:w="852"/>
        <w:gridCol w:w="852"/>
        <w:gridCol w:w="853"/>
        <w:gridCol w:w="858"/>
        <w:gridCol w:w="853"/>
        <w:gridCol w:w="853"/>
        <w:gridCol w:w="853"/>
        <w:gridCol w:w="853"/>
        <w:gridCol w:w="853"/>
        <w:gridCol w:w="853"/>
        <w:gridCol w:w="853"/>
        <w:gridCol w:w="855"/>
      </w:tblGrid>
      <w:tr w:rsidR="00ED1D90" w:rsidRPr="00B31810" w:rsidTr="000A5C15">
        <w:trPr>
          <w:cantSplit/>
          <w:tblHeader/>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532ABE" w:rsidRPr="00D105E9" w:rsidRDefault="00532ABE" w:rsidP="00B22C44">
            <w:pPr>
              <w:keepNext/>
              <w:keepLines/>
              <w:spacing w:line="240" w:lineRule="auto"/>
              <w:ind w:left="57" w:right="57"/>
              <w:rPr>
                <w:szCs w:val="20"/>
              </w:rPr>
            </w:pPr>
            <w:r w:rsidRPr="00774C50">
              <w:rPr>
                <w:szCs w:val="20"/>
              </w:rPr>
              <w:t>($m)</w:t>
            </w:r>
          </w:p>
        </w:tc>
        <w:tc>
          <w:tcPr>
            <w:tcW w:w="326"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2016–17</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2017–18</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2018–19</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2019–20</w:t>
            </w:r>
          </w:p>
        </w:tc>
        <w:tc>
          <w:tcPr>
            <w:tcW w:w="327"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szCs w:val="20"/>
              </w:rPr>
            </w:pPr>
            <w:r w:rsidRPr="00774C50">
              <w:rPr>
                <w:szCs w:val="20"/>
              </w:rPr>
              <w:t>Total to 2019–20</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2020–21</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2021–22</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2022–23</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2023–24</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2024–25</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2025–26</w:t>
            </w:r>
          </w:p>
        </w:tc>
        <w:tc>
          <w:tcPr>
            <w:tcW w:w="325"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szCs w:val="20"/>
              </w:rPr>
            </w:pPr>
            <w:r w:rsidRPr="00774C50">
              <w:rPr>
                <w:szCs w:val="20"/>
              </w:rPr>
              <w:t>2026–27</w:t>
            </w:r>
          </w:p>
        </w:tc>
        <w:tc>
          <w:tcPr>
            <w:tcW w:w="326" w:type="pct"/>
            <w:shd w:val="clear" w:color="auto" w:fill="D7DDE9"/>
          </w:tcPr>
          <w:p w:rsidR="00532ABE" w:rsidRPr="00774C50" w:rsidRDefault="00532ABE" w:rsidP="00B22C44">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szCs w:val="20"/>
              </w:rPr>
            </w:pPr>
            <w:r w:rsidRPr="00774C50">
              <w:rPr>
                <w:szCs w:val="20"/>
              </w:rPr>
              <w:t>Total to 2026–27</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B22C44">
            <w:pPr>
              <w:spacing w:line="240" w:lineRule="auto"/>
              <w:ind w:left="57" w:right="57"/>
              <w:rPr>
                <w:szCs w:val="20"/>
              </w:rPr>
            </w:pPr>
            <w:r w:rsidRPr="00774C50">
              <w:rPr>
                <w:szCs w:val="20"/>
              </w:rPr>
              <w:t>Departmental payments</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7"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-100</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B22C44">
            <w:pPr>
              <w:spacing w:line="240" w:lineRule="auto"/>
              <w:ind w:left="57" w:right="57"/>
              <w:rPr>
                <w:szCs w:val="20"/>
              </w:rPr>
            </w:pPr>
            <w:r w:rsidRPr="00774C50">
              <w:rPr>
                <w:szCs w:val="20"/>
              </w:rPr>
              <w:t xml:space="preserve">New loans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-1,360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-560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-1,130 </w:t>
            </w:r>
          </w:p>
        </w:tc>
        <w:tc>
          <w:tcPr>
            <w:tcW w:w="327"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-3,050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-3,050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-1,340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-1,640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-250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-180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-9,650 </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B22C44">
            <w:pPr>
              <w:spacing w:line="240" w:lineRule="auto"/>
              <w:ind w:left="57" w:right="57"/>
              <w:rPr>
                <w:szCs w:val="20"/>
              </w:rPr>
            </w:pPr>
            <w:r w:rsidRPr="00774C50">
              <w:rPr>
                <w:szCs w:val="20"/>
              </w:rPr>
              <w:t>Interest receipts</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70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90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150 </w:t>
            </w:r>
          </w:p>
        </w:tc>
        <w:tc>
          <w:tcPr>
            <w:tcW w:w="327"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310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290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400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390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2,990 </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B22C44">
            <w:pPr>
              <w:spacing w:line="240" w:lineRule="auto"/>
              <w:ind w:left="57" w:right="57"/>
              <w:rPr>
                <w:szCs w:val="20"/>
              </w:rPr>
            </w:pPr>
            <w:r w:rsidRPr="00774C50">
              <w:rPr>
                <w:szCs w:val="20"/>
              </w:rPr>
              <w:t>Loan repayments</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60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100 </w:t>
            </w:r>
          </w:p>
        </w:tc>
        <w:tc>
          <w:tcPr>
            <w:tcW w:w="327"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210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200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250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300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320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 2,240 </w:t>
            </w:r>
          </w:p>
        </w:tc>
      </w:tr>
      <w:tr w:rsidR="00532ABE" w:rsidTr="00725D7C">
        <w:trPr>
          <w:cantSplit/>
        </w:trPr>
        <w:tc>
          <w:tcPr>
            <w:cnfStyle w:val="001000000000" w:firstRow="0" w:lastRow="0" w:firstColumn="1" w:lastColumn="0" w:oddVBand="0" w:evenVBand="0" w:oddHBand="0" w:evenHBand="0" w:firstRowFirstColumn="0" w:firstRowLastColumn="0" w:lastRowFirstColumn="0" w:lastRowLastColumn="0"/>
            <w:tcW w:w="771" w:type="pct"/>
          </w:tcPr>
          <w:p w:rsidR="00532ABE" w:rsidRPr="00D105E9" w:rsidRDefault="00532ABE" w:rsidP="00B22C44">
            <w:pPr>
              <w:spacing w:line="240" w:lineRule="auto"/>
              <w:ind w:left="57" w:right="57"/>
              <w:rPr>
                <w:szCs w:val="20"/>
              </w:rPr>
            </w:pPr>
            <w:r w:rsidRPr="00774C50">
              <w:rPr>
                <w:szCs w:val="20"/>
              </w:rPr>
              <w:t>Public debt interest</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 -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-50 </w:t>
            </w:r>
          </w:p>
        </w:tc>
        <w:tc>
          <w:tcPr>
            <w:tcW w:w="327"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-100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-130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-220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-300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-350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5"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i/>
                <w:szCs w:val="20"/>
              </w:rPr>
            </w:pPr>
            <w:r w:rsidRPr="00D105E9">
              <w:rPr>
                <w:i/>
                <w:szCs w:val="20"/>
              </w:rPr>
              <w:t xml:space="preserve">-370 </w:t>
            </w:r>
          </w:p>
        </w:tc>
        <w:tc>
          <w:tcPr>
            <w:tcW w:w="326" w:type="pct"/>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i/>
                <w:szCs w:val="20"/>
              </w:rPr>
            </w:pPr>
            <w:r w:rsidRPr="00D105E9">
              <w:rPr>
                <w:b/>
                <w:i/>
                <w:szCs w:val="20"/>
              </w:rPr>
              <w:t xml:space="preserve">-2,230 </w:t>
            </w:r>
          </w:p>
        </w:tc>
      </w:tr>
      <w:tr w:rsidR="00ED1D90" w:rsidRPr="00521DD7" w:rsidTr="000A5C15">
        <w:trPr>
          <w:cantSplit/>
        </w:trPr>
        <w:tc>
          <w:tcPr>
            <w:cnfStyle w:val="001000000000" w:firstRow="0" w:lastRow="0" w:firstColumn="1" w:lastColumn="0" w:oddVBand="0" w:evenVBand="0" w:oddHBand="0" w:evenHBand="0" w:firstRowFirstColumn="0" w:firstRowLastColumn="0" w:lastRowFirstColumn="0" w:lastRowLastColumn="0"/>
            <w:tcW w:w="771" w:type="pct"/>
            <w:shd w:val="clear" w:color="auto" w:fill="D7DDE9"/>
          </w:tcPr>
          <w:p w:rsidR="00532ABE" w:rsidRPr="00D105E9" w:rsidRDefault="00532ABE" w:rsidP="00B22C44">
            <w:pPr>
              <w:spacing w:line="240" w:lineRule="auto"/>
              <w:ind w:left="57" w:right="57"/>
              <w:rPr>
                <w:b/>
                <w:szCs w:val="20"/>
              </w:rPr>
            </w:pPr>
            <w:r w:rsidRPr="00774C50">
              <w:rPr>
                <w:b/>
                <w:szCs w:val="20"/>
              </w:rPr>
              <w:t>Total headline cash impact</w:t>
            </w:r>
          </w:p>
        </w:tc>
        <w:tc>
          <w:tcPr>
            <w:tcW w:w="326" w:type="pct"/>
            <w:shd w:val="clear" w:color="auto" w:fill="D7DDE9"/>
          </w:tcPr>
          <w:p w:rsidR="00532ABE" w:rsidRPr="00B602EC"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E31DD4">
              <w:rPr>
                <w:b/>
                <w:szCs w:val="20"/>
              </w:rPr>
              <w:t xml:space="preserve"> -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-1,270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-440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-940 </w:t>
            </w:r>
          </w:p>
        </w:tc>
        <w:tc>
          <w:tcPr>
            <w:tcW w:w="327"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-2,650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-2,690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-970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-1,220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120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200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170 </w:t>
            </w:r>
          </w:p>
        </w:tc>
        <w:tc>
          <w:tcPr>
            <w:tcW w:w="325"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 330 </w:t>
            </w:r>
          </w:p>
        </w:tc>
        <w:tc>
          <w:tcPr>
            <w:tcW w:w="326" w:type="pct"/>
            <w:shd w:val="clear" w:color="auto" w:fill="D7DDE9"/>
          </w:tcPr>
          <w:p w:rsidR="00532ABE" w:rsidRPr="00D105E9" w:rsidRDefault="00532ABE" w:rsidP="00B22C44">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b/>
                <w:szCs w:val="20"/>
              </w:rPr>
            </w:pPr>
            <w:r w:rsidRPr="00D105E9">
              <w:rPr>
                <w:b/>
                <w:szCs w:val="20"/>
              </w:rPr>
              <w:t xml:space="preserve">-6,710 </w:t>
            </w:r>
          </w:p>
        </w:tc>
      </w:tr>
    </w:tbl>
    <w:p w:rsidR="00532ABE" w:rsidRDefault="00532ABE" w:rsidP="006F56B8">
      <w:pPr>
        <w:pStyle w:val="Footnotes"/>
        <w:numPr>
          <w:ilvl w:val="0"/>
          <w:numId w:val="213"/>
        </w:numPr>
        <w:spacing w:before="113"/>
        <w:ind w:left="284" w:hanging="284"/>
      </w:pPr>
      <w:r>
        <w:t>A positive number for the headline cash balance indicates an increase in cash flows.  A negative number for the headline cash balance indicates a decrease in cash flows.</w:t>
      </w:r>
    </w:p>
    <w:p w:rsidR="00532ABE" w:rsidRDefault="00532ABE" w:rsidP="006F56B8">
      <w:pPr>
        <w:pStyle w:val="Footnotes"/>
        <w:spacing w:before="113"/>
        <w:ind w:left="284" w:hanging="284"/>
      </w:pPr>
      <w:r>
        <w:t>Figures may not sum to totals due to rounding. - Indicates nil.</w:t>
      </w:r>
    </w:p>
    <w:p w:rsidR="00420CF4" w:rsidRDefault="00420CF4" w:rsidP="00420CF4">
      <w:pPr>
        <w:pStyle w:val="BodyText"/>
        <w:sectPr w:rsidR="00420CF4" w:rsidSect="006F56B8">
          <w:footnotePr>
            <w:numRestart w:val="eachSect"/>
          </w:footnotePr>
          <w:pgSz w:w="16839" w:h="11907" w:orient="landscape" w:code="9"/>
          <w:pgMar w:top="1361" w:right="1797" w:bottom="1474" w:left="1797" w:header="283" w:footer="454" w:gutter="0"/>
          <w:cols w:space="708"/>
          <w:docGrid w:linePitch="360"/>
        </w:sectPr>
      </w:pPr>
    </w:p>
    <w:p w:rsidR="00B606B2" w:rsidRDefault="00B606B2" w:rsidP="00B606B2">
      <w:pPr>
        <w:pStyle w:val="Heading5"/>
        <w:ind w:left="1080" w:hanging="1080"/>
      </w:pPr>
      <w:bookmarkStart w:id="65" w:name="_Toc458081679"/>
      <w:bookmarkStart w:id="66" w:name="_Toc455655012"/>
      <w:r>
        <w:t>ALP05</w:t>
      </w:r>
      <w:r w:rsidR="00A00D61">
        <w:t>5</w:t>
      </w:r>
      <w:r>
        <w:t>: Australian Institute of Marine Science Vessel</w:t>
      </w:r>
      <w:bookmarkEnd w:id="65"/>
    </w:p>
    <w:p w:rsidR="00B606B2" w:rsidRDefault="00B606B2" w:rsidP="00967B83">
      <w:pPr>
        <w:pStyle w:val="BodyText"/>
      </w:pPr>
      <w:r>
        <w:rPr>
          <w:noProof/>
          <w:lang w:eastAsia="en-AU"/>
        </w:rPr>
        <w:drawing>
          <wp:inline distT="0" distB="0" distL="0" distR="0" wp14:anchorId="73FA568E" wp14:editId="65D78530">
            <wp:extent cx="2696845" cy="572135"/>
            <wp:effectExtent l="0" t="0" r="8255" b="0"/>
            <wp:docPr id="16" name="Picture 1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B606B2" w:rsidRDefault="00B606B2" w:rsidP="00B606B2">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B606B2"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B606B2" w:rsidRPr="00A71F7B" w:rsidRDefault="00B606B2" w:rsidP="00916D57">
            <w:pPr>
              <w:pStyle w:val="PullOutBoxHeading"/>
              <w:rPr>
                <w:b/>
              </w:rPr>
            </w:pPr>
            <w:r w:rsidRPr="00A71F7B">
              <w:rPr>
                <w:b/>
              </w:rPr>
              <w:t>Name of proposal:</w:t>
            </w:r>
          </w:p>
        </w:tc>
        <w:tc>
          <w:tcPr>
            <w:tcW w:w="3191" w:type="pct"/>
          </w:tcPr>
          <w:p w:rsidR="00B606B2" w:rsidRPr="00A71F7B" w:rsidRDefault="003F16B1" w:rsidP="00916D57">
            <w:pPr>
              <w:pStyle w:val="PullOutBoxHeading"/>
              <w:rPr>
                <w:b/>
              </w:rPr>
            </w:pPr>
            <w:r w:rsidRPr="00A71F7B">
              <w:rPr>
                <w:b/>
              </w:rPr>
              <w:t>Australian Institute of Marine Science Vessel</w:t>
            </w:r>
          </w:p>
        </w:tc>
      </w:tr>
      <w:tr w:rsidR="00B606B2" w:rsidRPr="00B45F94" w:rsidTr="00F7554A">
        <w:tc>
          <w:tcPr>
            <w:tcW w:w="1809" w:type="pct"/>
          </w:tcPr>
          <w:p w:rsidR="00B606B2" w:rsidRPr="00B45F94" w:rsidRDefault="00B606B2" w:rsidP="00916D57">
            <w:pPr>
              <w:pStyle w:val="PullOutBoxBodyText"/>
            </w:pPr>
            <w:r w:rsidRPr="00B45F94">
              <w:t>Summary of proposal:</w:t>
            </w:r>
          </w:p>
        </w:tc>
        <w:tc>
          <w:tcPr>
            <w:tcW w:w="3191" w:type="pct"/>
          </w:tcPr>
          <w:p w:rsidR="003F16B1" w:rsidRDefault="003F16B1" w:rsidP="003F16B1">
            <w:pPr>
              <w:pStyle w:val="PullOutBoxBodyText"/>
            </w:pPr>
            <w:r>
              <w:t>The proposal would provide funding to build a new research vessel for the Australian Institute of Marine Science (AIMS), through limited tenders involving Australian shipyards, and commit to fully funding its ongoing operations.</w:t>
            </w:r>
          </w:p>
          <w:p w:rsidR="00B606B2" w:rsidRPr="00B45F94" w:rsidRDefault="003F16B1" w:rsidP="003F16B1">
            <w:pPr>
              <w:pStyle w:val="PullOutBoxBodyText"/>
            </w:pPr>
            <w:r>
              <w:t>The proposal would have effect from 1 January 2017.</w:t>
            </w:r>
          </w:p>
        </w:tc>
      </w:tr>
      <w:tr w:rsidR="00B606B2" w:rsidRPr="00B45F94" w:rsidTr="00F7554A">
        <w:tc>
          <w:tcPr>
            <w:tcW w:w="1809" w:type="pct"/>
          </w:tcPr>
          <w:p w:rsidR="00B606B2" w:rsidRPr="00B45F94" w:rsidRDefault="00B606B2" w:rsidP="00916D57">
            <w:pPr>
              <w:pStyle w:val="PullOutBoxBodyText"/>
            </w:pPr>
            <w:r>
              <w:t>Party:</w:t>
            </w:r>
          </w:p>
        </w:tc>
        <w:tc>
          <w:tcPr>
            <w:tcW w:w="3191" w:type="pct"/>
          </w:tcPr>
          <w:p w:rsidR="00B606B2" w:rsidRPr="00B45F94" w:rsidRDefault="00B606B2" w:rsidP="00916D57">
            <w:pPr>
              <w:pStyle w:val="PullOutBoxBodyText"/>
            </w:pPr>
            <w:r>
              <w:t>Australian Labor Party</w:t>
            </w:r>
          </w:p>
        </w:tc>
      </w:tr>
      <w:tr w:rsidR="00B606B2" w:rsidRPr="00B45F94" w:rsidTr="00F7554A">
        <w:tc>
          <w:tcPr>
            <w:tcW w:w="1809" w:type="pct"/>
          </w:tcPr>
          <w:p w:rsidR="00B606B2" w:rsidRPr="00B45F94" w:rsidRDefault="00B606B2" w:rsidP="00916D57">
            <w:pPr>
              <w:pStyle w:val="PullOutBoxBodyText"/>
            </w:pPr>
            <w:r w:rsidRPr="00B45F94">
              <w:t>Expiry date for the costing:</w:t>
            </w:r>
          </w:p>
        </w:tc>
        <w:tc>
          <w:tcPr>
            <w:tcW w:w="3191" w:type="pct"/>
          </w:tcPr>
          <w:p w:rsidR="00B606B2" w:rsidRPr="00B45F94" w:rsidRDefault="00B606B2" w:rsidP="00916D57">
            <w:pPr>
              <w:pStyle w:val="PullOutBoxBodyText"/>
            </w:pPr>
            <w:r>
              <w:t>Release of the next economic and fiscal update</w:t>
            </w:r>
          </w:p>
        </w:tc>
      </w:tr>
    </w:tbl>
    <w:p w:rsidR="00B606B2" w:rsidRDefault="00B606B2" w:rsidP="00B606B2">
      <w:pPr>
        <w:pStyle w:val="CostingsH7"/>
      </w:pPr>
      <w:r w:rsidRPr="00BF1EE6">
        <w:t>Costing overview</w:t>
      </w:r>
    </w:p>
    <w:p w:rsidR="003F16B1" w:rsidRDefault="003F16B1" w:rsidP="003F16B1">
      <w:pPr>
        <w:pStyle w:val="BodyText"/>
      </w:pPr>
      <w:r>
        <w:t>This proposal would be expected to decrease both the underlying cash and fiscal balances by $60.4 million over the 2016-17 Budget forward estimates period.  This impact is entirely due to an increase in departmental expenses.</w:t>
      </w:r>
    </w:p>
    <w:p w:rsidR="003F16B1" w:rsidRDefault="003F16B1" w:rsidP="003F16B1">
      <w:pPr>
        <w:pStyle w:val="BodyText"/>
      </w:pPr>
      <w:r>
        <w:t>This proposal would have an ongoing impact that extends beyond the forward estimates period with the annual impact growing at around 5 per cent per annum beyond 2019-20.</w:t>
      </w:r>
    </w:p>
    <w:p w:rsidR="003F16B1" w:rsidRPr="003F16B1" w:rsidRDefault="003F16B1" w:rsidP="003F16B1">
      <w:pPr>
        <w:pStyle w:val="BodyText"/>
      </w:pPr>
      <w:r>
        <w:t>This costing is considered to be of low reliability due to the uncertainty of the size and scope of the proposed new AIMS research vessel and its ongoing operations.</w:t>
      </w:r>
    </w:p>
    <w:p w:rsidR="00B606B2" w:rsidRDefault="00B606B2" w:rsidP="00B606B2">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B606B2"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B606B2" w:rsidRPr="00D264E1" w:rsidRDefault="00B606B2" w:rsidP="00F7554A">
            <w:pPr>
              <w:pStyle w:val="TableHeading"/>
            </w:pPr>
            <w:r>
              <w:t>Impact on ($m)</w:t>
            </w:r>
          </w:p>
        </w:tc>
        <w:tc>
          <w:tcPr>
            <w:tcW w:w="721" w:type="pct"/>
          </w:tcPr>
          <w:p w:rsidR="00B606B2" w:rsidRPr="00FC1F1C" w:rsidRDefault="00B606B2" w:rsidP="00F7554A">
            <w:pPr>
              <w:pStyle w:val="TableHeadingRight"/>
            </w:pPr>
            <w:r>
              <w:t>2016–17</w:t>
            </w:r>
          </w:p>
        </w:tc>
        <w:tc>
          <w:tcPr>
            <w:tcW w:w="721" w:type="pct"/>
          </w:tcPr>
          <w:p w:rsidR="00B606B2" w:rsidRPr="00FC1F1C" w:rsidRDefault="00B606B2" w:rsidP="00F7554A">
            <w:pPr>
              <w:pStyle w:val="TableHeadingRight"/>
            </w:pPr>
            <w:r>
              <w:t>2017–18</w:t>
            </w:r>
          </w:p>
        </w:tc>
        <w:tc>
          <w:tcPr>
            <w:tcW w:w="722" w:type="pct"/>
          </w:tcPr>
          <w:p w:rsidR="00B606B2" w:rsidRPr="00FC1F1C" w:rsidRDefault="00B606B2" w:rsidP="00F7554A">
            <w:pPr>
              <w:pStyle w:val="TableHeadingRight"/>
            </w:pPr>
            <w:r>
              <w:t>2018–19</w:t>
            </w:r>
          </w:p>
        </w:tc>
        <w:tc>
          <w:tcPr>
            <w:tcW w:w="721" w:type="pct"/>
          </w:tcPr>
          <w:p w:rsidR="00B606B2" w:rsidRPr="00FC1F1C" w:rsidRDefault="00B606B2" w:rsidP="00F7554A">
            <w:pPr>
              <w:pStyle w:val="TableHeadingRight"/>
            </w:pPr>
            <w:r>
              <w:t>2019–20</w:t>
            </w:r>
          </w:p>
        </w:tc>
        <w:tc>
          <w:tcPr>
            <w:tcW w:w="722" w:type="pct"/>
          </w:tcPr>
          <w:p w:rsidR="00B606B2" w:rsidRPr="00FC1F1C" w:rsidRDefault="00B606B2" w:rsidP="00F7554A">
            <w:pPr>
              <w:pStyle w:val="TableHeadingRight"/>
              <w:rPr>
                <w:b/>
              </w:rPr>
            </w:pPr>
            <w:r w:rsidRPr="00FC1F1C">
              <w:t>Total</w:t>
            </w:r>
          </w:p>
        </w:tc>
      </w:tr>
      <w:tr w:rsidR="003F16B1" w:rsidTr="00F7554A">
        <w:tc>
          <w:tcPr>
            <w:tcW w:w="1393" w:type="pct"/>
          </w:tcPr>
          <w:p w:rsidR="003F16B1" w:rsidRDefault="003F16B1" w:rsidP="00F7554A">
            <w:pPr>
              <w:pStyle w:val="TableText"/>
            </w:pPr>
            <w:r>
              <w:t>Fiscal balance</w:t>
            </w:r>
          </w:p>
        </w:tc>
        <w:tc>
          <w:tcPr>
            <w:tcW w:w="721" w:type="pct"/>
          </w:tcPr>
          <w:p w:rsidR="003F16B1" w:rsidRPr="003A3459" w:rsidRDefault="003F16B1" w:rsidP="00BE71C3">
            <w:pPr>
              <w:pStyle w:val="TableTextCentred"/>
              <w:keepNext/>
              <w:keepLines/>
              <w:jc w:val="right"/>
              <w:rPr>
                <w:szCs w:val="20"/>
              </w:rPr>
            </w:pPr>
            <w:r w:rsidRPr="005914C3">
              <w:t xml:space="preserve">-0.1 </w:t>
            </w:r>
          </w:p>
        </w:tc>
        <w:tc>
          <w:tcPr>
            <w:tcW w:w="721" w:type="pct"/>
          </w:tcPr>
          <w:p w:rsidR="003F16B1" w:rsidRPr="003A3459" w:rsidRDefault="003F16B1" w:rsidP="00BE71C3">
            <w:pPr>
              <w:pStyle w:val="TableTextCentred"/>
              <w:keepNext/>
              <w:keepLines/>
              <w:jc w:val="right"/>
              <w:rPr>
                <w:szCs w:val="20"/>
              </w:rPr>
            </w:pPr>
            <w:r w:rsidRPr="005914C3">
              <w:t xml:space="preserve">-26.8 </w:t>
            </w:r>
          </w:p>
        </w:tc>
        <w:tc>
          <w:tcPr>
            <w:tcW w:w="722" w:type="pct"/>
          </w:tcPr>
          <w:p w:rsidR="003F16B1" w:rsidRPr="003A3459" w:rsidRDefault="003F16B1" w:rsidP="00BE71C3">
            <w:pPr>
              <w:pStyle w:val="TableTextCentred"/>
              <w:keepNext/>
              <w:keepLines/>
              <w:jc w:val="right"/>
              <w:rPr>
                <w:szCs w:val="20"/>
              </w:rPr>
            </w:pPr>
            <w:r w:rsidRPr="005914C3">
              <w:t xml:space="preserve">-26.8 </w:t>
            </w:r>
          </w:p>
        </w:tc>
        <w:tc>
          <w:tcPr>
            <w:tcW w:w="721" w:type="pct"/>
          </w:tcPr>
          <w:p w:rsidR="003F16B1" w:rsidRPr="003A3459" w:rsidRDefault="003F16B1" w:rsidP="00BE71C3">
            <w:pPr>
              <w:pStyle w:val="TableTextCentred"/>
              <w:keepNext/>
              <w:keepLines/>
              <w:jc w:val="right"/>
              <w:rPr>
                <w:szCs w:val="20"/>
              </w:rPr>
            </w:pPr>
            <w:r w:rsidRPr="005914C3">
              <w:t xml:space="preserve">-6.8 </w:t>
            </w:r>
          </w:p>
        </w:tc>
        <w:tc>
          <w:tcPr>
            <w:tcW w:w="722" w:type="pct"/>
          </w:tcPr>
          <w:p w:rsidR="003F16B1" w:rsidRPr="00881294" w:rsidRDefault="003F16B1" w:rsidP="00BE71C3">
            <w:pPr>
              <w:pStyle w:val="TableTextCentred"/>
              <w:keepNext/>
              <w:keepLines/>
              <w:jc w:val="right"/>
              <w:rPr>
                <w:b/>
                <w:szCs w:val="20"/>
              </w:rPr>
            </w:pPr>
            <w:r w:rsidRPr="001630A3">
              <w:rPr>
                <w:b/>
              </w:rPr>
              <w:t xml:space="preserve">-60.4 </w:t>
            </w:r>
          </w:p>
        </w:tc>
      </w:tr>
      <w:tr w:rsidR="003F16B1" w:rsidTr="00F7554A">
        <w:tc>
          <w:tcPr>
            <w:tcW w:w="1393" w:type="pct"/>
          </w:tcPr>
          <w:p w:rsidR="003F16B1" w:rsidRDefault="003F16B1" w:rsidP="00F7554A">
            <w:pPr>
              <w:pStyle w:val="TableText"/>
            </w:pPr>
            <w:r>
              <w:t>Underlying cash balance</w:t>
            </w:r>
          </w:p>
        </w:tc>
        <w:tc>
          <w:tcPr>
            <w:tcW w:w="721" w:type="pct"/>
          </w:tcPr>
          <w:p w:rsidR="003F16B1" w:rsidRPr="003A3459" w:rsidRDefault="003F16B1" w:rsidP="00BE71C3">
            <w:pPr>
              <w:pStyle w:val="TableTextCentred"/>
              <w:keepNext/>
              <w:keepLines/>
              <w:jc w:val="right"/>
              <w:rPr>
                <w:szCs w:val="20"/>
              </w:rPr>
            </w:pPr>
            <w:r w:rsidRPr="005914C3">
              <w:t xml:space="preserve">-0.1 </w:t>
            </w:r>
          </w:p>
        </w:tc>
        <w:tc>
          <w:tcPr>
            <w:tcW w:w="721" w:type="pct"/>
          </w:tcPr>
          <w:p w:rsidR="003F16B1" w:rsidRPr="003A3459" w:rsidRDefault="003F16B1" w:rsidP="00BE71C3">
            <w:pPr>
              <w:pStyle w:val="TableTextCentred"/>
              <w:keepNext/>
              <w:keepLines/>
              <w:jc w:val="right"/>
              <w:rPr>
                <w:szCs w:val="20"/>
              </w:rPr>
            </w:pPr>
            <w:r w:rsidRPr="005914C3">
              <w:t xml:space="preserve">-26.8 </w:t>
            </w:r>
          </w:p>
        </w:tc>
        <w:tc>
          <w:tcPr>
            <w:tcW w:w="722" w:type="pct"/>
          </w:tcPr>
          <w:p w:rsidR="003F16B1" w:rsidRPr="003A3459" w:rsidRDefault="003F16B1" w:rsidP="00BE71C3">
            <w:pPr>
              <w:pStyle w:val="TableTextCentred"/>
              <w:keepNext/>
              <w:keepLines/>
              <w:jc w:val="right"/>
              <w:rPr>
                <w:szCs w:val="20"/>
              </w:rPr>
            </w:pPr>
            <w:r w:rsidRPr="005914C3">
              <w:t xml:space="preserve">-26.8 </w:t>
            </w:r>
          </w:p>
        </w:tc>
        <w:tc>
          <w:tcPr>
            <w:tcW w:w="721" w:type="pct"/>
          </w:tcPr>
          <w:p w:rsidR="003F16B1" w:rsidRPr="003A3459" w:rsidRDefault="003F16B1" w:rsidP="00BE71C3">
            <w:pPr>
              <w:pStyle w:val="TableTextCentred"/>
              <w:keepNext/>
              <w:keepLines/>
              <w:jc w:val="right"/>
              <w:rPr>
                <w:szCs w:val="20"/>
              </w:rPr>
            </w:pPr>
            <w:r w:rsidRPr="005914C3">
              <w:t xml:space="preserve">-6.8 </w:t>
            </w:r>
          </w:p>
        </w:tc>
        <w:tc>
          <w:tcPr>
            <w:tcW w:w="722" w:type="pct"/>
          </w:tcPr>
          <w:p w:rsidR="003F16B1" w:rsidRPr="00881294" w:rsidRDefault="003F16B1" w:rsidP="00BE71C3">
            <w:pPr>
              <w:pStyle w:val="TableTextCentred"/>
              <w:keepNext/>
              <w:keepLines/>
              <w:jc w:val="right"/>
              <w:rPr>
                <w:b/>
                <w:szCs w:val="20"/>
              </w:rPr>
            </w:pPr>
            <w:r w:rsidRPr="001630A3">
              <w:rPr>
                <w:b/>
              </w:rPr>
              <w:t xml:space="preserve">-60.4 </w:t>
            </w:r>
          </w:p>
        </w:tc>
      </w:tr>
    </w:tbl>
    <w:p w:rsidR="00B606B2" w:rsidRDefault="00B606B2" w:rsidP="0017601C">
      <w:pPr>
        <w:pStyle w:val="Footnotes"/>
        <w:numPr>
          <w:ilvl w:val="0"/>
          <w:numId w:val="130"/>
        </w:numPr>
        <w:ind w:left="284" w:hanging="284"/>
      </w:pPr>
      <w:r>
        <w:t xml:space="preserve">A positive </w:t>
      </w:r>
      <w:r w:rsidRPr="00FC1F1C">
        <w:t>number indicates an increase in the relevant budget balance, a negative number a decrease.</w:t>
      </w:r>
    </w:p>
    <w:p w:rsidR="003F16B1" w:rsidRDefault="00B606B2" w:rsidP="0017601C">
      <w:pPr>
        <w:pStyle w:val="Footnotes"/>
        <w:ind w:left="284" w:hanging="284"/>
      </w:pPr>
      <w:r w:rsidRPr="000E063A">
        <w:t>Figures may not sum to totals due to rounding.</w:t>
      </w:r>
    </w:p>
    <w:p w:rsidR="00B606B2" w:rsidRDefault="00B606B2" w:rsidP="00C84A46">
      <w:pPr>
        <w:pStyle w:val="CostingsH7"/>
      </w:pPr>
      <w:r>
        <w:t>Key assumptions</w:t>
      </w:r>
    </w:p>
    <w:p w:rsidR="003F16B1" w:rsidRDefault="003F16B1" w:rsidP="00C84A46">
      <w:pPr>
        <w:pStyle w:val="BodyText"/>
        <w:keepNext/>
        <w:keepLines/>
      </w:pPr>
      <w:r>
        <w:t>In costing the proposal, it has been assumed that:</w:t>
      </w:r>
    </w:p>
    <w:p w:rsidR="003F16B1" w:rsidRDefault="003F16B1" w:rsidP="00C84A46">
      <w:pPr>
        <w:pStyle w:val="ListBullet"/>
        <w:keepNext/>
      </w:pPr>
      <w:r>
        <w:t xml:space="preserve">the length of the new AIMS research vessel would be 45 meters, which is approximately 1.3 times of the length of the existing AIMS research vessel, </w:t>
      </w:r>
      <w:r w:rsidRPr="003F16B1">
        <w:rPr>
          <w:i/>
        </w:rPr>
        <w:t>RV Solander</w:t>
      </w:r>
    </w:p>
    <w:p w:rsidR="003F16B1" w:rsidRPr="003F16B1" w:rsidRDefault="003F16B1" w:rsidP="003F16B1">
      <w:pPr>
        <w:pStyle w:val="ListBullet"/>
      </w:pPr>
      <w:r>
        <w:t>the new AIMS research vessel would be built over two financial years with payments spread evenly over these two years.</w:t>
      </w:r>
    </w:p>
    <w:p w:rsidR="00B606B2" w:rsidRDefault="00B606B2" w:rsidP="00B606B2">
      <w:pPr>
        <w:pStyle w:val="CostingsH7"/>
      </w:pPr>
      <w:r>
        <w:t>Methodology</w:t>
      </w:r>
    </w:p>
    <w:p w:rsidR="00C775AC" w:rsidRDefault="00C775AC" w:rsidP="00C775AC">
      <w:pPr>
        <w:pStyle w:val="BodyText"/>
      </w:pPr>
      <w:r>
        <w:t>There would be three sources contributing to the departmental expenditure estimates of AIMS</w:t>
      </w:r>
      <w:r w:rsidRPr="00E53973">
        <w:rPr>
          <w:rStyle w:val="FootnoteReference"/>
        </w:rPr>
        <w:footnoteReference w:id="19"/>
      </w:r>
      <w:r>
        <w:t>: tender and project management costs over 2016-17 to 2018-19; new research vessel build costs over 2017-18 to 2018-19; and annual operating and sustaining capital costs from 2019-20 onwards.</w:t>
      </w:r>
    </w:p>
    <w:p w:rsidR="00C775AC" w:rsidRDefault="00C775AC" w:rsidP="00C775AC">
      <w:pPr>
        <w:pStyle w:val="BodyText"/>
      </w:pPr>
      <w:r>
        <w:t xml:space="preserve">The build cost for the new research vessel was derived based on the estimated current replacement cost of the </w:t>
      </w:r>
      <w:r w:rsidRPr="002D1B5B">
        <w:rPr>
          <w:i/>
        </w:rPr>
        <w:t>RV Solander</w:t>
      </w:r>
      <w:r>
        <w:t xml:space="preserve"> indexed by the Consumer Price Index and increased for the proportional difference in the length of the vessels.  The build cost was then evenly allocated over two years.</w:t>
      </w:r>
    </w:p>
    <w:p w:rsidR="00C775AC" w:rsidRDefault="00C775AC" w:rsidP="00C775AC">
      <w:pPr>
        <w:pStyle w:val="BodyText"/>
      </w:pPr>
      <w:r>
        <w:t xml:space="preserve">The annual operating costs from 2019-20 were calculated based on the annual operating costs of </w:t>
      </w:r>
      <w:r w:rsidRPr="002D1B5B">
        <w:rPr>
          <w:i/>
        </w:rPr>
        <w:t>RV Solander</w:t>
      </w:r>
      <w:r>
        <w:t xml:space="preserve"> and increased for the proportional difference in the length between these two vessels.</w:t>
      </w:r>
    </w:p>
    <w:p w:rsidR="00C775AC" w:rsidRDefault="00C775AC" w:rsidP="00C775AC">
      <w:pPr>
        <w:pStyle w:val="BodyText"/>
      </w:pPr>
      <w:r>
        <w:t xml:space="preserve">The sustaining capital costs from 2019-20 were estimated by applying the appropriate indexation rate to the average annual sustaining capital costs for the </w:t>
      </w:r>
      <w:r w:rsidRPr="002D1B5B">
        <w:rPr>
          <w:i/>
        </w:rPr>
        <w:t>RV Solander</w:t>
      </w:r>
      <w:r>
        <w:t xml:space="preserve"> and increased for the proportional difference in the length between these two vessels.</w:t>
      </w:r>
    </w:p>
    <w:p w:rsidR="00C775AC" w:rsidRPr="00C775AC" w:rsidRDefault="00C775AC" w:rsidP="00C775AC">
      <w:pPr>
        <w:pStyle w:val="BodyText"/>
      </w:pPr>
      <w:r>
        <w:t>Departmental expenditure estimates from the tender and program management were based on other like programs and estimates account for the net effect of indexation parameters and the efficiency dividend, in accordance with the Department of Finance’s costin</w:t>
      </w:r>
      <w:r w:rsidR="002D1B5B">
        <w:t>g practices.</w:t>
      </w:r>
    </w:p>
    <w:p w:rsidR="00B606B2" w:rsidRDefault="00B606B2" w:rsidP="00B606B2">
      <w:pPr>
        <w:pStyle w:val="CostingsH7"/>
      </w:pPr>
      <w:r>
        <w:t>Data sources</w:t>
      </w:r>
    </w:p>
    <w:p w:rsidR="002D1B5B" w:rsidRPr="002D1B5B" w:rsidRDefault="002D1B5B" w:rsidP="002D1B5B">
      <w:pPr>
        <w:pStyle w:val="BodyText"/>
      </w:pPr>
      <w:r w:rsidRPr="002D1B5B">
        <w:t xml:space="preserve">For </w:t>
      </w:r>
      <w:r w:rsidRPr="002D1B5B">
        <w:rPr>
          <w:i/>
        </w:rPr>
        <w:t>RV Solander</w:t>
      </w:r>
      <w:r w:rsidRPr="002D1B5B">
        <w:t>, the Department of Industry, Innovation and Science provided:</w:t>
      </w:r>
    </w:p>
    <w:p w:rsidR="002D1B5B" w:rsidRDefault="002D1B5B" w:rsidP="002D1B5B">
      <w:pPr>
        <w:pStyle w:val="ListBullet"/>
      </w:pPr>
      <w:r>
        <w:t>replacement cost as at 31 March 2015</w:t>
      </w:r>
    </w:p>
    <w:p w:rsidR="002D1B5B" w:rsidRDefault="002D1B5B" w:rsidP="002D1B5B">
      <w:pPr>
        <w:pStyle w:val="ListBullet"/>
      </w:pPr>
      <w:r>
        <w:t>annual operating costs and sustaining capital costs from 2016-17</w:t>
      </w:r>
    </w:p>
    <w:p w:rsidR="002D1B5B" w:rsidRDefault="002D1B5B" w:rsidP="002D1B5B">
      <w:pPr>
        <w:pStyle w:val="ListBullet"/>
      </w:pPr>
      <w:r>
        <w:t>the cost estimate to build a 45 metre research vessel.</w:t>
      </w:r>
    </w:p>
    <w:p w:rsidR="00B606B2" w:rsidRPr="00951305" w:rsidRDefault="002D1B5B" w:rsidP="00B606B2">
      <w:pPr>
        <w:pStyle w:val="BodyText"/>
      </w:pPr>
      <w:r w:rsidRPr="002D1B5B">
        <w:t>The Department of Finance provided indexation and efficiency dividend parameters.</w:t>
      </w:r>
    </w:p>
    <w:p w:rsidR="00B606B2" w:rsidRDefault="00B606B2" w:rsidP="00B606B2">
      <w:pPr>
        <w:pStyle w:val="BodyText"/>
        <w:sectPr w:rsidR="00B606B2" w:rsidSect="0017601C">
          <w:headerReference w:type="even" r:id="rId157"/>
          <w:headerReference w:type="default" r:id="rId158"/>
          <w:footerReference w:type="even" r:id="rId159"/>
          <w:footerReference w:type="default" r:id="rId160"/>
          <w:footnotePr>
            <w:numRestart w:val="eachSect"/>
          </w:footnotePr>
          <w:pgSz w:w="11906" w:h="16838" w:code="9"/>
          <w:pgMar w:top="1361" w:right="1797" w:bottom="1474" w:left="1797" w:header="283" w:footer="454" w:gutter="0"/>
          <w:cols w:space="708"/>
          <w:docGrid w:linePitch="360"/>
        </w:sectPr>
      </w:pPr>
    </w:p>
    <w:p w:rsidR="00CF1E68" w:rsidRDefault="00CF1E68" w:rsidP="00CF1E68">
      <w:pPr>
        <w:pStyle w:val="Heading5"/>
        <w:ind w:left="1080" w:hanging="1080"/>
      </w:pPr>
      <w:bookmarkStart w:id="67" w:name="_Toc458081680"/>
      <w:r>
        <w:t>ALP0</w:t>
      </w:r>
      <w:r w:rsidR="00A00D61">
        <w:t>5</w:t>
      </w:r>
      <w:r>
        <w:t>6: Early Stage Venture Capital Limited Partnerships</w:t>
      </w:r>
      <w:bookmarkEnd w:id="66"/>
      <w:bookmarkEnd w:id="67"/>
    </w:p>
    <w:p w:rsidR="00CF1E68" w:rsidRDefault="00CF1E68" w:rsidP="00967B83">
      <w:pPr>
        <w:pStyle w:val="BodyText"/>
      </w:pPr>
      <w:r>
        <w:rPr>
          <w:noProof/>
          <w:lang w:eastAsia="en-AU"/>
        </w:rPr>
        <w:drawing>
          <wp:inline distT="0" distB="0" distL="0" distR="0" wp14:anchorId="181D692B" wp14:editId="3B584B39">
            <wp:extent cx="2696845" cy="572135"/>
            <wp:effectExtent l="0" t="0" r="8255" b="0"/>
            <wp:docPr id="462" name="Picture 46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CF1E68" w:rsidRDefault="00CF1E68" w:rsidP="00CF1E68">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CF1E68"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CF1E68" w:rsidRPr="00A71F7B" w:rsidRDefault="00CF1E68" w:rsidP="00F7554A">
            <w:pPr>
              <w:pStyle w:val="PullOutBoxHeading"/>
              <w:rPr>
                <w:b/>
              </w:rPr>
            </w:pPr>
            <w:r w:rsidRPr="00A71F7B">
              <w:rPr>
                <w:b/>
              </w:rPr>
              <w:t>Name of proposal:</w:t>
            </w:r>
          </w:p>
        </w:tc>
        <w:tc>
          <w:tcPr>
            <w:tcW w:w="3191" w:type="pct"/>
          </w:tcPr>
          <w:p w:rsidR="00CF1E68" w:rsidRPr="00A71F7B" w:rsidRDefault="00CF1E68" w:rsidP="00F7554A">
            <w:pPr>
              <w:pStyle w:val="PullOutBoxHeading"/>
              <w:rPr>
                <w:b/>
              </w:rPr>
            </w:pPr>
            <w:r w:rsidRPr="00A71F7B">
              <w:rPr>
                <w:b/>
              </w:rPr>
              <w:t>Early Stage Venture Capital Limited Partnerships</w:t>
            </w:r>
          </w:p>
        </w:tc>
      </w:tr>
      <w:tr w:rsidR="00CF1E68" w:rsidRPr="00B45F94" w:rsidTr="00F7554A">
        <w:tc>
          <w:tcPr>
            <w:tcW w:w="1809" w:type="pct"/>
          </w:tcPr>
          <w:p w:rsidR="00CF1E68" w:rsidRPr="00B45F94" w:rsidRDefault="00CF1E68" w:rsidP="00F7554A">
            <w:pPr>
              <w:pStyle w:val="PullOutBoxBodyText"/>
            </w:pPr>
            <w:r w:rsidRPr="00B45F94">
              <w:t>Summary of proposal:</w:t>
            </w:r>
          </w:p>
        </w:tc>
        <w:tc>
          <w:tcPr>
            <w:tcW w:w="3191" w:type="pct"/>
          </w:tcPr>
          <w:p w:rsidR="00CF1E68" w:rsidRDefault="00CF1E68" w:rsidP="00F7554A">
            <w:pPr>
              <w:pStyle w:val="PullOutBoxBodyText"/>
            </w:pPr>
            <w:r>
              <w:t>The proposal would make the following changes to Early Stage Venture Capital Limited Partnerships (ESVCLPs):</w:t>
            </w:r>
          </w:p>
          <w:p w:rsidR="00CF1E68" w:rsidRDefault="00CF1E68" w:rsidP="00F7554A">
            <w:pPr>
              <w:pStyle w:val="PullOutBoxBullet"/>
            </w:pPr>
            <w:r>
              <w:t xml:space="preserve">Re-introduce the 2013-14 Budget measure, </w:t>
            </w:r>
            <w:r w:rsidRPr="00651800">
              <w:rPr>
                <w:i/>
              </w:rPr>
              <w:t>A Plan for Australian jobs – Venture Australia – Enhancing Tax Arrangements</w:t>
            </w:r>
            <w:r>
              <w:t xml:space="preserve"> which did not proceed.</w:t>
            </w:r>
          </w:p>
          <w:p w:rsidR="00CF1E68" w:rsidRDefault="00CF1E68" w:rsidP="00F7554A">
            <w:pPr>
              <w:pStyle w:val="PullOutBoxBullet"/>
            </w:pPr>
            <w:r>
              <w:t>Remove the restriction that limits investors to contributing no more than 30 per cent of an ESVCLP’s committed capital for:</w:t>
            </w:r>
          </w:p>
          <w:p w:rsidR="00CF1E68" w:rsidRDefault="00CF1E68" w:rsidP="00CF1E68">
            <w:pPr>
              <w:pStyle w:val="PullOutBoxBullet2"/>
            </w:pPr>
            <w:r>
              <w:t>sophisticated investors (that have net assets of at least $2.5 million or have a gross income for each of the last two financial years of at least $250,000)</w:t>
            </w:r>
          </w:p>
          <w:p w:rsidR="00CF1E68" w:rsidRDefault="00CF1E68" w:rsidP="00CF1E68">
            <w:pPr>
              <w:pStyle w:val="PullOutBoxBullet2"/>
            </w:pPr>
            <w:r>
              <w:t>widely held companies (that is, companies listed on approved stock exchanges).</w:t>
            </w:r>
          </w:p>
          <w:p w:rsidR="00CF1E68" w:rsidRPr="00B45F94" w:rsidRDefault="00CF1E68" w:rsidP="00F7554A">
            <w:pPr>
              <w:pStyle w:val="PullOutBoxBodyText"/>
            </w:pPr>
            <w:r>
              <w:t>This proposal would have effect from 1 July 2017.</w:t>
            </w:r>
          </w:p>
        </w:tc>
      </w:tr>
      <w:tr w:rsidR="00CF1E68" w:rsidRPr="00B45F94" w:rsidTr="00F7554A">
        <w:tc>
          <w:tcPr>
            <w:tcW w:w="1809" w:type="pct"/>
          </w:tcPr>
          <w:p w:rsidR="00CF1E68" w:rsidRPr="00B45F94" w:rsidRDefault="00CF1E68" w:rsidP="00F7554A">
            <w:pPr>
              <w:pStyle w:val="PullOutBoxBodyText"/>
            </w:pPr>
            <w:r>
              <w:t>Party:</w:t>
            </w:r>
          </w:p>
        </w:tc>
        <w:tc>
          <w:tcPr>
            <w:tcW w:w="3191" w:type="pct"/>
          </w:tcPr>
          <w:p w:rsidR="00CF1E68" w:rsidRPr="00B45F94" w:rsidRDefault="00CF1E68" w:rsidP="00F7554A">
            <w:pPr>
              <w:pStyle w:val="PullOutBoxBodyText"/>
            </w:pPr>
            <w:r>
              <w:t>Australian Labor Party</w:t>
            </w:r>
          </w:p>
        </w:tc>
      </w:tr>
      <w:tr w:rsidR="00CF1E68" w:rsidRPr="00B45F94" w:rsidTr="00F7554A">
        <w:tc>
          <w:tcPr>
            <w:tcW w:w="1809" w:type="pct"/>
          </w:tcPr>
          <w:p w:rsidR="00CF1E68" w:rsidRPr="00B45F94" w:rsidRDefault="00CF1E68" w:rsidP="00F7554A">
            <w:pPr>
              <w:pStyle w:val="PullOutBoxBodyText"/>
            </w:pPr>
            <w:r w:rsidRPr="00B45F94">
              <w:t>Expiry date for the costing:</w:t>
            </w:r>
          </w:p>
        </w:tc>
        <w:tc>
          <w:tcPr>
            <w:tcW w:w="3191" w:type="pct"/>
          </w:tcPr>
          <w:p w:rsidR="00CF1E68" w:rsidRPr="00B45F94" w:rsidRDefault="00CF1E68" w:rsidP="00F7554A">
            <w:pPr>
              <w:pStyle w:val="PullOutBoxBodyText"/>
            </w:pPr>
            <w:r>
              <w:t>Release of the next economic and fiscal update</w:t>
            </w:r>
          </w:p>
        </w:tc>
      </w:tr>
    </w:tbl>
    <w:p w:rsidR="00CF1E68" w:rsidRDefault="00CF1E68" w:rsidP="00CF1E68">
      <w:pPr>
        <w:pStyle w:val="CostingsH7"/>
      </w:pPr>
      <w:r w:rsidRPr="00BF1EE6">
        <w:t>Costing overview</w:t>
      </w:r>
    </w:p>
    <w:p w:rsidR="00CF1E68" w:rsidRDefault="00CF1E68" w:rsidP="00CF1E68">
      <w:pPr>
        <w:pStyle w:val="BodyText"/>
      </w:pPr>
      <w:r>
        <w:t>This proposal would not be expected to have material financial implications on the fiscal or underlying cash balances over the 2016</w:t>
      </w:r>
      <w:r>
        <w:noBreakHyphen/>
        <w:t>17 Budget forward estimates period.</w:t>
      </w:r>
    </w:p>
    <w:p w:rsidR="00CF1E68" w:rsidRDefault="00CF1E68" w:rsidP="00CF1E68">
      <w:pPr>
        <w:pStyle w:val="BodyText"/>
      </w:pPr>
      <w:r>
        <w:t>This proposal would also not be expected to have material financial implications beyond the 2016</w:t>
      </w:r>
      <w:r>
        <w:noBreakHyphen/>
        <w:t>17 Budget forward estimates period.</w:t>
      </w:r>
    </w:p>
    <w:p w:rsidR="00CF1E68" w:rsidRDefault="00CF1E68" w:rsidP="00CF1E68">
      <w:pPr>
        <w:pStyle w:val="BodyText"/>
      </w:pPr>
      <w:r>
        <w:t>Departmental expenses are not expected to be significant and have not been included in this costing.</w:t>
      </w:r>
    </w:p>
    <w:p w:rsidR="00CF1E68" w:rsidRPr="00C83636" w:rsidRDefault="00CF1E68" w:rsidP="00CF1E68">
      <w:pPr>
        <w:pStyle w:val="BodyText"/>
      </w:pPr>
      <w:r>
        <w:t>This costing is considered to be of low reliability due to limited available data on ESVCLPs.</w:t>
      </w:r>
    </w:p>
    <w:p w:rsidR="00CF1E68" w:rsidRPr="00C84A46" w:rsidRDefault="00CF1E68" w:rsidP="00CF1E68">
      <w:pPr>
        <w:pStyle w:val="Caption"/>
        <w:keepLines/>
      </w:pPr>
      <w:r w:rsidRPr="00D264E1">
        <w:t xml:space="preserve">Table </w:t>
      </w:r>
      <w:r>
        <w:t>1</w:t>
      </w:r>
      <w:r w:rsidRPr="00D264E1">
        <w:t xml:space="preserve">: </w:t>
      </w:r>
      <w:r>
        <w:t>Financial implications (outturn prices)</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CF1E68"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CF1E68" w:rsidRPr="00D264E1" w:rsidRDefault="00CF1E68" w:rsidP="00F7554A">
            <w:pPr>
              <w:pStyle w:val="TableHeading"/>
            </w:pPr>
            <w:r>
              <w:t>Impact on ($m)</w:t>
            </w:r>
          </w:p>
        </w:tc>
        <w:tc>
          <w:tcPr>
            <w:tcW w:w="721" w:type="pct"/>
          </w:tcPr>
          <w:p w:rsidR="00CF1E68" w:rsidRPr="00FC1F1C" w:rsidRDefault="00CF1E68" w:rsidP="00F7554A">
            <w:pPr>
              <w:pStyle w:val="TableHeadingRight"/>
            </w:pPr>
            <w:r>
              <w:t>2016–17</w:t>
            </w:r>
          </w:p>
        </w:tc>
        <w:tc>
          <w:tcPr>
            <w:tcW w:w="721" w:type="pct"/>
          </w:tcPr>
          <w:p w:rsidR="00CF1E68" w:rsidRPr="00FC1F1C" w:rsidRDefault="00CF1E68" w:rsidP="00F7554A">
            <w:pPr>
              <w:pStyle w:val="TableHeadingRight"/>
            </w:pPr>
            <w:r>
              <w:t>2017–18</w:t>
            </w:r>
          </w:p>
        </w:tc>
        <w:tc>
          <w:tcPr>
            <w:tcW w:w="722" w:type="pct"/>
          </w:tcPr>
          <w:p w:rsidR="00CF1E68" w:rsidRPr="00FC1F1C" w:rsidRDefault="00CF1E68" w:rsidP="00F7554A">
            <w:pPr>
              <w:pStyle w:val="TableHeadingRight"/>
            </w:pPr>
            <w:r>
              <w:t>2018–19</w:t>
            </w:r>
          </w:p>
        </w:tc>
        <w:tc>
          <w:tcPr>
            <w:tcW w:w="721" w:type="pct"/>
          </w:tcPr>
          <w:p w:rsidR="00CF1E68" w:rsidRPr="00FC1F1C" w:rsidRDefault="00CF1E68" w:rsidP="00F7554A">
            <w:pPr>
              <w:pStyle w:val="TableHeadingRight"/>
            </w:pPr>
            <w:r>
              <w:t>2019–20</w:t>
            </w:r>
          </w:p>
        </w:tc>
        <w:tc>
          <w:tcPr>
            <w:tcW w:w="722" w:type="pct"/>
          </w:tcPr>
          <w:p w:rsidR="00CF1E68" w:rsidRPr="00FC1F1C" w:rsidRDefault="00CF1E68" w:rsidP="00F7554A">
            <w:pPr>
              <w:pStyle w:val="TableHeadingRight"/>
              <w:rPr>
                <w:b/>
              </w:rPr>
            </w:pPr>
            <w:r w:rsidRPr="00FC1F1C">
              <w:t>Total</w:t>
            </w:r>
          </w:p>
        </w:tc>
      </w:tr>
      <w:tr w:rsidR="00CF1E68" w:rsidTr="00F7554A">
        <w:tc>
          <w:tcPr>
            <w:tcW w:w="1393" w:type="pct"/>
          </w:tcPr>
          <w:p w:rsidR="00CF1E68" w:rsidRDefault="00CF1E68" w:rsidP="00F7554A">
            <w:pPr>
              <w:pStyle w:val="TableText"/>
              <w:keepNext/>
              <w:keepLines/>
            </w:pPr>
            <w:r>
              <w:t>Fiscal balance</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2" w:type="pct"/>
          </w:tcPr>
          <w:p w:rsidR="00CF1E68" w:rsidRPr="003A3459" w:rsidRDefault="00CF1E68" w:rsidP="00F7554A">
            <w:pPr>
              <w:pStyle w:val="TableTextCentred"/>
              <w:keepNext/>
              <w:keepLines/>
              <w:spacing w:line="240" w:lineRule="auto"/>
              <w:jc w:val="right"/>
              <w:rPr>
                <w:szCs w:val="20"/>
              </w:rPr>
            </w:pPr>
            <w:r>
              <w:rPr>
                <w:szCs w:val="20"/>
              </w:rPr>
              <w:t>..</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2" w:type="pct"/>
          </w:tcPr>
          <w:p w:rsidR="00CF1E68" w:rsidRPr="00C363AE" w:rsidRDefault="00CF1E68" w:rsidP="00F7554A">
            <w:pPr>
              <w:pStyle w:val="TableTextCentred"/>
              <w:keepNext/>
              <w:keepLines/>
              <w:spacing w:line="240" w:lineRule="auto"/>
              <w:jc w:val="right"/>
              <w:rPr>
                <w:b/>
                <w:szCs w:val="20"/>
              </w:rPr>
            </w:pPr>
            <w:r>
              <w:rPr>
                <w:b/>
                <w:szCs w:val="20"/>
              </w:rPr>
              <w:t>..</w:t>
            </w:r>
          </w:p>
        </w:tc>
      </w:tr>
      <w:tr w:rsidR="00CF1E68" w:rsidTr="00F7554A">
        <w:tc>
          <w:tcPr>
            <w:tcW w:w="1393" w:type="pct"/>
          </w:tcPr>
          <w:p w:rsidR="00CF1E68" w:rsidRDefault="00CF1E68" w:rsidP="00F7554A">
            <w:pPr>
              <w:pStyle w:val="TableText"/>
              <w:keepNext/>
              <w:keepLines/>
            </w:pPr>
            <w:r>
              <w:t>Underlying cash balance</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2" w:type="pct"/>
          </w:tcPr>
          <w:p w:rsidR="00CF1E68" w:rsidRPr="003A3459" w:rsidRDefault="00CF1E68" w:rsidP="00F7554A">
            <w:pPr>
              <w:pStyle w:val="TableTextCentred"/>
              <w:keepNext/>
              <w:keepLines/>
              <w:spacing w:line="240" w:lineRule="auto"/>
              <w:jc w:val="right"/>
              <w:rPr>
                <w:szCs w:val="20"/>
              </w:rPr>
            </w:pPr>
            <w:r>
              <w:rPr>
                <w:szCs w:val="20"/>
              </w:rPr>
              <w:t>..</w:t>
            </w:r>
          </w:p>
        </w:tc>
        <w:tc>
          <w:tcPr>
            <w:tcW w:w="721" w:type="pct"/>
          </w:tcPr>
          <w:p w:rsidR="00CF1E68" w:rsidRPr="003A3459" w:rsidRDefault="00CF1E68" w:rsidP="00F7554A">
            <w:pPr>
              <w:pStyle w:val="TableTextCentred"/>
              <w:keepNext/>
              <w:keepLines/>
              <w:spacing w:line="240" w:lineRule="auto"/>
              <w:jc w:val="right"/>
              <w:rPr>
                <w:szCs w:val="20"/>
              </w:rPr>
            </w:pPr>
            <w:r>
              <w:rPr>
                <w:szCs w:val="20"/>
              </w:rPr>
              <w:t>..</w:t>
            </w:r>
          </w:p>
        </w:tc>
        <w:tc>
          <w:tcPr>
            <w:tcW w:w="722" w:type="pct"/>
          </w:tcPr>
          <w:p w:rsidR="00CF1E68" w:rsidRPr="00C363AE" w:rsidRDefault="00CF1E68" w:rsidP="00F7554A">
            <w:pPr>
              <w:pStyle w:val="TableTextCentred"/>
              <w:keepNext/>
              <w:keepLines/>
              <w:spacing w:line="240" w:lineRule="auto"/>
              <w:jc w:val="right"/>
              <w:rPr>
                <w:b/>
                <w:szCs w:val="20"/>
              </w:rPr>
            </w:pPr>
            <w:r>
              <w:rPr>
                <w:b/>
                <w:szCs w:val="20"/>
              </w:rPr>
              <w:t>..</w:t>
            </w:r>
          </w:p>
        </w:tc>
      </w:tr>
    </w:tbl>
    <w:p w:rsidR="00C84A46" w:rsidRDefault="00C84A46" w:rsidP="00C84A46">
      <w:pPr>
        <w:pStyle w:val="Footnotes"/>
        <w:numPr>
          <w:ilvl w:val="0"/>
          <w:numId w:val="0"/>
        </w:numPr>
        <w:ind w:left="284" w:hanging="284"/>
      </w:pPr>
      <w:r>
        <w:t>..</w:t>
      </w:r>
      <w:r>
        <w:tab/>
        <w:t>Not zero but rounded to zero.</w:t>
      </w:r>
    </w:p>
    <w:p w:rsidR="00C84A46" w:rsidRDefault="00C84A46" w:rsidP="00725D7C">
      <w:pPr>
        <w:pStyle w:val="Footnotes"/>
        <w:numPr>
          <w:ilvl w:val="0"/>
          <w:numId w:val="13"/>
        </w:numPr>
        <w:ind w:left="284" w:hanging="284"/>
      </w:pPr>
      <w:r>
        <w:t>Indicates ni</w:t>
      </w:r>
      <w:r w:rsidR="00437878">
        <w:t>l</w:t>
      </w:r>
      <w:r>
        <w:t>.</w:t>
      </w:r>
    </w:p>
    <w:p w:rsidR="00CF1E68" w:rsidRDefault="00CF1E68" w:rsidP="00CF1E68">
      <w:pPr>
        <w:pStyle w:val="CostingsH7"/>
      </w:pPr>
      <w:r>
        <w:t>Key assumptions</w:t>
      </w:r>
    </w:p>
    <w:p w:rsidR="00CF1E68" w:rsidRPr="00DD0424" w:rsidRDefault="00CF1E68" w:rsidP="00CF1E68">
      <w:pPr>
        <w:pStyle w:val="BodyText"/>
      </w:pPr>
      <w:r w:rsidRPr="00DD0424">
        <w:t>The Parliamentary Budget Office has assumed that this proposal would be able to be legislated in a manner that does not breach international tax rules.</w:t>
      </w:r>
    </w:p>
    <w:p w:rsidR="00CF1E68" w:rsidRDefault="00CF1E68" w:rsidP="00CF1E68">
      <w:pPr>
        <w:pStyle w:val="CostingsH7"/>
      </w:pPr>
      <w:r>
        <w:t>Methodology</w:t>
      </w:r>
    </w:p>
    <w:p w:rsidR="00CF1E68" w:rsidRDefault="00CF1E68" w:rsidP="00CF1E68">
      <w:pPr>
        <w:pStyle w:val="BodyText"/>
      </w:pPr>
      <w:r>
        <w:t>The estimated financial implications for this proposal were informed by consideration of Australian Bureau of Statistics data on the value and number of investments in venture capital and later stage private equity.</w:t>
      </w:r>
    </w:p>
    <w:p w:rsidR="00CF1E68" w:rsidRPr="00DD0424" w:rsidRDefault="00CF1E68" w:rsidP="00CF1E68">
      <w:pPr>
        <w:pStyle w:val="BodyText"/>
      </w:pPr>
      <w:r>
        <w:t>Estimated financial implications are expected to be less than the $10 million rounding applied to this costing.</w:t>
      </w:r>
    </w:p>
    <w:p w:rsidR="00CF1E68" w:rsidRDefault="00CF1E68" w:rsidP="00CF1E68">
      <w:pPr>
        <w:pStyle w:val="CostingsH7"/>
      </w:pPr>
      <w:r>
        <w:t>Data sources</w:t>
      </w:r>
    </w:p>
    <w:p w:rsidR="00CF1E68" w:rsidRPr="00DD0424" w:rsidRDefault="00CF1E68" w:rsidP="00CF1E68">
      <w:pPr>
        <w:pStyle w:val="BodyText"/>
      </w:pPr>
      <w:r>
        <w:t xml:space="preserve">Australian Bureau of Statistics 2016, </w:t>
      </w:r>
      <w:r w:rsidRPr="00DD0424">
        <w:rPr>
          <w:i/>
        </w:rPr>
        <w:t>Venture Capital and Later Stage Private Equity, Australia, 2014</w:t>
      </w:r>
      <w:r>
        <w:rPr>
          <w:i/>
        </w:rPr>
        <w:t>-</w:t>
      </w:r>
      <w:r w:rsidRPr="00DD0424">
        <w:rPr>
          <w:i/>
        </w:rPr>
        <w:t>15</w:t>
      </w:r>
      <w:r>
        <w:rPr>
          <w:i/>
        </w:rPr>
        <w:t>, cat no. 5678.0, ABS, Canberra</w:t>
      </w:r>
      <w:r w:rsidRPr="00DD0424">
        <w:t>.</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DD7E73" w:rsidRDefault="00DD7E73" w:rsidP="00DD7E73">
      <w:pPr>
        <w:pStyle w:val="Heading5"/>
        <w:ind w:left="1080" w:hanging="1080"/>
      </w:pPr>
      <w:bookmarkStart w:id="68" w:name="_Toc455655013"/>
      <w:bookmarkStart w:id="69" w:name="_Toc458081681"/>
      <w:r>
        <w:t>ALP0</w:t>
      </w:r>
      <w:r w:rsidR="00A00D61">
        <w:t>57</w:t>
      </w:r>
      <w:r>
        <w:t>: Future Research Excellence</w:t>
      </w:r>
      <w:bookmarkEnd w:id="68"/>
      <w:bookmarkEnd w:id="69"/>
    </w:p>
    <w:p w:rsidR="00DD7E73" w:rsidRDefault="00DD7E73" w:rsidP="00967B83">
      <w:pPr>
        <w:pStyle w:val="BodyText"/>
      </w:pPr>
      <w:r>
        <w:rPr>
          <w:noProof/>
          <w:lang w:eastAsia="en-AU"/>
        </w:rPr>
        <w:drawing>
          <wp:inline distT="0" distB="0" distL="0" distR="0" wp14:anchorId="454A90D0" wp14:editId="58A263DD">
            <wp:extent cx="2696845" cy="572135"/>
            <wp:effectExtent l="0" t="0" r="8255" b="0"/>
            <wp:docPr id="461" name="Picture 46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DD7E73" w:rsidRDefault="00DD7E73" w:rsidP="00DD7E73">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DD7E73"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DD7E73" w:rsidRPr="00A71F7B" w:rsidRDefault="00DD7E73" w:rsidP="00F7554A">
            <w:pPr>
              <w:pStyle w:val="PullOutBoxHeading"/>
              <w:rPr>
                <w:b/>
              </w:rPr>
            </w:pPr>
            <w:r w:rsidRPr="00A71F7B">
              <w:rPr>
                <w:b/>
              </w:rPr>
              <w:t>Name of proposal:</w:t>
            </w:r>
          </w:p>
        </w:tc>
        <w:tc>
          <w:tcPr>
            <w:tcW w:w="3191" w:type="pct"/>
          </w:tcPr>
          <w:p w:rsidR="00DD7E73" w:rsidRPr="00A71F7B" w:rsidRDefault="00DD7E73" w:rsidP="00F7554A">
            <w:pPr>
              <w:pStyle w:val="PullOutBoxHeading"/>
              <w:rPr>
                <w:b/>
              </w:rPr>
            </w:pPr>
            <w:r w:rsidRPr="00A71F7B">
              <w:rPr>
                <w:b/>
              </w:rPr>
              <w:t>Future Research Excellence</w:t>
            </w:r>
          </w:p>
        </w:tc>
      </w:tr>
      <w:tr w:rsidR="00DD7E73" w:rsidRPr="005613E4" w:rsidTr="00F7554A">
        <w:tc>
          <w:tcPr>
            <w:tcW w:w="1809" w:type="pct"/>
          </w:tcPr>
          <w:p w:rsidR="00DD7E73" w:rsidRPr="005613E4" w:rsidRDefault="00DD7E73" w:rsidP="00F7554A">
            <w:pPr>
              <w:pStyle w:val="PullOutBoxBodyText"/>
            </w:pPr>
            <w:r w:rsidRPr="005613E4">
              <w:t>Summary of proposal:</w:t>
            </w:r>
          </w:p>
        </w:tc>
        <w:tc>
          <w:tcPr>
            <w:tcW w:w="3191" w:type="pct"/>
          </w:tcPr>
          <w:p w:rsidR="00DD7E73" w:rsidRPr="005613E4" w:rsidRDefault="00DD7E73" w:rsidP="00F7554A">
            <w:pPr>
              <w:pStyle w:val="PullOutBoxBodyText"/>
            </w:pPr>
            <w:r w:rsidRPr="005613E4">
              <w:t>The proposal would reverse the 2015-16</w:t>
            </w:r>
            <w:r>
              <w:t> </w:t>
            </w:r>
            <w:r w:rsidRPr="005613E4">
              <w:t xml:space="preserve">Budget measure, </w:t>
            </w:r>
            <w:r w:rsidRPr="005613E4">
              <w:rPr>
                <w:i/>
              </w:rPr>
              <w:t>Sustainable Research Excellence – adjustment</w:t>
            </w:r>
            <w:r w:rsidRPr="005613E4">
              <w:t>, offset by reversing the financial</w:t>
            </w:r>
            <w:r>
              <w:t xml:space="preserve"> impact of the 2015</w:t>
            </w:r>
            <w:r>
              <w:noBreakHyphen/>
              <w:t>16 </w:t>
            </w:r>
            <w:r w:rsidRPr="005613E4">
              <w:t>Mid-Year Economic and Fiscal Outlook (MYEFO) measure,</w:t>
            </w:r>
            <w:r w:rsidRPr="005613E4">
              <w:rPr>
                <w:i/>
              </w:rPr>
              <w:t xml:space="preserve"> National Innovation and Science Agenda – improving university business collaboration</w:t>
            </w:r>
            <w:r>
              <w:t xml:space="preserve"> for the years 2016</w:t>
            </w:r>
            <w:r>
              <w:noBreakHyphen/>
            </w:r>
            <w:r w:rsidRPr="005613E4">
              <w:t>17 to 201</w:t>
            </w:r>
            <w:r>
              <w:t>8</w:t>
            </w:r>
            <w:r>
              <w:noBreakHyphen/>
            </w:r>
            <w:r w:rsidRPr="005613E4">
              <w:t>19 only.</w:t>
            </w:r>
          </w:p>
          <w:p w:rsidR="00DD7E73" w:rsidRPr="005613E4" w:rsidRDefault="00DD7E73" w:rsidP="00F7554A">
            <w:pPr>
              <w:pStyle w:val="PullOutBoxBodyText"/>
            </w:pPr>
            <w:r w:rsidRPr="005613E4">
              <w:t>The proposal would have effect from 2016-17.</w:t>
            </w:r>
          </w:p>
        </w:tc>
      </w:tr>
      <w:tr w:rsidR="00DD7E73" w:rsidRPr="005613E4" w:rsidTr="00F7554A">
        <w:tc>
          <w:tcPr>
            <w:tcW w:w="1809" w:type="pct"/>
          </w:tcPr>
          <w:p w:rsidR="00DD7E73" w:rsidRPr="005613E4" w:rsidRDefault="00DD7E73" w:rsidP="00F7554A">
            <w:pPr>
              <w:pStyle w:val="PullOutBoxBodyText"/>
            </w:pPr>
            <w:r w:rsidRPr="005613E4">
              <w:t>Party:</w:t>
            </w:r>
          </w:p>
        </w:tc>
        <w:tc>
          <w:tcPr>
            <w:tcW w:w="3191" w:type="pct"/>
          </w:tcPr>
          <w:p w:rsidR="00DD7E73" w:rsidRPr="005613E4" w:rsidRDefault="00DD7E73" w:rsidP="00F7554A">
            <w:pPr>
              <w:pStyle w:val="PullOutBoxBodyText"/>
            </w:pPr>
            <w:r w:rsidRPr="005613E4">
              <w:t>Australian Labor Party</w:t>
            </w:r>
          </w:p>
        </w:tc>
      </w:tr>
      <w:tr w:rsidR="00DD7E73" w:rsidRPr="005613E4" w:rsidTr="00F7554A">
        <w:tc>
          <w:tcPr>
            <w:tcW w:w="1809" w:type="pct"/>
          </w:tcPr>
          <w:p w:rsidR="00DD7E73" w:rsidRPr="005613E4" w:rsidRDefault="00DD7E73" w:rsidP="00F7554A">
            <w:pPr>
              <w:pStyle w:val="PullOutBoxBodyText"/>
            </w:pPr>
            <w:r w:rsidRPr="005613E4">
              <w:t>Expiry date for the costing:</w:t>
            </w:r>
          </w:p>
        </w:tc>
        <w:tc>
          <w:tcPr>
            <w:tcW w:w="3191" w:type="pct"/>
          </w:tcPr>
          <w:p w:rsidR="00DD7E73" w:rsidRPr="005613E4" w:rsidRDefault="00DD7E73" w:rsidP="00F7554A">
            <w:pPr>
              <w:pStyle w:val="PullOutBoxBodyText"/>
            </w:pPr>
            <w:r w:rsidRPr="005613E4">
              <w:t>Release of the next economic and fiscal update</w:t>
            </w:r>
          </w:p>
        </w:tc>
      </w:tr>
    </w:tbl>
    <w:p w:rsidR="00DD7E73" w:rsidRDefault="00DD7E73" w:rsidP="00DD7E73">
      <w:pPr>
        <w:pStyle w:val="CostingsH7"/>
      </w:pPr>
      <w:r w:rsidRPr="00BF1EE6">
        <w:t>Costing overview</w:t>
      </w:r>
    </w:p>
    <w:p w:rsidR="00DD7E73" w:rsidRDefault="00DD7E73" w:rsidP="00DD7E73">
      <w:pPr>
        <w:pStyle w:val="BodyText"/>
      </w:pPr>
      <w:r>
        <w:t xml:space="preserve">The </w:t>
      </w:r>
      <w:r w:rsidRPr="00651800">
        <w:rPr>
          <w:i/>
        </w:rPr>
        <w:t>Sustainable Research Excellence – adjustment</w:t>
      </w:r>
      <w:r>
        <w:t xml:space="preserve"> measure was announced in the 2015</w:t>
      </w:r>
      <w:r>
        <w:noBreakHyphen/>
        <w:t>16 Budget and reduced funding for the Sustainable Research Excellence (SRE) program.  The SRE program provides block grants to eligible higher education providers (HEPs) to assist these institutions to meet the indirect cost of research activities that would not be entirely met by the various competitive grant programs.</w:t>
      </w:r>
    </w:p>
    <w:p w:rsidR="00DD7E73" w:rsidRDefault="00DD7E73" w:rsidP="00DD7E73">
      <w:pPr>
        <w:pStyle w:val="BodyText"/>
      </w:pPr>
      <w:r>
        <w:t xml:space="preserve">The </w:t>
      </w:r>
      <w:r w:rsidRPr="000F0952">
        <w:rPr>
          <w:i/>
        </w:rPr>
        <w:t>National Innovation and Science Agenda – improving university-business collaboration</w:t>
      </w:r>
      <w:r>
        <w:t xml:space="preserve"> measure was announced in the 2015-16 MYEFO and provided $127.3 million over three years from 2016-17 to provide greater incentives for researchers to engage with industry.</w:t>
      </w:r>
    </w:p>
    <w:p w:rsidR="00DD7E73" w:rsidRDefault="00DD7E73" w:rsidP="00DD7E73">
      <w:pPr>
        <w:pStyle w:val="BodyText"/>
      </w:pPr>
      <w:r>
        <w:t xml:space="preserve">See </w:t>
      </w:r>
      <w:r w:rsidRPr="000F0952">
        <w:rPr>
          <w:u w:val="single"/>
        </w:rPr>
        <w:t>Attachment A</w:t>
      </w:r>
      <w:r>
        <w:t xml:space="preserve"> for the relevant measure descriptions.</w:t>
      </w:r>
    </w:p>
    <w:p w:rsidR="00DD7E73" w:rsidRDefault="00DD7E73" w:rsidP="00DD7E73">
      <w:pPr>
        <w:pStyle w:val="BodyText"/>
      </w:pPr>
      <w:r>
        <w:t>This proposal would be expected to decrease the fiscal and underlying cash balances by $172.7 million over the 2016-17 Budget forward estimates period.  The impact is entirely due to a net increase in administered expenses.</w:t>
      </w:r>
    </w:p>
    <w:p w:rsidR="00DD7E73" w:rsidRPr="00164D16" w:rsidRDefault="00DD7E73" w:rsidP="00DD7E73">
      <w:pPr>
        <w:pStyle w:val="BodyText"/>
      </w:pPr>
      <w:r>
        <w:t xml:space="preserve">The detailed financial implications are included at </w:t>
      </w:r>
      <w:r w:rsidRPr="000A0FFE">
        <w:rPr>
          <w:u w:val="single"/>
        </w:rPr>
        <w:t>Attachment B</w:t>
      </w:r>
      <w:r>
        <w:t>.</w:t>
      </w:r>
    </w:p>
    <w:p w:rsidR="00DD7E73" w:rsidRDefault="00DD7E73" w:rsidP="00DD7E73">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DD7E73"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DD7E73" w:rsidRPr="00D264E1" w:rsidRDefault="00DD7E73" w:rsidP="00F7554A">
            <w:pPr>
              <w:pStyle w:val="TableHeading"/>
            </w:pPr>
            <w:r>
              <w:t>Impact on ($m)</w:t>
            </w:r>
          </w:p>
        </w:tc>
        <w:tc>
          <w:tcPr>
            <w:tcW w:w="721" w:type="pct"/>
          </w:tcPr>
          <w:p w:rsidR="00DD7E73" w:rsidRPr="00FC1F1C" w:rsidRDefault="00DD7E73" w:rsidP="00F7554A">
            <w:pPr>
              <w:pStyle w:val="TableHeadingRight"/>
            </w:pPr>
            <w:r>
              <w:t>2016–17</w:t>
            </w:r>
          </w:p>
        </w:tc>
        <w:tc>
          <w:tcPr>
            <w:tcW w:w="721" w:type="pct"/>
          </w:tcPr>
          <w:p w:rsidR="00DD7E73" w:rsidRPr="00FC1F1C" w:rsidRDefault="00DD7E73" w:rsidP="00F7554A">
            <w:pPr>
              <w:pStyle w:val="TableHeadingRight"/>
            </w:pPr>
            <w:r>
              <w:t>2017–18</w:t>
            </w:r>
          </w:p>
        </w:tc>
        <w:tc>
          <w:tcPr>
            <w:tcW w:w="722" w:type="pct"/>
          </w:tcPr>
          <w:p w:rsidR="00DD7E73" w:rsidRPr="00FC1F1C" w:rsidRDefault="00DD7E73" w:rsidP="00F7554A">
            <w:pPr>
              <w:pStyle w:val="TableHeadingRight"/>
            </w:pPr>
            <w:r>
              <w:t>2018–19</w:t>
            </w:r>
          </w:p>
        </w:tc>
        <w:tc>
          <w:tcPr>
            <w:tcW w:w="721" w:type="pct"/>
          </w:tcPr>
          <w:p w:rsidR="00DD7E73" w:rsidRPr="00FC1F1C" w:rsidRDefault="00DD7E73" w:rsidP="00F7554A">
            <w:pPr>
              <w:pStyle w:val="TableHeadingRight"/>
            </w:pPr>
            <w:r>
              <w:t>2019–20</w:t>
            </w:r>
          </w:p>
        </w:tc>
        <w:tc>
          <w:tcPr>
            <w:tcW w:w="722" w:type="pct"/>
          </w:tcPr>
          <w:p w:rsidR="00DD7E73" w:rsidRPr="00FC1F1C" w:rsidRDefault="00DD7E73" w:rsidP="00F7554A">
            <w:pPr>
              <w:pStyle w:val="TableHeadingRight"/>
              <w:rPr>
                <w:b/>
              </w:rPr>
            </w:pPr>
            <w:r w:rsidRPr="00FC1F1C">
              <w:t>Total</w:t>
            </w:r>
          </w:p>
        </w:tc>
      </w:tr>
      <w:tr w:rsidR="00DD7E73" w:rsidTr="00F7554A">
        <w:tc>
          <w:tcPr>
            <w:tcW w:w="1393" w:type="pct"/>
          </w:tcPr>
          <w:p w:rsidR="00DD7E73" w:rsidRDefault="00DD7E73" w:rsidP="00F7554A">
            <w:pPr>
              <w:pStyle w:val="TableText"/>
              <w:keepNext/>
              <w:keepLines/>
            </w:pPr>
            <w:r>
              <w:t>Fiscal balance</w:t>
            </w:r>
          </w:p>
        </w:tc>
        <w:tc>
          <w:tcPr>
            <w:tcW w:w="721" w:type="pct"/>
          </w:tcPr>
          <w:p w:rsidR="00DD7E73" w:rsidRPr="002057D9" w:rsidRDefault="00DD7E73" w:rsidP="00F7554A">
            <w:pPr>
              <w:pStyle w:val="TableTextRight"/>
            </w:pPr>
            <w:r w:rsidRPr="002057D9">
              <w:t>-125.0</w:t>
            </w:r>
          </w:p>
        </w:tc>
        <w:tc>
          <w:tcPr>
            <w:tcW w:w="721" w:type="pct"/>
          </w:tcPr>
          <w:p w:rsidR="00DD7E73" w:rsidRPr="002057D9" w:rsidRDefault="00DD7E73" w:rsidP="00F7554A">
            <w:pPr>
              <w:pStyle w:val="TableTextRight"/>
            </w:pPr>
            <w:r w:rsidRPr="002057D9">
              <w:t>13.1</w:t>
            </w:r>
          </w:p>
        </w:tc>
        <w:tc>
          <w:tcPr>
            <w:tcW w:w="722" w:type="pct"/>
          </w:tcPr>
          <w:p w:rsidR="00DD7E73" w:rsidRPr="002057D9" w:rsidRDefault="00DD7E73" w:rsidP="00F7554A">
            <w:pPr>
              <w:pStyle w:val="TableTextRight"/>
            </w:pPr>
            <w:r w:rsidRPr="002057D9">
              <w:t>-23.3</w:t>
            </w:r>
          </w:p>
        </w:tc>
        <w:tc>
          <w:tcPr>
            <w:tcW w:w="721" w:type="pct"/>
          </w:tcPr>
          <w:p w:rsidR="00DD7E73" w:rsidRPr="002057D9" w:rsidRDefault="00DD7E73" w:rsidP="00F7554A">
            <w:pPr>
              <w:pStyle w:val="TableTextRight"/>
            </w:pPr>
            <w:r w:rsidRPr="002057D9">
              <w:t>-37.5</w:t>
            </w:r>
          </w:p>
        </w:tc>
        <w:tc>
          <w:tcPr>
            <w:tcW w:w="722" w:type="pct"/>
          </w:tcPr>
          <w:p w:rsidR="00DD7E73" w:rsidRPr="000A0FFE" w:rsidRDefault="00DD7E73" w:rsidP="00F7554A">
            <w:pPr>
              <w:pStyle w:val="TableTextRight"/>
              <w:rPr>
                <w:b/>
              </w:rPr>
            </w:pPr>
            <w:r w:rsidRPr="000A0FFE">
              <w:rPr>
                <w:b/>
              </w:rPr>
              <w:t>-172.7</w:t>
            </w:r>
          </w:p>
        </w:tc>
      </w:tr>
      <w:tr w:rsidR="00DD7E73" w:rsidTr="00F7554A">
        <w:tc>
          <w:tcPr>
            <w:tcW w:w="1393" w:type="pct"/>
          </w:tcPr>
          <w:p w:rsidR="00DD7E73" w:rsidRDefault="00DD7E73" w:rsidP="00F7554A">
            <w:pPr>
              <w:pStyle w:val="TableText"/>
              <w:keepNext/>
              <w:keepLines/>
            </w:pPr>
            <w:r>
              <w:t>Underlying cash balance</w:t>
            </w:r>
          </w:p>
        </w:tc>
        <w:tc>
          <w:tcPr>
            <w:tcW w:w="721" w:type="pct"/>
          </w:tcPr>
          <w:p w:rsidR="00DD7E73" w:rsidRPr="002057D9" w:rsidRDefault="00DD7E73" w:rsidP="00F7554A">
            <w:pPr>
              <w:pStyle w:val="TableTextRight"/>
            </w:pPr>
            <w:r w:rsidRPr="002057D9">
              <w:t>-125.0</w:t>
            </w:r>
          </w:p>
        </w:tc>
        <w:tc>
          <w:tcPr>
            <w:tcW w:w="721" w:type="pct"/>
          </w:tcPr>
          <w:p w:rsidR="00DD7E73" w:rsidRPr="002057D9" w:rsidRDefault="00DD7E73" w:rsidP="00F7554A">
            <w:pPr>
              <w:pStyle w:val="TableTextRight"/>
            </w:pPr>
            <w:r w:rsidRPr="002057D9">
              <w:t>13.1</w:t>
            </w:r>
          </w:p>
        </w:tc>
        <w:tc>
          <w:tcPr>
            <w:tcW w:w="722" w:type="pct"/>
          </w:tcPr>
          <w:p w:rsidR="00DD7E73" w:rsidRPr="002057D9" w:rsidRDefault="00DD7E73" w:rsidP="00F7554A">
            <w:pPr>
              <w:pStyle w:val="TableTextRight"/>
            </w:pPr>
            <w:r w:rsidRPr="002057D9">
              <w:t>-23.3</w:t>
            </w:r>
          </w:p>
        </w:tc>
        <w:tc>
          <w:tcPr>
            <w:tcW w:w="721" w:type="pct"/>
          </w:tcPr>
          <w:p w:rsidR="00DD7E73" w:rsidRPr="002057D9" w:rsidRDefault="00DD7E73" w:rsidP="00F7554A">
            <w:pPr>
              <w:pStyle w:val="TableTextRight"/>
            </w:pPr>
            <w:r w:rsidRPr="002057D9">
              <w:t>-37.5</w:t>
            </w:r>
          </w:p>
        </w:tc>
        <w:tc>
          <w:tcPr>
            <w:tcW w:w="722" w:type="pct"/>
          </w:tcPr>
          <w:p w:rsidR="00DD7E73" w:rsidRPr="000A0FFE" w:rsidRDefault="00DD7E73" w:rsidP="00F7554A">
            <w:pPr>
              <w:pStyle w:val="TableTextRight"/>
              <w:rPr>
                <w:b/>
              </w:rPr>
            </w:pPr>
            <w:r w:rsidRPr="000A0FFE">
              <w:rPr>
                <w:b/>
              </w:rPr>
              <w:t>-172.7</w:t>
            </w:r>
          </w:p>
        </w:tc>
      </w:tr>
    </w:tbl>
    <w:p w:rsidR="00DD7E73" w:rsidRDefault="00DD7E73" w:rsidP="00BF2C6B">
      <w:pPr>
        <w:pStyle w:val="Footnotes"/>
        <w:numPr>
          <w:ilvl w:val="0"/>
          <w:numId w:val="133"/>
        </w:numPr>
        <w:ind w:left="284" w:hanging="284"/>
      </w:pPr>
      <w:r>
        <w:t xml:space="preserve">A positive </w:t>
      </w:r>
      <w:r w:rsidRPr="00FC1F1C">
        <w:t>number indicates an increase in the relevant budget balance, a negative number a decrease.</w:t>
      </w:r>
    </w:p>
    <w:p w:rsidR="00DD7E73" w:rsidRPr="000E063A" w:rsidRDefault="00DD7E73" w:rsidP="00BF2C6B">
      <w:pPr>
        <w:pStyle w:val="Footnotes"/>
        <w:ind w:left="284" w:hanging="284"/>
        <w:rPr>
          <w:rStyle w:val="FootnoteReference"/>
          <w:vertAlign w:val="baseline"/>
        </w:rPr>
      </w:pPr>
      <w:r w:rsidRPr="000E063A">
        <w:t>Figures may not sum to totals due to rounding.</w:t>
      </w:r>
    </w:p>
    <w:p w:rsidR="00DD7E73" w:rsidRDefault="00DD7E73" w:rsidP="00DD7E73">
      <w:pPr>
        <w:pStyle w:val="BodyText17ptAbove"/>
      </w:pPr>
      <w:r>
        <w:t>This proposal would have no impact on departmental expenses as the relevant budget measures only affected administered expenses.</w:t>
      </w:r>
    </w:p>
    <w:p w:rsidR="00DD7E73" w:rsidRDefault="00DD7E73" w:rsidP="00DD7E73">
      <w:pPr>
        <w:pStyle w:val="BodyText"/>
      </w:pPr>
      <w:r>
        <w:t>This proposal would have no impact beyond the 2016-17 Budget forward estimates period as it terminates by 2019-20.</w:t>
      </w:r>
    </w:p>
    <w:p w:rsidR="00DD7E73" w:rsidRDefault="00DD7E73" w:rsidP="00DD7E73">
      <w:pPr>
        <w:pStyle w:val="BodyText"/>
      </w:pPr>
      <w:r>
        <w:t>The costing is considered to be of high reliability as it is based on specified amounts from budget papers.</w:t>
      </w:r>
    </w:p>
    <w:p w:rsidR="00DD7E73" w:rsidRDefault="00DD7E73" w:rsidP="00DD7E73">
      <w:pPr>
        <w:pStyle w:val="CostingsH7"/>
      </w:pPr>
      <w:r>
        <w:t>Methodology</w:t>
      </w:r>
    </w:p>
    <w:p w:rsidR="00DD7E73" w:rsidRPr="000A2E9C" w:rsidRDefault="00DD7E73" w:rsidP="00DD7E73">
      <w:pPr>
        <w:pStyle w:val="BodyText"/>
      </w:pPr>
      <w:r w:rsidRPr="000A2E9C">
        <w:t xml:space="preserve">The impact of the proposal was the combined effect of the impact of the </w:t>
      </w:r>
      <w:r w:rsidRPr="000A2E9C">
        <w:rPr>
          <w:i/>
        </w:rPr>
        <w:t>Sustainable Research Excellence – adjustment</w:t>
      </w:r>
      <w:r w:rsidRPr="000A2E9C">
        <w:t xml:space="preserve"> measure over 2016-17 to 20</w:t>
      </w:r>
      <w:r>
        <w:t>18-19, as published in the 2015</w:t>
      </w:r>
      <w:r>
        <w:noBreakHyphen/>
      </w:r>
      <w:r w:rsidRPr="000A2E9C">
        <w:t>16</w:t>
      </w:r>
      <w:r>
        <w:t> </w:t>
      </w:r>
      <w:r w:rsidRPr="000A2E9C">
        <w:t>Budget measure</w:t>
      </w:r>
      <w:r w:rsidRPr="00E53973">
        <w:rPr>
          <w:rStyle w:val="FootnoteReference"/>
        </w:rPr>
        <w:footnoteReference w:id="20"/>
      </w:r>
      <w:r w:rsidRPr="000A2E9C">
        <w:t xml:space="preserve"> and applying the offset from reversing the impact of the </w:t>
      </w:r>
      <w:r w:rsidRPr="000A2E9C">
        <w:rPr>
          <w:i/>
        </w:rPr>
        <w:t>National Innovation and Science Agenda — improving university-business collaboration</w:t>
      </w:r>
      <w:r w:rsidRPr="000A2E9C">
        <w:t xml:space="preserve"> measure over 2016</w:t>
      </w:r>
      <w:r w:rsidR="00651800">
        <w:t>-</w:t>
      </w:r>
      <w:r w:rsidRPr="000A2E9C">
        <w:t>17 to 2018-19.</w:t>
      </w:r>
    </w:p>
    <w:p w:rsidR="00DD7E73" w:rsidRDefault="00DD7E73" w:rsidP="00DD7E73">
      <w:pPr>
        <w:pStyle w:val="CostingsH7"/>
      </w:pPr>
      <w:r>
        <w:t>Data sources</w:t>
      </w:r>
    </w:p>
    <w:p w:rsidR="00DD7E73" w:rsidRPr="0073534F" w:rsidRDefault="00DD7E73" w:rsidP="00DD7E73">
      <w:pPr>
        <w:pStyle w:val="BodyText"/>
      </w:pPr>
      <w:r w:rsidRPr="0073534F">
        <w:t xml:space="preserve">Department of Education and Training </w:t>
      </w:r>
      <w:r w:rsidR="005B53BF" w:rsidRPr="0073534F">
        <w:t xml:space="preserve">2015, </w:t>
      </w:r>
      <w:r w:rsidR="005B53BF" w:rsidRPr="0073534F">
        <w:rPr>
          <w:i/>
        </w:rPr>
        <w:t xml:space="preserve">2015-16 </w:t>
      </w:r>
      <w:r w:rsidRPr="0073534F">
        <w:rPr>
          <w:i/>
        </w:rPr>
        <w:t>Portfolio Budget Statements</w:t>
      </w:r>
      <w:r w:rsidRPr="0073534F">
        <w:t>.</w:t>
      </w:r>
    </w:p>
    <w:p w:rsidR="00DD7E73" w:rsidRDefault="005B53BF" w:rsidP="00DD7E73">
      <w:pPr>
        <w:pStyle w:val="BodyText"/>
      </w:pPr>
      <w:r w:rsidRPr="00651800">
        <w:t xml:space="preserve">Commonwealth of Australia 2015, </w:t>
      </w:r>
      <w:r w:rsidR="00DD7E73" w:rsidRPr="00651800">
        <w:rPr>
          <w:i/>
        </w:rPr>
        <w:t>2015-16 Mid-Year and Economic and Fiscal Outlook</w:t>
      </w:r>
      <w:r w:rsidRPr="00651800">
        <w:t>, Commonwealth of Australia, Canberra</w:t>
      </w:r>
      <w:r w:rsidR="00DD7E73" w:rsidRPr="00651800">
        <w:t>.</w:t>
      </w:r>
    </w:p>
    <w:p w:rsidR="00B4626E" w:rsidRDefault="00B4626E" w:rsidP="00DD7E73">
      <w:pPr>
        <w:pStyle w:val="BodyText"/>
      </w:pPr>
    </w:p>
    <w:p w:rsidR="00B4626E" w:rsidRDefault="00B4626E" w:rsidP="00DD7E73">
      <w:pPr>
        <w:pStyle w:val="BodyText"/>
        <w:sectPr w:rsidR="00B4626E" w:rsidSect="00967BCD">
          <w:footnotePr>
            <w:numRestart w:val="eachSect"/>
          </w:footnotePr>
          <w:pgSz w:w="11906" w:h="16838" w:code="9"/>
          <w:pgMar w:top="1361" w:right="1797" w:bottom="1474" w:left="1797" w:header="283" w:footer="454" w:gutter="0"/>
          <w:cols w:space="708"/>
          <w:docGrid w:linePitch="360"/>
        </w:sectPr>
      </w:pPr>
    </w:p>
    <w:p w:rsidR="00DD7E73" w:rsidRPr="00651800" w:rsidRDefault="00DD7E73" w:rsidP="00DD7E73">
      <w:pPr>
        <w:pStyle w:val="Heading6"/>
        <w:numPr>
          <w:ilvl w:val="0"/>
          <w:numId w:val="10"/>
        </w:numPr>
        <w:tabs>
          <w:tab w:val="right" w:pos="1418"/>
          <w:tab w:val="right" w:pos="1701"/>
          <w:tab w:val="right" w:pos="1985"/>
        </w:tabs>
      </w:pPr>
      <w:r w:rsidRPr="00651800">
        <w:t>Attachment A: Future Research Excellence—relevant Budget measures</w:t>
      </w:r>
    </w:p>
    <w:p w:rsidR="00DD7E73" w:rsidRDefault="00DD7E73" w:rsidP="00DD7E73">
      <w:pPr>
        <w:pStyle w:val="Captionheading"/>
        <w:keepLines/>
      </w:pPr>
      <w:r>
        <w:rPr>
          <w:noProof/>
          <w:lang w:eastAsia="en-AU"/>
        </w:rPr>
        <w:drawing>
          <wp:anchor distT="0" distB="0" distL="114300" distR="114300" simplePos="0" relativeHeight="251659264" behindDoc="0" locked="0" layoutInCell="1" allowOverlap="1" wp14:anchorId="68DDE921" wp14:editId="24457AA5">
            <wp:simplePos x="0" y="0"/>
            <wp:positionH relativeFrom="column">
              <wp:posOffset>-192</wp:posOffset>
            </wp:positionH>
            <wp:positionV relativeFrom="paragraph">
              <wp:posOffset>43739</wp:posOffset>
            </wp:positionV>
            <wp:extent cx="5269064" cy="2231472"/>
            <wp:effectExtent l="0" t="0" r="8255" b="0"/>
            <wp:wrapNone/>
            <wp:docPr id="1" name="Picture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cstate="print">
                      <a:extLst>
                        <a:ext uri="{28A0092B-C50C-407E-A947-70E740481C1C}">
                          <a14:useLocalDpi xmlns:a14="http://schemas.microsoft.com/office/drawing/2010/main" val="0"/>
                        </a:ext>
                      </a:extLst>
                    </a:blip>
                    <a:srcRect l="1442" r="-1" b="-1916"/>
                    <a:stretch/>
                  </pic:blipFill>
                  <pic:spPr bwMode="auto">
                    <a:xfrm>
                      <a:off x="0" y="0"/>
                      <a:ext cx="5278120" cy="2235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Sustainable Research Excellence — adjustment</w:t>
      </w:r>
    </w:p>
    <w:tbl>
      <w:tblPr>
        <w:tblStyle w:val="TableGrid"/>
        <w:tblW w:w="5000" w:type="pct"/>
        <w:tblLook w:val="0680" w:firstRow="0" w:lastRow="0" w:firstColumn="1" w:lastColumn="0" w:noHBand="1" w:noVBand="1"/>
      </w:tblPr>
      <w:tblGrid>
        <w:gridCol w:w="2552"/>
        <w:gridCol w:w="1152"/>
        <w:gridCol w:w="1154"/>
        <w:gridCol w:w="1152"/>
        <w:gridCol w:w="1152"/>
        <w:gridCol w:w="1150"/>
      </w:tblGrid>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rsidR="00DD7E73" w:rsidRPr="003A4D14" w:rsidRDefault="00DD7E73" w:rsidP="00F7554A">
            <w:pPr>
              <w:pStyle w:val="TableHeading"/>
              <w:spacing w:before="0" w:after="0" w:line="240" w:lineRule="auto"/>
              <w:rPr>
                <w:b w:val="0"/>
              </w:rPr>
            </w:pPr>
            <w:r w:rsidRPr="003A4D14">
              <w:rPr>
                <w:b w:val="0"/>
              </w:rPr>
              <w:t>Expense ($m)</w:t>
            </w:r>
          </w:p>
        </w:tc>
      </w:tr>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auto"/>
              <w:bottom w:val="single" w:sz="4" w:space="0" w:color="auto"/>
            </w:tcBorders>
          </w:tcPr>
          <w:p w:rsidR="00DD7E73" w:rsidRDefault="00DD7E73" w:rsidP="00F7554A">
            <w:pPr>
              <w:pStyle w:val="TableText"/>
              <w:keepNext/>
              <w:keepLines/>
              <w:spacing w:before="0" w:after="0" w:line="240" w:lineRule="auto"/>
            </w:pP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2014-15</w:t>
            </w:r>
          </w:p>
        </w:tc>
        <w:tc>
          <w:tcPr>
            <w:tcW w:w="694"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2015-16</w:t>
            </w: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2016-17</w:t>
            </w: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2017-18</w:t>
            </w:r>
          </w:p>
        </w:tc>
        <w:tc>
          <w:tcPr>
            <w:tcW w:w="692"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2018-19</w:t>
            </w:r>
          </w:p>
        </w:tc>
      </w:tr>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auto"/>
              <w:bottom w:val="single" w:sz="4" w:space="0" w:color="auto"/>
            </w:tcBorders>
            <w:vAlign w:val="bottom"/>
          </w:tcPr>
          <w:p w:rsidR="00DD7E73" w:rsidRDefault="00DD7E73" w:rsidP="00F7554A">
            <w:pPr>
              <w:pStyle w:val="TableText"/>
              <w:keepNext/>
              <w:keepLines/>
              <w:spacing w:before="0" w:after="0" w:line="240" w:lineRule="auto"/>
            </w:pPr>
            <w:r>
              <w:t>Department of Education and Training</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-150.0</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-37.5</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-75.0</w:t>
            </w:r>
          </w:p>
        </w:tc>
      </w:tr>
    </w:tbl>
    <w:p w:rsidR="00DD7E73" w:rsidRDefault="00DD7E73" w:rsidP="00DD7E73">
      <w:pPr>
        <w:pStyle w:val="BodyText"/>
        <w:keepNext/>
        <w:keepLines/>
      </w:pPr>
      <w:r>
        <w:t xml:space="preserve">The Government will adjust the growth in funding available under the </w:t>
      </w:r>
      <w:r>
        <w:rPr>
          <w:i/>
        </w:rPr>
        <w:t>Sustainable Research Excellence</w:t>
      </w:r>
      <w:r>
        <w:t xml:space="preserve"> (SRE) programme.  SRE programme funding will continue to increase each year and is expected to be more than $300 million in 2020.</w:t>
      </w:r>
    </w:p>
    <w:p w:rsidR="00DD7E73" w:rsidRDefault="00DD7E73" w:rsidP="00DD7E73">
      <w:pPr>
        <w:pStyle w:val="BodyText"/>
      </w:pPr>
      <w:r>
        <w:t xml:space="preserve">The savings from this measure will be redirected by the Government to fund the </w:t>
      </w:r>
      <w:r>
        <w:rPr>
          <w:i/>
        </w:rPr>
        <w:t>National Collaborative Research Infrastructure Strategy</w:t>
      </w:r>
      <w:r>
        <w:t xml:space="preserve">.  See also the related expense measure titled </w:t>
      </w:r>
      <w:r>
        <w:rPr>
          <w:i/>
        </w:rPr>
        <w:t>National Collaborative Research Infrastructure Strategy — continuation</w:t>
      </w:r>
      <w:r w:rsidRPr="000A2E9C">
        <w:t>.</w:t>
      </w:r>
    </w:p>
    <w:p w:rsidR="00DD7E73" w:rsidRDefault="00DD7E73" w:rsidP="00DD7E73">
      <w:pPr>
        <w:pStyle w:val="Source"/>
      </w:pPr>
      <w:r>
        <w:t>Source: 2015-16 Budget paper 2, page 80.</w:t>
      </w:r>
    </w:p>
    <w:p w:rsidR="00DD7E73" w:rsidRDefault="00DD7E73" w:rsidP="00DD7E73">
      <w:pPr>
        <w:pStyle w:val="Caption"/>
      </w:pPr>
      <w:r>
        <w:rPr>
          <w:noProof/>
          <w:lang w:eastAsia="en-AU"/>
        </w:rPr>
        <w:drawing>
          <wp:anchor distT="0" distB="0" distL="114300" distR="114300" simplePos="0" relativeHeight="251660288" behindDoc="0" locked="0" layoutInCell="1" allowOverlap="1" wp14:anchorId="187ED5C0" wp14:editId="54DAD701">
            <wp:simplePos x="0" y="0"/>
            <wp:positionH relativeFrom="column">
              <wp:posOffset>0</wp:posOffset>
            </wp:positionH>
            <wp:positionV relativeFrom="paragraph">
              <wp:posOffset>93211</wp:posOffset>
            </wp:positionV>
            <wp:extent cx="5276675" cy="1887523"/>
            <wp:effectExtent l="0" t="0" r="635" b="0"/>
            <wp:wrapNone/>
            <wp:docPr id="10" name="Picture 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extLst>
                        <a:ext uri="{28A0092B-C50C-407E-A947-70E740481C1C}">
                          <a14:useLocalDpi xmlns:a14="http://schemas.microsoft.com/office/drawing/2010/main" val="0"/>
                        </a:ext>
                      </a:extLst>
                    </a:blip>
                    <a:srcRect r="8922" b="9517"/>
                    <a:stretch/>
                  </pic:blipFill>
                  <pic:spPr bwMode="auto">
                    <a:xfrm>
                      <a:off x="0" y="0"/>
                      <a:ext cx="5276675" cy="1887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National Innovation and Science Agenda — improving university-business collaboration</w:t>
      </w:r>
    </w:p>
    <w:tbl>
      <w:tblPr>
        <w:tblStyle w:val="TableGrid"/>
        <w:tblW w:w="5000" w:type="pct"/>
        <w:tblLook w:val="0680" w:firstRow="0" w:lastRow="0" w:firstColumn="1" w:lastColumn="0" w:noHBand="1" w:noVBand="1"/>
      </w:tblPr>
      <w:tblGrid>
        <w:gridCol w:w="2552"/>
        <w:gridCol w:w="1152"/>
        <w:gridCol w:w="1154"/>
        <w:gridCol w:w="1152"/>
        <w:gridCol w:w="1152"/>
        <w:gridCol w:w="1150"/>
      </w:tblGrid>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rsidR="00DD7E73" w:rsidRPr="003A4D14" w:rsidRDefault="00DD7E73" w:rsidP="00F7554A">
            <w:pPr>
              <w:pStyle w:val="TableHeading"/>
              <w:spacing w:before="0" w:after="0" w:line="240" w:lineRule="auto"/>
              <w:rPr>
                <w:b w:val="0"/>
              </w:rPr>
            </w:pPr>
            <w:r w:rsidRPr="003A4D14">
              <w:rPr>
                <w:b w:val="0"/>
              </w:rPr>
              <w:t>Expense ($m)</w:t>
            </w:r>
          </w:p>
        </w:tc>
      </w:tr>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auto"/>
              <w:bottom w:val="single" w:sz="4" w:space="0" w:color="auto"/>
            </w:tcBorders>
          </w:tcPr>
          <w:p w:rsidR="00DD7E73" w:rsidRDefault="00DD7E73" w:rsidP="00F7554A">
            <w:pPr>
              <w:pStyle w:val="TableText"/>
              <w:keepNext/>
              <w:keepLines/>
              <w:spacing w:before="0" w:after="0" w:line="240" w:lineRule="auto"/>
            </w:pP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2014-15</w:t>
            </w:r>
          </w:p>
        </w:tc>
        <w:tc>
          <w:tcPr>
            <w:tcW w:w="694"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2015-16</w:t>
            </w: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2016-17</w:t>
            </w:r>
          </w:p>
        </w:tc>
        <w:tc>
          <w:tcPr>
            <w:tcW w:w="693"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2017-18</w:t>
            </w:r>
          </w:p>
        </w:tc>
        <w:tc>
          <w:tcPr>
            <w:tcW w:w="692" w:type="pct"/>
            <w:tcBorders>
              <w:top w:val="single" w:sz="4" w:space="0" w:color="auto"/>
              <w:bottom w:val="single" w:sz="4" w:space="0" w:color="auto"/>
            </w:tcBorders>
          </w:tcPr>
          <w:p w:rsidR="00DD7E73" w:rsidRPr="000A2E9C" w:rsidRDefault="00DD7E73" w:rsidP="00F7554A">
            <w:pPr>
              <w:pStyle w:val="TableHeadingRight"/>
              <w:spacing w:before="0" w:after="0" w:line="240" w:lineRule="auto"/>
              <w:cnfStyle w:val="000000000000" w:firstRow="0" w:lastRow="0" w:firstColumn="0" w:lastColumn="0" w:oddVBand="0" w:evenVBand="0" w:oddHBand="0" w:evenHBand="0" w:firstRowFirstColumn="0" w:firstRowLastColumn="0" w:lastRowFirstColumn="0" w:lastRowLastColumn="0"/>
              <w:rPr>
                <w:b w:val="0"/>
              </w:rPr>
            </w:pPr>
            <w:r>
              <w:rPr>
                <w:b w:val="0"/>
              </w:rPr>
              <w:t>2018-19</w:t>
            </w:r>
          </w:p>
        </w:tc>
      </w:tr>
      <w:tr w:rsidR="00DD7E73" w:rsidTr="00F7554A">
        <w:trPr>
          <w:cantSplit/>
        </w:trPr>
        <w:tc>
          <w:tcPr>
            <w:cnfStyle w:val="001000000000" w:firstRow="0" w:lastRow="0" w:firstColumn="1" w:lastColumn="0" w:oddVBand="0" w:evenVBand="0" w:oddHBand="0" w:evenHBand="0" w:firstRowFirstColumn="0" w:firstRowLastColumn="0" w:lastRowFirstColumn="0" w:lastRowLastColumn="0"/>
            <w:tcW w:w="1535" w:type="pct"/>
            <w:tcBorders>
              <w:top w:val="single" w:sz="4" w:space="0" w:color="auto"/>
              <w:bottom w:val="single" w:sz="4" w:space="0" w:color="auto"/>
            </w:tcBorders>
            <w:vAlign w:val="bottom"/>
          </w:tcPr>
          <w:p w:rsidR="00DD7E73" w:rsidRDefault="00DD7E73" w:rsidP="00F7554A">
            <w:pPr>
              <w:pStyle w:val="TableText"/>
              <w:keepNext/>
              <w:keepLines/>
              <w:spacing w:before="0" w:after="0" w:line="240" w:lineRule="auto"/>
            </w:pPr>
            <w:r>
              <w:t>Department of Education and Training</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25.0</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50.6</w:t>
            </w:r>
          </w:p>
        </w:tc>
        <w:tc>
          <w:tcPr>
            <w:tcW w:w="693" w:type="pct"/>
            <w:tcBorders>
              <w:top w:val="single" w:sz="4" w:space="0" w:color="auto"/>
              <w:bottom w:val="single" w:sz="4" w:space="0" w:color="auto"/>
            </w:tcBorders>
            <w:vAlign w:val="bottom"/>
          </w:tcPr>
          <w:p w:rsidR="00DD7E73" w:rsidRDefault="00DD7E73" w:rsidP="00F7554A">
            <w:pPr>
              <w:pStyle w:val="TableTextRight"/>
              <w:keepNext/>
              <w:keepLines/>
              <w:cnfStyle w:val="000000000000" w:firstRow="0" w:lastRow="0" w:firstColumn="0" w:lastColumn="0" w:oddVBand="0" w:evenVBand="0" w:oddHBand="0" w:evenHBand="0" w:firstRowFirstColumn="0" w:firstRowLastColumn="0" w:lastRowFirstColumn="0" w:lastRowLastColumn="0"/>
            </w:pPr>
            <w:r>
              <w:t>51.7</w:t>
            </w:r>
          </w:p>
        </w:tc>
      </w:tr>
    </w:tbl>
    <w:p w:rsidR="00DD7E73" w:rsidRDefault="00DD7E73" w:rsidP="00DD7E73">
      <w:pPr>
        <w:pStyle w:val="BodyText"/>
      </w:pPr>
      <w:r>
        <w:t xml:space="preserve">The Government will provide $127.3 million over three years from 2016-17 to provide greater incentives for university researchers to engage with industry.  The new arrangements will also consolidate the six existing </w:t>
      </w:r>
      <w:r>
        <w:rPr>
          <w:i/>
        </w:rPr>
        <w:t>Research Block Grant</w:t>
      </w:r>
      <w:r>
        <w:t xml:space="preserve"> schemes into two simpler schemes from 1 January 2017:</w:t>
      </w:r>
    </w:p>
    <w:p w:rsidR="00DD7E73" w:rsidRDefault="00DD7E73" w:rsidP="00DD7E73">
      <w:pPr>
        <w:pStyle w:val="Source"/>
      </w:pPr>
      <w:r>
        <w:t>Source: 2015-16 MYEFO, page 161.</w:t>
      </w:r>
    </w:p>
    <w:p w:rsidR="00B4626E" w:rsidRDefault="00B4626E" w:rsidP="00B4626E">
      <w:pPr>
        <w:pStyle w:val="BodyText"/>
      </w:pPr>
    </w:p>
    <w:p w:rsidR="00B4626E" w:rsidRDefault="00B4626E" w:rsidP="00B4626E">
      <w:pPr>
        <w:pStyle w:val="BodyText"/>
        <w:sectPr w:rsidR="00B4626E" w:rsidSect="00967BCD">
          <w:footnotePr>
            <w:numRestart w:val="eachSect"/>
          </w:footnotePr>
          <w:pgSz w:w="11906" w:h="16838" w:code="9"/>
          <w:pgMar w:top="1361" w:right="1797" w:bottom="1474" w:left="1797" w:header="283" w:footer="454" w:gutter="0"/>
          <w:cols w:space="708"/>
          <w:docGrid w:linePitch="360"/>
        </w:sectPr>
      </w:pPr>
    </w:p>
    <w:p w:rsidR="00DD7E73" w:rsidRDefault="00DD7E73" w:rsidP="00DD7E73">
      <w:pPr>
        <w:pStyle w:val="Heading6"/>
        <w:numPr>
          <w:ilvl w:val="0"/>
          <w:numId w:val="10"/>
        </w:numPr>
        <w:tabs>
          <w:tab w:val="right" w:pos="1418"/>
          <w:tab w:val="right" w:pos="1701"/>
          <w:tab w:val="right" w:pos="1985"/>
        </w:tabs>
      </w:pPr>
      <w:r>
        <w:t>Attachment B: Future Research Excellence—</w:t>
      </w:r>
      <w:r w:rsidR="0080154C">
        <w:t>financial implications</w:t>
      </w:r>
    </w:p>
    <w:p w:rsidR="00DD7E73" w:rsidRDefault="00DD7E73" w:rsidP="00DD7E73">
      <w:pPr>
        <w:pStyle w:val="Caption"/>
        <w:keepLines/>
      </w:pPr>
      <w:r w:rsidRPr="002B36F1">
        <w:t xml:space="preserve">Table </w:t>
      </w:r>
      <w:r>
        <w:t>B1</w:t>
      </w:r>
      <w:r w:rsidRPr="002B36F1">
        <w:t>:</w:t>
      </w:r>
      <w:r>
        <w:t xml:space="preserve"> Future Research Excellence—</w:t>
      </w:r>
      <w:r w:rsidR="0080154C">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DD7E73"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DD7E73" w:rsidRPr="007C2713" w:rsidRDefault="00DD7E73" w:rsidP="00F7554A">
            <w:pPr>
              <w:pStyle w:val="TableText"/>
              <w:keepNext/>
              <w:keepLines/>
              <w:rPr>
                <w:b w:val="0"/>
              </w:rPr>
            </w:pPr>
            <w:r>
              <w:t>($)</w:t>
            </w:r>
          </w:p>
        </w:tc>
        <w:tc>
          <w:tcPr>
            <w:tcW w:w="689" w:type="pct"/>
            <w:vAlign w:val="center"/>
          </w:tcPr>
          <w:p w:rsidR="00DD7E73" w:rsidRDefault="00DD7E73" w:rsidP="00F7554A">
            <w:pPr>
              <w:pStyle w:val="TableTextRight"/>
              <w:keepNext/>
              <w:keepLines/>
              <w:rPr>
                <w:b w:val="0"/>
              </w:rPr>
            </w:pPr>
            <w:r>
              <w:t>2016–17</w:t>
            </w:r>
          </w:p>
        </w:tc>
        <w:tc>
          <w:tcPr>
            <w:tcW w:w="689" w:type="pct"/>
            <w:vAlign w:val="center"/>
          </w:tcPr>
          <w:p w:rsidR="00DD7E73" w:rsidRDefault="00DD7E73" w:rsidP="00F7554A">
            <w:pPr>
              <w:pStyle w:val="TableTextRight"/>
              <w:keepNext/>
              <w:keepLines/>
              <w:rPr>
                <w:b w:val="0"/>
              </w:rPr>
            </w:pPr>
            <w:r>
              <w:t>2017–18</w:t>
            </w:r>
          </w:p>
        </w:tc>
        <w:tc>
          <w:tcPr>
            <w:tcW w:w="689" w:type="pct"/>
            <w:vAlign w:val="center"/>
          </w:tcPr>
          <w:p w:rsidR="00DD7E73" w:rsidRDefault="00DD7E73" w:rsidP="00F7554A">
            <w:pPr>
              <w:pStyle w:val="TableTextRight"/>
              <w:keepNext/>
              <w:keepLines/>
              <w:rPr>
                <w:b w:val="0"/>
              </w:rPr>
            </w:pPr>
            <w:r>
              <w:t>2018–19</w:t>
            </w:r>
          </w:p>
        </w:tc>
        <w:tc>
          <w:tcPr>
            <w:tcW w:w="689" w:type="pct"/>
            <w:vAlign w:val="center"/>
          </w:tcPr>
          <w:p w:rsidR="00DD7E73" w:rsidRDefault="00DD7E73" w:rsidP="00F7554A">
            <w:pPr>
              <w:pStyle w:val="TableTextRight"/>
              <w:keepNext/>
              <w:keepLines/>
              <w:rPr>
                <w:b w:val="0"/>
              </w:rPr>
            </w:pPr>
            <w:r>
              <w:t>2019–20</w:t>
            </w:r>
          </w:p>
        </w:tc>
        <w:tc>
          <w:tcPr>
            <w:tcW w:w="690" w:type="pct"/>
            <w:vAlign w:val="center"/>
          </w:tcPr>
          <w:p w:rsidR="00DD7E73" w:rsidRDefault="00DD7E73" w:rsidP="00F7554A">
            <w:pPr>
              <w:pStyle w:val="TableTextRight"/>
              <w:keepNext/>
              <w:keepLines/>
            </w:pPr>
            <w:r>
              <w:t>Total to 2019–20</w:t>
            </w:r>
          </w:p>
        </w:tc>
      </w:tr>
      <w:tr w:rsidR="00DD7E73" w:rsidRPr="0024529C" w:rsidTr="00F7554A">
        <w:tc>
          <w:tcPr>
            <w:tcW w:w="5000" w:type="pct"/>
            <w:gridSpan w:val="6"/>
            <w:shd w:val="clear" w:color="auto" w:fill="E9ECF3" w:themeFill="accent2" w:themeFillTint="33"/>
            <w:vAlign w:val="center"/>
          </w:tcPr>
          <w:p w:rsidR="00DD7E73" w:rsidRPr="0024529C" w:rsidRDefault="00DD7E73" w:rsidP="00F7554A">
            <w:pPr>
              <w:pStyle w:val="TableHeading"/>
            </w:pPr>
            <w:r w:rsidRPr="0024529C">
              <w:t>Impact on fiscal and underlying cash balance</w:t>
            </w:r>
            <w:r>
              <w:t>s</w:t>
            </w:r>
          </w:p>
        </w:tc>
      </w:tr>
      <w:tr w:rsidR="00DD7E73" w:rsidTr="00F7554A">
        <w:tc>
          <w:tcPr>
            <w:tcW w:w="1554" w:type="pct"/>
            <w:vAlign w:val="center"/>
          </w:tcPr>
          <w:p w:rsidR="00DD7E73" w:rsidRPr="007C2713" w:rsidRDefault="00DD7E73" w:rsidP="00F7554A">
            <w:pPr>
              <w:pStyle w:val="TableText"/>
              <w:keepNext/>
              <w:keepLines/>
            </w:pPr>
            <w:r>
              <w:t>Sustainable Research Excellence – adjustment</w:t>
            </w:r>
          </w:p>
        </w:tc>
        <w:tc>
          <w:tcPr>
            <w:tcW w:w="689" w:type="pct"/>
            <w:vAlign w:val="center"/>
          </w:tcPr>
          <w:p w:rsidR="00DD7E73" w:rsidRPr="0024529C" w:rsidRDefault="00DD7E73" w:rsidP="00F7554A">
            <w:pPr>
              <w:pStyle w:val="TableTextRight"/>
              <w:keepNext/>
              <w:keepLines/>
              <w:rPr>
                <w:i/>
              </w:rPr>
            </w:pPr>
            <w:r w:rsidRPr="0024529C">
              <w:rPr>
                <w:i/>
              </w:rPr>
              <w:t>-150.0</w:t>
            </w:r>
          </w:p>
        </w:tc>
        <w:tc>
          <w:tcPr>
            <w:tcW w:w="689" w:type="pct"/>
            <w:vAlign w:val="center"/>
          </w:tcPr>
          <w:p w:rsidR="00DD7E73" w:rsidRPr="0024529C" w:rsidRDefault="00DD7E73" w:rsidP="00F7554A">
            <w:pPr>
              <w:pStyle w:val="TableTextRight"/>
              <w:keepNext/>
              <w:keepLines/>
              <w:rPr>
                <w:i/>
              </w:rPr>
            </w:pPr>
            <w:r w:rsidRPr="0024529C">
              <w:rPr>
                <w:i/>
              </w:rPr>
              <w:t>-37.5</w:t>
            </w:r>
          </w:p>
        </w:tc>
        <w:tc>
          <w:tcPr>
            <w:tcW w:w="689" w:type="pct"/>
            <w:vAlign w:val="center"/>
          </w:tcPr>
          <w:p w:rsidR="00DD7E73" w:rsidRPr="0024529C" w:rsidRDefault="00DD7E73" w:rsidP="00F7554A">
            <w:pPr>
              <w:pStyle w:val="TableTextRight"/>
              <w:keepNext/>
              <w:keepLines/>
              <w:rPr>
                <w:i/>
              </w:rPr>
            </w:pPr>
            <w:r w:rsidRPr="0024529C">
              <w:rPr>
                <w:i/>
              </w:rPr>
              <w:t>-75.0</w:t>
            </w:r>
          </w:p>
        </w:tc>
        <w:tc>
          <w:tcPr>
            <w:tcW w:w="689" w:type="pct"/>
            <w:vAlign w:val="center"/>
          </w:tcPr>
          <w:p w:rsidR="00DD7E73" w:rsidRPr="0024529C" w:rsidRDefault="00DD7E73" w:rsidP="00F7554A">
            <w:pPr>
              <w:pStyle w:val="TableTextRight"/>
              <w:keepNext/>
              <w:keepLines/>
              <w:rPr>
                <w:i/>
              </w:rPr>
            </w:pPr>
            <w:r w:rsidRPr="0024529C">
              <w:rPr>
                <w:i/>
              </w:rPr>
              <w:t>-37.5</w:t>
            </w:r>
          </w:p>
        </w:tc>
        <w:tc>
          <w:tcPr>
            <w:tcW w:w="690" w:type="pct"/>
            <w:vAlign w:val="center"/>
          </w:tcPr>
          <w:p w:rsidR="00DD7E73" w:rsidRPr="0024529C" w:rsidRDefault="00DD7E73" w:rsidP="00F7554A">
            <w:pPr>
              <w:pStyle w:val="TableTextRight"/>
              <w:keepNext/>
              <w:keepLines/>
              <w:rPr>
                <w:b/>
                <w:i/>
              </w:rPr>
            </w:pPr>
            <w:r w:rsidRPr="0024529C">
              <w:rPr>
                <w:b/>
                <w:i/>
              </w:rPr>
              <w:t>-300.0</w:t>
            </w:r>
          </w:p>
        </w:tc>
      </w:tr>
      <w:tr w:rsidR="00DD7E73" w:rsidTr="00F7554A">
        <w:tc>
          <w:tcPr>
            <w:tcW w:w="1554" w:type="pct"/>
            <w:vAlign w:val="center"/>
          </w:tcPr>
          <w:p w:rsidR="00DD7E73" w:rsidRPr="007C2713" w:rsidRDefault="00DD7E73" w:rsidP="00F7554A">
            <w:pPr>
              <w:pStyle w:val="TableText"/>
              <w:keepNext/>
              <w:keepLines/>
            </w:pPr>
            <w:r>
              <w:t>National Innovation and Science Agenda – improving university-business collaboration</w:t>
            </w:r>
          </w:p>
        </w:tc>
        <w:tc>
          <w:tcPr>
            <w:tcW w:w="689" w:type="pct"/>
            <w:vAlign w:val="center"/>
          </w:tcPr>
          <w:p w:rsidR="00DD7E73" w:rsidRPr="0024529C" w:rsidRDefault="00DD7E73" w:rsidP="00F7554A">
            <w:pPr>
              <w:pStyle w:val="TableTextRight"/>
              <w:keepNext/>
              <w:keepLines/>
              <w:rPr>
                <w:i/>
              </w:rPr>
            </w:pPr>
            <w:r w:rsidRPr="0024529C">
              <w:rPr>
                <w:i/>
              </w:rPr>
              <w:t>25.0</w:t>
            </w:r>
          </w:p>
        </w:tc>
        <w:tc>
          <w:tcPr>
            <w:tcW w:w="689" w:type="pct"/>
            <w:vAlign w:val="center"/>
          </w:tcPr>
          <w:p w:rsidR="00DD7E73" w:rsidRPr="0024529C" w:rsidRDefault="00DD7E73" w:rsidP="00F7554A">
            <w:pPr>
              <w:pStyle w:val="TableTextRight"/>
              <w:keepNext/>
              <w:keepLines/>
              <w:rPr>
                <w:i/>
              </w:rPr>
            </w:pPr>
            <w:r w:rsidRPr="0024529C">
              <w:rPr>
                <w:i/>
              </w:rPr>
              <w:t>50.6</w:t>
            </w:r>
          </w:p>
        </w:tc>
        <w:tc>
          <w:tcPr>
            <w:tcW w:w="689" w:type="pct"/>
            <w:vAlign w:val="center"/>
          </w:tcPr>
          <w:p w:rsidR="00DD7E73" w:rsidRPr="0024529C" w:rsidRDefault="00DD7E73" w:rsidP="00F7554A">
            <w:pPr>
              <w:pStyle w:val="TableTextRight"/>
              <w:keepNext/>
              <w:keepLines/>
              <w:rPr>
                <w:i/>
              </w:rPr>
            </w:pPr>
            <w:r w:rsidRPr="0024529C">
              <w:rPr>
                <w:i/>
              </w:rPr>
              <w:t>51.7</w:t>
            </w:r>
          </w:p>
        </w:tc>
        <w:tc>
          <w:tcPr>
            <w:tcW w:w="689" w:type="pct"/>
            <w:vAlign w:val="center"/>
          </w:tcPr>
          <w:p w:rsidR="00DD7E73" w:rsidRPr="0024529C" w:rsidRDefault="00DD7E73" w:rsidP="00F7554A">
            <w:pPr>
              <w:pStyle w:val="TableTextRight"/>
              <w:keepNext/>
              <w:keepLines/>
              <w:rPr>
                <w:i/>
              </w:rPr>
            </w:pPr>
            <w:r w:rsidRPr="0024529C">
              <w:rPr>
                <w:i/>
              </w:rPr>
              <w:t>-</w:t>
            </w:r>
          </w:p>
        </w:tc>
        <w:tc>
          <w:tcPr>
            <w:tcW w:w="690" w:type="pct"/>
            <w:vAlign w:val="center"/>
          </w:tcPr>
          <w:p w:rsidR="00DD7E73" w:rsidRPr="0024529C" w:rsidRDefault="00DD7E73" w:rsidP="00F7554A">
            <w:pPr>
              <w:pStyle w:val="TableTextRight"/>
              <w:keepNext/>
              <w:keepLines/>
              <w:rPr>
                <w:b/>
                <w:i/>
              </w:rPr>
            </w:pPr>
            <w:r w:rsidRPr="0024529C">
              <w:rPr>
                <w:b/>
                <w:i/>
              </w:rPr>
              <w:t>127.3</w:t>
            </w:r>
          </w:p>
        </w:tc>
      </w:tr>
      <w:tr w:rsidR="00DD7E73" w:rsidRPr="007C2713" w:rsidTr="00F7554A">
        <w:tc>
          <w:tcPr>
            <w:tcW w:w="1554" w:type="pct"/>
            <w:shd w:val="clear" w:color="auto" w:fill="D7DDE9" w:themeFill="accent3"/>
            <w:vAlign w:val="center"/>
          </w:tcPr>
          <w:p w:rsidR="00DD7E73" w:rsidRPr="007C2713" w:rsidRDefault="00DD7E73" w:rsidP="00F7554A">
            <w:pPr>
              <w:pStyle w:val="TableText"/>
              <w:keepNext/>
              <w:keepLines/>
              <w:rPr>
                <w:b/>
              </w:rPr>
            </w:pPr>
            <w:r>
              <w:rPr>
                <w:b/>
              </w:rPr>
              <w:t>Net impact</w:t>
            </w:r>
          </w:p>
        </w:tc>
        <w:tc>
          <w:tcPr>
            <w:tcW w:w="689" w:type="pct"/>
            <w:shd w:val="clear" w:color="auto" w:fill="D7DDE9" w:themeFill="accent3"/>
            <w:vAlign w:val="center"/>
          </w:tcPr>
          <w:p w:rsidR="00DD7E73" w:rsidRPr="00E1559F" w:rsidRDefault="00DD7E73" w:rsidP="00F7554A">
            <w:pPr>
              <w:pStyle w:val="TableTextRight"/>
              <w:keepNext/>
              <w:keepLines/>
              <w:rPr>
                <w:b/>
              </w:rPr>
            </w:pPr>
            <w:r w:rsidRPr="00FF1681">
              <w:rPr>
                <w:b/>
              </w:rPr>
              <w:t>-125.0</w:t>
            </w:r>
          </w:p>
        </w:tc>
        <w:tc>
          <w:tcPr>
            <w:tcW w:w="689" w:type="pct"/>
            <w:shd w:val="clear" w:color="auto" w:fill="D7DDE9" w:themeFill="accent3"/>
            <w:vAlign w:val="center"/>
          </w:tcPr>
          <w:p w:rsidR="00DD7E73" w:rsidRPr="004A421A" w:rsidRDefault="00DD7E73" w:rsidP="00F7554A">
            <w:pPr>
              <w:pStyle w:val="TableTextRight"/>
              <w:keepNext/>
              <w:keepLines/>
              <w:rPr>
                <w:b/>
              </w:rPr>
            </w:pPr>
            <w:r w:rsidRPr="00767C71">
              <w:rPr>
                <w:b/>
              </w:rPr>
              <w:t>13.1</w:t>
            </w:r>
          </w:p>
        </w:tc>
        <w:tc>
          <w:tcPr>
            <w:tcW w:w="689" w:type="pct"/>
            <w:shd w:val="clear" w:color="auto" w:fill="D7DDE9" w:themeFill="accent3"/>
            <w:vAlign w:val="center"/>
          </w:tcPr>
          <w:p w:rsidR="00DD7E73" w:rsidRPr="004A421A" w:rsidRDefault="00DD7E73" w:rsidP="00F7554A">
            <w:pPr>
              <w:pStyle w:val="TableTextRight"/>
              <w:keepNext/>
              <w:keepLines/>
              <w:rPr>
                <w:b/>
              </w:rPr>
            </w:pPr>
            <w:r w:rsidRPr="004A421A">
              <w:rPr>
                <w:b/>
              </w:rPr>
              <w:t>-23.3</w:t>
            </w:r>
          </w:p>
        </w:tc>
        <w:tc>
          <w:tcPr>
            <w:tcW w:w="689" w:type="pct"/>
            <w:shd w:val="clear" w:color="auto" w:fill="D7DDE9" w:themeFill="accent3"/>
            <w:vAlign w:val="center"/>
          </w:tcPr>
          <w:p w:rsidR="00DD7E73" w:rsidRPr="004A421A" w:rsidRDefault="00DD7E73" w:rsidP="00F7554A">
            <w:pPr>
              <w:pStyle w:val="TableTextRight"/>
              <w:keepNext/>
              <w:keepLines/>
              <w:rPr>
                <w:b/>
              </w:rPr>
            </w:pPr>
            <w:r w:rsidRPr="004A421A">
              <w:rPr>
                <w:b/>
              </w:rPr>
              <w:t>-37.5</w:t>
            </w:r>
          </w:p>
        </w:tc>
        <w:tc>
          <w:tcPr>
            <w:tcW w:w="690" w:type="pct"/>
            <w:shd w:val="clear" w:color="auto" w:fill="D7DDE9" w:themeFill="accent3"/>
            <w:vAlign w:val="center"/>
          </w:tcPr>
          <w:p w:rsidR="00DD7E73" w:rsidRPr="004A421A" w:rsidRDefault="00DD7E73" w:rsidP="00F7554A">
            <w:pPr>
              <w:pStyle w:val="TableTextRight"/>
              <w:keepNext/>
              <w:keepLines/>
              <w:rPr>
                <w:b/>
              </w:rPr>
            </w:pPr>
            <w:r w:rsidRPr="004A421A">
              <w:rPr>
                <w:b/>
              </w:rPr>
              <w:t>-172.7</w:t>
            </w:r>
          </w:p>
        </w:tc>
      </w:tr>
    </w:tbl>
    <w:p w:rsidR="00DD7E73" w:rsidRDefault="00DD7E73" w:rsidP="00B4626E">
      <w:pPr>
        <w:pStyle w:val="Footnotes"/>
        <w:keepNext/>
        <w:keepLines/>
        <w:numPr>
          <w:ilvl w:val="0"/>
          <w:numId w:val="134"/>
        </w:numPr>
        <w:spacing w:before="113"/>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DD7E73" w:rsidRPr="005F544A" w:rsidRDefault="00DD7E73" w:rsidP="00B4626E">
      <w:pPr>
        <w:pStyle w:val="Footnotes"/>
        <w:spacing w:after="120"/>
        <w:ind w:left="284" w:hanging="284"/>
      </w:pPr>
      <w:r w:rsidRPr="005F544A">
        <w:t>Figures may not sum to totals due to rounding.</w:t>
      </w:r>
    </w:p>
    <w:p w:rsidR="00DD7E73" w:rsidRDefault="00DD7E73" w:rsidP="00B4626E">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276912" w:rsidRDefault="00276912" w:rsidP="00276912">
      <w:pPr>
        <w:pStyle w:val="Heading5"/>
        <w:ind w:left="1080" w:hanging="1080"/>
      </w:pPr>
      <w:bookmarkStart w:id="70" w:name="_Toc455655014"/>
      <w:bookmarkStart w:id="71" w:name="_Toc458081682"/>
      <w:r>
        <w:t>ALP0</w:t>
      </w:r>
      <w:r w:rsidR="00A00D61">
        <w:t>58</w:t>
      </w:r>
      <w:r>
        <w:t>: Graduate Startup Entrepreneurial Visa</w:t>
      </w:r>
      <w:bookmarkEnd w:id="70"/>
      <w:bookmarkEnd w:id="71"/>
    </w:p>
    <w:p w:rsidR="00276912" w:rsidRDefault="00276912" w:rsidP="00276912">
      <w:pPr>
        <w:pStyle w:val="BodyText"/>
        <w:spacing w:before="480" w:after="0"/>
      </w:pPr>
      <w:r>
        <w:rPr>
          <w:noProof/>
          <w:lang w:eastAsia="en-AU"/>
        </w:rPr>
        <w:drawing>
          <wp:inline distT="0" distB="0" distL="0" distR="0" wp14:anchorId="6A771A4D" wp14:editId="7638ED1D">
            <wp:extent cx="2696845" cy="572135"/>
            <wp:effectExtent l="0" t="0" r="8255" b="0"/>
            <wp:docPr id="460" name="Picture 46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276912" w:rsidRDefault="00276912" w:rsidP="00276912">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276912" w:rsidRPr="00A71F7B"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276912" w:rsidRPr="00A71F7B" w:rsidRDefault="00276912" w:rsidP="00F7554A">
            <w:pPr>
              <w:pStyle w:val="PullOutBoxHeading"/>
              <w:rPr>
                <w:b/>
              </w:rPr>
            </w:pPr>
            <w:r w:rsidRPr="00A71F7B">
              <w:rPr>
                <w:b/>
              </w:rPr>
              <w:t>Name of proposal:</w:t>
            </w:r>
          </w:p>
        </w:tc>
        <w:tc>
          <w:tcPr>
            <w:tcW w:w="3191" w:type="pct"/>
          </w:tcPr>
          <w:p w:rsidR="00276912" w:rsidRPr="00A71F7B" w:rsidRDefault="00276912" w:rsidP="00F7554A">
            <w:pPr>
              <w:pStyle w:val="PullOutBoxHeading"/>
              <w:rPr>
                <w:b/>
              </w:rPr>
            </w:pPr>
            <w:r w:rsidRPr="00A71F7B">
              <w:rPr>
                <w:b/>
              </w:rPr>
              <w:t>Graduate Startup Entrepreneurial Visa</w:t>
            </w:r>
          </w:p>
        </w:tc>
      </w:tr>
      <w:tr w:rsidR="00276912" w:rsidRPr="00B45F94" w:rsidTr="00F7554A">
        <w:tc>
          <w:tcPr>
            <w:tcW w:w="1809" w:type="pct"/>
          </w:tcPr>
          <w:p w:rsidR="00276912" w:rsidRPr="00B45F94" w:rsidRDefault="00276912" w:rsidP="00F7554A">
            <w:pPr>
              <w:pStyle w:val="PullOutBoxBodyText"/>
            </w:pPr>
            <w:r w:rsidRPr="00B45F94">
              <w:t>Summary of proposal:</w:t>
            </w:r>
          </w:p>
        </w:tc>
        <w:tc>
          <w:tcPr>
            <w:tcW w:w="3191" w:type="pct"/>
          </w:tcPr>
          <w:p w:rsidR="00276912" w:rsidRDefault="00276912" w:rsidP="00F7554A">
            <w:pPr>
              <w:pStyle w:val="PullOutBoxBodyText"/>
            </w:pPr>
            <w:r>
              <w:t>The proposal would establish a new visa category – the Graduate Startup Entrepreneurial Visa (GEV) which would allow graduates with a credible and genuine business idea to stay in Australia for one year after graduation to establish a start-up business.  Although there would be no upfront funding requirement, gradates would require endorsement from a participating higher education institution.</w:t>
            </w:r>
          </w:p>
          <w:p w:rsidR="00276912" w:rsidRDefault="00276912" w:rsidP="00F7554A">
            <w:pPr>
              <w:pStyle w:val="PullOutBoxBodyText"/>
            </w:pPr>
            <w:r>
              <w:t>Graduates would be able to apply to extend this visa for a second year provided they have a new endorsement letter from their higher education institution confirming they have made satisfactory progress in developing their business.</w:t>
            </w:r>
          </w:p>
          <w:p w:rsidR="00276912" w:rsidRDefault="00276912" w:rsidP="00F7554A">
            <w:pPr>
              <w:pStyle w:val="PullOutBoxBodyText"/>
            </w:pPr>
            <w:r>
              <w:t>There would be a limit of 2,000 GEVs per year (excluding extensions).</w:t>
            </w:r>
          </w:p>
          <w:p w:rsidR="00276912" w:rsidRDefault="00276912" w:rsidP="00F7554A">
            <w:pPr>
              <w:pStyle w:val="PullOutBoxBodyText"/>
            </w:pPr>
            <w:r>
              <w:t>Graduates would not be able to apply for settlement under this category.  The visa would allow graduates time to raise capital in Australia and switch to the proposed Startup Entrepreneurial Visa at a later stage.  Applicants may apply for settlement in Australia after five years if they meet the eligibility requirements.</w:t>
            </w:r>
          </w:p>
          <w:p w:rsidR="00276912" w:rsidRPr="00B45F94" w:rsidRDefault="00276912" w:rsidP="00F7554A">
            <w:pPr>
              <w:pStyle w:val="PullOutBoxBodyText"/>
            </w:pPr>
            <w:r>
              <w:t>The proposal would have effect from 1 July 2017.</w:t>
            </w:r>
          </w:p>
        </w:tc>
      </w:tr>
      <w:tr w:rsidR="00276912" w:rsidRPr="00B45F94" w:rsidTr="00F7554A">
        <w:tc>
          <w:tcPr>
            <w:tcW w:w="1809" w:type="pct"/>
          </w:tcPr>
          <w:p w:rsidR="00276912" w:rsidRPr="00B45F94" w:rsidRDefault="00276912" w:rsidP="00F7554A">
            <w:pPr>
              <w:pStyle w:val="PullOutBoxBodyText"/>
            </w:pPr>
            <w:r>
              <w:t>Party:</w:t>
            </w:r>
          </w:p>
        </w:tc>
        <w:tc>
          <w:tcPr>
            <w:tcW w:w="3191" w:type="pct"/>
          </w:tcPr>
          <w:p w:rsidR="00276912" w:rsidRPr="00B45F94" w:rsidRDefault="00276912" w:rsidP="00F7554A">
            <w:pPr>
              <w:pStyle w:val="PullOutBoxBodyText"/>
            </w:pPr>
            <w:r>
              <w:t>Australian Labor Party</w:t>
            </w:r>
          </w:p>
        </w:tc>
      </w:tr>
      <w:tr w:rsidR="00276912" w:rsidRPr="00B45F94" w:rsidTr="00F7554A">
        <w:tc>
          <w:tcPr>
            <w:tcW w:w="1809" w:type="pct"/>
          </w:tcPr>
          <w:p w:rsidR="00276912" w:rsidRPr="00B45F94" w:rsidRDefault="00276912" w:rsidP="00F7554A">
            <w:pPr>
              <w:pStyle w:val="PullOutBoxBodyText"/>
            </w:pPr>
            <w:r w:rsidRPr="00B45F94">
              <w:t>Expiry date for the costing:</w:t>
            </w:r>
          </w:p>
        </w:tc>
        <w:tc>
          <w:tcPr>
            <w:tcW w:w="3191" w:type="pct"/>
          </w:tcPr>
          <w:p w:rsidR="00276912" w:rsidRPr="00B45F94" w:rsidRDefault="00276912" w:rsidP="00F7554A">
            <w:pPr>
              <w:pStyle w:val="PullOutBoxBodyText"/>
            </w:pPr>
            <w:r>
              <w:t>Release of the next economic and fiscal update</w:t>
            </w:r>
          </w:p>
        </w:tc>
      </w:tr>
    </w:tbl>
    <w:p w:rsidR="00276912" w:rsidRDefault="00276912" w:rsidP="00276912">
      <w:pPr>
        <w:pStyle w:val="CostingsH7"/>
      </w:pPr>
      <w:r w:rsidRPr="00BF1EE6">
        <w:t>Costing overview</w:t>
      </w:r>
    </w:p>
    <w:p w:rsidR="00276912" w:rsidRDefault="00276912" w:rsidP="00276912">
      <w:pPr>
        <w:pStyle w:val="BodyText"/>
      </w:pPr>
      <w:r>
        <w:t>This proposal would be expected to decrease both the fiscal and underlying cash balances by $3.5 million over the 2016-17 Budget forward estimates period.  This reflects an increase in departmental expenses of $6.0 million partially offset by an increase in revenue of $2.4 million.</w:t>
      </w:r>
    </w:p>
    <w:p w:rsidR="00276912" w:rsidRDefault="00276912" w:rsidP="00276912">
      <w:pPr>
        <w:pStyle w:val="BodyText"/>
        <w:keepLines/>
      </w:pPr>
      <w:r>
        <w:t>This proposal would be expected to have an ongoing impact beyond the 2016</w:t>
      </w:r>
      <w:r>
        <w:noBreakHyphen/>
        <w:t xml:space="preserve">17 Budget forward estimates period at a level similar to the 2019-20 impact.  A breakdown of the financial implications of this proposal over the 2016-17 Budget and forward estimates period is provided at </w:t>
      </w:r>
      <w:r w:rsidRPr="00651800">
        <w:rPr>
          <w:u w:val="single"/>
        </w:rPr>
        <w:t>Attachment A</w:t>
      </w:r>
      <w:r>
        <w:t>.</w:t>
      </w:r>
    </w:p>
    <w:p w:rsidR="00276912" w:rsidRPr="00054647" w:rsidRDefault="00276912" w:rsidP="00276912">
      <w:pPr>
        <w:pStyle w:val="BodyText"/>
      </w:pPr>
      <w:r>
        <w:t>The impact of the proposal over the 2016-17 Budget forward estimates period is considered to be of medium reliability.  While estimates are based on a capped number of visas, there is some uncertainty over assumptions related to visa application fees.</w:t>
      </w:r>
    </w:p>
    <w:p w:rsidR="00276912" w:rsidRDefault="00276912" w:rsidP="00276912">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276912"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276912" w:rsidRPr="00D264E1" w:rsidRDefault="00276912" w:rsidP="00F7554A">
            <w:pPr>
              <w:pStyle w:val="TableHeading"/>
            </w:pPr>
            <w:r>
              <w:t>Impact on ($m)</w:t>
            </w:r>
          </w:p>
        </w:tc>
        <w:tc>
          <w:tcPr>
            <w:tcW w:w="721" w:type="pct"/>
          </w:tcPr>
          <w:p w:rsidR="00276912" w:rsidRPr="00FC1F1C" w:rsidRDefault="00276912" w:rsidP="00F7554A">
            <w:pPr>
              <w:pStyle w:val="TableHeadingRight"/>
            </w:pPr>
            <w:r>
              <w:t>2016–17</w:t>
            </w:r>
          </w:p>
        </w:tc>
        <w:tc>
          <w:tcPr>
            <w:tcW w:w="721" w:type="pct"/>
          </w:tcPr>
          <w:p w:rsidR="00276912" w:rsidRPr="00FC1F1C" w:rsidRDefault="00276912" w:rsidP="00F7554A">
            <w:pPr>
              <w:pStyle w:val="TableHeadingRight"/>
            </w:pPr>
            <w:r>
              <w:t>2017–18</w:t>
            </w:r>
          </w:p>
        </w:tc>
        <w:tc>
          <w:tcPr>
            <w:tcW w:w="722" w:type="pct"/>
          </w:tcPr>
          <w:p w:rsidR="00276912" w:rsidRPr="00FC1F1C" w:rsidRDefault="00276912" w:rsidP="00F7554A">
            <w:pPr>
              <w:pStyle w:val="TableHeadingRight"/>
            </w:pPr>
            <w:r>
              <w:t>2018–19</w:t>
            </w:r>
          </w:p>
        </w:tc>
        <w:tc>
          <w:tcPr>
            <w:tcW w:w="721" w:type="pct"/>
          </w:tcPr>
          <w:p w:rsidR="00276912" w:rsidRPr="00FC1F1C" w:rsidRDefault="00276912" w:rsidP="00F7554A">
            <w:pPr>
              <w:pStyle w:val="TableHeadingRight"/>
            </w:pPr>
            <w:r>
              <w:t>2019–20</w:t>
            </w:r>
          </w:p>
        </w:tc>
        <w:tc>
          <w:tcPr>
            <w:tcW w:w="722" w:type="pct"/>
          </w:tcPr>
          <w:p w:rsidR="00276912" w:rsidRPr="00FC1F1C" w:rsidRDefault="00276912" w:rsidP="00F7554A">
            <w:pPr>
              <w:pStyle w:val="TableHeadingRight"/>
              <w:rPr>
                <w:b/>
              </w:rPr>
            </w:pPr>
            <w:r w:rsidRPr="00FC1F1C">
              <w:t>Total</w:t>
            </w:r>
          </w:p>
        </w:tc>
      </w:tr>
      <w:tr w:rsidR="00276912" w:rsidTr="00F7554A">
        <w:tc>
          <w:tcPr>
            <w:tcW w:w="1393" w:type="pct"/>
          </w:tcPr>
          <w:p w:rsidR="00276912" w:rsidRDefault="00276912" w:rsidP="00F7554A">
            <w:pPr>
              <w:pStyle w:val="TableText"/>
            </w:pPr>
            <w:r>
              <w:t>Fiscal balance</w:t>
            </w:r>
          </w:p>
        </w:tc>
        <w:tc>
          <w:tcPr>
            <w:tcW w:w="721" w:type="pct"/>
          </w:tcPr>
          <w:p w:rsidR="00276912" w:rsidRPr="00DA4DC8" w:rsidRDefault="00276912" w:rsidP="00F7554A">
            <w:pPr>
              <w:pStyle w:val="TableTextRight"/>
            </w:pPr>
            <w:r w:rsidRPr="00DA4DC8">
              <w:t>-</w:t>
            </w:r>
          </w:p>
        </w:tc>
        <w:tc>
          <w:tcPr>
            <w:tcW w:w="721" w:type="pct"/>
          </w:tcPr>
          <w:p w:rsidR="00276912" w:rsidRPr="00DA4DC8" w:rsidRDefault="00276912" w:rsidP="00F7554A">
            <w:pPr>
              <w:pStyle w:val="TableTextRight"/>
            </w:pPr>
            <w:r w:rsidRPr="00DA4DC8">
              <w:t>-1.0</w:t>
            </w:r>
          </w:p>
        </w:tc>
        <w:tc>
          <w:tcPr>
            <w:tcW w:w="722" w:type="pct"/>
          </w:tcPr>
          <w:p w:rsidR="00276912" w:rsidRPr="00DA4DC8" w:rsidRDefault="00276912" w:rsidP="00F7554A">
            <w:pPr>
              <w:pStyle w:val="TableTextRight"/>
            </w:pPr>
            <w:r w:rsidRPr="00DA4DC8">
              <w:t>-2.4</w:t>
            </w:r>
          </w:p>
        </w:tc>
        <w:tc>
          <w:tcPr>
            <w:tcW w:w="721" w:type="pct"/>
          </w:tcPr>
          <w:p w:rsidR="00276912" w:rsidRPr="00DA4DC8" w:rsidRDefault="00276912" w:rsidP="00F7554A">
            <w:pPr>
              <w:pStyle w:val="TableTextRight"/>
            </w:pPr>
            <w:r w:rsidRPr="00DA4DC8">
              <w:t>-0.1</w:t>
            </w:r>
          </w:p>
        </w:tc>
        <w:tc>
          <w:tcPr>
            <w:tcW w:w="722" w:type="pct"/>
          </w:tcPr>
          <w:p w:rsidR="00276912" w:rsidRPr="00DA4DC8" w:rsidRDefault="00276912" w:rsidP="00F7554A">
            <w:pPr>
              <w:pStyle w:val="TableTextRight"/>
              <w:rPr>
                <w:b/>
              </w:rPr>
            </w:pPr>
            <w:r w:rsidRPr="00DA4DC8">
              <w:rPr>
                <w:b/>
              </w:rPr>
              <w:t>-3.5</w:t>
            </w:r>
          </w:p>
        </w:tc>
      </w:tr>
      <w:tr w:rsidR="00276912" w:rsidTr="00F7554A">
        <w:tc>
          <w:tcPr>
            <w:tcW w:w="1393" w:type="pct"/>
          </w:tcPr>
          <w:p w:rsidR="00276912" w:rsidRDefault="00276912" w:rsidP="00F7554A">
            <w:pPr>
              <w:pStyle w:val="TableText"/>
            </w:pPr>
            <w:r>
              <w:t>Underlying cash balance</w:t>
            </w:r>
          </w:p>
        </w:tc>
        <w:tc>
          <w:tcPr>
            <w:tcW w:w="721" w:type="pct"/>
          </w:tcPr>
          <w:p w:rsidR="00276912" w:rsidRPr="00131830" w:rsidRDefault="00276912" w:rsidP="00F7554A">
            <w:pPr>
              <w:pStyle w:val="TableTextRight"/>
            </w:pPr>
            <w:r w:rsidRPr="00131830">
              <w:t>-</w:t>
            </w:r>
          </w:p>
        </w:tc>
        <w:tc>
          <w:tcPr>
            <w:tcW w:w="721" w:type="pct"/>
          </w:tcPr>
          <w:p w:rsidR="00276912" w:rsidRPr="00207439" w:rsidRDefault="00276912" w:rsidP="00F7554A">
            <w:pPr>
              <w:pStyle w:val="TableTextRight"/>
            </w:pPr>
            <w:r w:rsidRPr="00207439">
              <w:t>-1.0</w:t>
            </w:r>
          </w:p>
        </w:tc>
        <w:tc>
          <w:tcPr>
            <w:tcW w:w="722" w:type="pct"/>
          </w:tcPr>
          <w:p w:rsidR="00276912" w:rsidRPr="00DA4DC8" w:rsidRDefault="00276912" w:rsidP="00F7554A">
            <w:pPr>
              <w:pStyle w:val="TableTextRight"/>
            </w:pPr>
            <w:r w:rsidRPr="00DA4DC8">
              <w:t>-2.4</w:t>
            </w:r>
          </w:p>
        </w:tc>
        <w:tc>
          <w:tcPr>
            <w:tcW w:w="721" w:type="pct"/>
          </w:tcPr>
          <w:p w:rsidR="00276912" w:rsidRPr="00DA4DC8" w:rsidRDefault="00276912" w:rsidP="00F7554A">
            <w:pPr>
              <w:pStyle w:val="TableTextRight"/>
            </w:pPr>
            <w:r w:rsidRPr="00DA4DC8">
              <w:t>-0.1</w:t>
            </w:r>
          </w:p>
        </w:tc>
        <w:tc>
          <w:tcPr>
            <w:tcW w:w="722" w:type="pct"/>
          </w:tcPr>
          <w:p w:rsidR="00276912" w:rsidRPr="00DA4DC8" w:rsidRDefault="00276912" w:rsidP="00F7554A">
            <w:pPr>
              <w:pStyle w:val="TableTextRight"/>
              <w:rPr>
                <w:b/>
              </w:rPr>
            </w:pPr>
            <w:r w:rsidRPr="00DA4DC8">
              <w:rPr>
                <w:b/>
              </w:rPr>
              <w:t>-3.5</w:t>
            </w:r>
          </w:p>
        </w:tc>
      </w:tr>
    </w:tbl>
    <w:p w:rsidR="00276912" w:rsidRDefault="00276912" w:rsidP="00AF5F62">
      <w:pPr>
        <w:pStyle w:val="Footnotes"/>
        <w:numPr>
          <w:ilvl w:val="0"/>
          <w:numId w:val="135"/>
        </w:numPr>
        <w:ind w:left="284" w:hanging="284"/>
      </w:pPr>
      <w:r>
        <w:t xml:space="preserve">A positive </w:t>
      </w:r>
      <w:r w:rsidRPr="00FC1F1C">
        <w:t>number indicates an increase in the relevant budget balance, a negative number a decrease.</w:t>
      </w:r>
    </w:p>
    <w:p w:rsidR="00276912" w:rsidRDefault="00276912" w:rsidP="00AF5F62">
      <w:pPr>
        <w:pStyle w:val="Footnotes"/>
        <w:ind w:left="284" w:hanging="284"/>
      </w:pPr>
      <w:r w:rsidRPr="000E063A">
        <w:t>Figures may not sum to totals due to rounding.</w:t>
      </w:r>
    </w:p>
    <w:p w:rsidR="00276912" w:rsidRPr="00430B55" w:rsidRDefault="00276912" w:rsidP="00AF5F62">
      <w:pPr>
        <w:pStyle w:val="Footnotes"/>
        <w:numPr>
          <w:ilvl w:val="0"/>
          <w:numId w:val="0"/>
        </w:numPr>
        <w:spacing w:before="120"/>
        <w:ind w:left="284" w:hanging="284"/>
        <w:rPr>
          <w:rStyle w:val="FootnoteReference"/>
          <w:vertAlign w:val="baseline"/>
        </w:rPr>
      </w:pPr>
      <w:r w:rsidRPr="00131830">
        <w:t>-</w:t>
      </w:r>
      <w:r>
        <w:tab/>
      </w:r>
      <w:r w:rsidRPr="00131830">
        <w:t>Indicates nil.</w:t>
      </w:r>
    </w:p>
    <w:p w:rsidR="00276912" w:rsidRDefault="00276912" w:rsidP="00276912">
      <w:pPr>
        <w:pStyle w:val="CostingsH7"/>
      </w:pPr>
      <w:r>
        <w:t>Key assumptions</w:t>
      </w:r>
    </w:p>
    <w:p w:rsidR="00276912" w:rsidRDefault="00276912" w:rsidP="00276912">
      <w:pPr>
        <w:pStyle w:val="BodyText"/>
      </w:pPr>
      <w:r>
        <w:t>In costing this proposal it has been assumed that:</w:t>
      </w:r>
    </w:p>
    <w:p w:rsidR="00276912" w:rsidRDefault="00276912" w:rsidP="00276912">
      <w:pPr>
        <w:pStyle w:val="ListBullet"/>
      </w:pPr>
      <w:r>
        <w:t>there would be sufficient demand for the capped number of visas to be fully allocated</w:t>
      </w:r>
    </w:p>
    <w:p w:rsidR="00276912" w:rsidRDefault="00276912" w:rsidP="00276912">
      <w:pPr>
        <w:pStyle w:val="ListBullet"/>
      </w:pPr>
      <w:r>
        <w:t>visa application fees would be equivalent to the majority of temporary work visas ($380 as of 1 July 2015)</w:t>
      </w:r>
    </w:p>
    <w:p w:rsidR="00276912" w:rsidRDefault="00276912" w:rsidP="00276912">
      <w:pPr>
        <w:pStyle w:val="ListBullet"/>
      </w:pPr>
      <w:r>
        <w:t>visa application fees would be indexed biennially by 5 per cent, consistent with the increase applied on 1 July 2015</w:t>
      </w:r>
    </w:p>
    <w:p w:rsidR="00276912" w:rsidRPr="00430B55" w:rsidRDefault="00276912" w:rsidP="00276912">
      <w:pPr>
        <w:pStyle w:val="ListBullet"/>
      </w:pPr>
      <w:r>
        <w:t>any costs associated with applicants who subsequently successfully apply for another visa type would already be captured in the expense or revenue impacts for those existing streams.</w:t>
      </w:r>
    </w:p>
    <w:p w:rsidR="00276912" w:rsidRDefault="00276912" w:rsidP="00276912">
      <w:pPr>
        <w:pStyle w:val="CostingsH7"/>
      </w:pPr>
      <w:r>
        <w:t>Methodology</w:t>
      </w:r>
    </w:p>
    <w:p w:rsidR="00276912" w:rsidRDefault="00276912" w:rsidP="00276912">
      <w:pPr>
        <w:pStyle w:val="CostingsH8"/>
      </w:pPr>
      <w:r>
        <w:t>Departmental</w:t>
      </w:r>
    </w:p>
    <w:p w:rsidR="00276912" w:rsidRDefault="00276912" w:rsidP="00276912">
      <w:pPr>
        <w:pStyle w:val="BodyText"/>
      </w:pPr>
      <w:r>
        <w:t>Departmental costs (including capital costs) were based on similar measures that established or expanded additional visa categories.  Costs in 2017-18 and 2018-19 include funding related to information technology systems changes.</w:t>
      </w:r>
    </w:p>
    <w:p w:rsidR="00276912" w:rsidRDefault="00276912" w:rsidP="00276912">
      <w:pPr>
        <w:pStyle w:val="CostingsH8"/>
      </w:pPr>
      <w:r>
        <w:t>Revenue</w:t>
      </w:r>
    </w:p>
    <w:p w:rsidR="00276912" w:rsidRPr="00430B55" w:rsidRDefault="00276912" w:rsidP="00276912">
      <w:pPr>
        <w:pStyle w:val="BodyText"/>
      </w:pPr>
      <w:r>
        <w:t>The specified capped amount of visa applications were multiplied by the appropriate visa application fee.</w:t>
      </w:r>
    </w:p>
    <w:p w:rsidR="00276912" w:rsidRDefault="00276912" w:rsidP="00276912">
      <w:pPr>
        <w:pStyle w:val="CostingsH7"/>
      </w:pPr>
      <w:r>
        <w:t>Data sources</w:t>
      </w:r>
    </w:p>
    <w:p w:rsidR="00276912" w:rsidRPr="00651800" w:rsidRDefault="005B53BF" w:rsidP="00276912">
      <w:pPr>
        <w:pStyle w:val="BodyText"/>
      </w:pPr>
      <w:r w:rsidRPr="00651800">
        <w:t xml:space="preserve">The </w:t>
      </w:r>
      <w:r w:rsidR="00276912" w:rsidRPr="00651800">
        <w:t>Department of Finance provided indexation and efficiency dividend parameters.</w:t>
      </w:r>
    </w:p>
    <w:p w:rsidR="00276912" w:rsidRDefault="00276912" w:rsidP="00276912">
      <w:pPr>
        <w:pStyle w:val="BodyText"/>
      </w:pPr>
      <w:r w:rsidRPr="00651800">
        <w:t xml:space="preserve">Visa Application Charges from 1 July 2015 Fact Sheet </w:t>
      </w:r>
      <w:hyperlink r:id="rId163" w:anchor="search=vac%20increases" w:history="1">
        <w:r w:rsidRPr="00651800">
          <w:rPr>
            <w:rStyle w:val="Hyperlink"/>
          </w:rPr>
          <w:t>https://www.border.gov.au/ReportsandPublications/Documents/budget/VAC-increases-fact-sheet.pdf#search=vac%20increases</w:t>
        </w:r>
      </w:hyperlink>
      <w:r w:rsidRPr="00651800">
        <w:t>.</w:t>
      </w:r>
    </w:p>
    <w:p w:rsidR="001F6055" w:rsidRDefault="001F6055" w:rsidP="00276912">
      <w:pPr>
        <w:pStyle w:val="BodyText"/>
      </w:pPr>
    </w:p>
    <w:p w:rsidR="001F6055" w:rsidRDefault="001F6055" w:rsidP="00276912">
      <w:pPr>
        <w:pStyle w:val="BodyText"/>
        <w:sectPr w:rsidR="001F6055" w:rsidSect="00967BCD">
          <w:footnotePr>
            <w:numRestart w:val="eachSect"/>
          </w:footnotePr>
          <w:pgSz w:w="11906" w:h="16838" w:code="9"/>
          <w:pgMar w:top="1361" w:right="1797" w:bottom="1474" w:left="1797" w:header="283" w:footer="454" w:gutter="0"/>
          <w:cols w:space="708"/>
          <w:docGrid w:linePitch="360"/>
        </w:sectPr>
      </w:pPr>
    </w:p>
    <w:p w:rsidR="00276912" w:rsidRDefault="00276912" w:rsidP="00276912">
      <w:pPr>
        <w:pStyle w:val="Heading6"/>
        <w:numPr>
          <w:ilvl w:val="0"/>
          <w:numId w:val="10"/>
        </w:numPr>
        <w:tabs>
          <w:tab w:val="right" w:pos="1418"/>
          <w:tab w:val="right" w:pos="1701"/>
          <w:tab w:val="right" w:pos="1985"/>
        </w:tabs>
      </w:pPr>
      <w:r>
        <w:t>Attachment A: Graduate Startup Entrepreneurial Visa—</w:t>
      </w:r>
      <w:r w:rsidR="0080154C">
        <w:t>financial implications</w:t>
      </w:r>
    </w:p>
    <w:p w:rsidR="00276912" w:rsidRDefault="00276912" w:rsidP="00276912">
      <w:pPr>
        <w:pStyle w:val="Caption"/>
      </w:pPr>
      <w:r w:rsidRPr="002B36F1">
        <w:t xml:space="preserve">Table </w:t>
      </w:r>
      <w:r>
        <w:t>A1</w:t>
      </w:r>
      <w:r w:rsidRPr="002B36F1">
        <w:t>:</w:t>
      </w:r>
      <w:r>
        <w:t xml:space="preserve"> Graduate Startup Entrepreneurial Visa—</w:t>
      </w:r>
      <w:r w:rsidR="0080154C">
        <w:t>Financial implications</w:t>
      </w:r>
      <w:r>
        <w:t xml:space="preserve">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276912"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276912" w:rsidRPr="007C2713" w:rsidRDefault="00276912" w:rsidP="00F7554A">
            <w:pPr>
              <w:pStyle w:val="TableText"/>
              <w:rPr>
                <w:b w:val="0"/>
              </w:rPr>
            </w:pPr>
            <w:r>
              <w:t>($)</w:t>
            </w:r>
          </w:p>
        </w:tc>
        <w:tc>
          <w:tcPr>
            <w:tcW w:w="689" w:type="pct"/>
            <w:vAlign w:val="center"/>
          </w:tcPr>
          <w:p w:rsidR="00276912" w:rsidRDefault="00276912" w:rsidP="00F7554A">
            <w:pPr>
              <w:pStyle w:val="TableTextRight"/>
              <w:rPr>
                <w:b w:val="0"/>
              </w:rPr>
            </w:pPr>
            <w:r>
              <w:t>2016–17</w:t>
            </w:r>
          </w:p>
        </w:tc>
        <w:tc>
          <w:tcPr>
            <w:tcW w:w="689" w:type="pct"/>
            <w:vAlign w:val="center"/>
          </w:tcPr>
          <w:p w:rsidR="00276912" w:rsidRDefault="00276912" w:rsidP="00F7554A">
            <w:pPr>
              <w:pStyle w:val="TableTextRight"/>
              <w:rPr>
                <w:b w:val="0"/>
              </w:rPr>
            </w:pPr>
            <w:r>
              <w:t>2017–18</w:t>
            </w:r>
          </w:p>
        </w:tc>
        <w:tc>
          <w:tcPr>
            <w:tcW w:w="689" w:type="pct"/>
            <w:vAlign w:val="center"/>
          </w:tcPr>
          <w:p w:rsidR="00276912" w:rsidRDefault="00276912" w:rsidP="00F7554A">
            <w:pPr>
              <w:pStyle w:val="TableTextRight"/>
              <w:rPr>
                <w:b w:val="0"/>
              </w:rPr>
            </w:pPr>
            <w:r>
              <w:t>2018–19</w:t>
            </w:r>
          </w:p>
        </w:tc>
        <w:tc>
          <w:tcPr>
            <w:tcW w:w="689" w:type="pct"/>
            <w:vAlign w:val="center"/>
          </w:tcPr>
          <w:p w:rsidR="00276912" w:rsidRDefault="00276912" w:rsidP="00F7554A">
            <w:pPr>
              <w:pStyle w:val="TableTextRight"/>
              <w:rPr>
                <w:b w:val="0"/>
              </w:rPr>
            </w:pPr>
            <w:r>
              <w:t>2019–20</w:t>
            </w:r>
          </w:p>
        </w:tc>
        <w:tc>
          <w:tcPr>
            <w:tcW w:w="690" w:type="pct"/>
            <w:vAlign w:val="center"/>
          </w:tcPr>
          <w:p w:rsidR="00276912" w:rsidRDefault="00276912" w:rsidP="00F7554A">
            <w:pPr>
              <w:pStyle w:val="TableTextRight"/>
            </w:pPr>
            <w:r>
              <w:t>Total to 2019–20</w:t>
            </w:r>
          </w:p>
        </w:tc>
      </w:tr>
      <w:tr w:rsidR="00276912" w:rsidTr="00725D7C">
        <w:tc>
          <w:tcPr>
            <w:tcW w:w="5000" w:type="pct"/>
            <w:gridSpan w:val="6"/>
            <w:shd w:val="clear" w:color="auto" w:fill="E9ECF3" w:themeFill="accent2" w:themeFillTint="33"/>
            <w:vAlign w:val="center"/>
          </w:tcPr>
          <w:p w:rsidR="00276912" w:rsidRDefault="00276912" w:rsidP="00F7554A">
            <w:pPr>
              <w:pStyle w:val="TableHeading"/>
            </w:pPr>
            <w:r>
              <w:t>Impacts on the fiscal and underlying cash balances</w:t>
            </w:r>
          </w:p>
        </w:tc>
      </w:tr>
      <w:tr w:rsidR="00276912" w:rsidTr="00F7554A">
        <w:tc>
          <w:tcPr>
            <w:tcW w:w="1554" w:type="pct"/>
          </w:tcPr>
          <w:p w:rsidR="00276912" w:rsidRPr="0007264D" w:rsidRDefault="00276912" w:rsidP="00F7554A">
            <w:pPr>
              <w:pStyle w:val="TableText"/>
            </w:pPr>
            <w:r>
              <w:t>Revenue</w:t>
            </w:r>
          </w:p>
        </w:tc>
        <w:tc>
          <w:tcPr>
            <w:tcW w:w="689" w:type="pct"/>
          </w:tcPr>
          <w:p w:rsidR="00276912" w:rsidRPr="00430B55" w:rsidRDefault="00276912" w:rsidP="00F7554A">
            <w:pPr>
              <w:pStyle w:val="TableTextRight"/>
              <w:rPr>
                <w:i/>
              </w:rPr>
            </w:pPr>
            <w:r w:rsidRPr="00430B55">
              <w:rPr>
                <w:i/>
              </w:rPr>
              <w:t>-</w:t>
            </w:r>
          </w:p>
        </w:tc>
        <w:tc>
          <w:tcPr>
            <w:tcW w:w="689" w:type="pct"/>
          </w:tcPr>
          <w:p w:rsidR="00276912" w:rsidRPr="00430B55" w:rsidRDefault="00276912" w:rsidP="00F7554A">
            <w:pPr>
              <w:pStyle w:val="TableTextRight"/>
              <w:rPr>
                <w:i/>
              </w:rPr>
            </w:pPr>
            <w:r w:rsidRPr="00430B55">
              <w:rPr>
                <w:i/>
              </w:rPr>
              <w:t>0.8</w:t>
            </w:r>
          </w:p>
        </w:tc>
        <w:tc>
          <w:tcPr>
            <w:tcW w:w="689" w:type="pct"/>
          </w:tcPr>
          <w:p w:rsidR="00276912" w:rsidRPr="00430B55" w:rsidRDefault="00276912" w:rsidP="00F7554A">
            <w:pPr>
              <w:pStyle w:val="TableTextRight"/>
              <w:rPr>
                <w:i/>
              </w:rPr>
            </w:pPr>
            <w:r w:rsidRPr="00430B55">
              <w:rPr>
                <w:i/>
              </w:rPr>
              <w:t>0.8</w:t>
            </w:r>
          </w:p>
        </w:tc>
        <w:tc>
          <w:tcPr>
            <w:tcW w:w="689" w:type="pct"/>
          </w:tcPr>
          <w:p w:rsidR="00276912" w:rsidRPr="00430B55" w:rsidRDefault="00276912" w:rsidP="00F7554A">
            <w:pPr>
              <w:pStyle w:val="TableTextRight"/>
              <w:rPr>
                <w:i/>
              </w:rPr>
            </w:pPr>
            <w:r w:rsidRPr="00430B55">
              <w:rPr>
                <w:i/>
              </w:rPr>
              <w:t>0.8</w:t>
            </w:r>
          </w:p>
        </w:tc>
        <w:tc>
          <w:tcPr>
            <w:tcW w:w="690" w:type="pct"/>
          </w:tcPr>
          <w:p w:rsidR="00276912" w:rsidRPr="00430B55" w:rsidRDefault="00276912" w:rsidP="00F7554A">
            <w:pPr>
              <w:pStyle w:val="TableTextRight"/>
              <w:rPr>
                <w:b/>
                <w:bCs/>
                <w:i/>
              </w:rPr>
            </w:pPr>
            <w:r w:rsidRPr="00430B55">
              <w:rPr>
                <w:b/>
                <w:bCs/>
                <w:i/>
              </w:rPr>
              <w:t>2.4</w:t>
            </w:r>
          </w:p>
        </w:tc>
      </w:tr>
      <w:tr w:rsidR="00276912" w:rsidTr="00F7554A">
        <w:tc>
          <w:tcPr>
            <w:tcW w:w="1554" w:type="pct"/>
          </w:tcPr>
          <w:p w:rsidR="00276912" w:rsidRPr="0007264D" w:rsidRDefault="00276912" w:rsidP="00F7554A">
            <w:pPr>
              <w:pStyle w:val="TableText"/>
            </w:pPr>
            <w:r>
              <w:t>Departmental</w:t>
            </w:r>
          </w:p>
        </w:tc>
        <w:tc>
          <w:tcPr>
            <w:tcW w:w="689" w:type="pct"/>
          </w:tcPr>
          <w:p w:rsidR="00276912" w:rsidRPr="00430B55" w:rsidRDefault="00276912" w:rsidP="00F7554A">
            <w:pPr>
              <w:pStyle w:val="TableTextRight"/>
              <w:rPr>
                <w:i/>
              </w:rPr>
            </w:pPr>
            <w:r w:rsidRPr="00430B55">
              <w:rPr>
                <w:i/>
              </w:rPr>
              <w:t>-</w:t>
            </w:r>
          </w:p>
        </w:tc>
        <w:tc>
          <w:tcPr>
            <w:tcW w:w="689" w:type="pct"/>
          </w:tcPr>
          <w:p w:rsidR="00276912" w:rsidRPr="00430B55" w:rsidRDefault="00276912" w:rsidP="00F7554A">
            <w:pPr>
              <w:pStyle w:val="TableTextRight"/>
              <w:rPr>
                <w:i/>
              </w:rPr>
            </w:pPr>
            <w:r w:rsidRPr="00430B55">
              <w:rPr>
                <w:i/>
              </w:rPr>
              <w:t>-1.8</w:t>
            </w:r>
          </w:p>
        </w:tc>
        <w:tc>
          <w:tcPr>
            <w:tcW w:w="689" w:type="pct"/>
          </w:tcPr>
          <w:p w:rsidR="00276912" w:rsidRPr="00430B55" w:rsidRDefault="00276912" w:rsidP="00F7554A">
            <w:pPr>
              <w:pStyle w:val="TableTextRight"/>
              <w:rPr>
                <w:i/>
              </w:rPr>
            </w:pPr>
            <w:r w:rsidRPr="00430B55">
              <w:rPr>
                <w:i/>
              </w:rPr>
              <w:t>-3.2</w:t>
            </w:r>
          </w:p>
        </w:tc>
        <w:tc>
          <w:tcPr>
            <w:tcW w:w="689" w:type="pct"/>
          </w:tcPr>
          <w:p w:rsidR="00276912" w:rsidRPr="00430B55" w:rsidRDefault="00276912" w:rsidP="00F7554A">
            <w:pPr>
              <w:pStyle w:val="TableTextRight"/>
              <w:rPr>
                <w:i/>
              </w:rPr>
            </w:pPr>
            <w:r w:rsidRPr="00430B55">
              <w:rPr>
                <w:i/>
              </w:rPr>
              <w:t>-1.0</w:t>
            </w:r>
          </w:p>
        </w:tc>
        <w:tc>
          <w:tcPr>
            <w:tcW w:w="690" w:type="pct"/>
          </w:tcPr>
          <w:p w:rsidR="00276912" w:rsidRPr="00430B55" w:rsidRDefault="00276912" w:rsidP="00F7554A">
            <w:pPr>
              <w:pStyle w:val="TableTextRight"/>
              <w:rPr>
                <w:b/>
                <w:bCs/>
                <w:i/>
              </w:rPr>
            </w:pPr>
            <w:r w:rsidRPr="00430B55">
              <w:rPr>
                <w:b/>
                <w:bCs/>
                <w:i/>
              </w:rPr>
              <w:t>-6.0</w:t>
            </w:r>
          </w:p>
        </w:tc>
      </w:tr>
      <w:tr w:rsidR="00276912" w:rsidRPr="007C2713" w:rsidTr="00F7554A">
        <w:tc>
          <w:tcPr>
            <w:tcW w:w="1554" w:type="pct"/>
            <w:shd w:val="clear" w:color="auto" w:fill="D7DDE9" w:themeFill="accent3"/>
          </w:tcPr>
          <w:p w:rsidR="00276912" w:rsidRPr="00C55DDE" w:rsidRDefault="00276912" w:rsidP="00F7554A">
            <w:pPr>
              <w:pStyle w:val="TableText"/>
              <w:rPr>
                <w:b/>
              </w:rPr>
            </w:pPr>
            <w:r w:rsidRPr="00C55DDE">
              <w:rPr>
                <w:b/>
              </w:rPr>
              <w:t>Total</w:t>
            </w:r>
          </w:p>
        </w:tc>
        <w:tc>
          <w:tcPr>
            <w:tcW w:w="689" w:type="pct"/>
            <w:shd w:val="clear" w:color="auto" w:fill="D7DDE9" w:themeFill="accent3"/>
          </w:tcPr>
          <w:p w:rsidR="00276912" w:rsidRPr="005032A4" w:rsidRDefault="00276912" w:rsidP="00F7554A">
            <w:pPr>
              <w:pStyle w:val="TableTextRight"/>
              <w:rPr>
                <w:b/>
                <w:bCs/>
              </w:rPr>
            </w:pPr>
            <w:r w:rsidRPr="005032A4">
              <w:rPr>
                <w:b/>
                <w:bCs/>
              </w:rPr>
              <w:t>-</w:t>
            </w:r>
          </w:p>
        </w:tc>
        <w:tc>
          <w:tcPr>
            <w:tcW w:w="689" w:type="pct"/>
            <w:shd w:val="clear" w:color="auto" w:fill="D7DDE9" w:themeFill="accent3"/>
          </w:tcPr>
          <w:p w:rsidR="00276912" w:rsidRPr="005032A4" w:rsidRDefault="00276912" w:rsidP="00F7554A">
            <w:pPr>
              <w:pStyle w:val="TableTextRight"/>
              <w:rPr>
                <w:b/>
                <w:bCs/>
              </w:rPr>
            </w:pPr>
            <w:r w:rsidRPr="005032A4">
              <w:rPr>
                <w:b/>
                <w:bCs/>
              </w:rPr>
              <w:t>-1.0</w:t>
            </w:r>
          </w:p>
        </w:tc>
        <w:tc>
          <w:tcPr>
            <w:tcW w:w="689" w:type="pct"/>
            <w:shd w:val="clear" w:color="auto" w:fill="D7DDE9" w:themeFill="accent3"/>
          </w:tcPr>
          <w:p w:rsidR="00276912" w:rsidRPr="005032A4" w:rsidRDefault="00276912" w:rsidP="00F7554A">
            <w:pPr>
              <w:pStyle w:val="TableTextRight"/>
              <w:rPr>
                <w:b/>
                <w:bCs/>
              </w:rPr>
            </w:pPr>
            <w:r w:rsidRPr="005032A4">
              <w:rPr>
                <w:b/>
                <w:bCs/>
              </w:rPr>
              <w:t>-2.4</w:t>
            </w:r>
          </w:p>
        </w:tc>
        <w:tc>
          <w:tcPr>
            <w:tcW w:w="689" w:type="pct"/>
            <w:shd w:val="clear" w:color="auto" w:fill="D7DDE9" w:themeFill="accent3"/>
          </w:tcPr>
          <w:p w:rsidR="00276912" w:rsidRPr="005032A4" w:rsidRDefault="00276912" w:rsidP="00F7554A">
            <w:pPr>
              <w:pStyle w:val="TableTextRight"/>
              <w:rPr>
                <w:b/>
                <w:bCs/>
              </w:rPr>
            </w:pPr>
            <w:r w:rsidRPr="005032A4">
              <w:rPr>
                <w:b/>
                <w:bCs/>
              </w:rPr>
              <w:t>-0.1</w:t>
            </w:r>
          </w:p>
        </w:tc>
        <w:tc>
          <w:tcPr>
            <w:tcW w:w="690" w:type="pct"/>
            <w:shd w:val="clear" w:color="auto" w:fill="D7DDE9" w:themeFill="accent3"/>
          </w:tcPr>
          <w:p w:rsidR="00276912" w:rsidRPr="005032A4" w:rsidRDefault="00276912" w:rsidP="00F7554A">
            <w:pPr>
              <w:pStyle w:val="TableTextRight"/>
              <w:rPr>
                <w:b/>
                <w:bCs/>
              </w:rPr>
            </w:pPr>
            <w:r w:rsidRPr="005032A4">
              <w:rPr>
                <w:b/>
                <w:bCs/>
              </w:rPr>
              <w:t>-3.5</w:t>
            </w:r>
          </w:p>
        </w:tc>
      </w:tr>
    </w:tbl>
    <w:p w:rsidR="00276912" w:rsidRPr="003D3D39" w:rsidRDefault="00276912" w:rsidP="002C43F8">
      <w:pPr>
        <w:pStyle w:val="Footnotes"/>
        <w:numPr>
          <w:ilvl w:val="0"/>
          <w:numId w:val="136"/>
        </w:numPr>
        <w:spacing w:before="113"/>
        <w:ind w:left="284" w:hanging="284"/>
        <w:rPr>
          <w:rFonts w:ascii="Times New Roman" w:eastAsia="Times New Roman" w:hAnsi="Times New Roman"/>
          <w:lang w:eastAsia="en-AU"/>
        </w:rPr>
      </w:pPr>
      <w:r w:rsidRPr="00DB3B7E">
        <w:t xml:space="preserve">A positive number indicates an increase in revenue or decrease in expenses or net capital investment in accrual and cash terms. </w:t>
      </w:r>
      <w:r>
        <w:t xml:space="preserve"> </w:t>
      </w:r>
      <w:r w:rsidRPr="00DB3B7E">
        <w:t xml:space="preserve">A negative number indicates a decrease in revenue or an increase in expenses or net capital investment in accrual and cash terms.  </w:t>
      </w:r>
    </w:p>
    <w:p w:rsidR="00276912" w:rsidRDefault="00276912" w:rsidP="003D3D39">
      <w:pPr>
        <w:pStyle w:val="Footnotes"/>
        <w:spacing w:after="120"/>
        <w:ind w:left="284" w:hanging="284"/>
      </w:pPr>
      <w:r w:rsidRPr="005F544A">
        <w:t>Figures may not sum to totals due to rounding.</w:t>
      </w:r>
    </w:p>
    <w:p w:rsidR="000A5C15" w:rsidRPr="005F544A" w:rsidRDefault="000A5C15" w:rsidP="003D3D39">
      <w:pPr>
        <w:pStyle w:val="Footnotes"/>
        <w:spacing w:after="120"/>
        <w:ind w:left="284" w:hanging="284"/>
      </w:pPr>
      <w:r>
        <w:t>Includes funding for information technology system changes in 2017-18 and 2018-19.</w:t>
      </w:r>
    </w:p>
    <w:p w:rsidR="00276912" w:rsidRDefault="00276912" w:rsidP="003D3D39">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645EF" w:rsidRDefault="004645EF" w:rsidP="004645EF">
      <w:pPr>
        <w:pStyle w:val="Heading5"/>
        <w:ind w:left="1080" w:hanging="1080"/>
      </w:pPr>
      <w:bookmarkStart w:id="72" w:name="_Toc455655015"/>
      <w:bookmarkStart w:id="73" w:name="_Toc458081683"/>
      <w:r>
        <w:t>ALP0</w:t>
      </w:r>
      <w:r w:rsidR="00A00D61">
        <w:t>59</w:t>
      </w:r>
      <w:r>
        <w:t>: RV Investigator</w:t>
      </w:r>
      <w:bookmarkEnd w:id="72"/>
      <w:bookmarkEnd w:id="73"/>
    </w:p>
    <w:p w:rsidR="004645EF" w:rsidRDefault="004645EF" w:rsidP="00967B83">
      <w:pPr>
        <w:pStyle w:val="BodyText"/>
      </w:pPr>
      <w:r>
        <w:rPr>
          <w:noProof/>
          <w:lang w:eastAsia="en-AU"/>
        </w:rPr>
        <w:drawing>
          <wp:inline distT="0" distB="0" distL="0" distR="0" wp14:anchorId="00ED5605" wp14:editId="2C09A142">
            <wp:extent cx="2696845" cy="572135"/>
            <wp:effectExtent l="0" t="0" r="8255" b="0"/>
            <wp:docPr id="459" name="Picture 45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645EF" w:rsidRDefault="004645EF" w:rsidP="004645E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4645EF"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4645EF" w:rsidRPr="008379A4" w:rsidRDefault="004645EF" w:rsidP="00F7554A">
            <w:pPr>
              <w:pStyle w:val="PullOutBoxHeading"/>
              <w:rPr>
                <w:b/>
              </w:rPr>
            </w:pPr>
            <w:r w:rsidRPr="008379A4">
              <w:rPr>
                <w:b/>
              </w:rPr>
              <w:t>Name of proposal:</w:t>
            </w:r>
          </w:p>
        </w:tc>
        <w:tc>
          <w:tcPr>
            <w:tcW w:w="3191" w:type="pct"/>
          </w:tcPr>
          <w:p w:rsidR="004645EF" w:rsidRPr="008379A4" w:rsidRDefault="004645EF" w:rsidP="00F7554A">
            <w:pPr>
              <w:pStyle w:val="PullOutBoxHeading"/>
              <w:rPr>
                <w:b/>
              </w:rPr>
            </w:pPr>
            <w:r w:rsidRPr="008379A4">
              <w:rPr>
                <w:b/>
              </w:rPr>
              <w:t>RV Investigator</w:t>
            </w:r>
          </w:p>
        </w:tc>
      </w:tr>
      <w:tr w:rsidR="004645EF" w:rsidRPr="00B45F94" w:rsidTr="00F7554A">
        <w:tc>
          <w:tcPr>
            <w:tcW w:w="1809" w:type="pct"/>
          </w:tcPr>
          <w:p w:rsidR="004645EF" w:rsidRPr="00B45F94" w:rsidRDefault="004645EF" w:rsidP="00F7554A">
            <w:pPr>
              <w:pStyle w:val="PullOutBoxBodyText"/>
            </w:pPr>
            <w:r w:rsidRPr="00B45F94">
              <w:t>Summary of proposal:</w:t>
            </w:r>
          </w:p>
        </w:tc>
        <w:tc>
          <w:tcPr>
            <w:tcW w:w="3191" w:type="pct"/>
          </w:tcPr>
          <w:p w:rsidR="004645EF" w:rsidRDefault="004645EF" w:rsidP="00F7554A">
            <w:pPr>
              <w:pStyle w:val="PullOutBoxBodyText"/>
            </w:pPr>
            <w:r>
              <w:t>The proposal would provide the Commonwealth Scientific Industrial Research Organisation (CSIRO) with additional funding for the Marine National Facility, RV Investigator, to operate at sea for 300 days a year.</w:t>
            </w:r>
          </w:p>
          <w:p w:rsidR="004645EF" w:rsidRPr="00B45F94" w:rsidRDefault="004645EF" w:rsidP="00F7554A">
            <w:pPr>
              <w:pStyle w:val="PullOutBoxBodyText"/>
            </w:pPr>
            <w:r>
              <w:t>The proposal would have effect from 1 July 2016.</w:t>
            </w:r>
          </w:p>
        </w:tc>
      </w:tr>
      <w:tr w:rsidR="004645EF" w:rsidRPr="00B45F94" w:rsidTr="00F7554A">
        <w:tc>
          <w:tcPr>
            <w:tcW w:w="1809" w:type="pct"/>
          </w:tcPr>
          <w:p w:rsidR="004645EF" w:rsidRPr="00B45F94" w:rsidRDefault="004645EF" w:rsidP="00F7554A">
            <w:pPr>
              <w:pStyle w:val="PullOutBoxBodyText"/>
            </w:pPr>
            <w:r>
              <w:t>Party:</w:t>
            </w:r>
          </w:p>
        </w:tc>
        <w:tc>
          <w:tcPr>
            <w:tcW w:w="3191" w:type="pct"/>
          </w:tcPr>
          <w:p w:rsidR="004645EF" w:rsidRPr="00B45F94" w:rsidRDefault="004645EF" w:rsidP="00F7554A">
            <w:pPr>
              <w:pStyle w:val="PullOutBoxBodyText"/>
            </w:pPr>
            <w:r>
              <w:t>Australian Labor Party</w:t>
            </w:r>
          </w:p>
        </w:tc>
      </w:tr>
      <w:tr w:rsidR="004645EF" w:rsidRPr="00B45F94" w:rsidTr="00F7554A">
        <w:tc>
          <w:tcPr>
            <w:tcW w:w="1809" w:type="pct"/>
          </w:tcPr>
          <w:p w:rsidR="004645EF" w:rsidRPr="00B45F94" w:rsidRDefault="004645EF" w:rsidP="00F7554A">
            <w:pPr>
              <w:pStyle w:val="PullOutBoxBodyText"/>
            </w:pPr>
            <w:r w:rsidRPr="00B45F94">
              <w:t>Expiry date for the costing:</w:t>
            </w:r>
          </w:p>
        </w:tc>
        <w:tc>
          <w:tcPr>
            <w:tcW w:w="3191" w:type="pct"/>
          </w:tcPr>
          <w:p w:rsidR="004645EF" w:rsidRPr="00B45F94" w:rsidRDefault="004645EF" w:rsidP="00F7554A">
            <w:pPr>
              <w:pStyle w:val="PullOutBoxBodyText"/>
            </w:pPr>
            <w:r>
              <w:t>Release of the next economic and fiscal update</w:t>
            </w:r>
          </w:p>
        </w:tc>
      </w:tr>
    </w:tbl>
    <w:p w:rsidR="004645EF" w:rsidRDefault="004645EF" w:rsidP="004645EF">
      <w:pPr>
        <w:pStyle w:val="CostingsH7"/>
      </w:pPr>
      <w:r w:rsidRPr="00BF1EE6">
        <w:t>Costing overview</w:t>
      </w:r>
    </w:p>
    <w:p w:rsidR="004645EF" w:rsidRDefault="004645EF" w:rsidP="004645EF">
      <w:pPr>
        <w:pStyle w:val="BodyText"/>
      </w:pPr>
      <w:r>
        <w:t>This proposal would be expected to decrease both the fiscal and underlying cash balances by $69.3 million over the 2016-17 Budget forward estimates period.  This is entirely due to an increase in departmental expenses.</w:t>
      </w:r>
    </w:p>
    <w:p w:rsidR="004645EF" w:rsidRDefault="004645EF" w:rsidP="004645EF">
      <w:pPr>
        <w:pStyle w:val="BodyText"/>
      </w:pPr>
      <w:r>
        <w:t>This proposal would have an ongoing financial impact beyond the 2016-17 Budget forward estimates period.</w:t>
      </w:r>
    </w:p>
    <w:p w:rsidR="004645EF" w:rsidRPr="000217F8" w:rsidRDefault="004645EF" w:rsidP="004645EF">
      <w:pPr>
        <w:pStyle w:val="BodyText"/>
      </w:pPr>
      <w:r>
        <w:t>This costing is considered to be of medium reliability due to the uncertainty of the average daily operating cost of the RV Investigator.</w:t>
      </w:r>
    </w:p>
    <w:p w:rsidR="004645EF" w:rsidRDefault="004645EF" w:rsidP="004645EF">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645E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4645EF" w:rsidRPr="00D264E1" w:rsidRDefault="004645EF" w:rsidP="00F7554A">
            <w:pPr>
              <w:pStyle w:val="TableHeading"/>
            </w:pPr>
            <w:r>
              <w:t>Impact on ($m)</w:t>
            </w:r>
          </w:p>
        </w:tc>
        <w:tc>
          <w:tcPr>
            <w:tcW w:w="721" w:type="pct"/>
          </w:tcPr>
          <w:p w:rsidR="004645EF" w:rsidRPr="00FC1F1C" w:rsidRDefault="004645EF" w:rsidP="00F7554A">
            <w:pPr>
              <w:pStyle w:val="TableHeadingRight"/>
            </w:pPr>
            <w:r>
              <w:t>2016–17</w:t>
            </w:r>
          </w:p>
        </w:tc>
        <w:tc>
          <w:tcPr>
            <w:tcW w:w="721" w:type="pct"/>
          </w:tcPr>
          <w:p w:rsidR="004645EF" w:rsidRPr="00FC1F1C" w:rsidRDefault="004645EF" w:rsidP="00F7554A">
            <w:pPr>
              <w:pStyle w:val="TableHeadingRight"/>
            </w:pPr>
            <w:r>
              <w:t>2017–18</w:t>
            </w:r>
          </w:p>
        </w:tc>
        <w:tc>
          <w:tcPr>
            <w:tcW w:w="722" w:type="pct"/>
          </w:tcPr>
          <w:p w:rsidR="004645EF" w:rsidRPr="00FC1F1C" w:rsidRDefault="004645EF" w:rsidP="00F7554A">
            <w:pPr>
              <w:pStyle w:val="TableHeadingRight"/>
            </w:pPr>
            <w:r>
              <w:t>2018–19</w:t>
            </w:r>
          </w:p>
        </w:tc>
        <w:tc>
          <w:tcPr>
            <w:tcW w:w="721" w:type="pct"/>
          </w:tcPr>
          <w:p w:rsidR="004645EF" w:rsidRPr="00FC1F1C" w:rsidRDefault="004645EF" w:rsidP="00F7554A">
            <w:pPr>
              <w:pStyle w:val="TableHeadingRight"/>
            </w:pPr>
            <w:r>
              <w:t>2019–20</w:t>
            </w:r>
          </w:p>
        </w:tc>
        <w:tc>
          <w:tcPr>
            <w:tcW w:w="722" w:type="pct"/>
          </w:tcPr>
          <w:p w:rsidR="004645EF" w:rsidRPr="00FC1F1C" w:rsidRDefault="004645EF" w:rsidP="00F7554A">
            <w:pPr>
              <w:pStyle w:val="TableHeadingRight"/>
              <w:rPr>
                <w:b/>
              </w:rPr>
            </w:pPr>
            <w:r w:rsidRPr="00FC1F1C">
              <w:t>Total</w:t>
            </w:r>
          </w:p>
        </w:tc>
      </w:tr>
      <w:tr w:rsidR="004645EF" w:rsidTr="00F7554A">
        <w:tc>
          <w:tcPr>
            <w:tcW w:w="1393" w:type="pct"/>
          </w:tcPr>
          <w:p w:rsidR="004645EF" w:rsidRDefault="004645EF" w:rsidP="00F7554A">
            <w:pPr>
              <w:pStyle w:val="TableText"/>
            </w:pPr>
            <w:r>
              <w:t>Fiscal balance</w:t>
            </w:r>
          </w:p>
        </w:tc>
        <w:tc>
          <w:tcPr>
            <w:tcW w:w="721" w:type="pct"/>
            <w:vAlign w:val="center"/>
          </w:tcPr>
          <w:p w:rsidR="004645EF" w:rsidRPr="003A3459" w:rsidRDefault="004645EF" w:rsidP="00F7554A">
            <w:pPr>
              <w:pStyle w:val="TableTextRight"/>
            </w:pPr>
            <w:r>
              <w:t>-17.4</w:t>
            </w:r>
          </w:p>
        </w:tc>
        <w:tc>
          <w:tcPr>
            <w:tcW w:w="721" w:type="pct"/>
            <w:vAlign w:val="center"/>
          </w:tcPr>
          <w:p w:rsidR="004645EF" w:rsidRPr="003A3459" w:rsidRDefault="004645EF" w:rsidP="00F7554A">
            <w:pPr>
              <w:pStyle w:val="TableTextRight"/>
            </w:pPr>
            <w:r>
              <w:t>-17.2</w:t>
            </w:r>
          </w:p>
        </w:tc>
        <w:tc>
          <w:tcPr>
            <w:tcW w:w="722" w:type="pct"/>
            <w:vAlign w:val="center"/>
          </w:tcPr>
          <w:p w:rsidR="004645EF" w:rsidRPr="003A3459" w:rsidRDefault="004645EF" w:rsidP="00F7554A">
            <w:pPr>
              <w:pStyle w:val="TableTextRight"/>
            </w:pPr>
            <w:r>
              <w:t>-17.3</w:t>
            </w:r>
          </w:p>
        </w:tc>
        <w:tc>
          <w:tcPr>
            <w:tcW w:w="721" w:type="pct"/>
            <w:vAlign w:val="center"/>
          </w:tcPr>
          <w:p w:rsidR="004645EF" w:rsidRPr="003A3459" w:rsidRDefault="004645EF" w:rsidP="00F7554A">
            <w:pPr>
              <w:pStyle w:val="TableTextRight"/>
            </w:pPr>
            <w:r>
              <w:t>-17.4</w:t>
            </w:r>
          </w:p>
        </w:tc>
        <w:tc>
          <w:tcPr>
            <w:tcW w:w="722" w:type="pct"/>
            <w:vAlign w:val="center"/>
          </w:tcPr>
          <w:p w:rsidR="004645EF" w:rsidRPr="003A3459" w:rsidRDefault="004645EF" w:rsidP="00F7554A">
            <w:pPr>
              <w:pStyle w:val="TableTextRight"/>
              <w:rPr>
                <w:b/>
              </w:rPr>
            </w:pPr>
            <w:r>
              <w:rPr>
                <w:b/>
              </w:rPr>
              <w:t>-69.3</w:t>
            </w:r>
          </w:p>
        </w:tc>
      </w:tr>
      <w:tr w:rsidR="004645EF" w:rsidTr="00F7554A">
        <w:tc>
          <w:tcPr>
            <w:tcW w:w="1393" w:type="pct"/>
          </w:tcPr>
          <w:p w:rsidR="004645EF" w:rsidRDefault="004645EF" w:rsidP="00F7554A">
            <w:pPr>
              <w:pStyle w:val="TableText"/>
            </w:pPr>
            <w:r>
              <w:t>Underlying cash balance</w:t>
            </w:r>
          </w:p>
        </w:tc>
        <w:tc>
          <w:tcPr>
            <w:tcW w:w="721" w:type="pct"/>
            <w:vAlign w:val="center"/>
          </w:tcPr>
          <w:p w:rsidR="004645EF" w:rsidRPr="003A3459" w:rsidRDefault="004645EF" w:rsidP="00F7554A">
            <w:pPr>
              <w:pStyle w:val="TableTextRight"/>
            </w:pPr>
            <w:r>
              <w:t>-17.4</w:t>
            </w:r>
          </w:p>
        </w:tc>
        <w:tc>
          <w:tcPr>
            <w:tcW w:w="721" w:type="pct"/>
            <w:vAlign w:val="center"/>
          </w:tcPr>
          <w:p w:rsidR="004645EF" w:rsidRPr="003A3459" w:rsidRDefault="004645EF" w:rsidP="00F7554A">
            <w:pPr>
              <w:pStyle w:val="TableTextRight"/>
            </w:pPr>
            <w:r>
              <w:t>-17.2</w:t>
            </w:r>
          </w:p>
        </w:tc>
        <w:tc>
          <w:tcPr>
            <w:tcW w:w="722" w:type="pct"/>
            <w:vAlign w:val="center"/>
          </w:tcPr>
          <w:p w:rsidR="004645EF" w:rsidRPr="003A3459" w:rsidRDefault="004645EF" w:rsidP="00F7554A">
            <w:pPr>
              <w:pStyle w:val="TableTextRight"/>
            </w:pPr>
            <w:r>
              <w:t>-17.3</w:t>
            </w:r>
          </w:p>
        </w:tc>
        <w:tc>
          <w:tcPr>
            <w:tcW w:w="721" w:type="pct"/>
            <w:vAlign w:val="center"/>
          </w:tcPr>
          <w:p w:rsidR="004645EF" w:rsidRPr="003A3459" w:rsidRDefault="004645EF" w:rsidP="00F7554A">
            <w:pPr>
              <w:pStyle w:val="TableTextRight"/>
            </w:pPr>
            <w:r>
              <w:t>-17.4</w:t>
            </w:r>
          </w:p>
        </w:tc>
        <w:tc>
          <w:tcPr>
            <w:tcW w:w="722" w:type="pct"/>
            <w:vAlign w:val="center"/>
          </w:tcPr>
          <w:p w:rsidR="004645EF" w:rsidRPr="003A3459" w:rsidRDefault="004645EF" w:rsidP="00F7554A">
            <w:pPr>
              <w:pStyle w:val="TableTextRight"/>
              <w:rPr>
                <w:b/>
              </w:rPr>
            </w:pPr>
            <w:r>
              <w:rPr>
                <w:b/>
              </w:rPr>
              <w:t>-69.3</w:t>
            </w:r>
          </w:p>
        </w:tc>
      </w:tr>
    </w:tbl>
    <w:p w:rsidR="004645EF" w:rsidRDefault="004645EF" w:rsidP="00942C5F">
      <w:pPr>
        <w:pStyle w:val="Footnotes"/>
        <w:numPr>
          <w:ilvl w:val="0"/>
          <w:numId w:val="137"/>
        </w:numPr>
        <w:ind w:left="284" w:hanging="284"/>
      </w:pPr>
      <w:r>
        <w:t xml:space="preserve">A positive </w:t>
      </w:r>
      <w:r w:rsidRPr="00FC1F1C">
        <w:t>number indicates an increase in the relevant budget balance, a negative number a decrease.</w:t>
      </w:r>
    </w:p>
    <w:p w:rsidR="004645EF" w:rsidRPr="000E063A" w:rsidRDefault="004645EF" w:rsidP="00942C5F">
      <w:pPr>
        <w:pStyle w:val="Footnotes"/>
        <w:ind w:left="284" w:hanging="284"/>
        <w:rPr>
          <w:rStyle w:val="FootnoteReference"/>
          <w:vertAlign w:val="baseline"/>
        </w:rPr>
      </w:pPr>
      <w:r w:rsidRPr="000E063A">
        <w:t>Figures may not sum to totals due to rounding.</w:t>
      </w:r>
    </w:p>
    <w:p w:rsidR="004645EF" w:rsidRDefault="004645EF" w:rsidP="004645EF">
      <w:pPr>
        <w:pStyle w:val="CostingsH7"/>
      </w:pPr>
      <w:r>
        <w:t>Key assumptions</w:t>
      </w:r>
    </w:p>
    <w:p w:rsidR="004645EF" w:rsidRPr="005E2B12" w:rsidRDefault="004645EF" w:rsidP="004645EF">
      <w:pPr>
        <w:pStyle w:val="BodyText"/>
      </w:pPr>
      <w:r w:rsidRPr="005E2B12">
        <w:t>This costing assumes that the daily running costs of the RV Investigator would remain unchanged.</w:t>
      </w:r>
    </w:p>
    <w:p w:rsidR="004645EF" w:rsidRDefault="004645EF" w:rsidP="004645EF">
      <w:pPr>
        <w:pStyle w:val="CostingsH7"/>
      </w:pPr>
      <w:r>
        <w:t>Methodology</w:t>
      </w:r>
    </w:p>
    <w:p w:rsidR="004645EF" w:rsidRPr="005E2B12" w:rsidRDefault="004645EF" w:rsidP="004645EF">
      <w:pPr>
        <w:pStyle w:val="BodyText"/>
      </w:pPr>
      <w:r w:rsidRPr="005E2B12">
        <w:t>The financial impact was calculated by multiplying the average daily operating cost by the increased number of operating days, adjusted to account for the net effect of indexation parameters and the efficiency dividend.</w:t>
      </w:r>
    </w:p>
    <w:p w:rsidR="004645EF" w:rsidRDefault="004645EF" w:rsidP="004645EF">
      <w:pPr>
        <w:pStyle w:val="CostingsH7"/>
      </w:pPr>
      <w:r>
        <w:t>Data sources</w:t>
      </w:r>
    </w:p>
    <w:p w:rsidR="004645EF" w:rsidRDefault="004645EF" w:rsidP="004645EF">
      <w:pPr>
        <w:pStyle w:val="BodyText"/>
      </w:pPr>
      <w:r>
        <w:t xml:space="preserve">The Department of Industry, Innovation and Science provided annual operating costs and planned operating days of the </w:t>
      </w:r>
      <w:r w:rsidRPr="005E2B12">
        <w:rPr>
          <w:i/>
        </w:rPr>
        <w:t>RV Investigator</w:t>
      </w:r>
      <w:r>
        <w:t xml:space="preserve"> over 2016-17 to 2019-20.</w:t>
      </w:r>
    </w:p>
    <w:p w:rsidR="004645EF" w:rsidRPr="005E2B12" w:rsidRDefault="004645EF" w:rsidP="004645EF">
      <w:pPr>
        <w:pStyle w:val="BodyText"/>
      </w:pPr>
      <w:r>
        <w:t>The Department of Finance provided indexation and efficiency dividend parameters.</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4645EF" w:rsidRDefault="004645EF" w:rsidP="004645EF">
      <w:pPr>
        <w:pStyle w:val="Heading5"/>
        <w:ind w:left="1080" w:hanging="1080"/>
      </w:pPr>
      <w:bookmarkStart w:id="74" w:name="_Toc455655016"/>
      <w:bookmarkStart w:id="75" w:name="_Toc458081684"/>
      <w:r>
        <w:t>ALP0</w:t>
      </w:r>
      <w:r w:rsidR="00A00D61">
        <w:t>60</w:t>
      </w:r>
      <w:r>
        <w:t>: Smart Investment Fund</w:t>
      </w:r>
      <w:bookmarkEnd w:id="74"/>
      <w:bookmarkEnd w:id="75"/>
    </w:p>
    <w:p w:rsidR="004645EF" w:rsidRDefault="004645EF" w:rsidP="004645EF">
      <w:pPr>
        <w:pStyle w:val="BodyText"/>
        <w:spacing w:before="480" w:after="0"/>
      </w:pPr>
      <w:r>
        <w:rPr>
          <w:noProof/>
          <w:lang w:eastAsia="en-AU"/>
        </w:rPr>
        <w:drawing>
          <wp:inline distT="0" distB="0" distL="0" distR="0" wp14:anchorId="087C3799" wp14:editId="206DA6AA">
            <wp:extent cx="2696845" cy="572135"/>
            <wp:effectExtent l="0" t="0" r="8255" b="0"/>
            <wp:docPr id="458" name="Picture 45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645EF" w:rsidRDefault="004645EF" w:rsidP="004645E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4645EF"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4645EF" w:rsidRPr="008379A4" w:rsidRDefault="004645EF" w:rsidP="00F7554A">
            <w:pPr>
              <w:pStyle w:val="PullOutBoxHeading"/>
              <w:rPr>
                <w:b/>
              </w:rPr>
            </w:pPr>
            <w:r w:rsidRPr="008379A4">
              <w:rPr>
                <w:b/>
              </w:rPr>
              <w:t>Name of proposal:</w:t>
            </w:r>
          </w:p>
        </w:tc>
        <w:tc>
          <w:tcPr>
            <w:tcW w:w="3191" w:type="pct"/>
          </w:tcPr>
          <w:p w:rsidR="004645EF" w:rsidRPr="008379A4" w:rsidRDefault="004645EF" w:rsidP="00F7554A">
            <w:pPr>
              <w:pStyle w:val="PullOutBoxHeading"/>
              <w:rPr>
                <w:b/>
              </w:rPr>
            </w:pPr>
            <w:r w:rsidRPr="008379A4">
              <w:rPr>
                <w:b/>
              </w:rPr>
              <w:t>Smart Investment Fund</w:t>
            </w:r>
          </w:p>
        </w:tc>
      </w:tr>
      <w:tr w:rsidR="004645EF" w:rsidRPr="00B45F94" w:rsidTr="00F7554A">
        <w:tc>
          <w:tcPr>
            <w:tcW w:w="1809" w:type="pct"/>
          </w:tcPr>
          <w:p w:rsidR="004645EF" w:rsidRPr="00B45F94" w:rsidRDefault="004645EF" w:rsidP="00F7554A">
            <w:pPr>
              <w:pStyle w:val="PullOutBoxBodyText"/>
            </w:pPr>
            <w:r w:rsidRPr="00B45F94">
              <w:t>Summary of proposal:</w:t>
            </w:r>
          </w:p>
        </w:tc>
        <w:tc>
          <w:tcPr>
            <w:tcW w:w="3191" w:type="pct"/>
          </w:tcPr>
          <w:p w:rsidR="004645EF" w:rsidRPr="00B309D6" w:rsidRDefault="004645EF" w:rsidP="00F7554A">
            <w:pPr>
              <w:pStyle w:val="PullOutBoxBodyText"/>
            </w:pPr>
            <w:r w:rsidRPr="00B309D6">
              <w:t>The p</w:t>
            </w:r>
            <w:r>
              <w:t>roposal would establish a $500 </w:t>
            </w:r>
            <w:r w:rsidRPr="00B309D6">
              <w:t>million Smart Investment Fund</w:t>
            </w:r>
            <w:r>
              <w:t xml:space="preserve"> (the Fund)</w:t>
            </w:r>
            <w:r w:rsidRPr="00B309D6">
              <w:t>, modelled on the Innovation Investment Fun</w:t>
            </w:r>
            <w:r>
              <w:t>d in the 2013</w:t>
            </w:r>
            <w:r>
              <w:noBreakHyphen/>
              <w:t>14 Budget measure,</w:t>
            </w:r>
            <w:r w:rsidRPr="00B309D6">
              <w:t xml:space="preserve"> </w:t>
            </w:r>
            <w:r w:rsidRPr="00B309D6">
              <w:rPr>
                <w:i/>
              </w:rPr>
              <w:t>A Plan for Australian Jobs — Venture Australia — extension and enhancement</w:t>
            </w:r>
            <w:r>
              <w:rPr>
                <w:i/>
              </w:rPr>
              <w:t xml:space="preserve"> </w:t>
            </w:r>
            <w:r>
              <w:t>(the IIF measure).</w:t>
            </w:r>
          </w:p>
          <w:p w:rsidR="004645EF" w:rsidRPr="00B45F94" w:rsidRDefault="004645EF" w:rsidP="00F7554A">
            <w:pPr>
              <w:pStyle w:val="PullOutBoxBodyText"/>
            </w:pPr>
            <w:r w:rsidRPr="00B309D6">
              <w:t>The proposal would have effect from 1 July 2017.</w:t>
            </w:r>
          </w:p>
        </w:tc>
      </w:tr>
      <w:tr w:rsidR="004645EF" w:rsidRPr="00B45F94" w:rsidTr="00F7554A">
        <w:tc>
          <w:tcPr>
            <w:tcW w:w="1809" w:type="pct"/>
          </w:tcPr>
          <w:p w:rsidR="004645EF" w:rsidRPr="00B45F94" w:rsidRDefault="004645EF" w:rsidP="00F7554A">
            <w:pPr>
              <w:pStyle w:val="PullOutBoxBodyText"/>
            </w:pPr>
            <w:r>
              <w:t>Party:</w:t>
            </w:r>
          </w:p>
        </w:tc>
        <w:tc>
          <w:tcPr>
            <w:tcW w:w="3191" w:type="pct"/>
          </w:tcPr>
          <w:p w:rsidR="004645EF" w:rsidRPr="00B45F94" w:rsidRDefault="004645EF" w:rsidP="00F7554A">
            <w:pPr>
              <w:pStyle w:val="PullOutBoxBodyText"/>
            </w:pPr>
            <w:r>
              <w:t>Australian Labor Party</w:t>
            </w:r>
          </w:p>
        </w:tc>
      </w:tr>
      <w:tr w:rsidR="004645EF" w:rsidRPr="00B45F94" w:rsidTr="00F7554A">
        <w:tc>
          <w:tcPr>
            <w:tcW w:w="1809" w:type="pct"/>
          </w:tcPr>
          <w:p w:rsidR="004645EF" w:rsidRPr="00B45F94" w:rsidRDefault="004645EF" w:rsidP="00F7554A">
            <w:pPr>
              <w:pStyle w:val="PullOutBoxBodyText"/>
            </w:pPr>
            <w:r w:rsidRPr="00B45F94">
              <w:t>Expiry date for the costing:</w:t>
            </w:r>
          </w:p>
        </w:tc>
        <w:tc>
          <w:tcPr>
            <w:tcW w:w="3191" w:type="pct"/>
          </w:tcPr>
          <w:p w:rsidR="004645EF" w:rsidRPr="00B45F94" w:rsidRDefault="004645EF" w:rsidP="00F7554A">
            <w:pPr>
              <w:pStyle w:val="PullOutBoxBodyText"/>
            </w:pPr>
            <w:r>
              <w:t>Release of the next economic and fiscal update</w:t>
            </w:r>
          </w:p>
        </w:tc>
      </w:tr>
    </w:tbl>
    <w:p w:rsidR="004645EF" w:rsidRDefault="004645EF" w:rsidP="004645EF">
      <w:pPr>
        <w:pStyle w:val="CostingsH7"/>
      </w:pPr>
      <w:r w:rsidRPr="00BF1EE6">
        <w:t>Costing overview</w:t>
      </w:r>
    </w:p>
    <w:p w:rsidR="004645EF" w:rsidRDefault="004645EF" w:rsidP="004645EF">
      <w:pPr>
        <w:pStyle w:val="BodyText"/>
      </w:pPr>
      <w:r>
        <w:t>The proposal would be expected to decrease the fiscal balance by $7.2 million, decrease the underlying cash balance by $7.1 million and decrease the headline cash balance</w:t>
      </w:r>
      <w:r w:rsidR="00CA275D">
        <w:t xml:space="preserve"> by $48.5 million over the 2016-</w:t>
      </w:r>
      <w:r>
        <w:t>17 Budget forward estimates period.  In fiscal balance terms, this reflects an increase in administered expenses of $0.9 million, an increase in departmental expenses of $5.2 million and an increase in public debt interest (PDI) costs of $1.1 million over this period.</w:t>
      </w:r>
    </w:p>
    <w:p w:rsidR="004645EF" w:rsidRDefault="004645EF" w:rsidP="004645EF">
      <w:pPr>
        <w:pStyle w:val="BodyText"/>
      </w:pPr>
      <w:r>
        <w:t>This proposal would be expected to have an impact that increases significantly beyond the 2016</w:t>
      </w:r>
      <w:r>
        <w:noBreakHyphen/>
        <w:t xml:space="preserve">17 Budget forward estimates period, as capital </w:t>
      </w:r>
      <w:r w:rsidR="0080154C">
        <w:t>payments</w:t>
      </w:r>
      <w:r>
        <w:t xml:space="preserve"> from the Fund woul</w:t>
      </w:r>
      <w:r w:rsidR="005A7C12">
        <w:t>d occur over a 15 year period.</w:t>
      </w:r>
    </w:p>
    <w:p w:rsidR="004645EF" w:rsidRDefault="004645EF" w:rsidP="004645EF">
      <w:pPr>
        <w:pStyle w:val="BodyText"/>
      </w:pPr>
      <w:r>
        <w:t xml:space="preserve">Detailed financial implications of this proposal for the period 2016-17 to 2026-27 are provided at </w:t>
      </w:r>
      <w:r w:rsidRPr="00E81D1C">
        <w:rPr>
          <w:u w:val="single"/>
        </w:rPr>
        <w:t>Attachment A</w:t>
      </w:r>
      <w:r>
        <w:t>.</w:t>
      </w:r>
    </w:p>
    <w:p w:rsidR="004645EF" w:rsidRDefault="004645EF" w:rsidP="004645EF">
      <w:pPr>
        <w:pStyle w:val="BodyText"/>
      </w:pPr>
      <w:r>
        <w:t>The Methodology section provides information on how the impacts on each budget balance were calculated.  As the proposal affects financial asset transactions, the PDI impact of the proposal has been included in this costing.</w:t>
      </w:r>
    </w:p>
    <w:p w:rsidR="004645EF" w:rsidRPr="00E81D1C" w:rsidRDefault="004645EF" w:rsidP="004645EF">
      <w:pPr>
        <w:pStyle w:val="BodyText"/>
      </w:pPr>
      <w:r>
        <w:t>This costing is considered to be of medium reliability due the uncertainty regarding returns on investment over the medium term.</w:t>
      </w:r>
    </w:p>
    <w:p w:rsidR="004645EF" w:rsidRDefault="004645EF" w:rsidP="00D6027F">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645E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4645EF" w:rsidRPr="00D264E1" w:rsidRDefault="004645EF" w:rsidP="00D6027F">
            <w:pPr>
              <w:pStyle w:val="TableHeading"/>
            </w:pPr>
            <w:r>
              <w:t>Impact on ($m)</w:t>
            </w:r>
          </w:p>
        </w:tc>
        <w:tc>
          <w:tcPr>
            <w:tcW w:w="721" w:type="pct"/>
          </w:tcPr>
          <w:p w:rsidR="004645EF" w:rsidRPr="00FC1F1C" w:rsidRDefault="004645EF" w:rsidP="00D6027F">
            <w:pPr>
              <w:pStyle w:val="TableHeadingRight"/>
            </w:pPr>
            <w:r>
              <w:t>2016–17</w:t>
            </w:r>
          </w:p>
        </w:tc>
        <w:tc>
          <w:tcPr>
            <w:tcW w:w="721" w:type="pct"/>
          </w:tcPr>
          <w:p w:rsidR="004645EF" w:rsidRPr="00FC1F1C" w:rsidRDefault="004645EF" w:rsidP="00D6027F">
            <w:pPr>
              <w:pStyle w:val="TableHeadingRight"/>
            </w:pPr>
            <w:r>
              <w:t>2017–18</w:t>
            </w:r>
          </w:p>
        </w:tc>
        <w:tc>
          <w:tcPr>
            <w:tcW w:w="722" w:type="pct"/>
          </w:tcPr>
          <w:p w:rsidR="004645EF" w:rsidRPr="00FC1F1C" w:rsidRDefault="004645EF" w:rsidP="00D6027F">
            <w:pPr>
              <w:pStyle w:val="TableHeadingRight"/>
            </w:pPr>
            <w:r>
              <w:t>2018–19</w:t>
            </w:r>
          </w:p>
        </w:tc>
        <w:tc>
          <w:tcPr>
            <w:tcW w:w="721" w:type="pct"/>
          </w:tcPr>
          <w:p w:rsidR="004645EF" w:rsidRPr="00FC1F1C" w:rsidRDefault="004645EF" w:rsidP="00D6027F">
            <w:pPr>
              <w:pStyle w:val="TableHeadingRight"/>
            </w:pPr>
            <w:r>
              <w:t>2019–20</w:t>
            </w:r>
          </w:p>
        </w:tc>
        <w:tc>
          <w:tcPr>
            <w:tcW w:w="722" w:type="pct"/>
          </w:tcPr>
          <w:p w:rsidR="004645EF" w:rsidRPr="00FC1F1C" w:rsidRDefault="004645EF" w:rsidP="00D6027F">
            <w:pPr>
              <w:pStyle w:val="TableHeadingRight"/>
              <w:rPr>
                <w:b/>
              </w:rPr>
            </w:pPr>
            <w:r w:rsidRPr="00FC1F1C">
              <w:t>Total</w:t>
            </w:r>
          </w:p>
        </w:tc>
      </w:tr>
      <w:tr w:rsidR="004645EF" w:rsidTr="00F7554A">
        <w:tc>
          <w:tcPr>
            <w:tcW w:w="1393" w:type="pct"/>
            <w:vAlign w:val="center"/>
          </w:tcPr>
          <w:p w:rsidR="004645EF" w:rsidRPr="003A3459" w:rsidRDefault="004645EF" w:rsidP="00D6027F">
            <w:pPr>
              <w:pStyle w:val="TableText"/>
              <w:keepNext/>
              <w:keepLines/>
            </w:pPr>
            <w:r>
              <w:t>Fiscal balance</w:t>
            </w:r>
          </w:p>
        </w:tc>
        <w:tc>
          <w:tcPr>
            <w:tcW w:w="721" w:type="pct"/>
            <w:vAlign w:val="center"/>
          </w:tcPr>
          <w:p w:rsidR="004645EF" w:rsidRPr="003A3459" w:rsidRDefault="004645EF" w:rsidP="00D6027F">
            <w:pPr>
              <w:pStyle w:val="TableTextRight"/>
              <w:keepNext/>
              <w:keepLines/>
            </w:pPr>
            <w:r>
              <w:t>-</w:t>
            </w:r>
          </w:p>
        </w:tc>
        <w:tc>
          <w:tcPr>
            <w:tcW w:w="721" w:type="pct"/>
            <w:vAlign w:val="center"/>
          </w:tcPr>
          <w:p w:rsidR="004645EF" w:rsidRDefault="004645EF" w:rsidP="00D6027F">
            <w:pPr>
              <w:pStyle w:val="TableTextRight"/>
              <w:keepNext/>
              <w:keepLines/>
              <w:rPr>
                <w:color w:val="000000"/>
                <w:sz w:val="24"/>
                <w:szCs w:val="24"/>
              </w:rPr>
            </w:pPr>
            <w:r>
              <w:rPr>
                <w:color w:val="000000"/>
              </w:rPr>
              <w:t>-2.1</w:t>
            </w:r>
          </w:p>
        </w:tc>
        <w:tc>
          <w:tcPr>
            <w:tcW w:w="722" w:type="pct"/>
            <w:vAlign w:val="center"/>
          </w:tcPr>
          <w:p w:rsidR="004645EF" w:rsidRDefault="004645EF" w:rsidP="00D6027F">
            <w:pPr>
              <w:pStyle w:val="TableTextRight"/>
              <w:keepNext/>
              <w:keepLines/>
              <w:rPr>
                <w:color w:val="000000"/>
                <w:sz w:val="24"/>
                <w:szCs w:val="24"/>
              </w:rPr>
            </w:pPr>
            <w:r>
              <w:rPr>
                <w:color w:val="000000"/>
              </w:rPr>
              <w:t>-1.8</w:t>
            </w:r>
          </w:p>
        </w:tc>
        <w:tc>
          <w:tcPr>
            <w:tcW w:w="721" w:type="pct"/>
            <w:vAlign w:val="center"/>
          </w:tcPr>
          <w:p w:rsidR="004645EF" w:rsidRDefault="004645EF" w:rsidP="00D6027F">
            <w:pPr>
              <w:pStyle w:val="TableTextRight"/>
              <w:keepNext/>
              <w:keepLines/>
              <w:rPr>
                <w:color w:val="000000"/>
                <w:sz w:val="24"/>
                <w:szCs w:val="24"/>
              </w:rPr>
            </w:pPr>
            <w:r>
              <w:rPr>
                <w:color w:val="000000"/>
              </w:rPr>
              <w:t>-3.2</w:t>
            </w:r>
          </w:p>
        </w:tc>
        <w:tc>
          <w:tcPr>
            <w:tcW w:w="722" w:type="pct"/>
            <w:vAlign w:val="center"/>
          </w:tcPr>
          <w:p w:rsidR="004645EF" w:rsidRPr="003A544B" w:rsidRDefault="004645EF" w:rsidP="00D6027F">
            <w:pPr>
              <w:pStyle w:val="TableTextRight"/>
              <w:keepNext/>
              <w:keepLines/>
              <w:rPr>
                <w:b/>
                <w:color w:val="000000"/>
                <w:sz w:val="24"/>
                <w:szCs w:val="24"/>
              </w:rPr>
            </w:pPr>
            <w:r w:rsidRPr="003A544B">
              <w:rPr>
                <w:b/>
                <w:color w:val="000000"/>
              </w:rPr>
              <w:t>-7.2</w:t>
            </w:r>
          </w:p>
        </w:tc>
      </w:tr>
      <w:tr w:rsidR="004645EF" w:rsidTr="00F7554A">
        <w:tc>
          <w:tcPr>
            <w:tcW w:w="1393" w:type="pct"/>
            <w:vAlign w:val="center"/>
          </w:tcPr>
          <w:p w:rsidR="004645EF" w:rsidRPr="003A3459" w:rsidRDefault="004645EF" w:rsidP="00D6027F">
            <w:pPr>
              <w:pStyle w:val="TableText"/>
              <w:keepNext/>
              <w:keepLines/>
            </w:pPr>
            <w:r>
              <w:t>Underlying cash balance</w:t>
            </w:r>
          </w:p>
        </w:tc>
        <w:tc>
          <w:tcPr>
            <w:tcW w:w="721" w:type="pct"/>
            <w:vAlign w:val="center"/>
          </w:tcPr>
          <w:p w:rsidR="004645EF" w:rsidRPr="003A3459" w:rsidRDefault="004645EF" w:rsidP="00D6027F">
            <w:pPr>
              <w:pStyle w:val="TableTextRight"/>
              <w:keepNext/>
              <w:keepLines/>
            </w:pPr>
            <w:r>
              <w:t>-</w:t>
            </w:r>
          </w:p>
        </w:tc>
        <w:tc>
          <w:tcPr>
            <w:tcW w:w="721" w:type="pct"/>
            <w:vAlign w:val="center"/>
          </w:tcPr>
          <w:p w:rsidR="004645EF" w:rsidRDefault="004645EF" w:rsidP="00D6027F">
            <w:pPr>
              <w:pStyle w:val="TableTextRight"/>
              <w:keepNext/>
              <w:keepLines/>
              <w:rPr>
                <w:color w:val="000000"/>
                <w:sz w:val="24"/>
                <w:szCs w:val="24"/>
              </w:rPr>
            </w:pPr>
            <w:r>
              <w:rPr>
                <w:color w:val="000000"/>
              </w:rPr>
              <w:t>-2.1</w:t>
            </w:r>
          </w:p>
        </w:tc>
        <w:tc>
          <w:tcPr>
            <w:tcW w:w="722" w:type="pct"/>
            <w:vAlign w:val="center"/>
          </w:tcPr>
          <w:p w:rsidR="004645EF" w:rsidRDefault="004645EF" w:rsidP="00D6027F">
            <w:pPr>
              <w:pStyle w:val="TableTextRight"/>
              <w:keepNext/>
              <w:keepLines/>
              <w:rPr>
                <w:color w:val="000000"/>
                <w:sz w:val="24"/>
                <w:szCs w:val="24"/>
              </w:rPr>
            </w:pPr>
            <w:r>
              <w:rPr>
                <w:color w:val="000000"/>
              </w:rPr>
              <w:t>-1.8</w:t>
            </w:r>
          </w:p>
        </w:tc>
        <w:tc>
          <w:tcPr>
            <w:tcW w:w="721" w:type="pct"/>
            <w:vAlign w:val="center"/>
          </w:tcPr>
          <w:p w:rsidR="004645EF" w:rsidRDefault="005A7C12" w:rsidP="00D6027F">
            <w:pPr>
              <w:pStyle w:val="TableTextRight"/>
              <w:keepNext/>
              <w:keepLines/>
              <w:rPr>
                <w:color w:val="000000"/>
                <w:sz w:val="24"/>
                <w:szCs w:val="24"/>
              </w:rPr>
            </w:pPr>
            <w:r>
              <w:rPr>
                <w:color w:val="000000"/>
              </w:rPr>
              <w:t>-3.2</w:t>
            </w:r>
          </w:p>
        </w:tc>
        <w:tc>
          <w:tcPr>
            <w:tcW w:w="722" w:type="pct"/>
            <w:vAlign w:val="center"/>
          </w:tcPr>
          <w:p w:rsidR="004645EF" w:rsidRPr="003A544B" w:rsidRDefault="004645EF" w:rsidP="00D6027F">
            <w:pPr>
              <w:pStyle w:val="TableTextRight"/>
              <w:keepNext/>
              <w:keepLines/>
              <w:rPr>
                <w:b/>
                <w:color w:val="000000"/>
                <w:sz w:val="24"/>
                <w:szCs w:val="24"/>
              </w:rPr>
            </w:pPr>
            <w:r w:rsidRPr="003A544B">
              <w:rPr>
                <w:b/>
                <w:color w:val="000000"/>
              </w:rPr>
              <w:t>-7.1</w:t>
            </w:r>
          </w:p>
        </w:tc>
      </w:tr>
      <w:tr w:rsidR="004645EF" w:rsidTr="00F7554A">
        <w:tc>
          <w:tcPr>
            <w:tcW w:w="1393" w:type="pct"/>
            <w:vAlign w:val="center"/>
          </w:tcPr>
          <w:p w:rsidR="004645EF" w:rsidRPr="003A3459" w:rsidRDefault="004645EF" w:rsidP="00D6027F">
            <w:pPr>
              <w:pStyle w:val="TableText"/>
              <w:keepNext/>
              <w:keepLines/>
            </w:pPr>
            <w:r>
              <w:t>Headline cash balance</w:t>
            </w:r>
          </w:p>
        </w:tc>
        <w:tc>
          <w:tcPr>
            <w:tcW w:w="721" w:type="pct"/>
            <w:vAlign w:val="center"/>
          </w:tcPr>
          <w:p w:rsidR="004645EF" w:rsidRPr="003A3459" w:rsidRDefault="004645EF" w:rsidP="00D6027F">
            <w:pPr>
              <w:pStyle w:val="TableTextRight"/>
              <w:keepNext/>
              <w:keepLines/>
            </w:pPr>
            <w:r>
              <w:t>-</w:t>
            </w:r>
          </w:p>
        </w:tc>
        <w:tc>
          <w:tcPr>
            <w:tcW w:w="721" w:type="pct"/>
            <w:vAlign w:val="center"/>
          </w:tcPr>
          <w:p w:rsidR="004645EF" w:rsidRDefault="004645EF" w:rsidP="00D6027F">
            <w:pPr>
              <w:pStyle w:val="TableTextRight"/>
              <w:keepNext/>
              <w:keepLines/>
              <w:rPr>
                <w:color w:val="000000"/>
                <w:sz w:val="24"/>
                <w:szCs w:val="24"/>
              </w:rPr>
            </w:pPr>
            <w:r>
              <w:rPr>
                <w:color w:val="000000"/>
              </w:rPr>
              <w:t>-2.1</w:t>
            </w:r>
          </w:p>
        </w:tc>
        <w:tc>
          <w:tcPr>
            <w:tcW w:w="722" w:type="pct"/>
            <w:vAlign w:val="center"/>
          </w:tcPr>
          <w:p w:rsidR="004645EF" w:rsidRDefault="004645EF" w:rsidP="00D6027F">
            <w:pPr>
              <w:pStyle w:val="TableTextRight"/>
              <w:keepNext/>
              <w:keepLines/>
              <w:rPr>
                <w:color w:val="000000"/>
                <w:sz w:val="24"/>
                <w:szCs w:val="24"/>
              </w:rPr>
            </w:pPr>
            <w:r>
              <w:rPr>
                <w:color w:val="000000"/>
              </w:rPr>
              <w:t>-16.1</w:t>
            </w:r>
          </w:p>
        </w:tc>
        <w:tc>
          <w:tcPr>
            <w:tcW w:w="721" w:type="pct"/>
            <w:vAlign w:val="center"/>
          </w:tcPr>
          <w:p w:rsidR="004645EF" w:rsidRDefault="004645EF" w:rsidP="00D6027F">
            <w:pPr>
              <w:pStyle w:val="TableTextRight"/>
              <w:keepNext/>
              <w:keepLines/>
              <w:rPr>
                <w:color w:val="000000"/>
                <w:sz w:val="24"/>
                <w:szCs w:val="24"/>
              </w:rPr>
            </w:pPr>
            <w:r>
              <w:rPr>
                <w:color w:val="000000"/>
              </w:rPr>
              <w:t>-30.3</w:t>
            </w:r>
          </w:p>
        </w:tc>
        <w:tc>
          <w:tcPr>
            <w:tcW w:w="722" w:type="pct"/>
            <w:vAlign w:val="center"/>
          </w:tcPr>
          <w:p w:rsidR="004645EF" w:rsidRPr="003A544B" w:rsidRDefault="004645EF" w:rsidP="00D6027F">
            <w:pPr>
              <w:pStyle w:val="TableTextRight"/>
              <w:keepNext/>
              <w:keepLines/>
              <w:rPr>
                <w:b/>
                <w:color w:val="000000"/>
                <w:sz w:val="24"/>
                <w:szCs w:val="24"/>
              </w:rPr>
            </w:pPr>
            <w:r w:rsidRPr="003A544B">
              <w:rPr>
                <w:b/>
                <w:color w:val="000000"/>
              </w:rPr>
              <w:t>-48.5</w:t>
            </w:r>
          </w:p>
        </w:tc>
      </w:tr>
    </w:tbl>
    <w:p w:rsidR="004645EF" w:rsidRDefault="004645EF" w:rsidP="00D6027F">
      <w:pPr>
        <w:pStyle w:val="Footnotes"/>
        <w:keepNext/>
        <w:keepLines/>
        <w:numPr>
          <w:ilvl w:val="0"/>
          <w:numId w:val="138"/>
        </w:numPr>
        <w:ind w:left="284" w:hanging="284"/>
      </w:pPr>
      <w:r>
        <w:t xml:space="preserve">A positive </w:t>
      </w:r>
      <w:r w:rsidRPr="00FC1F1C">
        <w:t>number indicates an increase in the relevant budget balance, a negative number a decrease.</w:t>
      </w:r>
    </w:p>
    <w:p w:rsidR="000F6282" w:rsidRDefault="004645EF" w:rsidP="00D6027F">
      <w:pPr>
        <w:pStyle w:val="Footnotes"/>
        <w:ind w:left="284" w:hanging="284"/>
      </w:pPr>
      <w:r w:rsidRPr="000E063A">
        <w:t>Figures may not sum to totals due to rounding.</w:t>
      </w:r>
      <w:r w:rsidR="00CA275D">
        <w:t xml:space="preserve"> </w:t>
      </w:r>
    </w:p>
    <w:p w:rsidR="004645EF" w:rsidRPr="000E063A" w:rsidRDefault="00CA275D" w:rsidP="00725D7C">
      <w:pPr>
        <w:pStyle w:val="Footnotes"/>
        <w:numPr>
          <w:ilvl w:val="0"/>
          <w:numId w:val="0"/>
        </w:numPr>
        <w:rPr>
          <w:rStyle w:val="FootnoteReference"/>
          <w:rFonts w:cs="Times New Roman"/>
          <w:szCs w:val="22"/>
          <w:vertAlign w:val="baseline"/>
        </w:rPr>
      </w:pPr>
      <w:r>
        <w:t>– Indicates nil.</w:t>
      </w:r>
    </w:p>
    <w:p w:rsidR="004645EF" w:rsidRDefault="004645EF" w:rsidP="004645EF">
      <w:pPr>
        <w:pStyle w:val="CostingsH7"/>
      </w:pPr>
      <w:r>
        <w:t>Key assumptions</w:t>
      </w:r>
    </w:p>
    <w:p w:rsidR="004645EF" w:rsidRDefault="004645EF" w:rsidP="004645EF">
      <w:pPr>
        <w:pStyle w:val="BodyText"/>
      </w:pPr>
      <w:r>
        <w:t>The Parliamentary Budget Office has made the following assumptions regarding this proposal:</w:t>
      </w:r>
    </w:p>
    <w:p w:rsidR="004645EF" w:rsidRDefault="004645EF" w:rsidP="004645EF">
      <w:pPr>
        <w:pStyle w:val="ListBullet"/>
      </w:pPr>
      <w:r>
        <w:t>The Commonwealth would not receive any returns from the investments and would not seek to divest ownership of any investments made from the Fund and return these funds to the budget over the 2016-17 Budget forward estimates period and the medium term.</w:t>
      </w:r>
    </w:p>
    <w:p w:rsidR="004645EF" w:rsidRPr="00A61730" w:rsidRDefault="004645EF" w:rsidP="004645EF">
      <w:pPr>
        <w:pStyle w:val="ListBullet"/>
      </w:pPr>
      <w:r>
        <w:t>The $500 million would be distributed over 15 years from 2018-19 proportionately to the 15 year profile of the IIF measure.</w:t>
      </w:r>
      <w:r w:rsidRPr="00E53973">
        <w:rPr>
          <w:rStyle w:val="FootnoteReference"/>
        </w:rPr>
        <w:footnoteReference w:id="21"/>
      </w:r>
    </w:p>
    <w:p w:rsidR="004645EF" w:rsidRDefault="004645EF" w:rsidP="004645EF">
      <w:pPr>
        <w:pStyle w:val="CostingsH7"/>
      </w:pPr>
      <w:r>
        <w:t>Methodology</w:t>
      </w:r>
    </w:p>
    <w:p w:rsidR="004645EF" w:rsidRDefault="004645EF" w:rsidP="004645EF">
      <w:pPr>
        <w:pStyle w:val="BodyText"/>
      </w:pPr>
      <w:r>
        <w:t>The impact of the proposal on administered and departmental expenses was calculated by proportionally increasing cost components of the IIF measure (indexed appropriately), accounting for the fixed costs.</w:t>
      </w:r>
    </w:p>
    <w:p w:rsidR="004645EF" w:rsidRDefault="004645EF" w:rsidP="004645EF">
      <w:pPr>
        <w:pStyle w:val="BodyText"/>
      </w:pPr>
      <w:r>
        <w:t>The impact on the fiscal and underlying cash balances for each year is the change in administered and departmental expenditure plus PDI costs.  The impact on the headline cash balance for each year is the change in administered and departmental expenditure, fund investments plus PDI costs.</w:t>
      </w:r>
    </w:p>
    <w:p w:rsidR="004645EF" w:rsidRPr="00A61730" w:rsidRDefault="004645EF" w:rsidP="004645EF">
      <w:pPr>
        <w:pStyle w:val="BodyText"/>
      </w:pPr>
      <w:r>
        <w:t>Estimates have been rounded to the nearest $100,000.</w:t>
      </w:r>
    </w:p>
    <w:p w:rsidR="004645EF" w:rsidRDefault="004645EF" w:rsidP="004645EF">
      <w:pPr>
        <w:pStyle w:val="CostingsH7"/>
      </w:pPr>
      <w:r>
        <w:t>Data sources</w:t>
      </w:r>
    </w:p>
    <w:p w:rsidR="004645EF" w:rsidRDefault="005B53BF" w:rsidP="004645EF">
      <w:pPr>
        <w:pStyle w:val="BodyText"/>
      </w:pPr>
      <w:r>
        <w:t xml:space="preserve">The </w:t>
      </w:r>
      <w:r w:rsidR="004645EF">
        <w:t>Department of Industry, Innovation and Science provided the costing model relating to the 2013</w:t>
      </w:r>
      <w:r w:rsidR="00CA275D">
        <w:t>-</w:t>
      </w:r>
      <w:r w:rsidR="004645EF">
        <w:t xml:space="preserve">14 Budget measure, </w:t>
      </w:r>
      <w:r w:rsidR="004645EF" w:rsidRPr="00A61730">
        <w:rPr>
          <w:i/>
        </w:rPr>
        <w:t>A Plan for Australian Jobs — Venture Australia — extension and enhancement</w:t>
      </w:r>
      <w:r w:rsidR="004645EF">
        <w:t>.</w:t>
      </w:r>
    </w:p>
    <w:p w:rsidR="004645EF" w:rsidRDefault="004645EF" w:rsidP="004645EF">
      <w:pPr>
        <w:pStyle w:val="BodyText"/>
      </w:pPr>
      <w:r>
        <w:t>The Department of Finance provided indexation and efficiency dividend parameters.</w:t>
      </w:r>
    </w:p>
    <w:p w:rsidR="004645EF" w:rsidRDefault="004645EF" w:rsidP="004645EF">
      <w:pPr>
        <w:pStyle w:val="BodyText"/>
        <w:sectPr w:rsidR="004645EF" w:rsidSect="00967BCD">
          <w:footnotePr>
            <w:numRestart w:val="eachSect"/>
          </w:footnotePr>
          <w:pgSz w:w="11906" w:h="16838" w:code="9"/>
          <w:pgMar w:top="1361" w:right="1797" w:bottom="1474" w:left="1797" w:header="283" w:footer="454" w:gutter="0"/>
          <w:cols w:space="708"/>
          <w:docGrid w:linePitch="360"/>
        </w:sectPr>
      </w:pPr>
    </w:p>
    <w:p w:rsidR="004645EF" w:rsidRDefault="004645EF" w:rsidP="004645EF">
      <w:pPr>
        <w:pStyle w:val="Heading6"/>
        <w:numPr>
          <w:ilvl w:val="0"/>
          <w:numId w:val="10"/>
        </w:numPr>
        <w:tabs>
          <w:tab w:val="right" w:pos="1418"/>
          <w:tab w:val="right" w:pos="1701"/>
          <w:tab w:val="right" w:pos="1985"/>
        </w:tabs>
      </w:pPr>
      <w:r>
        <w:t>Attachment</w:t>
      </w:r>
      <w:r w:rsidR="00F446FA">
        <w:t xml:space="preserve"> A: Smart Investment Fund—financial</w:t>
      </w:r>
      <w:r>
        <w:t> implications</w:t>
      </w:r>
    </w:p>
    <w:p w:rsidR="004645EF" w:rsidRDefault="004645EF" w:rsidP="004645EF">
      <w:pPr>
        <w:pStyle w:val="Caption"/>
      </w:pPr>
      <w:r w:rsidRPr="002B36F1">
        <w:t xml:space="preserve">Table </w:t>
      </w:r>
      <w:r>
        <w:t>A1</w:t>
      </w:r>
      <w:r w:rsidRPr="002B36F1">
        <w:t>:</w:t>
      </w:r>
      <w:r>
        <w:t xml:space="preserve"> Smart Investment Fund—Fiscal balance</w:t>
      </w:r>
      <w:r w:rsidRPr="002B36F1">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4645E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4645EF" w:rsidRPr="007C2713" w:rsidRDefault="004645EF" w:rsidP="00F7554A">
            <w:pPr>
              <w:pStyle w:val="TableText"/>
              <w:rPr>
                <w:b w:val="0"/>
              </w:rPr>
            </w:pPr>
            <w:r>
              <w:t>($)</w:t>
            </w:r>
          </w:p>
        </w:tc>
        <w:tc>
          <w:tcPr>
            <w:tcW w:w="312" w:type="pct"/>
            <w:vAlign w:val="center"/>
          </w:tcPr>
          <w:p w:rsidR="004645EF" w:rsidRDefault="004645EF" w:rsidP="00F7554A">
            <w:pPr>
              <w:pStyle w:val="TableTextRight"/>
              <w:spacing w:before="0" w:after="0" w:line="240" w:lineRule="auto"/>
              <w:ind w:left="-57" w:right="-57"/>
              <w:rPr>
                <w:b w:val="0"/>
              </w:rPr>
            </w:pPr>
            <w:r>
              <w:t>2016–17</w:t>
            </w:r>
          </w:p>
        </w:tc>
        <w:tc>
          <w:tcPr>
            <w:tcW w:w="312" w:type="pct"/>
            <w:vAlign w:val="center"/>
          </w:tcPr>
          <w:p w:rsidR="004645EF" w:rsidRDefault="004645EF" w:rsidP="00F7554A">
            <w:pPr>
              <w:pStyle w:val="TableTextRight"/>
              <w:spacing w:before="0" w:after="0" w:line="240" w:lineRule="auto"/>
              <w:ind w:left="-57" w:right="-57"/>
              <w:rPr>
                <w:b w:val="0"/>
              </w:rPr>
            </w:pPr>
            <w:r>
              <w:t>2017–18</w:t>
            </w:r>
          </w:p>
        </w:tc>
        <w:tc>
          <w:tcPr>
            <w:tcW w:w="312" w:type="pct"/>
            <w:vAlign w:val="center"/>
          </w:tcPr>
          <w:p w:rsidR="004645EF" w:rsidRDefault="004645EF" w:rsidP="00F7554A">
            <w:pPr>
              <w:pStyle w:val="TableTextRight"/>
              <w:spacing w:before="0" w:after="0" w:line="240" w:lineRule="auto"/>
              <w:ind w:left="-57" w:right="-57"/>
              <w:rPr>
                <w:b w:val="0"/>
              </w:rPr>
            </w:pPr>
            <w:r>
              <w:t>2018–19</w:t>
            </w:r>
          </w:p>
        </w:tc>
        <w:tc>
          <w:tcPr>
            <w:tcW w:w="312" w:type="pct"/>
            <w:vAlign w:val="center"/>
          </w:tcPr>
          <w:p w:rsidR="004645EF" w:rsidRDefault="004645EF" w:rsidP="00F7554A">
            <w:pPr>
              <w:pStyle w:val="TableTextRight"/>
              <w:spacing w:before="0" w:after="0" w:line="240" w:lineRule="auto"/>
              <w:ind w:left="-57" w:right="-57"/>
              <w:rPr>
                <w:b w:val="0"/>
              </w:rPr>
            </w:pPr>
            <w:r>
              <w:t>2019–20</w:t>
            </w:r>
          </w:p>
        </w:tc>
        <w:tc>
          <w:tcPr>
            <w:tcW w:w="312" w:type="pct"/>
            <w:vAlign w:val="center"/>
          </w:tcPr>
          <w:p w:rsidR="004645EF" w:rsidRDefault="004645EF" w:rsidP="00F7554A">
            <w:pPr>
              <w:pStyle w:val="TableTextRight"/>
              <w:spacing w:before="0" w:after="0" w:line="240" w:lineRule="auto"/>
              <w:ind w:left="-57" w:right="-57"/>
              <w:rPr>
                <w:b w:val="0"/>
              </w:rPr>
            </w:pPr>
            <w:r>
              <w:t>Total to 2019–20</w:t>
            </w:r>
          </w:p>
        </w:tc>
        <w:tc>
          <w:tcPr>
            <w:tcW w:w="312" w:type="pct"/>
            <w:vAlign w:val="center"/>
          </w:tcPr>
          <w:p w:rsidR="004645EF" w:rsidRPr="00C24267" w:rsidRDefault="004645EF" w:rsidP="00F7554A">
            <w:pPr>
              <w:pStyle w:val="TableHeadingCentred"/>
              <w:ind w:left="-57" w:right="-57"/>
              <w:jc w:val="right"/>
            </w:pPr>
            <w:r w:rsidRPr="00C24267">
              <w:t>2020–21</w:t>
            </w:r>
          </w:p>
        </w:tc>
        <w:tc>
          <w:tcPr>
            <w:tcW w:w="312" w:type="pct"/>
            <w:vAlign w:val="center"/>
          </w:tcPr>
          <w:p w:rsidR="004645EF" w:rsidRPr="00C24267" w:rsidRDefault="004645EF" w:rsidP="00F7554A">
            <w:pPr>
              <w:pStyle w:val="TableHeadingCentred"/>
              <w:ind w:left="-57" w:right="-57"/>
              <w:jc w:val="right"/>
            </w:pPr>
            <w:r w:rsidRPr="00C24267">
              <w:t>2021–22</w:t>
            </w:r>
          </w:p>
        </w:tc>
        <w:tc>
          <w:tcPr>
            <w:tcW w:w="312" w:type="pct"/>
            <w:vAlign w:val="center"/>
          </w:tcPr>
          <w:p w:rsidR="004645EF" w:rsidRPr="00C24267" w:rsidRDefault="004645EF" w:rsidP="00F7554A">
            <w:pPr>
              <w:pStyle w:val="TableHeadingCentred"/>
              <w:ind w:left="-57" w:right="-57"/>
              <w:jc w:val="right"/>
            </w:pPr>
            <w:r w:rsidRPr="00C24267">
              <w:t>2022–23</w:t>
            </w:r>
          </w:p>
        </w:tc>
        <w:tc>
          <w:tcPr>
            <w:tcW w:w="312" w:type="pct"/>
            <w:vAlign w:val="center"/>
          </w:tcPr>
          <w:p w:rsidR="004645EF" w:rsidRPr="00C24267" w:rsidRDefault="004645EF" w:rsidP="00F7554A">
            <w:pPr>
              <w:pStyle w:val="TableHeadingCentred"/>
              <w:ind w:left="-57" w:right="-57"/>
              <w:jc w:val="right"/>
            </w:pPr>
            <w:r w:rsidRPr="00C24267">
              <w:t>2023–24</w:t>
            </w:r>
          </w:p>
        </w:tc>
        <w:tc>
          <w:tcPr>
            <w:tcW w:w="312" w:type="pct"/>
            <w:vAlign w:val="center"/>
          </w:tcPr>
          <w:p w:rsidR="004645EF" w:rsidRPr="00C24267" w:rsidRDefault="004645EF" w:rsidP="00F7554A">
            <w:pPr>
              <w:pStyle w:val="TableHeadingCentred"/>
              <w:ind w:left="-57" w:right="-57"/>
              <w:jc w:val="right"/>
            </w:pPr>
            <w:r w:rsidRPr="00C24267">
              <w:t>2024–25</w:t>
            </w:r>
          </w:p>
        </w:tc>
        <w:tc>
          <w:tcPr>
            <w:tcW w:w="312" w:type="pct"/>
            <w:vAlign w:val="center"/>
          </w:tcPr>
          <w:p w:rsidR="004645EF" w:rsidRPr="00C24267" w:rsidRDefault="004645EF" w:rsidP="00F7554A">
            <w:pPr>
              <w:pStyle w:val="TableHeadingCentred"/>
              <w:ind w:left="-57" w:right="-57"/>
              <w:jc w:val="right"/>
            </w:pPr>
            <w:r w:rsidRPr="00C24267">
              <w:t>2025–26</w:t>
            </w:r>
          </w:p>
        </w:tc>
        <w:tc>
          <w:tcPr>
            <w:tcW w:w="312" w:type="pct"/>
            <w:vAlign w:val="center"/>
          </w:tcPr>
          <w:p w:rsidR="004645EF" w:rsidRPr="00C24267" w:rsidRDefault="004645EF" w:rsidP="00F7554A">
            <w:pPr>
              <w:pStyle w:val="TableHeadingCentred"/>
              <w:ind w:left="-57" w:right="-57"/>
              <w:jc w:val="right"/>
            </w:pPr>
            <w:r w:rsidRPr="00C24267">
              <w:t>2026–27</w:t>
            </w:r>
          </w:p>
        </w:tc>
        <w:tc>
          <w:tcPr>
            <w:tcW w:w="311" w:type="pct"/>
            <w:vAlign w:val="center"/>
          </w:tcPr>
          <w:p w:rsidR="004645EF" w:rsidRPr="00C363AE" w:rsidRDefault="004645EF" w:rsidP="00F7554A">
            <w:pPr>
              <w:pStyle w:val="TableHeadingCentred"/>
              <w:ind w:left="-57" w:right="-57"/>
              <w:jc w:val="right"/>
              <w:rPr>
                <w:b/>
              </w:rPr>
            </w:pPr>
            <w:r w:rsidRPr="00C363AE">
              <w:t>Total to 2026–27</w:t>
            </w:r>
          </w:p>
        </w:tc>
      </w:tr>
      <w:tr w:rsidR="004645EF" w:rsidTr="00F7554A">
        <w:tc>
          <w:tcPr>
            <w:tcW w:w="945" w:type="pct"/>
            <w:vAlign w:val="center"/>
          </w:tcPr>
          <w:p w:rsidR="004645EF" w:rsidRPr="00A65EA3" w:rsidRDefault="004645EF" w:rsidP="00F7554A">
            <w:pPr>
              <w:pStyle w:val="TableText"/>
            </w:pPr>
            <w:r>
              <w:t>Administered</w:t>
            </w:r>
          </w:p>
        </w:tc>
        <w:tc>
          <w:tcPr>
            <w:tcW w:w="312" w:type="pct"/>
            <w:vAlign w:val="center"/>
          </w:tcPr>
          <w:p w:rsidR="004645EF" w:rsidRPr="00F35FCA" w:rsidRDefault="004645EF" w:rsidP="00F7554A">
            <w:pPr>
              <w:pStyle w:val="TableTextRight"/>
              <w:ind w:left="-57" w:right="-57"/>
            </w:pPr>
            <w:r w:rsidRPr="00F35FCA">
              <w:t>-</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-0.4</w:t>
            </w:r>
          </w:p>
        </w:tc>
        <w:tc>
          <w:tcPr>
            <w:tcW w:w="312"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-0.9</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-0.4</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-0.3</w:t>
            </w:r>
          </w:p>
        </w:tc>
        <w:tc>
          <w:tcPr>
            <w:tcW w:w="311"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-2.8</w:t>
            </w:r>
          </w:p>
        </w:tc>
      </w:tr>
      <w:tr w:rsidR="004645EF" w:rsidTr="00F7554A">
        <w:tc>
          <w:tcPr>
            <w:tcW w:w="945" w:type="pct"/>
            <w:vAlign w:val="center"/>
          </w:tcPr>
          <w:p w:rsidR="004645EF" w:rsidRPr="00A65EA3" w:rsidRDefault="004645EF" w:rsidP="00F7554A">
            <w:pPr>
              <w:pStyle w:val="TableText"/>
            </w:pPr>
            <w:r>
              <w:t>Departmental</w:t>
            </w:r>
          </w:p>
        </w:tc>
        <w:tc>
          <w:tcPr>
            <w:tcW w:w="312" w:type="pct"/>
            <w:vAlign w:val="center"/>
          </w:tcPr>
          <w:p w:rsidR="004645EF" w:rsidRPr="00F35FCA" w:rsidRDefault="004645EF" w:rsidP="00F7554A">
            <w:pPr>
              <w:pStyle w:val="TableTextRight"/>
              <w:ind w:left="-57" w:right="-57"/>
            </w:pPr>
            <w:r w:rsidRPr="00F35FCA">
              <w:t>-</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-1.8</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-2.0</w:t>
            </w:r>
          </w:p>
        </w:tc>
        <w:tc>
          <w:tcPr>
            <w:tcW w:w="312"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-5.2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-1.5</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-2.1</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-1.6</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-1.6</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-1.4</w:t>
            </w:r>
          </w:p>
        </w:tc>
        <w:tc>
          <w:tcPr>
            <w:tcW w:w="311"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-16.1</w:t>
            </w:r>
          </w:p>
        </w:tc>
      </w:tr>
      <w:tr w:rsidR="004645EF" w:rsidTr="00F7554A">
        <w:tc>
          <w:tcPr>
            <w:tcW w:w="945" w:type="pct"/>
            <w:vAlign w:val="center"/>
          </w:tcPr>
          <w:p w:rsidR="004645EF" w:rsidRPr="00A65EA3" w:rsidRDefault="004645EF" w:rsidP="00F7554A">
            <w:pPr>
              <w:pStyle w:val="TableText"/>
            </w:pPr>
            <w:r>
              <w:t>Public Debt Interest</w:t>
            </w:r>
          </w:p>
        </w:tc>
        <w:tc>
          <w:tcPr>
            <w:tcW w:w="312" w:type="pct"/>
            <w:vAlign w:val="center"/>
          </w:tcPr>
          <w:p w:rsidR="004645EF" w:rsidRPr="00F35FCA" w:rsidRDefault="004645EF" w:rsidP="00F7554A">
            <w:pPr>
              <w:pStyle w:val="TableTextRight"/>
              <w:ind w:left="-57" w:right="-57"/>
            </w:pPr>
            <w:r w:rsidRPr="00F35FCA">
              <w:t>-</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-0.8</w:t>
            </w:r>
          </w:p>
        </w:tc>
        <w:tc>
          <w:tcPr>
            <w:tcW w:w="312"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-1.1</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-2.4</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-4.8</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-8.2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-12.2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-16.6</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-21.2</w:t>
            </w:r>
          </w:p>
        </w:tc>
        <w:tc>
          <w:tcPr>
            <w:tcW w:w="312" w:type="pct"/>
            <w:vAlign w:val="center"/>
          </w:tcPr>
          <w:p w:rsidR="004645EF" w:rsidRDefault="004645EF" w:rsidP="00F7554A">
            <w:pPr>
              <w:pStyle w:val="TableTextRight"/>
              <w:ind w:left="-57" w:right="-57"/>
              <w:rPr>
                <w:i/>
                <w:iCs/>
                <w:color w:val="000000"/>
                <w:sz w:val="24"/>
                <w:szCs w:val="24"/>
              </w:rPr>
            </w:pPr>
            <w:r>
              <w:rPr>
                <w:i/>
                <w:iCs/>
                <w:color w:val="000000"/>
              </w:rPr>
              <w:t>-26.1</w:t>
            </w:r>
          </w:p>
        </w:tc>
        <w:tc>
          <w:tcPr>
            <w:tcW w:w="311" w:type="pct"/>
            <w:vAlign w:val="center"/>
          </w:tcPr>
          <w:p w:rsidR="004645EF" w:rsidRPr="003A544B" w:rsidRDefault="004645EF" w:rsidP="00F7554A">
            <w:pPr>
              <w:pStyle w:val="TableTextRight"/>
              <w:ind w:left="-57" w:right="-57"/>
              <w:rPr>
                <w:b/>
                <w:i/>
                <w:iCs/>
                <w:color w:val="000000"/>
                <w:sz w:val="24"/>
                <w:szCs w:val="24"/>
              </w:rPr>
            </w:pPr>
            <w:r w:rsidRPr="003A544B">
              <w:rPr>
                <w:b/>
                <w:i/>
                <w:iCs/>
                <w:color w:val="000000"/>
              </w:rPr>
              <w:t>-92.7</w:t>
            </w:r>
          </w:p>
        </w:tc>
      </w:tr>
      <w:tr w:rsidR="0073534F" w:rsidRPr="007C2713" w:rsidTr="00F7554A">
        <w:tc>
          <w:tcPr>
            <w:tcW w:w="945" w:type="pct"/>
            <w:shd w:val="clear" w:color="auto" w:fill="D7DDE9" w:themeFill="accent3"/>
            <w:vAlign w:val="center"/>
          </w:tcPr>
          <w:p w:rsidR="004645EF" w:rsidRPr="00AB55AE" w:rsidRDefault="004645EF" w:rsidP="00F7554A">
            <w:pPr>
              <w:pStyle w:val="TableText"/>
              <w:rPr>
                <w:b/>
              </w:rPr>
            </w:pPr>
            <w:r w:rsidRPr="00AB55AE">
              <w:rPr>
                <w:b/>
              </w:rPr>
              <w:t xml:space="preserve">Total </w:t>
            </w:r>
            <w:r>
              <w:rPr>
                <w:b/>
              </w:rPr>
              <w:t>fiscal impact</w:t>
            </w:r>
          </w:p>
        </w:tc>
        <w:tc>
          <w:tcPr>
            <w:tcW w:w="312" w:type="pct"/>
            <w:shd w:val="clear" w:color="auto" w:fill="D7DDE9" w:themeFill="accent3"/>
            <w:vAlign w:val="center"/>
          </w:tcPr>
          <w:p w:rsidR="004645EF" w:rsidRPr="00A604A5" w:rsidRDefault="004645EF" w:rsidP="00F7554A">
            <w:pPr>
              <w:pStyle w:val="TableTextRight"/>
              <w:ind w:left="-57" w:right="-57"/>
              <w:rPr>
                <w:b/>
              </w:rPr>
            </w:pPr>
            <w:r w:rsidRPr="00A604A5">
              <w:rPr>
                <w:b/>
              </w:rPr>
              <w:t>-</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-2.1</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-1.8</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-3.2</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-7.2</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-4.1</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-7.3</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-10.0</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-14.1</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-18.3</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-22.9</w:t>
            </w:r>
          </w:p>
        </w:tc>
        <w:tc>
          <w:tcPr>
            <w:tcW w:w="312"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-27.8</w:t>
            </w:r>
          </w:p>
        </w:tc>
        <w:tc>
          <w:tcPr>
            <w:tcW w:w="311" w:type="pct"/>
            <w:shd w:val="clear" w:color="auto" w:fill="D7DDE9" w:themeFill="accent3"/>
            <w:vAlign w:val="center"/>
          </w:tcPr>
          <w:p w:rsidR="004645EF" w:rsidRDefault="004645EF" w:rsidP="00F7554A">
            <w:pPr>
              <w:pStyle w:val="TableTextRight"/>
              <w:ind w:left="-57" w:right="-57"/>
              <w:rPr>
                <w:b/>
                <w:bCs/>
                <w:color w:val="000000"/>
                <w:sz w:val="24"/>
                <w:szCs w:val="24"/>
              </w:rPr>
            </w:pPr>
            <w:r>
              <w:rPr>
                <w:b/>
                <w:bCs/>
                <w:color w:val="000000"/>
              </w:rPr>
              <w:t>-111.6</w:t>
            </w:r>
          </w:p>
        </w:tc>
      </w:tr>
    </w:tbl>
    <w:p w:rsidR="004645EF" w:rsidRDefault="004645EF" w:rsidP="00F469BD">
      <w:pPr>
        <w:pStyle w:val="Footnotes"/>
        <w:numPr>
          <w:ilvl w:val="0"/>
          <w:numId w:val="139"/>
        </w:numPr>
        <w:spacing w:before="113"/>
        <w:ind w:left="284" w:hanging="284"/>
      </w:pPr>
      <w:r>
        <w:t xml:space="preserve">A </w:t>
      </w:r>
      <w:r w:rsidRPr="00FE5E8D">
        <w:t>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r>
        <w:t>.</w:t>
      </w:r>
    </w:p>
    <w:p w:rsidR="004645EF" w:rsidRPr="005F544A" w:rsidRDefault="004645EF" w:rsidP="00F469BD">
      <w:pPr>
        <w:pStyle w:val="Footnotes"/>
        <w:spacing w:after="120"/>
        <w:ind w:left="284" w:hanging="284"/>
      </w:pPr>
      <w:r w:rsidRPr="005F544A">
        <w:t>Figures may not sum to totals due to rounding.</w:t>
      </w:r>
    </w:p>
    <w:p w:rsidR="004645EF" w:rsidRPr="005F544A" w:rsidRDefault="004645EF" w:rsidP="00F469BD">
      <w:pPr>
        <w:pStyle w:val="Footnotes"/>
        <w:numPr>
          <w:ilvl w:val="0"/>
          <w:numId w:val="0"/>
        </w:numPr>
        <w:ind w:left="284" w:hanging="284"/>
      </w:pPr>
      <w:r w:rsidRPr="005F544A">
        <w:t>..</w:t>
      </w:r>
      <w:r w:rsidRPr="005F544A">
        <w:tab/>
        <w:t>Not zero but rounded to zero.</w:t>
      </w:r>
    </w:p>
    <w:p w:rsidR="004645EF" w:rsidRDefault="004645EF" w:rsidP="00F469BD">
      <w:pPr>
        <w:pStyle w:val="Footnotes"/>
        <w:numPr>
          <w:ilvl w:val="0"/>
          <w:numId w:val="0"/>
        </w:numPr>
        <w:ind w:left="284" w:hanging="284"/>
      </w:pPr>
      <w:r w:rsidRPr="005F544A">
        <w:t>-</w:t>
      </w:r>
      <w:r w:rsidRPr="005F544A">
        <w:tab/>
        <w:t>Indicates nil.</w:t>
      </w:r>
    </w:p>
    <w:p w:rsidR="004645EF" w:rsidRDefault="004645EF" w:rsidP="004645EF">
      <w:pPr>
        <w:pStyle w:val="Caption"/>
        <w:keepLines/>
      </w:pPr>
      <w:r w:rsidRPr="002B36F1">
        <w:t xml:space="preserve">Table </w:t>
      </w:r>
      <w:r>
        <w:t>A2</w:t>
      </w:r>
      <w:r w:rsidRPr="002B36F1">
        <w:t>:</w:t>
      </w:r>
      <w:r>
        <w:t xml:space="preserve"> Smart Investment Fund—Underlying cash balance</w:t>
      </w:r>
      <w:r w:rsidRPr="002B36F1">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4645E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4645EF" w:rsidRPr="007C2713" w:rsidRDefault="004645EF" w:rsidP="00F7554A">
            <w:pPr>
              <w:pStyle w:val="TableText"/>
              <w:keepNext/>
              <w:keepLines/>
              <w:rPr>
                <w:b w:val="0"/>
              </w:rPr>
            </w:pPr>
            <w:r>
              <w:t>($)</w:t>
            </w:r>
          </w:p>
        </w:tc>
        <w:tc>
          <w:tcPr>
            <w:tcW w:w="312" w:type="pct"/>
            <w:vAlign w:val="center"/>
          </w:tcPr>
          <w:p w:rsidR="004645EF" w:rsidRDefault="004645EF" w:rsidP="00F7554A">
            <w:pPr>
              <w:pStyle w:val="TableTextRight"/>
              <w:keepNext/>
              <w:keepLines/>
              <w:spacing w:before="0" w:after="0" w:line="240" w:lineRule="auto"/>
              <w:ind w:left="-57" w:right="-57"/>
              <w:rPr>
                <w:b w:val="0"/>
              </w:rPr>
            </w:pPr>
            <w:r>
              <w:t>2016–17</w:t>
            </w:r>
          </w:p>
        </w:tc>
        <w:tc>
          <w:tcPr>
            <w:tcW w:w="312" w:type="pct"/>
            <w:vAlign w:val="center"/>
          </w:tcPr>
          <w:p w:rsidR="004645EF" w:rsidRDefault="004645EF" w:rsidP="00F7554A">
            <w:pPr>
              <w:pStyle w:val="TableTextRight"/>
              <w:keepNext/>
              <w:keepLines/>
              <w:spacing w:before="0" w:after="0" w:line="240" w:lineRule="auto"/>
              <w:ind w:left="-57" w:right="-57"/>
              <w:rPr>
                <w:b w:val="0"/>
              </w:rPr>
            </w:pPr>
            <w:r>
              <w:t>2017–18</w:t>
            </w:r>
          </w:p>
        </w:tc>
        <w:tc>
          <w:tcPr>
            <w:tcW w:w="312" w:type="pct"/>
            <w:vAlign w:val="center"/>
          </w:tcPr>
          <w:p w:rsidR="004645EF" w:rsidRDefault="004645EF" w:rsidP="00F7554A">
            <w:pPr>
              <w:pStyle w:val="TableTextRight"/>
              <w:keepNext/>
              <w:keepLines/>
              <w:spacing w:before="0" w:after="0" w:line="240" w:lineRule="auto"/>
              <w:ind w:left="-57" w:right="-57"/>
              <w:rPr>
                <w:b w:val="0"/>
              </w:rPr>
            </w:pPr>
            <w:r>
              <w:t>2018–19</w:t>
            </w:r>
          </w:p>
        </w:tc>
        <w:tc>
          <w:tcPr>
            <w:tcW w:w="312" w:type="pct"/>
            <w:vAlign w:val="center"/>
          </w:tcPr>
          <w:p w:rsidR="004645EF" w:rsidRDefault="004645EF" w:rsidP="00F7554A">
            <w:pPr>
              <w:pStyle w:val="TableTextRight"/>
              <w:keepNext/>
              <w:keepLines/>
              <w:spacing w:before="0" w:after="0" w:line="240" w:lineRule="auto"/>
              <w:ind w:left="-57" w:right="-57"/>
              <w:rPr>
                <w:b w:val="0"/>
              </w:rPr>
            </w:pPr>
            <w:r>
              <w:t>2019–20</w:t>
            </w:r>
          </w:p>
        </w:tc>
        <w:tc>
          <w:tcPr>
            <w:tcW w:w="312" w:type="pct"/>
            <w:vAlign w:val="center"/>
          </w:tcPr>
          <w:p w:rsidR="004645EF" w:rsidRDefault="004645EF" w:rsidP="00F7554A">
            <w:pPr>
              <w:pStyle w:val="TableTextRight"/>
              <w:keepNext/>
              <w:keepLines/>
              <w:spacing w:before="0" w:after="0" w:line="240" w:lineRule="auto"/>
              <w:ind w:left="-57" w:right="-57"/>
              <w:rPr>
                <w:b w:val="0"/>
              </w:rPr>
            </w:pPr>
            <w:r>
              <w:t>Total to 2019–20</w:t>
            </w:r>
          </w:p>
        </w:tc>
        <w:tc>
          <w:tcPr>
            <w:tcW w:w="312" w:type="pct"/>
            <w:vAlign w:val="center"/>
          </w:tcPr>
          <w:p w:rsidR="004645EF" w:rsidRPr="00C24267" w:rsidRDefault="004645EF" w:rsidP="00F7554A">
            <w:pPr>
              <w:pStyle w:val="TableHeadingCentred"/>
              <w:ind w:left="-57" w:right="-57"/>
              <w:jc w:val="right"/>
            </w:pPr>
            <w:r w:rsidRPr="00C24267">
              <w:t>2020–21</w:t>
            </w:r>
          </w:p>
        </w:tc>
        <w:tc>
          <w:tcPr>
            <w:tcW w:w="312" w:type="pct"/>
            <w:vAlign w:val="center"/>
          </w:tcPr>
          <w:p w:rsidR="004645EF" w:rsidRPr="00C24267" w:rsidRDefault="004645EF" w:rsidP="00F7554A">
            <w:pPr>
              <w:pStyle w:val="TableHeadingCentred"/>
              <w:ind w:left="-57" w:right="-57"/>
              <w:jc w:val="right"/>
            </w:pPr>
            <w:r w:rsidRPr="00C24267">
              <w:t>2021–22</w:t>
            </w:r>
          </w:p>
        </w:tc>
        <w:tc>
          <w:tcPr>
            <w:tcW w:w="312" w:type="pct"/>
            <w:vAlign w:val="center"/>
          </w:tcPr>
          <w:p w:rsidR="004645EF" w:rsidRPr="00C24267" w:rsidRDefault="004645EF" w:rsidP="00F7554A">
            <w:pPr>
              <w:pStyle w:val="TableHeadingCentred"/>
              <w:ind w:left="-57" w:right="-57"/>
              <w:jc w:val="right"/>
            </w:pPr>
            <w:r w:rsidRPr="00C24267">
              <w:t>2022–23</w:t>
            </w:r>
          </w:p>
        </w:tc>
        <w:tc>
          <w:tcPr>
            <w:tcW w:w="312" w:type="pct"/>
            <w:vAlign w:val="center"/>
          </w:tcPr>
          <w:p w:rsidR="004645EF" w:rsidRPr="00C24267" w:rsidRDefault="004645EF" w:rsidP="00F7554A">
            <w:pPr>
              <w:pStyle w:val="TableHeadingCentred"/>
              <w:ind w:left="-57" w:right="-57"/>
              <w:jc w:val="right"/>
            </w:pPr>
            <w:r w:rsidRPr="00C24267">
              <w:t>2023–24</w:t>
            </w:r>
          </w:p>
        </w:tc>
        <w:tc>
          <w:tcPr>
            <w:tcW w:w="312" w:type="pct"/>
            <w:vAlign w:val="center"/>
          </w:tcPr>
          <w:p w:rsidR="004645EF" w:rsidRPr="00C24267" w:rsidRDefault="004645EF" w:rsidP="00F7554A">
            <w:pPr>
              <w:pStyle w:val="TableHeadingCentred"/>
              <w:ind w:left="-57" w:right="-57"/>
              <w:jc w:val="right"/>
            </w:pPr>
            <w:r w:rsidRPr="00C24267">
              <w:t>2024–25</w:t>
            </w:r>
          </w:p>
        </w:tc>
        <w:tc>
          <w:tcPr>
            <w:tcW w:w="312" w:type="pct"/>
            <w:vAlign w:val="center"/>
          </w:tcPr>
          <w:p w:rsidR="004645EF" w:rsidRPr="00C24267" w:rsidRDefault="004645EF" w:rsidP="00F7554A">
            <w:pPr>
              <w:pStyle w:val="TableHeadingCentred"/>
              <w:ind w:left="-57" w:right="-57"/>
              <w:jc w:val="right"/>
            </w:pPr>
            <w:r w:rsidRPr="00C24267">
              <w:t>2025–26</w:t>
            </w:r>
          </w:p>
        </w:tc>
        <w:tc>
          <w:tcPr>
            <w:tcW w:w="312" w:type="pct"/>
            <w:vAlign w:val="center"/>
          </w:tcPr>
          <w:p w:rsidR="004645EF" w:rsidRPr="00C24267" w:rsidRDefault="004645EF" w:rsidP="00F7554A">
            <w:pPr>
              <w:pStyle w:val="TableHeadingCentred"/>
              <w:ind w:left="-57" w:right="-57"/>
              <w:jc w:val="right"/>
            </w:pPr>
            <w:r w:rsidRPr="00C24267">
              <w:t>2026–27</w:t>
            </w:r>
          </w:p>
        </w:tc>
        <w:tc>
          <w:tcPr>
            <w:tcW w:w="311" w:type="pct"/>
            <w:vAlign w:val="center"/>
          </w:tcPr>
          <w:p w:rsidR="004645EF" w:rsidRPr="00C363AE" w:rsidRDefault="004645EF" w:rsidP="00F7554A">
            <w:pPr>
              <w:pStyle w:val="TableHeadingCentred"/>
              <w:ind w:left="-57" w:right="-57"/>
              <w:jc w:val="right"/>
              <w:rPr>
                <w:b/>
              </w:rPr>
            </w:pPr>
            <w:r w:rsidRPr="00C363AE">
              <w:t>Total to 2026–27</w:t>
            </w:r>
          </w:p>
        </w:tc>
      </w:tr>
      <w:tr w:rsidR="004645EF" w:rsidTr="00F7554A">
        <w:tc>
          <w:tcPr>
            <w:tcW w:w="945" w:type="pct"/>
            <w:vAlign w:val="center"/>
          </w:tcPr>
          <w:p w:rsidR="004645EF" w:rsidRPr="00A65EA3" w:rsidRDefault="004645EF" w:rsidP="00F7554A">
            <w:pPr>
              <w:pStyle w:val="TableText"/>
              <w:keepNext/>
              <w:keepLines/>
            </w:pPr>
            <w:r>
              <w:t>Administered</w:t>
            </w:r>
          </w:p>
        </w:tc>
        <w:tc>
          <w:tcPr>
            <w:tcW w:w="312" w:type="pct"/>
            <w:vAlign w:val="center"/>
          </w:tcPr>
          <w:p w:rsidR="004645EF" w:rsidRPr="00F468A3" w:rsidRDefault="004645EF" w:rsidP="00F7554A">
            <w:pPr>
              <w:pStyle w:val="TableTextRight"/>
              <w:keepNext/>
              <w:keepLines/>
              <w:ind w:left="-57" w:right="-57"/>
            </w:pPr>
            <w:r w:rsidRPr="00F468A3">
              <w:t>-</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-0.4</w:t>
            </w:r>
          </w:p>
        </w:tc>
        <w:tc>
          <w:tcPr>
            <w:tcW w:w="312"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-0.9</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-0.4</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-0.3</w:t>
            </w:r>
          </w:p>
        </w:tc>
        <w:tc>
          <w:tcPr>
            <w:tcW w:w="311"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-2.8</w:t>
            </w:r>
          </w:p>
        </w:tc>
      </w:tr>
      <w:tr w:rsidR="004645EF" w:rsidTr="00F7554A">
        <w:tc>
          <w:tcPr>
            <w:tcW w:w="945" w:type="pct"/>
            <w:vAlign w:val="center"/>
          </w:tcPr>
          <w:p w:rsidR="004645EF" w:rsidRPr="00A65EA3" w:rsidRDefault="004645EF" w:rsidP="00F7554A">
            <w:pPr>
              <w:pStyle w:val="TableText"/>
              <w:keepNext/>
              <w:keepLines/>
            </w:pPr>
            <w:r>
              <w:t>Departmental</w:t>
            </w:r>
          </w:p>
        </w:tc>
        <w:tc>
          <w:tcPr>
            <w:tcW w:w="312" w:type="pct"/>
            <w:vAlign w:val="center"/>
          </w:tcPr>
          <w:p w:rsidR="004645EF" w:rsidRPr="00F468A3" w:rsidRDefault="004645EF" w:rsidP="00F7554A">
            <w:pPr>
              <w:pStyle w:val="TableTextRight"/>
              <w:keepNext/>
              <w:keepLines/>
              <w:ind w:left="-57" w:right="-57"/>
            </w:pPr>
            <w:r w:rsidRPr="00F468A3">
              <w:t>-</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-1.8</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-2.0</w:t>
            </w:r>
          </w:p>
        </w:tc>
        <w:tc>
          <w:tcPr>
            <w:tcW w:w="312"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-5.2</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-1.5</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-2.1</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-1.6</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-1.6</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-1.4</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-1.4</w:t>
            </w:r>
          </w:p>
        </w:tc>
        <w:tc>
          <w:tcPr>
            <w:tcW w:w="311"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-16.1</w:t>
            </w:r>
          </w:p>
        </w:tc>
      </w:tr>
      <w:tr w:rsidR="004645EF" w:rsidTr="00F7554A">
        <w:tc>
          <w:tcPr>
            <w:tcW w:w="945" w:type="pct"/>
            <w:vAlign w:val="center"/>
          </w:tcPr>
          <w:p w:rsidR="004645EF" w:rsidRPr="00A65EA3" w:rsidRDefault="004645EF" w:rsidP="00F7554A">
            <w:pPr>
              <w:pStyle w:val="TableText"/>
              <w:keepNext/>
              <w:keepLines/>
            </w:pPr>
            <w:r>
              <w:t>Public Debt Interest</w:t>
            </w:r>
          </w:p>
        </w:tc>
        <w:tc>
          <w:tcPr>
            <w:tcW w:w="312" w:type="pct"/>
            <w:vAlign w:val="center"/>
          </w:tcPr>
          <w:p w:rsidR="004645EF" w:rsidRPr="00F468A3" w:rsidRDefault="004645EF" w:rsidP="00F7554A">
            <w:pPr>
              <w:pStyle w:val="TableTextRight"/>
              <w:keepNext/>
              <w:keepLines/>
              <w:ind w:left="-57" w:right="-57"/>
            </w:pPr>
            <w:r w:rsidRPr="00F468A3">
              <w:t>-</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-0.2</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-0.8</w:t>
            </w:r>
          </w:p>
        </w:tc>
        <w:tc>
          <w:tcPr>
            <w:tcW w:w="312"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-1.0</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-2.3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-4.7</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-8.0</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-11.9</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-16.3</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-20.9</w:t>
            </w:r>
          </w:p>
        </w:tc>
        <w:tc>
          <w:tcPr>
            <w:tcW w:w="312" w:type="pct"/>
            <w:vAlign w:val="center"/>
          </w:tcPr>
          <w:p w:rsidR="004645EF" w:rsidRDefault="004645EF" w:rsidP="00F7554A">
            <w:pPr>
              <w:pStyle w:val="TableTextRight"/>
              <w:keepNext/>
              <w:keepLines/>
              <w:ind w:left="-57" w:right="-57"/>
              <w:rPr>
                <w:i/>
                <w:iCs/>
                <w:color w:val="000000"/>
                <w:sz w:val="24"/>
                <w:szCs w:val="24"/>
              </w:rPr>
            </w:pPr>
            <w:r>
              <w:rPr>
                <w:i/>
                <w:iCs/>
                <w:color w:val="000000"/>
              </w:rPr>
              <w:t>-25.7</w:t>
            </w:r>
          </w:p>
        </w:tc>
        <w:tc>
          <w:tcPr>
            <w:tcW w:w="311" w:type="pct"/>
            <w:vAlign w:val="center"/>
          </w:tcPr>
          <w:p w:rsidR="004645EF" w:rsidRPr="003A544B" w:rsidRDefault="004645EF" w:rsidP="00F7554A">
            <w:pPr>
              <w:pStyle w:val="TableTextRight"/>
              <w:keepNext/>
              <w:keepLines/>
              <w:ind w:left="-57" w:right="-57"/>
              <w:rPr>
                <w:b/>
                <w:i/>
                <w:iCs/>
                <w:color w:val="000000"/>
                <w:sz w:val="24"/>
                <w:szCs w:val="24"/>
              </w:rPr>
            </w:pPr>
            <w:r w:rsidRPr="003A544B">
              <w:rPr>
                <w:b/>
                <w:i/>
                <w:iCs/>
                <w:color w:val="000000"/>
              </w:rPr>
              <w:t>-90.8</w:t>
            </w:r>
          </w:p>
        </w:tc>
      </w:tr>
      <w:tr w:rsidR="0073534F" w:rsidRPr="007C2713" w:rsidTr="00F7554A">
        <w:tc>
          <w:tcPr>
            <w:tcW w:w="945" w:type="pct"/>
            <w:shd w:val="clear" w:color="auto" w:fill="D7DDE9" w:themeFill="accent3"/>
            <w:vAlign w:val="center"/>
          </w:tcPr>
          <w:p w:rsidR="004645EF" w:rsidRPr="00AB55AE" w:rsidRDefault="004645EF" w:rsidP="00F7554A">
            <w:pPr>
              <w:pStyle w:val="TableText"/>
              <w:keepNext/>
              <w:keepLines/>
              <w:rPr>
                <w:b/>
              </w:rPr>
            </w:pPr>
            <w:r w:rsidRPr="00AB55AE">
              <w:rPr>
                <w:b/>
              </w:rPr>
              <w:t xml:space="preserve">Total </w:t>
            </w:r>
            <w:r>
              <w:rPr>
                <w:b/>
              </w:rPr>
              <w:t>underlying cash impact</w:t>
            </w:r>
          </w:p>
        </w:tc>
        <w:tc>
          <w:tcPr>
            <w:tcW w:w="312" w:type="pct"/>
            <w:shd w:val="clear" w:color="auto" w:fill="D7DDE9" w:themeFill="accent3"/>
            <w:vAlign w:val="center"/>
          </w:tcPr>
          <w:p w:rsidR="004645EF" w:rsidRPr="00A604A5" w:rsidRDefault="004645EF" w:rsidP="00F7554A">
            <w:pPr>
              <w:pStyle w:val="TableTextRight"/>
              <w:keepNext/>
              <w:keepLines/>
              <w:ind w:left="-57" w:right="-57"/>
              <w:rPr>
                <w:b/>
              </w:rPr>
            </w:pPr>
            <w:r w:rsidRPr="00A604A5">
              <w:rPr>
                <w:b/>
              </w:rPr>
              <w:t>-</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-2.1</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-1.8</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-3.2</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-7.1</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-4.0</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-7.2</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-9.8</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-13.8</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-18.0</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-22.6</w:t>
            </w:r>
          </w:p>
        </w:tc>
        <w:tc>
          <w:tcPr>
            <w:tcW w:w="312"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-27.4</w:t>
            </w:r>
          </w:p>
        </w:tc>
        <w:tc>
          <w:tcPr>
            <w:tcW w:w="311" w:type="pct"/>
            <w:shd w:val="clear" w:color="auto" w:fill="D7DDE9" w:themeFill="accent3"/>
            <w:vAlign w:val="center"/>
          </w:tcPr>
          <w:p w:rsidR="004645EF" w:rsidRDefault="004645EF" w:rsidP="00F7554A">
            <w:pPr>
              <w:pStyle w:val="TableTextRight"/>
              <w:keepNext/>
              <w:keepLines/>
              <w:ind w:left="-57" w:right="-57"/>
              <w:rPr>
                <w:b/>
                <w:bCs/>
                <w:color w:val="000000"/>
                <w:sz w:val="24"/>
                <w:szCs w:val="24"/>
              </w:rPr>
            </w:pPr>
            <w:r>
              <w:rPr>
                <w:b/>
                <w:bCs/>
                <w:color w:val="000000"/>
              </w:rPr>
              <w:t>-109.7</w:t>
            </w:r>
          </w:p>
        </w:tc>
      </w:tr>
    </w:tbl>
    <w:p w:rsidR="004645EF" w:rsidRDefault="004645EF" w:rsidP="00F469BD">
      <w:pPr>
        <w:pStyle w:val="Footnotes"/>
        <w:keepNext/>
        <w:keepLines/>
        <w:numPr>
          <w:ilvl w:val="0"/>
          <w:numId w:val="201"/>
        </w:numPr>
        <w:spacing w:before="113"/>
        <w:ind w:left="284" w:hanging="284"/>
      </w:pPr>
      <w:r w:rsidRPr="009B24C1">
        <w:t xml:space="preserve">A </w:t>
      </w:r>
      <w:r w:rsidRPr="00FE5E8D">
        <w:t xml:space="preserve">positive number for the underlying cash balance indicates an increase in receipts or a decrease in </w:t>
      </w:r>
      <w:r w:rsidR="0080154C">
        <w:t>payments</w:t>
      </w:r>
      <w:r w:rsidRPr="00FE5E8D">
        <w:t xml:space="preserve"> or net capital investment in cash terms.  A negative number for the underlying cash balance indicates a decrease in receipts or an increase in </w:t>
      </w:r>
      <w:r w:rsidR="0080154C">
        <w:t>payments</w:t>
      </w:r>
      <w:r w:rsidRPr="00FE5E8D">
        <w:t xml:space="preserve"> or net capital investment in cash terms</w:t>
      </w:r>
      <w:r>
        <w:t>.</w:t>
      </w:r>
    </w:p>
    <w:p w:rsidR="004645EF" w:rsidRPr="005F544A" w:rsidRDefault="004645EF" w:rsidP="00F469BD">
      <w:pPr>
        <w:pStyle w:val="Footnotes"/>
        <w:spacing w:after="120"/>
        <w:ind w:left="284" w:hanging="284"/>
      </w:pPr>
      <w:r w:rsidRPr="005F544A">
        <w:t>Figures may not sum to totals due to rounding.</w:t>
      </w:r>
    </w:p>
    <w:p w:rsidR="004645EF" w:rsidRPr="005F544A" w:rsidRDefault="004645EF" w:rsidP="00F469BD">
      <w:pPr>
        <w:pStyle w:val="Footnotes"/>
        <w:numPr>
          <w:ilvl w:val="0"/>
          <w:numId w:val="0"/>
        </w:numPr>
        <w:ind w:left="284" w:hanging="284"/>
      </w:pPr>
      <w:r w:rsidRPr="005F544A">
        <w:t>..</w:t>
      </w:r>
      <w:r w:rsidRPr="005F544A">
        <w:tab/>
        <w:t>Not zero but rounded to zero.</w:t>
      </w:r>
    </w:p>
    <w:p w:rsidR="004645EF" w:rsidRDefault="004645EF" w:rsidP="00F469BD">
      <w:pPr>
        <w:pStyle w:val="Footnotes"/>
        <w:numPr>
          <w:ilvl w:val="0"/>
          <w:numId w:val="0"/>
        </w:numPr>
        <w:ind w:left="284" w:hanging="284"/>
      </w:pPr>
      <w:r w:rsidRPr="005F544A">
        <w:t>-</w:t>
      </w:r>
      <w:r w:rsidRPr="005F544A">
        <w:tab/>
        <w:t>Indicates nil.</w:t>
      </w:r>
    </w:p>
    <w:p w:rsidR="004645EF" w:rsidRDefault="004645EF" w:rsidP="004645EF">
      <w:pPr>
        <w:pStyle w:val="Caption"/>
        <w:keepLines/>
      </w:pPr>
      <w:r w:rsidRPr="002B36F1">
        <w:t xml:space="preserve">Table </w:t>
      </w:r>
      <w:r>
        <w:t>A3</w:t>
      </w:r>
      <w:r w:rsidRPr="002B36F1">
        <w:t>:</w:t>
      </w:r>
      <w:r>
        <w:t xml:space="preserve"> Smart Investment Fund—Headline cash balance</w:t>
      </w:r>
      <w:r w:rsidRPr="002B36F1">
        <w:rPr>
          <w:vertAlign w:val="superscript"/>
        </w:rPr>
        <w:t>(a)(b)</w:t>
      </w:r>
    </w:p>
    <w:tbl>
      <w:tblPr>
        <w:tblStyle w:val="Style1"/>
        <w:tblW w:w="5001" w:type="pct"/>
        <w:tblLook w:val="06A0" w:firstRow="1" w:lastRow="0" w:firstColumn="1" w:lastColumn="0" w:noHBand="1" w:noVBand="1"/>
      </w:tblPr>
      <w:tblGrid>
        <w:gridCol w:w="2546"/>
        <w:gridCol w:w="841"/>
        <w:gridCol w:w="840"/>
        <w:gridCol w:w="840"/>
        <w:gridCol w:w="840"/>
        <w:gridCol w:w="840"/>
        <w:gridCol w:w="840"/>
        <w:gridCol w:w="840"/>
        <w:gridCol w:w="840"/>
        <w:gridCol w:w="840"/>
        <w:gridCol w:w="840"/>
        <w:gridCol w:w="840"/>
        <w:gridCol w:w="840"/>
        <w:gridCol w:w="837"/>
      </w:tblGrid>
      <w:tr w:rsidR="004645EF" w:rsidTr="00F7554A">
        <w:trPr>
          <w:cnfStyle w:val="100000000000" w:firstRow="1" w:lastRow="0" w:firstColumn="0" w:lastColumn="0" w:oddVBand="0" w:evenVBand="0" w:oddHBand="0" w:evenHBand="0" w:firstRowFirstColumn="0" w:firstRowLastColumn="0" w:lastRowFirstColumn="0" w:lastRowLastColumn="0"/>
        </w:trPr>
        <w:tc>
          <w:tcPr>
            <w:tcW w:w="945" w:type="pct"/>
            <w:vAlign w:val="center"/>
          </w:tcPr>
          <w:p w:rsidR="004645EF" w:rsidRPr="007C2713" w:rsidRDefault="004645EF" w:rsidP="00F7554A">
            <w:pPr>
              <w:pStyle w:val="TableText"/>
              <w:keepNext/>
              <w:keepLines/>
              <w:rPr>
                <w:b w:val="0"/>
              </w:rPr>
            </w:pPr>
            <w:r>
              <w:t>($)</w:t>
            </w:r>
          </w:p>
        </w:tc>
        <w:tc>
          <w:tcPr>
            <w:tcW w:w="312" w:type="pct"/>
            <w:vAlign w:val="center"/>
          </w:tcPr>
          <w:p w:rsidR="004645EF" w:rsidRDefault="004645EF" w:rsidP="00F7554A">
            <w:pPr>
              <w:pStyle w:val="TableTextRight"/>
              <w:keepNext/>
              <w:keepLines/>
              <w:spacing w:before="0" w:after="0" w:line="240" w:lineRule="auto"/>
              <w:ind w:left="-57" w:right="-57"/>
              <w:rPr>
                <w:b w:val="0"/>
              </w:rPr>
            </w:pPr>
            <w:r>
              <w:t>2016–17</w:t>
            </w:r>
          </w:p>
        </w:tc>
        <w:tc>
          <w:tcPr>
            <w:tcW w:w="312" w:type="pct"/>
            <w:vAlign w:val="center"/>
          </w:tcPr>
          <w:p w:rsidR="004645EF" w:rsidRDefault="004645EF" w:rsidP="00F7554A">
            <w:pPr>
              <w:pStyle w:val="TableTextRight"/>
              <w:keepNext/>
              <w:keepLines/>
              <w:spacing w:before="0" w:after="0" w:line="240" w:lineRule="auto"/>
              <w:ind w:left="-57" w:right="-57"/>
              <w:rPr>
                <w:b w:val="0"/>
              </w:rPr>
            </w:pPr>
            <w:r>
              <w:t>2017–18</w:t>
            </w:r>
          </w:p>
        </w:tc>
        <w:tc>
          <w:tcPr>
            <w:tcW w:w="312" w:type="pct"/>
            <w:vAlign w:val="center"/>
          </w:tcPr>
          <w:p w:rsidR="004645EF" w:rsidRDefault="004645EF" w:rsidP="00F7554A">
            <w:pPr>
              <w:pStyle w:val="TableTextRight"/>
              <w:keepNext/>
              <w:keepLines/>
              <w:spacing w:before="0" w:after="0" w:line="240" w:lineRule="auto"/>
              <w:ind w:left="-57" w:right="-57"/>
              <w:rPr>
                <w:b w:val="0"/>
              </w:rPr>
            </w:pPr>
            <w:r>
              <w:t>2018–19</w:t>
            </w:r>
          </w:p>
        </w:tc>
        <w:tc>
          <w:tcPr>
            <w:tcW w:w="312" w:type="pct"/>
            <w:vAlign w:val="center"/>
          </w:tcPr>
          <w:p w:rsidR="004645EF" w:rsidRDefault="004645EF" w:rsidP="00F7554A">
            <w:pPr>
              <w:pStyle w:val="TableTextRight"/>
              <w:keepNext/>
              <w:keepLines/>
              <w:spacing w:before="0" w:after="0" w:line="240" w:lineRule="auto"/>
              <w:ind w:left="-57" w:right="-57"/>
              <w:rPr>
                <w:b w:val="0"/>
              </w:rPr>
            </w:pPr>
            <w:r>
              <w:t>2019–20</w:t>
            </w:r>
          </w:p>
        </w:tc>
        <w:tc>
          <w:tcPr>
            <w:tcW w:w="312" w:type="pct"/>
            <w:vAlign w:val="center"/>
          </w:tcPr>
          <w:p w:rsidR="004645EF" w:rsidRDefault="004645EF" w:rsidP="00F7554A">
            <w:pPr>
              <w:pStyle w:val="TableTextRight"/>
              <w:keepNext/>
              <w:keepLines/>
              <w:spacing w:before="0" w:after="0" w:line="240" w:lineRule="auto"/>
              <w:ind w:left="-57" w:right="-57"/>
              <w:rPr>
                <w:b w:val="0"/>
              </w:rPr>
            </w:pPr>
            <w:r>
              <w:t>Total to 2019–20</w:t>
            </w:r>
          </w:p>
        </w:tc>
        <w:tc>
          <w:tcPr>
            <w:tcW w:w="312" w:type="pct"/>
            <w:vAlign w:val="center"/>
          </w:tcPr>
          <w:p w:rsidR="004645EF" w:rsidRPr="00C24267" w:rsidRDefault="004645EF" w:rsidP="00F7554A">
            <w:pPr>
              <w:pStyle w:val="TableHeadingCentred"/>
              <w:ind w:left="-57" w:right="-57"/>
              <w:jc w:val="right"/>
            </w:pPr>
            <w:r w:rsidRPr="00C24267">
              <w:t>2020–21</w:t>
            </w:r>
          </w:p>
        </w:tc>
        <w:tc>
          <w:tcPr>
            <w:tcW w:w="312" w:type="pct"/>
            <w:vAlign w:val="center"/>
          </w:tcPr>
          <w:p w:rsidR="004645EF" w:rsidRPr="00C24267" w:rsidRDefault="004645EF" w:rsidP="00F7554A">
            <w:pPr>
              <w:pStyle w:val="TableHeadingCentred"/>
              <w:ind w:left="-57" w:right="-57"/>
              <w:jc w:val="right"/>
            </w:pPr>
            <w:r w:rsidRPr="00C24267">
              <w:t>2021–22</w:t>
            </w:r>
          </w:p>
        </w:tc>
        <w:tc>
          <w:tcPr>
            <w:tcW w:w="312" w:type="pct"/>
            <w:vAlign w:val="center"/>
          </w:tcPr>
          <w:p w:rsidR="004645EF" w:rsidRPr="00C24267" w:rsidRDefault="004645EF" w:rsidP="00F7554A">
            <w:pPr>
              <w:pStyle w:val="TableHeadingCentred"/>
              <w:ind w:left="-57" w:right="-57"/>
              <w:jc w:val="right"/>
            </w:pPr>
            <w:r w:rsidRPr="00C24267">
              <w:t>2022–23</w:t>
            </w:r>
          </w:p>
        </w:tc>
        <w:tc>
          <w:tcPr>
            <w:tcW w:w="312" w:type="pct"/>
            <w:vAlign w:val="center"/>
          </w:tcPr>
          <w:p w:rsidR="004645EF" w:rsidRPr="00C24267" w:rsidRDefault="004645EF" w:rsidP="00F7554A">
            <w:pPr>
              <w:pStyle w:val="TableHeadingCentred"/>
              <w:ind w:left="-57" w:right="-57"/>
              <w:jc w:val="right"/>
            </w:pPr>
            <w:r w:rsidRPr="00C24267">
              <w:t>2023–24</w:t>
            </w:r>
          </w:p>
        </w:tc>
        <w:tc>
          <w:tcPr>
            <w:tcW w:w="312" w:type="pct"/>
            <w:vAlign w:val="center"/>
          </w:tcPr>
          <w:p w:rsidR="004645EF" w:rsidRPr="00C24267" w:rsidRDefault="004645EF" w:rsidP="00F7554A">
            <w:pPr>
              <w:pStyle w:val="TableHeadingCentred"/>
              <w:ind w:left="-57" w:right="-57"/>
              <w:jc w:val="right"/>
            </w:pPr>
            <w:r w:rsidRPr="00C24267">
              <w:t>2024–25</w:t>
            </w:r>
          </w:p>
        </w:tc>
        <w:tc>
          <w:tcPr>
            <w:tcW w:w="312" w:type="pct"/>
            <w:vAlign w:val="center"/>
          </w:tcPr>
          <w:p w:rsidR="004645EF" w:rsidRPr="00C24267" w:rsidRDefault="004645EF" w:rsidP="00F7554A">
            <w:pPr>
              <w:pStyle w:val="TableHeadingCentred"/>
              <w:ind w:left="-57" w:right="-57"/>
              <w:jc w:val="right"/>
            </w:pPr>
            <w:r w:rsidRPr="00C24267">
              <w:t>2025–26</w:t>
            </w:r>
          </w:p>
        </w:tc>
        <w:tc>
          <w:tcPr>
            <w:tcW w:w="312" w:type="pct"/>
            <w:vAlign w:val="center"/>
          </w:tcPr>
          <w:p w:rsidR="004645EF" w:rsidRPr="00C24267" w:rsidRDefault="004645EF" w:rsidP="00F7554A">
            <w:pPr>
              <w:pStyle w:val="TableHeadingCentred"/>
              <w:ind w:left="-57" w:right="-57"/>
              <w:jc w:val="right"/>
            </w:pPr>
            <w:r w:rsidRPr="00C24267">
              <w:t>2026–27</w:t>
            </w:r>
          </w:p>
        </w:tc>
        <w:tc>
          <w:tcPr>
            <w:tcW w:w="311" w:type="pct"/>
            <w:vAlign w:val="center"/>
          </w:tcPr>
          <w:p w:rsidR="004645EF" w:rsidRPr="00C363AE" w:rsidRDefault="004645EF" w:rsidP="00F7554A">
            <w:pPr>
              <w:pStyle w:val="TableHeadingCentred"/>
              <w:ind w:left="-57" w:right="-57"/>
              <w:jc w:val="right"/>
              <w:rPr>
                <w:b/>
              </w:rPr>
            </w:pPr>
            <w:r w:rsidRPr="00C363AE">
              <w:t>Total to 2026–27</w:t>
            </w:r>
          </w:p>
        </w:tc>
      </w:tr>
      <w:tr w:rsidR="004645EF" w:rsidTr="00F7554A">
        <w:tc>
          <w:tcPr>
            <w:tcW w:w="945" w:type="pct"/>
            <w:vAlign w:val="center"/>
          </w:tcPr>
          <w:p w:rsidR="004645EF" w:rsidRPr="00004CDE" w:rsidRDefault="004645EF" w:rsidP="00F7554A">
            <w:pPr>
              <w:pStyle w:val="TableText"/>
              <w:keepNext/>
              <w:keepLines/>
            </w:pPr>
            <w:r w:rsidRPr="00004CDE">
              <w:t>Administered</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-0.3</w:t>
            </w:r>
          </w:p>
        </w:tc>
        <w:tc>
          <w:tcPr>
            <w:tcW w:w="312" w:type="pct"/>
            <w:vAlign w:val="center"/>
          </w:tcPr>
          <w:p w:rsidR="004645EF" w:rsidRPr="009E5037" w:rsidRDefault="004645EF" w:rsidP="00F7554A">
            <w:pPr>
              <w:pStyle w:val="TableTextRight"/>
              <w:keepNext/>
              <w:keepLines/>
              <w:ind w:left="-57" w:right="-57"/>
              <w:rPr>
                <w:i/>
              </w:rPr>
            </w:pPr>
            <w:r w:rsidRPr="009E5037">
              <w:rPr>
                <w:i/>
              </w:rPr>
              <w:t>-0.2</w:t>
            </w:r>
          </w:p>
        </w:tc>
        <w:tc>
          <w:tcPr>
            <w:tcW w:w="312" w:type="pct"/>
            <w:vAlign w:val="center"/>
          </w:tcPr>
          <w:p w:rsidR="004645EF" w:rsidRPr="009E5037" w:rsidRDefault="004645EF" w:rsidP="00F7554A">
            <w:pPr>
              <w:pStyle w:val="TableTextRight"/>
              <w:keepNext/>
              <w:keepLines/>
              <w:ind w:left="-57" w:right="-57"/>
              <w:rPr>
                <w:i/>
              </w:rPr>
            </w:pPr>
            <w:r w:rsidRPr="009E5037">
              <w:rPr>
                <w:i/>
              </w:rPr>
              <w:t>-0.4</w:t>
            </w:r>
          </w:p>
        </w:tc>
        <w:tc>
          <w:tcPr>
            <w:tcW w:w="312" w:type="pct"/>
            <w:vAlign w:val="center"/>
          </w:tcPr>
          <w:p w:rsidR="004645EF" w:rsidRPr="009E5037" w:rsidRDefault="004645EF" w:rsidP="00F7554A">
            <w:pPr>
              <w:pStyle w:val="TableTextRight"/>
              <w:keepNext/>
              <w:keepLines/>
              <w:ind w:left="-57" w:right="-57"/>
              <w:rPr>
                <w:i/>
              </w:rPr>
            </w:pPr>
            <w:r w:rsidRPr="009E5037">
              <w:rPr>
                <w:i/>
              </w:rPr>
              <w:t>-0.9</w:t>
            </w:r>
          </w:p>
        </w:tc>
        <w:tc>
          <w:tcPr>
            <w:tcW w:w="312" w:type="pct"/>
            <w:vAlign w:val="center"/>
          </w:tcPr>
          <w:p w:rsidR="004645EF" w:rsidRPr="009E5037" w:rsidRDefault="004645EF" w:rsidP="00F7554A">
            <w:pPr>
              <w:pStyle w:val="TableTextRight"/>
              <w:keepNext/>
              <w:keepLines/>
              <w:ind w:left="-57" w:right="-57"/>
              <w:rPr>
                <w:i/>
              </w:rPr>
            </w:pPr>
            <w:r w:rsidRPr="009E5037">
              <w:rPr>
                <w:i/>
              </w:rPr>
              <w:t>-0.2</w:t>
            </w:r>
          </w:p>
        </w:tc>
        <w:tc>
          <w:tcPr>
            <w:tcW w:w="312" w:type="pct"/>
            <w:vAlign w:val="center"/>
          </w:tcPr>
          <w:p w:rsidR="004645EF" w:rsidRPr="009E5037" w:rsidRDefault="004645EF" w:rsidP="00F7554A">
            <w:pPr>
              <w:pStyle w:val="TableTextRight"/>
              <w:keepNext/>
              <w:keepLines/>
              <w:ind w:left="-57" w:right="-57"/>
              <w:rPr>
                <w:i/>
              </w:rPr>
            </w:pPr>
            <w:r w:rsidRPr="009E5037">
              <w:rPr>
                <w:i/>
              </w:rPr>
              <w:t>-0.4</w:t>
            </w:r>
          </w:p>
        </w:tc>
        <w:tc>
          <w:tcPr>
            <w:tcW w:w="312" w:type="pct"/>
            <w:vAlign w:val="center"/>
          </w:tcPr>
          <w:p w:rsidR="004645EF" w:rsidRPr="009E5037" w:rsidRDefault="004645EF" w:rsidP="00F7554A">
            <w:pPr>
              <w:pStyle w:val="TableTextRight"/>
              <w:keepNext/>
              <w:keepLines/>
              <w:ind w:left="-57" w:right="-57"/>
              <w:rPr>
                <w:i/>
              </w:rPr>
            </w:pPr>
            <w:r w:rsidRPr="009E5037">
              <w:rPr>
                <w:i/>
              </w:rPr>
              <w:t xml:space="preserve">-0.2 </w:t>
            </w:r>
          </w:p>
        </w:tc>
        <w:tc>
          <w:tcPr>
            <w:tcW w:w="312" w:type="pct"/>
            <w:vAlign w:val="center"/>
          </w:tcPr>
          <w:p w:rsidR="004645EF" w:rsidRPr="009E5037" w:rsidRDefault="004645EF" w:rsidP="00F7554A">
            <w:pPr>
              <w:pStyle w:val="TableTextRight"/>
              <w:keepNext/>
              <w:keepLines/>
              <w:ind w:left="-57" w:right="-57"/>
              <w:rPr>
                <w:i/>
              </w:rPr>
            </w:pPr>
            <w:r w:rsidRPr="009E5037">
              <w:rPr>
                <w:i/>
              </w:rPr>
              <w:t>-0.3</w:t>
            </w:r>
          </w:p>
        </w:tc>
        <w:tc>
          <w:tcPr>
            <w:tcW w:w="312" w:type="pct"/>
            <w:vAlign w:val="center"/>
          </w:tcPr>
          <w:p w:rsidR="004645EF" w:rsidRPr="009E5037" w:rsidRDefault="004645EF" w:rsidP="00F7554A">
            <w:pPr>
              <w:pStyle w:val="TableTextRight"/>
              <w:keepNext/>
              <w:keepLines/>
              <w:ind w:left="-57" w:right="-57"/>
              <w:rPr>
                <w:i/>
              </w:rPr>
            </w:pPr>
            <w:r w:rsidRPr="009E5037">
              <w:rPr>
                <w:i/>
              </w:rPr>
              <w:t>-0.3</w:t>
            </w:r>
          </w:p>
        </w:tc>
        <w:tc>
          <w:tcPr>
            <w:tcW w:w="312" w:type="pct"/>
            <w:vAlign w:val="center"/>
          </w:tcPr>
          <w:p w:rsidR="004645EF" w:rsidRPr="009E5037" w:rsidRDefault="004645EF" w:rsidP="00F7554A">
            <w:pPr>
              <w:pStyle w:val="TableTextRight"/>
              <w:keepNext/>
              <w:keepLines/>
              <w:ind w:left="-57" w:right="-57"/>
              <w:rPr>
                <w:i/>
              </w:rPr>
            </w:pPr>
            <w:r w:rsidRPr="009E5037">
              <w:rPr>
                <w:i/>
              </w:rPr>
              <w:t>-0.3</w:t>
            </w:r>
          </w:p>
        </w:tc>
        <w:tc>
          <w:tcPr>
            <w:tcW w:w="312" w:type="pct"/>
            <w:vAlign w:val="center"/>
          </w:tcPr>
          <w:p w:rsidR="004645EF" w:rsidRPr="009E5037" w:rsidRDefault="004645EF" w:rsidP="00F7554A">
            <w:pPr>
              <w:pStyle w:val="TableTextRight"/>
              <w:keepNext/>
              <w:keepLines/>
              <w:ind w:left="-57" w:right="-57"/>
              <w:rPr>
                <w:i/>
              </w:rPr>
            </w:pPr>
            <w:r w:rsidRPr="009E5037">
              <w:rPr>
                <w:i/>
              </w:rPr>
              <w:t>-0.3</w:t>
            </w:r>
          </w:p>
        </w:tc>
        <w:tc>
          <w:tcPr>
            <w:tcW w:w="311" w:type="pct"/>
            <w:vAlign w:val="center"/>
          </w:tcPr>
          <w:p w:rsidR="004645EF" w:rsidRPr="009E5037" w:rsidRDefault="004645EF" w:rsidP="00F7554A">
            <w:pPr>
              <w:pStyle w:val="TableTextRight"/>
              <w:keepNext/>
              <w:keepLines/>
              <w:ind w:left="-57" w:right="-57"/>
              <w:rPr>
                <w:b/>
                <w:i/>
              </w:rPr>
            </w:pPr>
            <w:r w:rsidRPr="009E5037">
              <w:rPr>
                <w:b/>
                <w:i/>
              </w:rPr>
              <w:t>-2.8</w:t>
            </w:r>
          </w:p>
        </w:tc>
      </w:tr>
      <w:tr w:rsidR="004645EF" w:rsidTr="00F7554A">
        <w:tc>
          <w:tcPr>
            <w:tcW w:w="945" w:type="pct"/>
            <w:vAlign w:val="center"/>
          </w:tcPr>
          <w:p w:rsidR="004645EF" w:rsidRPr="00004CDE" w:rsidRDefault="004645EF" w:rsidP="00F7554A">
            <w:pPr>
              <w:pStyle w:val="TableText"/>
              <w:keepNext/>
              <w:keepLines/>
            </w:pPr>
            <w:r w:rsidRPr="00004CDE">
              <w:t>Departmental</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-1.8</w:t>
            </w:r>
          </w:p>
        </w:tc>
        <w:tc>
          <w:tcPr>
            <w:tcW w:w="312" w:type="pct"/>
            <w:vAlign w:val="center"/>
          </w:tcPr>
          <w:p w:rsidR="004645EF" w:rsidRPr="009E5037" w:rsidRDefault="004645EF" w:rsidP="00F7554A">
            <w:pPr>
              <w:pStyle w:val="TableTextRight"/>
              <w:keepNext/>
              <w:keepLines/>
              <w:ind w:left="-57" w:right="-57"/>
              <w:rPr>
                <w:i/>
              </w:rPr>
            </w:pPr>
            <w:r w:rsidRPr="009E5037">
              <w:rPr>
                <w:i/>
              </w:rPr>
              <w:t>-1.4</w:t>
            </w:r>
          </w:p>
        </w:tc>
        <w:tc>
          <w:tcPr>
            <w:tcW w:w="312" w:type="pct"/>
            <w:vAlign w:val="center"/>
          </w:tcPr>
          <w:p w:rsidR="004645EF" w:rsidRPr="009E5037" w:rsidRDefault="004645EF" w:rsidP="00F7554A">
            <w:pPr>
              <w:pStyle w:val="TableTextRight"/>
              <w:keepNext/>
              <w:keepLines/>
              <w:ind w:left="-57" w:right="-57"/>
              <w:rPr>
                <w:i/>
              </w:rPr>
            </w:pPr>
            <w:r w:rsidRPr="009E5037">
              <w:rPr>
                <w:i/>
              </w:rPr>
              <w:t>-2.0</w:t>
            </w:r>
          </w:p>
        </w:tc>
        <w:tc>
          <w:tcPr>
            <w:tcW w:w="312" w:type="pct"/>
            <w:vAlign w:val="center"/>
          </w:tcPr>
          <w:p w:rsidR="004645EF" w:rsidRPr="009E5037" w:rsidRDefault="004645EF" w:rsidP="00F7554A">
            <w:pPr>
              <w:pStyle w:val="TableTextRight"/>
              <w:keepNext/>
              <w:keepLines/>
              <w:ind w:left="-57" w:right="-57"/>
              <w:rPr>
                <w:i/>
              </w:rPr>
            </w:pPr>
            <w:r w:rsidRPr="009E5037">
              <w:rPr>
                <w:i/>
              </w:rPr>
              <w:t>-5.2</w:t>
            </w:r>
          </w:p>
        </w:tc>
        <w:tc>
          <w:tcPr>
            <w:tcW w:w="312" w:type="pct"/>
            <w:vAlign w:val="center"/>
          </w:tcPr>
          <w:p w:rsidR="004645EF" w:rsidRPr="009E5037" w:rsidRDefault="004645EF" w:rsidP="00F7554A">
            <w:pPr>
              <w:pStyle w:val="TableTextRight"/>
              <w:keepNext/>
              <w:keepLines/>
              <w:ind w:left="-57" w:right="-57"/>
              <w:rPr>
                <w:i/>
              </w:rPr>
            </w:pPr>
            <w:r w:rsidRPr="009E5037">
              <w:rPr>
                <w:i/>
              </w:rPr>
              <w:t>-1.5</w:t>
            </w:r>
          </w:p>
        </w:tc>
        <w:tc>
          <w:tcPr>
            <w:tcW w:w="312" w:type="pct"/>
            <w:vAlign w:val="center"/>
          </w:tcPr>
          <w:p w:rsidR="004645EF" w:rsidRPr="009E5037" w:rsidRDefault="004645EF" w:rsidP="00F7554A">
            <w:pPr>
              <w:pStyle w:val="TableTextRight"/>
              <w:keepNext/>
              <w:keepLines/>
              <w:ind w:left="-57" w:right="-57"/>
              <w:rPr>
                <w:i/>
              </w:rPr>
            </w:pPr>
            <w:r w:rsidRPr="009E5037">
              <w:rPr>
                <w:i/>
              </w:rPr>
              <w:t>-2.1</w:t>
            </w:r>
          </w:p>
        </w:tc>
        <w:tc>
          <w:tcPr>
            <w:tcW w:w="312" w:type="pct"/>
            <w:vAlign w:val="center"/>
          </w:tcPr>
          <w:p w:rsidR="004645EF" w:rsidRPr="009E5037" w:rsidRDefault="004645EF" w:rsidP="00F7554A">
            <w:pPr>
              <w:pStyle w:val="TableTextRight"/>
              <w:keepNext/>
              <w:keepLines/>
              <w:ind w:left="-57" w:right="-57"/>
              <w:rPr>
                <w:i/>
              </w:rPr>
            </w:pPr>
            <w:r w:rsidRPr="009E5037">
              <w:rPr>
                <w:i/>
              </w:rPr>
              <w:t xml:space="preserve">-1.6 </w:t>
            </w:r>
          </w:p>
        </w:tc>
        <w:tc>
          <w:tcPr>
            <w:tcW w:w="312" w:type="pct"/>
            <w:vAlign w:val="center"/>
          </w:tcPr>
          <w:p w:rsidR="004645EF" w:rsidRPr="009E5037" w:rsidRDefault="004645EF" w:rsidP="00F7554A">
            <w:pPr>
              <w:pStyle w:val="TableTextRight"/>
              <w:keepNext/>
              <w:keepLines/>
              <w:ind w:left="-57" w:right="-57"/>
              <w:rPr>
                <w:i/>
              </w:rPr>
            </w:pPr>
            <w:r w:rsidRPr="009E5037">
              <w:rPr>
                <w:i/>
              </w:rPr>
              <w:t>-1.6</w:t>
            </w:r>
          </w:p>
        </w:tc>
        <w:tc>
          <w:tcPr>
            <w:tcW w:w="312" w:type="pct"/>
            <w:vAlign w:val="center"/>
          </w:tcPr>
          <w:p w:rsidR="004645EF" w:rsidRPr="009E5037" w:rsidRDefault="004645EF" w:rsidP="00F7554A">
            <w:pPr>
              <w:pStyle w:val="TableTextRight"/>
              <w:keepNext/>
              <w:keepLines/>
              <w:ind w:left="-57" w:right="-57"/>
              <w:rPr>
                <w:i/>
              </w:rPr>
            </w:pPr>
            <w:r w:rsidRPr="009E5037">
              <w:rPr>
                <w:i/>
              </w:rPr>
              <w:t>-1.4</w:t>
            </w:r>
          </w:p>
        </w:tc>
        <w:tc>
          <w:tcPr>
            <w:tcW w:w="312" w:type="pct"/>
            <w:vAlign w:val="center"/>
          </w:tcPr>
          <w:p w:rsidR="004645EF" w:rsidRPr="009E5037" w:rsidRDefault="004645EF" w:rsidP="00F7554A">
            <w:pPr>
              <w:pStyle w:val="TableTextRight"/>
              <w:keepNext/>
              <w:keepLines/>
              <w:ind w:left="-57" w:right="-57"/>
              <w:rPr>
                <w:i/>
              </w:rPr>
            </w:pPr>
            <w:r w:rsidRPr="009E5037">
              <w:rPr>
                <w:i/>
              </w:rPr>
              <w:t>-1.4</w:t>
            </w:r>
          </w:p>
        </w:tc>
        <w:tc>
          <w:tcPr>
            <w:tcW w:w="312" w:type="pct"/>
            <w:vAlign w:val="center"/>
          </w:tcPr>
          <w:p w:rsidR="004645EF" w:rsidRPr="009E5037" w:rsidRDefault="004645EF" w:rsidP="00F7554A">
            <w:pPr>
              <w:pStyle w:val="TableTextRight"/>
              <w:keepNext/>
              <w:keepLines/>
              <w:ind w:left="-57" w:right="-57"/>
              <w:rPr>
                <w:i/>
              </w:rPr>
            </w:pPr>
            <w:r w:rsidRPr="009E5037">
              <w:rPr>
                <w:i/>
              </w:rPr>
              <w:t>-1.4</w:t>
            </w:r>
          </w:p>
        </w:tc>
        <w:tc>
          <w:tcPr>
            <w:tcW w:w="311" w:type="pct"/>
            <w:vAlign w:val="center"/>
          </w:tcPr>
          <w:p w:rsidR="004645EF" w:rsidRPr="009E5037" w:rsidRDefault="004645EF" w:rsidP="00F7554A">
            <w:pPr>
              <w:pStyle w:val="TableTextRight"/>
              <w:keepNext/>
              <w:keepLines/>
              <w:ind w:left="-57" w:right="-57"/>
              <w:rPr>
                <w:b/>
                <w:i/>
              </w:rPr>
            </w:pPr>
            <w:r w:rsidRPr="009E5037">
              <w:rPr>
                <w:b/>
                <w:i/>
              </w:rPr>
              <w:t>-16.1</w:t>
            </w:r>
          </w:p>
        </w:tc>
      </w:tr>
      <w:tr w:rsidR="004645EF" w:rsidTr="00F7554A">
        <w:tc>
          <w:tcPr>
            <w:tcW w:w="945" w:type="pct"/>
            <w:vAlign w:val="center"/>
          </w:tcPr>
          <w:p w:rsidR="004645EF" w:rsidRPr="00004CDE" w:rsidRDefault="004645EF" w:rsidP="00F7554A">
            <w:pPr>
              <w:pStyle w:val="TableText"/>
              <w:keepNext/>
              <w:keepLines/>
            </w:pPr>
            <w:r w:rsidRPr="00004CDE">
              <w:t>Fund investments</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-14.3</w:t>
            </w:r>
          </w:p>
        </w:tc>
        <w:tc>
          <w:tcPr>
            <w:tcW w:w="312" w:type="pct"/>
            <w:vAlign w:val="center"/>
          </w:tcPr>
          <w:p w:rsidR="004645EF" w:rsidRPr="009E5037" w:rsidRDefault="004645EF" w:rsidP="00F7554A">
            <w:pPr>
              <w:pStyle w:val="TableTextRight"/>
              <w:keepNext/>
              <w:keepLines/>
              <w:ind w:left="-57" w:right="-57"/>
              <w:rPr>
                <w:i/>
              </w:rPr>
            </w:pPr>
            <w:r w:rsidRPr="009E5037">
              <w:rPr>
                <w:i/>
              </w:rPr>
              <w:t>-27.1</w:t>
            </w:r>
          </w:p>
        </w:tc>
        <w:tc>
          <w:tcPr>
            <w:tcW w:w="312" w:type="pct"/>
            <w:vAlign w:val="center"/>
          </w:tcPr>
          <w:p w:rsidR="004645EF" w:rsidRPr="009E5037" w:rsidRDefault="004645EF" w:rsidP="00F7554A">
            <w:pPr>
              <w:pStyle w:val="TableTextRight"/>
              <w:keepNext/>
              <w:keepLines/>
              <w:ind w:left="-57" w:right="-57"/>
              <w:rPr>
                <w:i/>
              </w:rPr>
            </w:pPr>
            <w:r w:rsidRPr="009E5037">
              <w:rPr>
                <w:i/>
              </w:rPr>
              <w:t>-41.4</w:t>
            </w:r>
          </w:p>
        </w:tc>
        <w:tc>
          <w:tcPr>
            <w:tcW w:w="312" w:type="pct"/>
            <w:vAlign w:val="center"/>
          </w:tcPr>
          <w:p w:rsidR="004645EF" w:rsidRPr="009E5037" w:rsidRDefault="004645EF" w:rsidP="00F7554A">
            <w:pPr>
              <w:pStyle w:val="TableTextRight"/>
              <w:keepNext/>
              <w:keepLines/>
              <w:ind w:left="-57" w:right="-57"/>
              <w:rPr>
                <w:i/>
              </w:rPr>
            </w:pPr>
            <w:r w:rsidRPr="009E5037">
              <w:rPr>
                <w:i/>
              </w:rPr>
              <w:t>-41.4</w:t>
            </w:r>
          </w:p>
        </w:tc>
        <w:tc>
          <w:tcPr>
            <w:tcW w:w="312" w:type="pct"/>
            <w:vAlign w:val="center"/>
          </w:tcPr>
          <w:p w:rsidR="004645EF" w:rsidRPr="009E5037" w:rsidRDefault="004645EF" w:rsidP="00F7554A">
            <w:pPr>
              <w:pStyle w:val="TableTextRight"/>
              <w:keepNext/>
              <w:keepLines/>
              <w:ind w:left="-57" w:right="-57"/>
              <w:rPr>
                <w:i/>
              </w:rPr>
            </w:pPr>
            <w:r w:rsidRPr="009E5037">
              <w:rPr>
                <w:i/>
              </w:rPr>
              <w:t>-48.6</w:t>
            </w:r>
          </w:p>
        </w:tc>
        <w:tc>
          <w:tcPr>
            <w:tcW w:w="312" w:type="pct"/>
            <w:vAlign w:val="center"/>
          </w:tcPr>
          <w:p w:rsidR="004645EF" w:rsidRPr="009E5037" w:rsidRDefault="004645EF" w:rsidP="00F7554A">
            <w:pPr>
              <w:pStyle w:val="TableTextRight"/>
              <w:keepNext/>
              <w:keepLines/>
              <w:ind w:left="-57" w:right="-57"/>
              <w:rPr>
                <w:i/>
              </w:rPr>
            </w:pPr>
            <w:r w:rsidRPr="009E5037">
              <w:rPr>
                <w:i/>
              </w:rPr>
              <w:t xml:space="preserve">-60.0 </w:t>
            </w:r>
          </w:p>
        </w:tc>
        <w:tc>
          <w:tcPr>
            <w:tcW w:w="312" w:type="pct"/>
            <w:vAlign w:val="center"/>
          </w:tcPr>
          <w:p w:rsidR="004645EF" w:rsidRPr="009E5037" w:rsidRDefault="004645EF" w:rsidP="00F7554A">
            <w:pPr>
              <w:pStyle w:val="TableTextRight"/>
              <w:keepNext/>
              <w:keepLines/>
              <w:ind w:left="-57" w:right="-57"/>
              <w:rPr>
                <w:i/>
              </w:rPr>
            </w:pPr>
            <w:r w:rsidRPr="009E5037">
              <w:rPr>
                <w:i/>
              </w:rPr>
              <w:t>-57.1</w:t>
            </w:r>
          </w:p>
        </w:tc>
        <w:tc>
          <w:tcPr>
            <w:tcW w:w="312" w:type="pct"/>
            <w:vAlign w:val="center"/>
          </w:tcPr>
          <w:p w:rsidR="004645EF" w:rsidRPr="009E5037" w:rsidRDefault="004645EF" w:rsidP="00F7554A">
            <w:pPr>
              <w:pStyle w:val="TableTextRight"/>
              <w:keepNext/>
              <w:keepLines/>
              <w:ind w:left="-57" w:right="-57"/>
              <w:rPr>
                <w:i/>
              </w:rPr>
            </w:pPr>
            <w:r w:rsidRPr="009E5037">
              <w:rPr>
                <w:i/>
              </w:rPr>
              <w:t>-57.1</w:t>
            </w:r>
          </w:p>
        </w:tc>
        <w:tc>
          <w:tcPr>
            <w:tcW w:w="312" w:type="pct"/>
            <w:vAlign w:val="center"/>
          </w:tcPr>
          <w:p w:rsidR="004645EF" w:rsidRPr="009E5037" w:rsidRDefault="004645EF" w:rsidP="00F7554A">
            <w:pPr>
              <w:pStyle w:val="TableTextRight"/>
              <w:keepNext/>
              <w:keepLines/>
              <w:ind w:left="-57" w:right="-57"/>
              <w:rPr>
                <w:i/>
              </w:rPr>
            </w:pPr>
            <w:r w:rsidRPr="009E5037">
              <w:rPr>
                <w:i/>
              </w:rPr>
              <w:t>-54.3</w:t>
            </w:r>
          </w:p>
        </w:tc>
        <w:tc>
          <w:tcPr>
            <w:tcW w:w="312" w:type="pct"/>
            <w:vAlign w:val="center"/>
          </w:tcPr>
          <w:p w:rsidR="004645EF" w:rsidRPr="009E5037" w:rsidRDefault="004645EF" w:rsidP="00F7554A">
            <w:pPr>
              <w:pStyle w:val="TableTextRight"/>
              <w:keepNext/>
              <w:keepLines/>
              <w:ind w:left="-57" w:right="-57"/>
              <w:rPr>
                <w:i/>
              </w:rPr>
            </w:pPr>
            <w:r w:rsidRPr="009E5037">
              <w:rPr>
                <w:i/>
              </w:rPr>
              <w:t>-51.4</w:t>
            </w:r>
          </w:p>
        </w:tc>
        <w:tc>
          <w:tcPr>
            <w:tcW w:w="311" w:type="pct"/>
            <w:vAlign w:val="center"/>
          </w:tcPr>
          <w:p w:rsidR="004645EF" w:rsidRPr="009E5037" w:rsidRDefault="004645EF" w:rsidP="00F7554A">
            <w:pPr>
              <w:pStyle w:val="TableTextRight"/>
              <w:keepNext/>
              <w:keepLines/>
              <w:ind w:left="-57" w:right="-57"/>
              <w:rPr>
                <w:b/>
                <w:i/>
              </w:rPr>
            </w:pPr>
            <w:r w:rsidRPr="009E5037">
              <w:rPr>
                <w:b/>
                <w:i/>
              </w:rPr>
              <w:t>-411.4</w:t>
            </w:r>
          </w:p>
        </w:tc>
      </w:tr>
      <w:tr w:rsidR="004645EF" w:rsidTr="00F7554A">
        <w:tc>
          <w:tcPr>
            <w:tcW w:w="945" w:type="pct"/>
            <w:vAlign w:val="center"/>
          </w:tcPr>
          <w:p w:rsidR="004645EF" w:rsidRPr="00004CDE" w:rsidRDefault="004645EF" w:rsidP="00F7554A">
            <w:pPr>
              <w:pStyle w:val="TableText"/>
              <w:keepNext/>
              <w:keepLines/>
            </w:pPr>
            <w:r w:rsidRPr="00004CDE">
              <w:t>Public Debt Interest</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w:t>
            </w:r>
          </w:p>
        </w:tc>
        <w:tc>
          <w:tcPr>
            <w:tcW w:w="312" w:type="pct"/>
            <w:vAlign w:val="center"/>
          </w:tcPr>
          <w:p w:rsidR="004645EF" w:rsidRPr="009E5037" w:rsidRDefault="004645EF" w:rsidP="00F7554A">
            <w:pPr>
              <w:pStyle w:val="TableTextRight"/>
              <w:keepNext/>
              <w:keepLines/>
              <w:ind w:left="-57" w:right="-57"/>
              <w:rPr>
                <w:i/>
              </w:rPr>
            </w:pPr>
            <w:r w:rsidRPr="009E5037">
              <w:rPr>
                <w:i/>
              </w:rPr>
              <w:t>-0.2</w:t>
            </w:r>
          </w:p>
        </w:tc>
        <w:tc>
          <w:tcPr>
            <w:tcW w:w="312" w:type="pct"/>
            <w:vAlign w:val="center"/>
          </w:tcPr>
          <w:p w:rsidR="004645EF" w:rsidRPr="009E5037" w:rsidRDefault="004645EF" w:rsidP="00F7554A">
            <w:pPr>
              <w:pStyle w:val="TableTextRight"/>
              <w:keepNext/>
              <w:keepLines/>
              <w:ind w:left="-57" w:right="-57"/>
              <w:rPr>
                <w:i/>
              </w:rPr>
            </w:pPr>
            <w:r w:rsidRPr="009E5037">
              <w:rPr>
                <w:i/>
              </w:rPr>
              <w:t>-0.8</w:t>
            </w:r>
          </w:p>
        </w:tc>
        <w:tc>
          <w:tcPr>
            <w:tcW w:w="312" w:type="pct"/>
            <w:vAlign w:val="center"/>
          </w:tcPr>
          <w:p w:rsidR="004645EF" w:rsidRPr="009E5037" w:rsidRDefault="004645EF" w:rsidP="00F7554A">
            <w:pPr>
              <w:pStyle w:val="TableTextRight"/>
              <w:keepNext/>
              <w:keepLines/>
              <w:ind w:left="-57" w:right="-57"/>
              <w:rPr>
                <w:i/>
              </w:rPr>
            </w:pPr>
            <w:r w:rsidRPr="009E5037">
              <w:rPr>
                <w:i/>
              </w:rPr>
              <w:t>-1.0</w:t>
            </w:r>
          </w:p>
        </w:tc>
        <w:tc>
          <w:tcPr>
            <w:tcW w:w="312" w:type="pct"/>
            <w:vAlign w:val="center"/>
          </w:tcPr>
          <w:p w:rsidR="004645EF" w:rsidRPr="009E5037" w:rsidRDefault="004645EF" w:rsidP="00F7554A">
            <w:pPr>
              <w:pStyle w:val="TableTextRight"/>
              <w:keepNext/>
              <w:keepLines/>
              <w:ind w:left="-57" w:right="-57"/>
              <w:rPr>
                <w:i/>
              </w:rPr>
            </w:pPr>
            <w:r w:rsidRPr="009E5037">
              <w:rPr>
                <w:i/>
              </w:rPr>
              <w:t>-2.3</w:t>
            </w:r>
          </w:p>
        </w:tc>
        <w:tc>
          <w:tcPr>
            <w:tcW w:w="312" w:type="pct"/>
            <w:vAlign w:val="center"/>
          </w:tcPr>
          <w:p w:rsidR="004645EF" w:rsidRPr="009E5037" w:rsidRDefault="004645EF" w:rsidP="00F7554A">
            <w:pPr>
              <w:pStyle w:val="TableTextRight"/>
              <w:keepNext/>
              <w:keepLines/>
              <w:ind w:left="-57" w:right="-57"/>
              <w:rPr>
                <w:i/>
              </w:rPr>
            </w:pPr>
            <w:r w:rsidRPr="009E5037">
              <w:rPr>
                <w:i/>
              </w:rPr>
              <w:t>-4.7</w:t>
            </w:r>
          </w:p>
        </w:tc>
        <w:tc>
          <w:tcPr>
            <w:tcW w:w="312" w:type="pct"/>
            <w:vAlign w:val="center"/>
          </w:tcPr>
          <w:p w:rsidR="004645EF" w:rsidRPr="009E5037" w:rsidRDefault="004645EF" w:rsidP="00F7554A">
            <w:pPr>
              <w:pStyle w:val="TableTextRight"/>
              <w:keepNext/>
              <w:keepLines/>
              <w:ind w:left="-57" w:right="-57"/>
              <w:rPr>
                <w:i/>
              </w:rPr>
            </w:pPr>
            <w:r w:rsidRPr="009E5037">
              <w:rPr>
                <w:i/>
              </w:rPr>
              <w:t xml:space="preserve">-8.0 </w:t>
            </w:r>
          </w:p>
        </w:tc>
        <w:tc>
          <w:tcPr>
            <w:tcW w:w="312" w:type="pct"/>
            <w:vAlign w:val="center"/>
          </w:tcPr>
          <w:p w:rsidR="004645EF" w:rsidRPr="009E5037" w:rsidRDefault="004645EF" w:rsidP="00F7554A">
            <w:pPr>
              <w:pStyle w:val="TableTextRight"/>
              <w:keepNext/>
              <w:keepLines/>
              <w:ind w:left="-57" w:right="-57"/>
              <w:rPr>
                <w:i/>
              </w:rPr>
            </w:pPr>
            <w:r w:rsidRPr="009E5037">
              <w:rPr>
                <w:i/>
              </w:rPr>
              <w:t>-11.9</w:t>
            </w:r>
          </w:p>
        </w:tc>
        <w:tc>
          <w:tcPr>
            <w:tcW w:w="312" w:type="pct"/>
            <w:vAlign w:val="center"/>
          </w:tcPr>
          <w:p w:rsidR="004645EF" w:rsidRPr="009E5037" w:rsidRDefault="004645EF" w:rsidP="00F7554A">
            <w:pPr>
              <w:pStyle w:val="TableTextRight"/>
              <w:keepNext/>
              <w:keepLines/>
              <w:ind w:left="-57" w:right="-57"/>
              <w:rPr>
                <w:i/>
              </w:rPr>
            </w:pPr>
            <w:r w:rsidRPr="009E5037">
              <w:rPr>
                <w:i/>
              </w:rPr>
              <w:t>-16.3</w:t>
            </w:r>
          </w:p>
        </w:tc>
        <w:tc>
          <w:tcPr>
            <w:tcW w:w="312" w:type="pct"/>
            <w:vAlign w:val="center"/>
          </w:tcPr>
          <w:p w:rsidR="004645EF" w:rsidRPr="009E5037" w:rsidRDefault="004645EF" w:rsidP="00F7554A">
            <w:pPr>
              <w:pStyle w:val="TableTextRight"/>
              <w:keepNext/>
              <w:keepLines/>
              <w:ind w:left="-57" w:right="-57"/>
              <w:rPr>
                <w:i/>
              </w:rPr>
            </w:pPr>
            <w:r w:rsidRPr="009E5037">
              <w:rPr>
                <w:i/>
              </w:rPr>
              <w:t>-20.9</w:t>
            </w:r>
          </w:p>
        </w:tc>
        <w:tc>
          <w:tcPr>
            <w:tcW w:w="312" w:type="pct"/>
            <w:vAlign w:val="center"/>
          </w:tcPr>
          <w:p w:rsidR="004645EF" w:rsidRPr="009E5037" w:rsidRDefault="004645EF" w:rsidP="00F7554A">
            <w:pPr>
              <w:pStyle w:val="TableTextRight"/>
              <w:keepNext/>
              <w:keepLines/>
              <w:ind w:left="-57" w:right="-57"/>
              <w:rPr>
                <w:i/>
              </w:rPr>
            </w:pPr>
            <w:r w:rsidRPr="009E5037">
              <w:rPr>
                <w:i/>
              </w:rPr>
              <w:t>-25.7</w:t>
            </w:r>
          </w:p>
        </w:tc>
        <w:tc>
          <w:tcPr>
            <w:tcW w:w="311" w:type="pct"/>
            <w:vAlign w:val="center"/>
          </w:tcPr>
          <w:p w:rsidR="004645EF" w:rsidRPr="009E5037" w:rsidRDefault="004645EF" w:rsidP="00F7554A">
            <w:pPr>
              <w:pStyle w:val="TableTextRight"/>
              <w:keepNext/>
              <w:keepLines/>
              <w:ind w:left="-57" w:right="-57"/>
              <w:rPr>
                <w:b/>
                <w:i/>
              </w:rPr>
            </w:pPr>
            <w:r w:rsidRPr="009E5037">
              <w:rPr>
                <w:b/>
                <w:i/>
              </w:rPr>
              <w:t>-90.8</w:t>
            </w:r>
          </w:p>
        </w:tc>
      </w:tr>
      <w:tr w:rsidR="0073534F" w:rsidRPr="007C2713" w:rsidTr="00F7554A">
        <w:tc>
          <w:tcPr>
            <w:tcW w:w="945" w:type="pct"/>
            <w:shd w:val="clear" w:color="auto" w:fill="D7DDE9" w:themeFill="accent3"/>
            <w:vAlign w:val="center"/>
          </w:tcPr>
          <w:p w:rsidR="004645EF" w:rsidRPr="009E5037" w:rsidRDefault="004645EF" w:rsidP="00F7554A">
            <w:pPr>
              <w:pStyle w:val="TableText"/>
              <w:keepNext/>
              <w:keepLines/>
              <w:rPr>
                <w:b/>
              </w:rPr>
            </w:pPr>
            <w:r w:rsidRPr="009E5037">
              <w:rPr>
                <w:b/>
              </w:rPr>
              <w:t>Total headline cash impact</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-2.1</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-16.1</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-30.3</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-48.5</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-45.4</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-55.8</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 xml:space="preserve">-69.8 </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-70.9</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-75.1</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-76.9</w:t>
            </w:r>
          </w:p>
        </w:tc>
        <w:tc>
          <w:tcPr>
            <w:tcW w:w="312"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-78.8</w:t>
            </w:r>
          </w:p>
        </w:tc>
        <w:tc>
          <w:tcPr>
            <w:tcW w:w="311" w:type="pct"/>
            <w:shd w:val="clear" w:color="auto" w:fill="D7DDE9" w:themeFill="accent3"/>
            <w:vAlign w:val="center"/>
          </w:tcPr>
          <w:p w:rsidR="004645EF" w:rsidRPr="009E5037" w:rsidRDefault="004645EF" w:rsidP="00F7554A">
            <w:pPr>
              <w:pStyle w:val="TableTextRight"/>
              <w:keepNext/>
              <w:keepLines/>
              <w:ind w:left="-57" w:right="-57"/>
              <w:rPr>
                <w:b/>
              </w:rPr>
            </w:pPr>
            <w:r w:rsidRPr="009E5037">
              <w:rPr>
                <w:b/>
              </w:rPr>
              <w:t>-521.1</w:t>
            </w:r>
          </w:p>
        </w:tc>
      </w:tr>
    </w:tbl>
    <w:p w:rsidR="004645EF" w:rsidRDefault="004645EF" w:rsidP="00F469BD">
      <w:pPr>
        <w:pStyle w:val="Footnotes"/>
        <w:keepNext/>
        <w:keepLines/>
        <w:numPr>
          <w:ilvl w:val="0"/>
          <w:numId w:val="202"/>
        </w:numPr>
        <w:spacing w:before="113"/>
        <w:ind w:left="284" w:hanging="284"/>
      </w:pPr>
      <w:r w:rsidRPr="009B24C1">
        <w:t xml:space="preserve">A </w:t>
      </w:r>
      <w:r w:rsidRPr="00DB3B7E">
        <w:t xml:space="preserve">positive number for the </w:t>
      </w:r>
      <w:r>
        <w:t>headline</w:t>
      </w:r>
      <w:r w:rsidRPr="00DB3B7E">
        <w:t xml:space="preserve"> cash balance indicates an increase </w:t>
      </w:r>
      <w:r>
        <w:t>in cash flows</w:t>
      </w:r>
      <w:r w:rsidRPr="00DB3B7E">
        <w:t xml:space="preserve">. </w:t>
      </w:r>
      <w:r>
        <w:t xml:space="preserve"> </w:t>
      </w:r>
      <w:r w:rsidRPr="00DB3B7E">
        <w:t xml:space="preserve">A negative number for the </w:t>
      </w:r>
      <w:r>
        <w:t>headline cash</w:t>
      </w:r>
      <w:r w:rsidRPr="00DB3B7E">
        <w:t xml:space="preserve"> balance indicates a decrease in </w:t>
      </w:r>
      <w:r>
        <w:t>cash flow</w:t>
      </w:r>
      <w:r w:rsidRPr="00DB3B7E">
        <w:t>s</w:t>
      </w:r>
      <w:r>
        <w:t>.</w:t>
      </w:r>
    </w:p>
    <w:p w:rsidR="004645EF" w:rsidRPr="005F544A" w:rsidRDefault="004645EF" w:rsidP="00F469BD">
      <w:pPr>
        <w:pStyle w:val="Footnotes"/>
        <w:keepNext/>
        <w:keepLines/>
        <w:spacing w:after="120"/>
        <w:ind w:left="284" w:hanging="284"/>
      </w:pPr>
      <w:r w:rsidRPr="005F544A">
        <w:t>Figures may not sum to totals due to rounding.</w:t>
      </w:r>
    </w:p>
    <w:p w:rsidR="004645EF" w:rsidRPr="005F544A" w:rsidRDefault="004645EF" w:rsidP="00F469BD">
      <w:pPr>
        <w:pStyle w:val="Footnotes"/>
        <w:numPr>
          <w:ilvl w:val="0"/>
          <w:numId w:val="0"/>
        </w:numPr>
        <w:ind w:left="284" w:hanging="284"/>
      </w:pPr>
      <w:r w:rsidRPr="005F544A">
        <w:t>..</w:t>
      </w:r>
      <w:r w:rsidRPr="005F544A">
        <w:tab/>
        <w:t>Not zero but rounded to zero.</w:t>
      </w:r>
    </w:p>
    <w:p w:rsidR="004645EF" w:rsidRPr="005F544A" w:rsidRDefault="004645EF" w:rsidP="00F469BD">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F469BD">
          <w:headerReference w:type="even" r:id="rId164"/>
          <w:headerReference w:type="default" r:id="rId165"/>
          <w:footerReference w:type="even" r:id="rId166"/>
          <w:footerReference w:type="default" r:id="rId167"/>
          <w:footnotePr>
            <w:numRestart w:val="eachSect"/>
          </w:footnotePr>
          <w:pgSz w:w="16839" w:h="11907" w:orient="landscape" w:code="9"/>
          <w:pgMar w:top="1361" w:right="1797" w:bottom="1474" w:left="1797" w:header="283" w:footer="454" w:gutter="0"/>
          <w:cols w:space="708"/>
          <w:docGrid w:linePitch="360"/>
        </w:sectPr>
      </w:pPr>
    </w:p>
    <w:p w:rsidR="001E6037" w:rsidRDefault="001E6037" w:rsidP="001E6037">
      <w:pPr>
        <w:pStyle w:val="Heading5"/>
        <w:ind w:left="1080" w:hanging="1080"/>
      </w:pPr>
      <w:bookmarkStart w:id="76" w:name="_Toc455655017"/>
      <w:bookmarkStart w:id="77" w:name="_Toc458081685"/>
      <w:r>
        <w:t>ALP0</w:t>
      </w:r>
      <w:r w:rsidR="00A00D61">
        <w:t>61</w:t>
      </w:r>
      <w:r>
        <w:t>: Start-up and Entrepreneur Visas</w:t>
      </w:r>
      <w:bookmarkEnd w:id="76"/>
      <w:bookmarkEnd w:id="77"/>
    </w:p>
    <w:p w:rsidR="001E6037" w:rsidRDefault="001E6037" w:rsidP="00967B83">
      <w:pPr>
        <w:pStyle w:val="BodyText"/>
      </w:pPr>
      <w:r>
        <w:rPr>
          <w:noProof/>
          <w:lang w:eastAsia="en-AU"/>
        </w:rPr>
        <w:drawing>
          <wp:inline distT="0" distB="0" distL="0" distR="0" wp14:anchorId="299F7AD3" wp14:editId="6637AF2E">
            <wp:extent cx="2696845" cy="572135"/>
            <wp:effectExtent l="0" t="0" r="8255" b="0"/>
            <wp:docPr id="457" name="Picture 45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1E6037" w:rsidRDefault="001E6037" w:rsidP="001E6037">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1E6037"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1E6037" w:rsidRPr="008379A4" w:rsidRDefault="001E6037" w:rsidP="00F7554A">
            <w:pPr>
              <w:pStyle w:val="PullOutBoxHeading"/>
              <w:rPr>
                <w:b/>
              </w:rPr>
            </w:pPr>
            <w:r w:rsidRPr="008379A4">
              <w:rPr>
                <w:b/>
              </w:rPr>
              <w:t>Name of proposal:</w:t>
            </w:r>
          </w:p>
        </w:tc>
        <w:tc>
          <w:tcPr>
            <w:tcW w:w="3191" w:type="pct"/>
          </w:tcPr>
          <w:p w:rsidR="001E6037" w:rsidRPr="008379A4" w:rsidRDefault="001E6037" w:rsidP="00F7554A">
            <w:pPr>
              <w:pStyle w:val="PullOutBoxHeading"/>
              <w:rPr>
                <w:b/>
              </w:rPr>
            </w:pPr>
            <w:r w:rsidRPr="008379A4">
              <w:rPr>
                <w:b/>
              </w:rPr>
              <w:t>Start-up and Entrepreneur Visas</w:t>
            </w:r>
          </w:p>
        </w:tc>
      </w:tr>
      <w:tr w:rsidR="001E6037" w:rsidRPr="00B45F94" w:rsidTr="00F7554A">
        <w:tc>
          <w:tcPr>
            <w:tcW w:w="1809" w:type="pct"/>
          </w:tcPr>
          <w:p w:rsidR="001E6037" w:rsidRPr="00B45F94" w:rsidRDefault="001E6037" w:rsidP="00F7554A">
            <w:pPr>
              <w:pStyle w:val="PullOutBoxBodyText"/>
            </w:pPr>
            <w:r w:rsidRPr="00B45F94">
              <w:t>Summary of proposal:</w:t>
            </w:r>
          </w:p>
        </w:tc>
        <w:tc>
          <w:tcPr>
            <w:tcW w:w="3191" w:type="pct"/>
          </w:tcPr>
          <w:p w:rsidR="001E6037" w:rsidRDefault="001E6037" w:rsidP="00F7554A">
            <w:pPr>
              <w:pStyle w:val="PullOutBoxBodyText"/>
            </w:pPr>
            <w:r>
              <w:t>The proposal would introduce a Startup Entrepreneurial Visa (SEV) that would be provided to 2,000 applicants annually.</w:t>
            </w:r>
          </w:p>
          <w:p w:rsidR="001E6037" w:rsidRDefault="001E6037" w:rsidP="00F7554A">
            <w:pPr>
              <w:pStyle w:val="PullOutBoxBodyText"/>
            </w:pPr>
            <w:r>
              <w:t>In order to access the SEV, applicants would be required to demonstrate that they have access to $200,000 which they would invest in a start-up venture in Australia.  A lower funding threshold of $50,000 would apply if the funding is provided by a venture capital firm registered with the Australian Private Equity and Venture Capital Association Limited or by start-up accelerators and incubators.</w:t>
            </w:r>
          </w:p>
          <w:p w:rsidR="001E6037" w:rsidRDefault="001E6037" w:rsidP="00F7554A">
            <w:pPr>
              <w:pStyle w:val="PullOutBoxBodyText"/>
            </w:pPr>
            <w:r>
              <w:t>The SEV would be granted for a maximum of three years.  Visas may be extended for another year or converted to permanent residency after two years if all eligibility requirements are met.</w:t>
            </w:r>
          </w:p>
          <w:p w:rsidR="001E6037" w:rsidRPr="00B45F94" w:rsidRDefault="001E6037" w:rsidP="00F7554A">
            <w:pPr>
              <w:pStyle w:val="PullOutBoxBodyText"/>
            </w:pPr>
            <w:r>
              <w:t>The proposal would have effect from 1 July 2017</w:t>
            </w:r>
          </w:p>
        </w:tc>
      </w:tr>
      <w:tr w:rsidR="001E6037" w:rsidRPr="00B45F94" w:rsidTr="00F7554A">
        <w:tc>
          <w:tcPr>
            <w:tcW w:w="1809" w:type="pct"/>
          </w:tcPr>
          <w:p w:rsidR="001E6037" w:rsidRPr="00B45F94" w:rsidRDefault="001E6037" w:rsidP="00F7554A">
            <w:pPr>
              <w:pStyle w:val="PullOutBoxBodyText"/>
            </w:pPr>
            <w:r>
              <w:t>Party:</w:t>
            </w:r>
          </w:p>
        </w:tc>
        <w:tc>
          <w:tcPr>
            <w:tcW w:w="3191" w:type="pct"/>
          </w:tcPr>
          <w:p w:rsidR="001E6037" w:rsidRPr="00B45F94" w:rsidRDefault="001E6037" w:rsidP="00F7554A">
            <w:pPr>
              <w:pStyle w:val="PullOutBoxBodyText"/>
            </w:pPr>
            <w:r>
              <w:t>Australian Labor Party</w:t>
            </w:r>
          </w:p>
        </w:tc>
      </w:tr>
      <w:tr w:rsidR="001E6037" w:rsidRPr="00B45F94" w:rsidTr="00F7554A">
        <w:tc>
          <w:tcPr>
            <w:tcW w:w="1809" w:type="pct"/>
          </w:tcPr>
          <w:p w:rsidR="001E6037" w:rsidRPr="00B45F94" w:rsidRDefault="001E6037" w:rsidP="00F7554A">
            <w:pPr>
              <w:pStyle w:val="PullOutBoxBodyText"/>
            </w:pPr>
            <w:r w:rsidRPr="00B45F94">
              <w:t>Expiry date for the costing:</w:t>
            </w:r>
          </w:p>
        </w:tc>
        <w:tc>
          <w:tcPr>
            <w:tcW w:w="3191" w:type="pct"/>
          </w:tcPr>
          <w:p w:rsidR="001E6037" w:rsidRPr="00B45F94" w:rsidRDefault="001E6037" w:rsidP="00F7554A">
            <w:pPr>
              <w:pStyle w:val="PullOutBoxBodyText"/>
            </w:pPr>
            <w:r>
              <w:t>Release of the next economic and fiscal update</w:t>
            </w:r>
          </w:p>
        </w:tc>
      </w:tr>
    </w:tbl>
    <w:p w:rsidR="001E6037" w:rsidRDefault="001E6037" w:rsidP="001E6037">
      <w:pPr>
        <w:pStyle w:val="CostingsH7"/>
      </w:pPr>
      <w:r w:rsidRPr="00BF1EE6">
        <w:t>Costing overview</w:t>
      </w:r>
    </w:p>
    <w:p w:rsidR="001E6037" w:rsidRDefault="001E6037" w:rsidP="001E6037">
      <w:pPr>
        <w:pStyle w:val="BodyText"/>
      </w:pPr>
      <w:r>
        <w:t>The proposal would be expected to decrease both the fiscal and underlying cash balances by $3.5 million over the 2016-17 Budget forward estimates period.  This impact is due to an increase in departmental expenses of $6.0 million partially offset by an increase in revenue of $2.4 million.</w:t>
      </w:r>
      <w:r w:rsidRPr="00E53973">
        <w:rPr>
          <w:rStyle w:val="FootnoteReference"/>
        </w:rPr>
        <w:footnoteReference w:id="22"/>
      </w:r>
    </w:p>
    <w:p w:rsidR="001E6037" w:rsidRDefault="001E6037" w:rsidP="001E6037">
      <w:pPr>
        <w:pStyle w:val="BodyText"/>
      </w:pPr>
      <w:r>
        <w:t xml:space="preserve">Detailed financial implications are provided at </w:t>
      </w:r>
      <w:r w:rsidRPr="006626F2">
        <w:rPr>
          <w:u w:val="single"/>
        </w:rPr>
        <w:t>Attachment A</w:t>
      </w:r>
      <w:r>
        <w:t>.</w:t>
      </w:r>
    </w:p>
    <w:p w:rsidR="001E6037" w:rsidRDefault="001E6037" w:rsidP="001E6037">
      <w:pPr>
        <w:pStyle w:val="BodyText"/>
      </w:pPr>
      <w:r>
        <w:t>The proposal would be expected to have an ongoing impact that extends beyond the 2016</w:t>
      </w:r>
      <w:r>
        <w:noBreakHyphen/>
        <w:t>17 Budget forward estimates period.</w:t>
      </w:r>
    </w:p>
    <w:p w:rsidR="001E6037" w:rsidRPr="006626F2" w:rsidRDefault="001E6037" w:rsidP="001E6037">
      <w:pPr>
        <w:pStyle w:val="BodyText"/>
      </w:pPr>
      <w:r>
        <w:t>This costing is considered to be of medium reliability.  While estimates are based on a capped number of SEVs, the costing includes assumptions in relation to SEV demand and application fees.</w:t>
      </w:r>
    </w:p>
    <w:p w:rsidR="001E6037" w:rsidRDefault="001E6037" w:rsidP="001E6037">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1E6037"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1E6037" w:rsidRPr="00D264E1" w:rsidRDefault="001E6037" w:rsidP="00F7554A">
            <w:pPr>
              <w:pStyle w:val="TableHeading"/>
            </w:pPr>
            <w:r>
              <w:t>Impact on ($m)</w:t>
            </w:r>
          </w:p>
        </w:tc>
        <w:tc>
          <w:tcPr>
            <w:tcW w:w="721" w:type="pct"/>
          </w:tcPr>
          <w:p w:rsidR="001E6037" w:rsidRPr="00FC1F1C" w:rsidRDefault="001E6037" w:rsidP="00F7554A">
            <w:pPr>
              <w:pStyle w:val="TableHeadingRight"/>
            </w:pPr>
            <w:r>
              <w:t>2016–17</w:t>
            </w:r>
          </w:p>
        </w:tc>
        <w:tc>
          <w:tcPr>
            <w:tcW w:w="721" w:type="pct"/>
          </w:tcPr>
          <w:p w:rsidR="001E6037" w:rsidRPr="00FC1F1C" w:rsidRDefault="001E6037" w:rsidP="00F7554A">
            <w:pPr>
              <w:pStyle w:val="TableHeadingRight"/>
            </w:pPr>
            <w:r>
              <w:t>2017–18</w:t>
            </w:r>
          </w:p>
        </w:tc>
        <w:tc>
          <w:tcPr>
            <w:tcW w:w="722" w:type="pct"/>
          </w:tcPr>
          <w:p w:rsidR="001E6037" w:rsidRPr="00FC1F1C" w:rsidRDefault="001E6037" w:rsidP="00F7554A">
            <w:pPr>
              <w:pStyle w:val="TableHeadingRight"/>
            </w:pPr>
            <w:r>
              <w:t>2018–19</w:t>
            </w:r>
          </w:p>
        </w:tc>
        <w:tc>
          <w:tcPr>
            <w:tcW w:w="721" w:type="pct"/>
          </w:tcPr>
          <w:p w:rsidR="001E6037" w:rsidRPr="00FC1F1C" w:rsidRDefault="001E6037" w:rsidP="00F7554A">
            <w:pPr>
              <w:pStyle w:val="TableHeadingRight"/>
            </w:pPr>
            <w:r>
              <w:t>2019–20</w:t>
            </w:r>
          </w:p>
        </w:tc>
        <w:tc>
          <w:tcPr>
            <w:tcW w:w="722" w:type="pct"/>
          </w:tcPr>
          <w:p w:rsidR="001E6037" w:rsidRPr="00FC1F1C" w:rsidRDefault="001E6037" w:rsidP="00F7554A">
            <w:pPr>
              <w:pStyle w:val="TableHeadingRight"/>
              <w:rPr>
                <w:b/>
              </w:rPr>
            </w:pPr>
            <w:r w:rsidRPr="00FC1F1C">
              <w:t>Total</w:t>
            </w:r>
          </w:p>
        </w:tc>
      </w:tr>
      <w:tr w:rsidR="001E6037" w:rsidTr="00F7554A">
        <w:tc>
          <w:tcPr>
            <w:tcW w:w="1393" w:type="pct"/>
          </w:tcPr>
          <w:p w:rsidR="001E6037" w:rsidRDefault="001E6037" w:rsidP="00F7554A">
            <w:pPr>
              <w:pStyle w:val="TableText"/>
            </w:pPr>
            <w:r>
              <w:t>Fiscal balance</w:t>
            </w:r>
          </w:p>
        </w:tc>
        <w:tc>
          <w:tcPr>
            <w:tcW w:w="721" w:type="pct"/>
          </w:tcPr>
          <w:p w:rsidR="001E6037" w:rsidRPr="003A3459" w:rsidRDefault="001E6037" w:rsidP="00F7554A">
            <w:pPr>
              <w:pStyle w:val="TableTextRight"/>
            </w:pPr>
            <w:r>
              <w:t>-</w:t>
            </w:r>
          </w:p>
        </w:tc>
        <w:tc>
          <w:tcPr>
            <w:tcW w:w="721" w:type="pct"/>
          </w:tcPr>
          <w:p w:rsidR="001E6037" w:rsidRPr="003A3459" w:rsidRDefault="001E6037" w:rsidP="00F7554A">
            <w:pPr>
              <w:pStyle w:val="TableTextRight"/>
            </w:pPr>
            <w:r>
              <w:t>-1.0</w:t>
            </w:r>
          </w:p>
        </w:tc>
        <w:tc>
          <w:tcPr>
            <w:tcW w:w="722" w:type="pct"/>
          </w:tcPr>
          <w:p w:rsidR="001E6037" w:rsidRPr="003A3459" w:rsidRDefault="001E6037" w:rsidP="00F7554A">
            <w:pPr>
              <w:pStyle w:val="TableTextRight"/>
            </w:pPr>
            <w:r>
              <w:t>-2.4</w:t>
            </w:r>
          </w:p>
        </w:tc>
        <w:tc>
          <w:tcPr>
            <w:tcW w:w="721" w:type="pct"/>
          </w:tcPr>
          <w:p w:rsidR="001E6037" w:rsidRPr="003A3459" w:rsidRDefault="001E6037" w:rsidP="00F7554A">
            <w:pPr>
              <w:pStyle w:val="TableTextRight"/>
            </w:pPr>
            <w:r>
              <w:t>-0.1</w:t>
            </w:r>
          </w:p>
        </w:tc>
        <w:tc>
          <w:tcPr>
            <w:tcW w:w="722" w:type="pct"/>
          </w:tcPr>
          <w:p w:rsidR="001E6037" w:rsidRPr="00C363AE" w:rsidRDefault="001E6037" w:rsidP="00F7554A">
            <w:pPr>
              <w:pStyle w:val="TableTextRight"/>
              <w:rPr>
                <w:b/>
              </w:rPr>
            </w:pPr>
            <w:r>
              <w:rPr>
                <w:b/>
              </w:rPr>
              <w:t>-3.5</w:t>
            </w:r>
          </w:p>
        </w:tc>
      </w:tr>
      <w:tr w:rsidR="001E6037" w:rsidTr="00F7554A">
        <w:tc>
          <w:tcPr>
            <w:tcW w:w="1393" w:type="pct"/>
          </w:tcPr>
          <w:p w:rsidR="001E6037" w:rsidRDefault="001E6037" w:rsidP="00F7554A">
            <w:pPr>
              <w:pStyle w:val="TableText"/>
            </w:pPr>
            <w:r>
              <w:t>Underlying cash balance</w:t>
            </w:r>
          </w:p>
        </w:tc>
        <w:tc>
          <w:tcPr>
            <w:tcW w:w="721" w:type="pct"/>
          </w:tcPr>
          <w:p w:rsidR="001E6037" w:rsidRPr="003A3459" w:rsidRDefault="001E6037" w:rsidP="00F7554A">
            <w:pPr>
              <w:pStyle w:val="TableTextRight"/>
            </w:pPr>
            <w:r>
              <w:t>-</w:t>
            </w:r>
          </w:p>
        </w:tc>
        <w:tc>
          <w:tcPr>
            <w:tcW w:w="721" w:type="pct"/>
          </w:tcPr>
          <w:p w:rsidR="001E6037" w:rsidRPr="003A3459" w:rsidRDefault="001E6037" w:rsidP="00F7554A">
            <w:pPr>
              <w:pStyle w:val="TableTextRight"/>
            </w:pPr>
            <w:r>
              <w:t>-1.0</w:t>
            </w:r>
          </w:p>
        </w:tc>
        <w:tc>
          <w:tcPr>
            <w:tcW w:w="722" w:type="pct"/>
          </w:tcPr>
          <w:p w:rsidR="001E6037" w:rsidRPr="003A3459" w:rsidRDefault="001E6037" w:rsidP="00F7554A">
            <w:pPr>
              <w:pStyle w:val="TableTextRight"/>
            </w:pPr>
            <w:r>
              <w:t>-2.4</w:t>
            </w:r>
          </w:p>
        </w:tc>
        <w:tc>
          <w:tcPr>
            <w:tcW w:w="721" w:type="pct"/>
          </w:tcPr>
          <w:p w:rsidR="001E6037" w:rsidRPr="003A3459" w:rsidRDefault="001E6037" w:rsidP="00F7554A">
            <w:pPr>
              <w:pStyle w:val="TableTextRight"/>
            </w:pPr>
            <w:r>
              <w:t>-0.1</w:t>
            </w:r>
          </w:p>
        </w:tc>
        <w:tc>
          <w:tcPr>
            <w:tcW w:w="722" w:type="pct"/>
          </w:tcPr>
          <w:p w:rsidR="001E6037" w:rsidRPr="00C363AE" w:rsidRDefault="001E6037" w:rsidP="00F7554A">
            <w:pPr>
              <w:pStyle w:val="TableTextRight"/>
              <w:rPr>
                <w:b/>
              </w:rPr>
            </w:pPr>
            <w:r>
              <w:rPr>
                <w:b/>
              </w:rPr>
              <w:t>-3.5</w:t>
            </w:r>
          </w:p>
        </w:tc>
      </w:tr>
    </w:tbl>
    <w:p w:rsidR="001E6037" w:rsidRDefault="001E6037" w:rsidP="005F5C76">
      <w:pPr>
        <w:pStyle w:val="Footnotes"/>
        <w:numPr>
          <w:ilvl w:val="0"/>
          <w:numId w:val="140"/>
        </w:numPr>
        <w:ind w:left="284" w:hanging="284"/>
      </w:pPr>
      <w:r>
        <w:t xml:space="preserve">A positive </w:t>
      </w:r>
      <w:r w:rsidRPr="00FC1F1C">
        <w:t>number indicates an increase in the relevant budget balance, a negative number a decrease.</w:t>
      </w:r>
    </w:p>
    <w:p w:rsidR="001E6037" w:rsidRDefault="001E6037" w:rsidP="005F5C76">
      <w:pPr>
        <w:pStyle w:val="Footnotes"/>
        <w:ind w:left="284" w:hanging="284"/>
      </w:pPr>
      <w:r w:rsidRPr="000E063A">
        <w:t>Figures may not sum to totals due to rounding.</w:t>
      </w:r>
    </w:p>
    <w:p w:rsidR="001E6037" w:rsidRPr="00CA0838" w:rsidRDefault="001E6037" w:rsidP="005F5C76">
      <w:pPr>
        <w:pStyle w:val="Footnotes"/>
        <w:numPr>
          <w:ilvl w:val="0"/>
          <w:numId w:val="33"/>
        </w:numPr>
        <w:spacing w:before="113" w:after="113"/>
        <w:ind w:left="284" w:hanging="284"/>
        <w:rPr>
          <w:rStyle w:val="FootnoteReference"/>
          <w:vertAlign w:val="baseline"/>
        </w:rPr>
      </w:pPr>
      <w:r>
        <w:t>Indicates nil.</w:t>
      </w:r>
    </w:p>
    <w:p w:rsidR="001E6037" w:rsidRDefault="001E6037" w:rsidP="001E6037">
      <w:pPr>
        <w:pStyle w:val="CostingsH7"/>
        <w:tabs>
          <w:tab w:val="left" w:pos="2865"/>
        </w:tabs>
      </w:pPr>
      <w:r>
        <w:t>Key assumptions</w:t>
      </w:r>
    </w:p>
    <w:p w:rsidR="001E6037" w:rsidRDefault="001E6037" w:rsidP="001E6037">
      <w:pPr>
        <w:pStyle w:val="BodyText"/>
      </w:pPr>
      <w:r>
        <w:t>The Parliamentary Budget Office has made the following assumptions regarding this proposal:</w:t>
      </w:r>
    </w:p>
    <w:p w:rsidR="001E6037" w:rsidRDefault="001E6037" w:rsidP="001E6037">
      <w:pPr>
        <w:pStyle w:val="ListBullet"/>
      </w:pPr>
      <w:r>
        <w:t>There would be sufficient demand for the capped number of visas to be fully allocated.</w:t>
      </w:r>
    </w:p>
    <w:p w:rsidR="001E6037" w:rsidRDefault="001E6037" w:rsidP="001E6037">
      <w:pPr>
        <w:pStyle w:val="ListBullet"/>
      </w:pPr>
      <w:r>
        <w:t>Visa application fees would be equivalent to the majority of temporary work visas.</w:t>
      </w:r>
    </w:p>
    <w:p w:rsidR="001E6037" w:rsidRDefault="001E6037" w:rsidP="001E6037">
      <w:pPr>
        <w:pStyle w:val="ListBullet"/>
      </w:pPr>
      <w:r>
        <w:t>Visa application fees would be indexed biennially by 5 per cent, consistent with the increase applied on 1 July 2015.</w:t>
      </w:r>
    </w:p>
    <w:p w:rsidR="001E6037" w:rsidRPr="00CA0838" w:rsidRDefault="001E6037" w:rsidP="001E6037">
      <w:pPr>
        <w:pStyle w:val="ListBullet"/>
      </w:pPr>
      <w:r>
        <w:t>Any costs associated with applicants who subsequently successfully apply for another visa type would already be captured in the expense or revenue impacts for those existing streams.</w:t>
      </w:r>
    </w:p>
    <w:p w:rsidR="001E6037" w:rsidRDefault="001E6037" w:rsidP="001E6037">
      <w:pPr>
        <w:pStyle w:val="CostingsH7"/>
      </w:pPr>
      <w:r>
        <w:t>Methodology</w:t>
      </w:r>
    </w:p>
    <w:p w:rsidR="001E6037" w:rsidRDefault="001E6037" w:rsidP="001E6037">
      <w:pPr>
        <w:pStyle w:val="CostingsH8"/>
      </w:pPr>
      <w:r>
        <w:t>Departmental expenses</w:t>
      </w:r>
    </w:p>
    <w:p w:rsidR="001E6037" w:rsidRDefault="001E6037" w:rsidP="001E6037">
      <w:pPr>
        <w:pStyle w:val="BodyText"/>
      </w:pPr>
      <w:r>
        <w:t>Departmental costs (including capital costs) are based on similar measures that established or expanded additional visa categories.  Costs in 2017-18 and 2018-19 include funding related to information technology systems changes.</w:t>
      </w:r>
    </w:p>
    <w:p w:rsidR="001E6037" w:rsidRDefault="001E6037" w:rsidP="001E6037">
      <w:pPr>
        <w:pStyle w:val="CostingsH8"/>
      </w:pPr>
      <w:r>
        <w:t>Revenue</w:t>
      </w:r>
    </w:p>
    <w:p w:rsidR="001E6037" w:rsidRPr="00413E37" w:rsidRDefault="001E6037" w:rsidP="001E6037">
      <w:pPr>
        <w:pStyle w:val="BodyText"/>
      </w:pPr>
      <w:r>
        <w:t>The specified capped amount of visa applications was multiplied by the appropriate visa application fee.</w:t>
      </w:r>
    </w:p>
    <w:p w:rsidR="001E6037" w:rsidRDefault="001E6037" w:rsidP="001E6037">
      <w:pPr>
        <w:pStyle w:val="CostingsH7"/>
      </w:pPr>
      <w:r>
        <w:t>Data sources</w:t>
      </w:r>
    </w:p>
    <w:p w:rsidR="001E6037" w:rsidRPr="007D4011" w:rsidRDefault="005B53BF" w:rsidP="001E6037">
      <w:pPr>
        <w:pStyle w:val="BodyText"/>
      </w:pPr>
      <w:r w:rsidRPr="007D4011">
        <w:t xml:space="preserve">The </w:t>
      </w:r>
      <w:r w:rsidR="001E6037" w:rsidRPr="007D4011">
        <w:t>Department of Finance provided indexation and efficiency dividend parameters.</w:t>
      </w:r>
    </w:p>
    <w:p w:rsidR="001E6037" w:rsidRDefault="001E6037" w:rsidP="001E6037">
      <w:pPr>
        <w:pStyle w:val="BodyText"/>
      </w:pPr>
      <w:r w:rsidRPr="007D4011">
        <w:t xml:space="preserve">Department of Immigration and Border Protection fact sheet – </w:t>
      </w:r>
      <w:r w:rsidRPr="007D4011">
        <w:rPr>
          <w:i/>
        </w:rPr>
        <w:t>Visa Application Charges from 1 July 2015</w:t>
      </w:r>
      <w:r w:rsidRPr="007D4011">
        <w:t>.</w:t>
      </w:r>
    </w:p>
    <w:p w:rsidR="000E1D3C" w:rsidRDefault="000E1D3C" w:rsidP="001E6037">
      <w:pPr>
        <w:pStyle w:val="BodyText"/>
      </w:pPr>
    </w:p>
    <w:p w:rsidR="000E1D3C" w:rsidRDefault="000E1D3C" w:rsidP="001E6037">
      <w:pPr>
        <w:pStyle w:val="BodyText"/>
        <w:sectPr w:rsidR="000E1D3C" w:rsidSect="005F5C76">
          <w:headerReference w:type="even" r:id="rId168"/>
          <w:headerReference w:type="default" r:id="rId169"/>
          <w:footerReference w:type="even" r:id="rId170"/>
          <w:footerReference w:type="default" r:id="rId171"/>
          <w:footnotePr>
            <w:numRestart w:val="eachSect"/>
          </w:footnotePr>
          <w:pgSz w:w="11906" w:h="16838" w:code="9"/>
          <w:pgMar w:top="1361" w:right="1797" w:bottom="1474" w:left="1797" w:header="283" w:footer="454" w:gutter="0"/>
          <w:cols w:space="708"/>
          <w:docGrid w:linePitch="360"/>
        </w:sectPr>
      </w:pPr>
    </w:p>
    <w:p w:rsidR="001E6037" w:rsidRDefault="001E6037" w:rsidP="001E6037">
      <w:pPr>
        <w:pStyle w:val="Heading6"/>
        <w:numPr>
          <w:ilvl w:val="0"/>
          <w:numId w:val="10"/>
        </w:numPr>
        <w:tabs>
          <w:tab w:val="right" w:pos="1418"/>
          <w:tab w:val="right" w:pos="1701"/>
          <w:tab w:val="right" w:pos="1985"/>
        </w:tabs>
      </w:pPr>
      <w:r>
        <w:t>Attachment A: Start-up and Entrepreneur Visas—</w:t>
      </w:r>
      <w:r w:rsidR="0080154C">
        <w:t>financial implications</w:t>
      </w:r>
    </w:p>
    <w:p w:rsidR="001E6037" w:rsidRDefault="001E6037" w:rsidP="001E6037">
      <w:pPr>
        <w:pStyle w:val="Caption"/>
      </w:pPr>
      <w:r w:rsidRPr="002B36F1">
        <w:t xml:space="preserve">Table </w:t>
      </w:r>
      <w:r>
        <w:t>A1</w:t>
      </w:r>
      <w:r w:rsidRPr="002B36F1">
        <w:t>:</w:t>
      </w:r>
      <w:r>
        <w:t xml:space="preserve"> Start-up and Entrepreneur Visa—</w:t>
      </w:r>
      <w:r w:rsidR="0080154C">
        <w:t>Financial implications</w:t>
      </w:r>
      <w:r>
        <w:t xml:space="preserve">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1E6037"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1E6037" w:rsidRPr="007C2713" w:rsidRDefault="001E6037" w:rsidP="00F7554A">
            <w:pPr>
              <w:pStyle w:val="TableText"/>
              <w:rPr>
                <w:b w:val="0"/>
              </w:rPr>
            </w:pPr>
            <w:r>
              <w:t>($)</w:t>
            </w:r>
          </w:p>
        </w:tc>
        <w:tc>
          <w:tcPr>
            <w:tcW w:w="689" w:type="pct"/>
            <w:vAlign w:val="center"/>
          </w:tcPr>
          <w:p w:rsidR="001E6037" w:rsidRDefault="001E6037" w:rsidP="00F7554A">
            <w:pPr>
              <w:pStyle w:val="TableTextRight"/>
              <w:rPr>
                <w:b w:val="0"/>
              </w:rPr>
            </w:pPr>
            <w:r>
              <w:t>2016–17</w:t>
            </w:r>
          </w:p>
        </w:tc>
        <w:tc>
          <w:tcPr>
            <w:tcW w:w="689" w:type="pct"/>
            <w:vAlign w:val="center"/>
          </w:tcPr>
          <w:p w:rsidR="001E6037" w:rsidRDefault="001E6037" w:rsidP="00F7554A">
            <w:pPr>
              <w:pStyle w:val="TableTextRight"/>
              <w:rPr>
                <w:b w:val="0"/>
              </w:rPr>
            </w:pPr>
            <w:r>
              <w:t>2017–18</w:t>
            </w:r>
          </w:p>
        </w:tc>
        <w:tc>
          <w:tcPr>
            <w:tcW w:w="689" w:type="pct"/>
            <w:vAlign w:val="center"/>
          </w:tcPr>
          <w:p w:rsidR="001E6037" w:rsidRDefault="001E6037" w:rsidP="00F7554A">
            <w:pPr>
              <w:pStyle w:val="TableTextRight"/>
              <w:rPr>
                <w:b w:val="0"/>
              </w:rPr>
            </w:pPr>
            <w:r>
              <w:t>2018–19</w:t>
            </w:r>
          </w:p>
        </w:tc>
        <w:tc>
          <w:tcPr>
            <w:tcW w:w="689" w:type="pct"/>
            <w:vAlign w:val="center"/>
          </w:tcPr>
          <w:p w:rsidR="001E6037" w:rsidRDefault="001E6037" w:rsidP="00F7554A">
            <w:pPr>
              <w:pStyle w:val="TableTextRight"/>
              <w:rPr>
                <w:b w:val="0"/>
              </w:rPr>
            </w:pPr>
            <w:r>
              <w:t>2019–20</w:t>
            </w:r>
          </w:p>
        </w:tc>
        <w:tc>
          <w:tcPr>
            <w:tcW w:w="690" w:type="pct"/>
            <w:vAlign w:val="center"/>
          </w:tcPr>
          <w:p w:rsidR="001E6037" w:rsidRPr="00B97ACD" w:rsidRDefault="001E6037" w:rsidP="00F7554A">
            <w:pPr>
              <w:pStyle w:val="TableTextRight"/>
            </w:pPr>
            <w:r w:rsidRPr="00B97ACD">
              <w:t>Total to 2019–20</w:t>
            </w:r>
          </w:p>
        </w:tc>
      </w:tr>
      <w:tr w:rsidR="001E6037" w:rsidTr="00F7554A">
        <w:tc>
          <w:tcPr>
            <w:tcW w:w="5000" w:type="pct"/>
            <w:gridSpan w:val="6"/>
            <w:vAlign w:val="center"/>
          </w:tcPr>
          <w:p w:rsidR="001E6037" w:rsidRPr="00B97ACD" w:rsidRDefault="001E6037" w:rsidP="00F7554A">
            <w:pPr>
              <w:pStyle w:val="TableHeading"/>
            </w:pPr>
            <w:r w:rsidRPr="00B97ACD">
              <w:t>Fiscal and underlying cash balances</w:t>
            </w:r>
          </w:p>
        </w:tc>
      </w:tr>
      <w:tr w:rsidR="001E6037" w:rsidTr="00F7554A">
        <w:tc>
          <w:tcPr>
            <w:tcW w:w="1554" w:type="pct"/>
          </w:tcPr>
          <w:p w:rsidR="001E6037" w:rsidRPr="00B97ACD" w:rsidRDefault="001E6037" w:rsidP="00F7554A">
            <w:pPr>
              <w:pStyle w:val="TableText"/>
            </w:pPr>
            <w:r w:rsidRPr="00B97ACD">
              <w:t xml:space="preserve">Revenue </w:t>
            </w:r>
          </w:p>
        </w:tc>
        <w:tc>
          <w:tcPr>
            <w:tcW w:w="689" w:type="pct"/>
          </w:tcPr>
          <w:p w:rsidR="001E6037" w:rsidRPr="00B97ACD" w:rsidRDefault="001E6037" w:rsidP="00F7554A">
            <w:pPr>
              <w:pStyle w:val="TableTextRight"/>
              <w:rPr>
                <w:i/>
              </w:rPr>
            </w:pPr>
            <w:r w:rsidRPr="00B97ACD">
              <w:rPr>
                <w:i/>
              </w:rPr>
              <w:t>-</w:t>
            </w:r>
          </w:p>
        </w:tc>
        <w:tc>
          <w:tcPr>
            <w:tcW w:w="689" w:type="pct"/>
          </w:tcPr>
          <w:p w:rsidR="001E6037" w:rsidRPr="00B97ACD" w:rsidRDefault="001E6037" w:rsidP="00F7554A">
            <w:pPr>
              <w:pStyle w:val="TableTextRight"/>
              <w:rPr>
                <w:i/>
              </w:rPr>
            </w:pPr>
            <w:r w:rsidRPr="00B97ACD">
              <w:rPr>
                <w:i/>
              </w:rPr>
              <w:t>0.8</w:t>
            </w:r>
          </w:p>
        </w:tc>
        <w:tc>
          <w:tcPr>
            <w:tcW w:w="689" w:type="pct"/>
          </w:tcPr>
          <w:p w:rsidR="001E6037" w:rsidRPr="00B97ACD" w:rsidRDefault="001E6037" w:rsidP="00F7554A">
            <w:pPr>
              <w:pStyle w:val="TableTextRight"/>
              <w:rPr>
                <w:i/>
              </w:rPr>
            </w:pPr>
            <w:r w:rsidRPr="00B97ACD">
              <w:rPr>
                <w:i/>
              </w:rPr>
              <w:t>0.8</w:t>
            </w:r>
          </w:p>
        </w:tc>
        <w:tc>
          <w:tcPr>
            <w:tcW w:w="689" w:type="pct"/>
          </w:tcPr>
          <w:p w:rsidR="001E6037" w:rsidRPr="00B97ACD" w:rsidRDefault="001E6037" w:rsidP="00F7554A">
            <w:pPr>
              <w:pStyle w:val="TableTextRight"/>
              <w:rPr>
                <w:i/>
              </w:rPr>
            </w:pPr>
            <w:r w:rsidRPr="00B97ACD">
              <w:rPr>
                <w:i/>
              </w:rPr>
              <w:t>0.8</w:t>
            </w:r>
          </w:p>
        </w:tc>
        <w:tc>
          <w:tcPr>
            <w:tcW w:w="690" w:type="pct"/>
          </w:tcPr>
          <w:p w:rsidR="001E6037" w:rsidRPr="00B97ACD" w:rsidRDefault="001E6037" w:rsidP="00F7554A">
            <w:pPr>
              <w:pStyle w:val="TableTextRight"/>
              <w:rPr>
                <w:b/>
                <w:i/>
              </w:rPr>
            </w:pPr>
            <w:r w:rsidRPr="00B97ACD">
              <w:rPr>
                <w:b/>
                <w:i/>
              </w:rPr>
              <w:t>2.4</w:t>
            </w:r>
          </w:p>
        </w:tc>
      </w:tr>
      <w:tr w:rsidR="001E6037" w:rsidTr="00F7554A">
        <w:tc>
          <w:tcPr>
            <w:tcW w:w="1554" w:type="pct"/>
          </w:tcPr>
          <w:p w:rsidR="001E6037" w:rsidRPr="00B97ACD" w:rsidRDefault="001E6037" w:rsidP="00F7554A">
            <w:pPr>
              <w:pStyle w:val="TableText"/>
            </w:pPr>
            <w:r w:rsidRPr="00B97ACD">
              <w:t xml:space="preserve">Departmental </w:t>
            </w:r>
          </w:p>
        </w:tc>
        <w:tc>
          <w:tcPr>
            <w:tcW w:w="689" w:type="pct"/>
          </w:tcPr>
          <w:p w:rsidR="001E6037" w:rsidRPr="00B97ACD" w:rsidRDefault="001E6037" w:rsidP="00F7554A">
            <w:pPr>
              <w:pStyle w:val="TableTextRight"/>
              <w:rPr>
                <w:i/>
              </w:rPr>
            </w:pPr>
            <w:r w:rsidRPr="00B97ACD">
              <w:rPr>
                <w:i/>
              </w:rPr>
              <w:t>-</w:t>
            </w:r>
          </w:p>
        </w:tc>
        <w:tc>
          <w:tcPr>
            <w:tcW w:w="689" w:type="pct"/>
          </w:tcPr>
          <w:p w:rsidR="001E6037" w:rsidRPr="00B97ACD" w:rsidRDefault="001E6037" w:rsidP="00F7554A">
            <w:pPr>
              <w:pStyle w:val="TableTextRight"/>
              <w:rPr>
                <w:i/>
              </w:rPr>
            </w:pPr>
            <w:r w:rsidRPr="00B97ACD">
              <w:rPr>
                <w:i/>
              </w:rPr>
              <w:t>-1.8</w:t>
            </w:r>
          </w:p>
        </w:tc>
        <w:tc>
          <w:tcPr>
            <w:tcW w:w="689" w:type="pct"/>
          </w:tcPr>
          <w:p w:rsidR="001E6037" w:rsidRPr="00B97ACD" w:rsidRDefault="001E6037" w:rsidP="00F7554A">
            <w:pPr>
              <w:pStyle w:val="TableTextRight"/>
              <w:rPr>
                <w:i/>
              </w:rPr>
            </w:pPr>
            <w:r w:rsidRPr="00B97ACD">
              <w:rPr>
                <w:i/>
              </w:rPr>
              <w:t>-3.2</w:t>
            </w:r>
          </w:p>
        </w:tc>
        <w:tc>
          <w:tcPr>
            <w:tcW w:w="689" w:type="pct"/>
          </w:tcPr>
          <w:p w:rsidR="001E6037" w:rsidRPr="00B97ACD" w:rsidRDefault="001E6037" w:rsidP="00F7554A">
            <w:pPr>
              <w:pStyle w:val="TableTextRight"/>
              <w:rPr>
                <w:i/>
              </w:rPr>
            </w:pPr>
            <w:r w:rsidRPr="00B97ACD">
              <w:rPr>
                <w:i/>
              </w:rPr>
              <w:t>-1.0</w:t>
            </w:r>
          </w:p>
        </w:tc>
        <w:tc>
          <w:tcPr>
            <w:tcW w:w="690" w:type="pct"/>
          </w:tcPr>
          <w:p w:rsidR="001E6037" w:rsidRPr="00B97ACD" w:rsidRDefault="001E6037" w:rsidP="00F7554A">
            <w:pPr>
              <w:pStyle w:val="TableTextRight"/>
              <w:rPr>
                <w:b/>
                <w:i/>
              </w:rPr>
            </w:pPr>
            <w:r w:rsidRPr="00B97ACD">
              <w:rPr>
                <w:b/>
                <w:i/>
              </w:rPr>
              <w:t>-6.0</w:t>
            </w:r>
          </w:p>
        </w:tc>
      </w:tr>
      <w:tr w:rsidR="001E6037" w:rsidRPr="00B97ACD" w:rsidTr="00F7554A">
        <w:tc>
          <w:tcPr>
            <w:tcW w:w="1554" w:type="pct"/>
            <w:shd w:val="clear" w:color="auto" w:fill="D7DDE9" w:themeFill="accent3"/>
          </w:tcPr>
          <w:p w:rsidR="001E6037" w:rsidRPr="00B97ACD" w:rsidRDefault="001E6037" w:rsidP="00F7554A">
            <w:pPr>
              <w:pStyle w:val="TableText"/>
              <w:rPr>
                <w:b/>
              </w:rPr>
            </w:pPr>
            <w:r w:rsidRPr="00B97ACD">
              <w:rPr>
                <w:b/>
              </w:rPr>
              <w:t>Total</w:t>
            </w:r>
          </w:p>
        </w:tc>
        <w:tc>
          <w:tcPr>
            <w:tcW w:w="689" w:type="pct"/>
            <w:shd w:val="clear" w:color="auto" w:fill="D7DDE9" w:themeFill="accent3"/>
          </w:tcPr>
          <w:p w:rsidR="001E6037" w:rsidRPr="00B97ACD" w:rsidRDefault="001E6037" w:rsidP="00F7554A">
            <w:pPr>
              <w:pStyle w:val="TableTextRight"/>
              <w:rPr>
                <w:b/>
              </w:rPr>
            </w:pPr>
            <w:r w:rsidRPr="00B97ACD">
              <w:rPr>
                <w:b/>
              </w:rPr>
              <w:t>-</w:t>
            </w:r>
          </w:p>
        </w:tc>
        <w:tc>
          <w:tcPr>
            <w:tcW w:w="689" w:type="pct"/>
            <w:shd w:val="clear" w:color="auto" w:fill="D7DDE9" w:themeFill="accent3"/>
          </w:tcPr>
          <w:p w:rsidR="001E6037" w:rsidRPr="00B97ACD" w:rsidRDefault="001E6037" w:rsidP="00F7554A">
            <w:pPr>
              <w:pStyle w:val="TableTextRight"/>
              <w:rPr>
                <w:b/>
              </w:rPr>
            </w:pPr>
            <w:r w:rsidRPr="00B97ACD">
              <w:rPr>
                <w:b/>
              </w:rPr>
              <w:t>-1.0</w:t>
            </w:r>
          </w:p>
        </w:tc>
        <w:tc>
          <w:tcPr>
            <w:tcW w:w="689" w:type="pct"/>
            <w:shd w:val="clear" w:color="auto" w:fill="D7DDE9" w:themeFill="accent3"/>
          </w:tcPr>
          <w:p w:rsidR="001E6037" w:rsidRPr="00B97ACD" w:rsidRDefault="001E6037" w:rsidP="00F7554A">
            <w:pPr>
              <w:pStyle w:val="TableTextRight"/>
              <w:rPr>
                <w:b/>
              </w:rPr>
            </w:pPr>
            <w:r w:rsidRPr="00B97ACD">
              <w:rPr>
                <w:b/>
              </w:rPr>
              <w:t>-2.4</w:t>
            </w:r>
          </w:p>
        </w:tc>
        <w:tc>
          <w:tcPr>
            <w:tcW w:w="689" w:type="pct"/>
            <w:shd w:val="clear" w:color="auto" w:fill="D7DDE9" w:themeFill="accent3"/>
          </w:tcPr>
          <w:p w:rsidR="001E6037" w:rsidRPr="00B97ACD" w:rsidRDefault="001E6037" w:rsidP="00F7554A">
            <w:pPr>
              <w:pStyle w:val="TableTextRight"/>
              <w:rPr>
                <w:b/>
              </w:rPr>
            </w:pPr>
            <w:r w:rsidRPr="00B97ACD">
              <w:rPr>
                <w:b/>
              </w:rPr>
              <w:t>-0.1</w:t>
            </w:r>
          </w:p>
        </w:tc>
        <w:tc>
          <w:tcPr>
            <w:tcW w:w="690" w:type="pct"/>
            <w:shd w:val="clear" w:color="auto" w:fill="D7DDE9" w:themeFill="accent3"/>
          </w:tcPr>
          <w:p w:rsidR="001E6037" w:rsidRPr="00B97ACD" w:rsidRDefault="001E6037" w:rsidP="00F7554A">
            <w:pPr>
              <w:pStyle w:val="TableTextRight"/>
              <w:rPr>
                <w:b/>
              </w:rPr>
            </w:pPr>
            <w:r w:rsidRPr="00B97ACD">
              <w:rPr>
                <w:b/>
              </w:rPr>
              <w:t>-3.5</w:t>
            </w:r>
          </w:p>
        </w:tc>
      </w:tr>
    </w:tbl>
    <w:p w:rsidR="001E6037" w:rsidRPr="00B97ACD" w:rsidRDefault="001E6037" w:rsidP="000E1D3C">
      <w:pPr>
        <w:pStyle w:val="Footnotes"/>
        <w:numPr>
          <w:ilvl w:val="0"/>
          <w:numId w:val="221"/>
        </w:numPr>
        <w:ind w:left="284" w:hanging="284"/>
      </w:pPr>
      <w:r w:rsidRPr="00B97ACD">
        <w:t>A positive number indicates an increase in revenue or decrease in expenses or net capital investment in accrual and cash terms. A negative number indicates a decrease in revenue or an increase in expenses or net capital investment in accrual and cash terms.</w:t>
      </w:r>
    </w:p>
    <w:p w:rsidR="001E6037" w:rsidRPr="005F544A" w:rsidRDefault="001E6037" w:rsidP="000E1D3C">
      <w:pPr>
        <w:pStyle w:val="Footnotes"/>
        <w:spacing w:after="120"/>
        <w:ind w:left="284" w:hanging="284"/>
      </w:pPr>
      <w:r w:rsidRPr="005F544A">
        <w:t>Figures may not sum to totals due to rounding.</w:t>
      </w:r>
    </w:p>
    <w:p w:rsidR="001E6037" w:rsidRDefault="001E6037" w:rsidP="000E1D3C">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5F5C76">
          <w:footnotePr>
            <w:numRestart w:val="eachSect"/>
          </w:footnotePr>
          <w:pgSz w:w="11906" w:h="16838" w:code="9"/>
          <w:pgMar w:top="1361" w:right="1797" w:bottom="1474" w:left="1797" w:header="283" w:footer="454" w:gutter="0"/>
          <w:cols w:space="708"/>
          <w:docGrid w:linePitch="360"/>
        </w:sectPr>
      </w:pPr>
    </w:p>
    <w:p w:rsidR="007B52C0" w:rsidRDefault="007B52C0" w:rsidP="007B52C0">
      <w:pPr>
        <w:pStyle w:val="Heading5"/>
        <w:ind w:left="1080" w:hanging="1080"/>
      </w:pPr>
      <w:bookmarkStart w:id="78" w:name="_Toc455655018"/>
      <w:bookmarkStart w:id="79" w:name="_Toc458081686"/>
      <w:r>
        <w:t>ALP06</w:t>
      </w:r>
      <w:r w:rsidR="00A00D61">
        <w:t>2</w:t>
      </w:r>
      <w:r>
        <w:t>: Startup Year</w:t>
      </w:r>
      <w:bookmarkEnd w:id="78"/>
      <w:bookmarkEnd w:id="79"/>
    </w:p>
    <w:p w:rsidR="007B52C0" w:rsidRDefault="007B52C0" w:rsidP="00967B83">
      <w:pPr>
        <w:pStyle w:val="BodyText"/>
      </w:pPr>
      <w:r>
        <w:rPr>
          <w:noProof/>
          <w:lang w:eastAsia="en-AU"/>
        </w:rPr>
        <w:drawing>
          <wp:inline distT="0" distB="0" distL="0" distR="0" wp14:anchorId="01485497" wp14:editId="4EE1CAB2">
            <wp:extent cx="2696845" cy="572135"/>
            <wp:effectExtent l="0" t="0" r="8255" b="0"/>
            <wp:docPr id="456" name="Picture 45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B52C0" w:rsidRDefault="007B52C0" w:rsidP="007B52C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7B52C0"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7B52C0" w:rsidRPr="008379A4" w:rsidRDefault="007B52C0" w:rsidP="00F7554A">
            <w:pPr>
              <w:pStyle w:val="PullOutBoxHeading"/>
              <w:rPr>
                <w:b/>
              </w:rPr>
            </w:pPr>
            <w:r w:rsidRPr="008379A4">
              <w:rPr>
                <w:b/>
              </w:rPr>
              <w:t>Name of proposal:</w:t>
            </w:r>
          </w:p>
        </w:tc>
        <w:tc>
          <w:tcPr>
            <w:tcW w:w="3191" w:type="pct"/>
          </w:tcPr>
          <w:p w:rsidR="007B52C0" w:rsidRPr="008379A4" w:rsidRDefault="007B52C0" w:rsidP="00F7554A">
            <w:pPr>
              <w:pStyle w:val="PullOutBoxHeading"/>
              <w:rPr>
                <w:b/>
              </w:rPr>
            </w:pPr>
            <w:r w:rsidRPr="008379A4">
              <w:rPr>
                <w:b/>
              </w:rPr>
              <w:t>Startup Year</w:t>
            </w:r>
          </w:p>
        </w:tc>
      </w:tr>
      <w:tr w:rsidR="007B52C0" w:rsidRPr="00B45F94" w:rsidTr="00F7554A">
        <w:tc>
          <w:tcPr>
            <w:tcW w:w="1809" w:type="pct"/>
          </w:tcPr>
          <w:p w:rsidR="007B52C0" w:rsidRPr="00B45F94" w:rsidRDefault="007B52C0" w:rsidP="00F7554A">
            <w:pPr>
              <w:pStyle w:val="PullOutBoxBodyText"/>
            </w:pPr>
            <w:r w:rsidRPr="00B45F94">
              <w:t>Summary of proposal:</w:t>
            </w:r>
          </w:p>
        </w:tc>
        <w:tc>
          <w:tcPr>
            <w:tcW w:w="3191" w:type="pct"/>
          </w:tcPr>
          <w:p w:rsidR="007B52C0" w:rsidRDefault="007B52C0" w:rsidP="00F7554A">
            <w:pPr>
              <w:pStyle w:val="PullOutBoxBodyText"/>
            </w:pPr>
            <w:r>
              <w:t>The proposal would extend the current Higher Education Loan Program (HELP) to support 2,000 students per year to undertake postgraduate studies in accelerators or entrepreneurship education facilities run by successful entrepreneurs linked to universities (entrepreneurial studies).</w:t>
            </w:r>
          </w:p>
          <w:p w:rsidR="007B52C0" w:rsidRDefault="007B52C0" w:rsidP="00F7554A">
            <w:pPr>
              <w:pStyle w:val="PullOutBoxBodyText"/>
            </w:pPr>
            <w:r>
              <w:t>The student contribution for these studies would be capped at the Band 3 student contribution cap ($10,440 in 2016).</w:t>
            </w:r>
          </w:p>
          <w:p w:rsidR="007B52C0" w:rsidRDefault="007B52C0" w:rsidP="00F7554A">
            <w:pPr>
              <w:pStyle w:val="PullOutBoxBodyText"/>
            </w:pPr>
            <w:r>
              <w:t>These studies would not be eligible for funding under the Commonwealth Grants Scheme (CGS).</w:t>
            </w:r>
          </w:p>
          <w:p w:rsidR="007B52C0" w:rsidRPr="00B45F94" w:rsidRDefault="007B52C0" w:rsidP="00F7554A">
            <w:pPr>
              <w:pStyle w:val="PullOutBoxBodyText"/>
            </w:pPr>
            <w:r>
              <w:t>The proposal would have effect from 1 January 2017.</w:t>
            </w:r>
          </w:p>
        </w:tc>
      </w:tr>
      <w:tr w:rsidR="007B52C0" w:rsidRPr="00B45F94" w:rsidTr="00F7554A">
        <w:tc>
          <w:tcPr>
            <w:tcW w:w="1809" w:type="pct"/>
          </w:tcPr>
          <w:p w:rsidR="007B52C0" w:rsidRPr="00B45F94" w:rsidRDefault="007B52C0" w:rsidP="00F7554A">
            <w:pPr>
              <w:pStyle w:val="PullOutBoxBodyText"/>
            </w:pPr>
            <w:r>
              <w:t>Party:</w:t>
            </w:r>
          </w:p>
        </w:tc>
        <w:tc>
          <w:tcPr>
            <w:tcW w:w="3191" w:type="pct"/>
          </w:tcPr>
          <w:p w:rsidR="007B52C0" w:rsidRPr="00B45F94" w:rsidRDefault="007B52C0" w:rsidP="00F7554A">
            <w:pPr>
              <w:pStyle w:val="PullOutBoxBodyText"/>
            </w:pPr>
            <w:r>
              <w:t>Australian Labor Party</w:t>
            </w:r>
          </w:p>
        </w:tc>
      </w:tr>
      <w:tr w:rsidR="007B52C0" w:rsidRPr="00B45F94" w:rsidTr="00F7554A">
        <w:tc>
          <w:tcPr>
            <w:tcW w:w="1809" w:type="pct"/>
          </w:tcPr>
          <w:p w:rsidR="007B52C0" w:rsidRPr="00B45F94" w:rsidRDefault="007B52C0" w:rsidP="00F7554A">
            <w:pPr>
              <w:pStyle w:val="PullOutBoxBodyText"/>
            </w:pPr>
            <w:r w:rsidRPr="00B45F94">
              <w:t>Expiry date for the costing:</w:t>
            </w:r>
          </w:p>
        </w:tc>
        <w:tc>
          <w:tcPr>
            <w:tcW w:w="3191" w:type="pct"/>
          </w:tcPr>
          <w:p w:rsidR="007B52C0" w:rsidRPr="00B45F94" w:rsidRDefault="007B52C0" w:rsidP="00F7554A">
            <w:pPr>
              <w:pStyle w:val="PullOutBoxBodyText"/>
            </w:pPr>
            <w:r>
              <w:t>Release of the next economic and fiscal update</w:t>
            </w:r>
          </w:p>
        </w:tc>
      </w:tr>
    </w:tbl>
    <w:p w:rsidR="007B52C0" w:rsidRDefault="007B52C0" w:rsidP="007B52C0">
      <w:pPr>
        <w:pStyle w:val="CostingsH7"/>
      </w:pPr>
      <w:r w:rsidRPr="00BF1EE6">
        <w:t>Costing overview</w:t>
      </w:r>
    </w:p>
    <w:p w:rsidR="007B52C0" w:rsidRDefault="007B52C0" w:rsidP="007B52C0">
      <w:pPr>
        <w:pStyle w:val="BodyText"/>
      </w:pPr>
      <w:r>
        <w:t>This proposal would be expected to decrease the fiscal balance by $13 million, decrease the underlying cash balance by $10 million and decrease the headline cash balance by $64 million over the 2016</w:t>
      </w:r>
      <w:r w:rsidR="000F6282">
        <w:t>-</w:t>
      </w:r>
      <w:r>
        <w:t>17 Budget forward estimates period.</w:t>
      </w:r>
    </w:p>
    <w:p w:rsidR="007B52C0" w:rsidRDefault="007B52C0" w:rsidP="007B52C0">
      <w:pPr>
        <w:pStyle w:val="BodyText"/>
      </w:pPr>
      <w:r>
        <w:t>The proposal would have an ongoing financial impact that extends beyond the 2016</w:t>
      </w:r>
      <w:r>
        <w:noBreakHyphen/>
        <w:t>17 Budget forward estimates period.  The disaggregated financial impacts of the proposal over the period 2016</w:t>
      </w:r>
      <w:r w:rsidR="000F6282">
        <w:t>-</w:t>
      </w:r>
      <w:r>
        <w:t>17 and 2026</w:t>
      </w:r>
      <w:r w:rsidR="000F6282">
        <w:t>-</w:t>
      </w:r>
      <w:r>
        <w:t xml:space="preserve">27 are included at </w:t>
      </w:r>
      <w:r w:rsidRPr="001750DE">
        <w:rPr>
          <w:u w:val="single"/>
        </w:rPr>
        <w:t>Attachment A</w:t>
      </w:r>
      <w:r>
        <w:t>.</w:t>
      </w:r>
    </w:p>
    <w:p w:rsidR="007B52C0" w:rsidRDefault="007B52C0" w:rsidP="007B52C0">
      <w:pPr>
        <w:pStyle w:val="BodyText"/>
      </w:pPr>
      <w:r>
        <w:t>The proposal would not be expected to result in additional departmental expenditure because the administration of HELP, Austudy and Youth Allowance would remain largely unchanged.</w:t>
      </w:r>
    </w:p>
    <w:p w:rsidR="007B52C0" w:rsidRDefault="007B52C0" w:rsidP="007B52C0">
      <w:pPr>
        <w:pStyle w:val="BodyText"/>
      </w:pPr>
      <w:r>
        <w:t>The Methodology section outlines how impacts on each budget balance are estimated.  As the proposal involves the transaction of financial assets in the form of additional HELP loan issuance, the Public Debt Interest (PDI) impact of the proposal has been included in the overall financial impacts of the proposal.</w:t>
      </w:r>
    </w:p>
    <w:p w:rsidR="007B52C0" w:rsidRPr="001750DE" w:rsidRDefault="007B52C0" w:rsidP="007B52C0">
      <w:pPr>
        <w:pStyle w:val="BodyText"/>
      </w:pPr>
      <w:r>
        <w:t>This costing is considered to be of medium reliability due to uncertainty in the repayment profile of the additional HELP loans taken out by students undertaking entrepreneurial studies.</w:t>
      </w:r>
    </w:p>
    <w:p w:rsidR="007B52C0" w:rsidRDefault="007B52C0" w:rsidP="007B52C0">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7B52C0"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7B52C0" w:rsidRPr="00D264E1" w:rsidRDefault="007B52C0" w:rsidP="00F7554A">
            <w:pPr>
              <w:pStyle w:val="TableHeading"/>
            </w:pPr>
            <w:r>
              <w:t>Impact on ($m)</w:t>
            </w:r>
          </w:p>
        </w:tc>
        <w:tc>
          <w:tcPr>
            <w:tcW w:w="721" w:type="pct"/>
          </w:tcPr>
          <w:p w:rsidR="007B52C0" w:rsidRPr="00FC1F1C" w:rsidRDefault="007B52C0" w:rsidP="00F7554A">
            <w:pPr>
              <w:pStyle w:val="TableHeadingRight"/>
            </w:pPr>
            <w:r>
              <w:t>2016–17</w:t>
            </w:r>
          </w:p>
        </w:tc>
        <w:tc>
          <w:tcPr>
            <w:tcW w:w="721" w:type="pct"/>
          </w:tcPr>
          <w:p w:rsidR="007B52C0" w:rsidRPr="00FC1F1C" w:rsidRDefault="007B52C0" w:rsidP="00F7554A">
            <w:pPr>
              <w:pStyle w:val="TableHeadingRight"/>
            </w:pPr>
            <w:r>
              <w:t>2017–18</w:t>
            </w:r>
          </w:p>
        </w:tc>
        <w:tc>
          <w:tcPr>
            <w:tcW w:w="722" w:type="pct"/>
          </w:tcPr>
          <w:p w:rsidR="007B52C0" w:rsidRPr="00FC1F1C" w:rsidRDefault="007B52C0" w:rsidP="00F7554A">
            <w:pPr>
              <w:pStyle w:val="TableHeadingRight"/>
            </w:pPr>
            <w:r>
              <w:t>2018–19</w:t>
            </w:r>
          </w:p>
        </w:tc>
        <w:tc>
          <w:tcPr>
            <w:tcW w:w="721" w:type="pct"/>
          </w:tcPr>
          <w:p w:rsidR="007B52C0" w:rsidRPr="00FC1F1C" w:rsidRDefault="007B52C0" w:rsidP="00F7554A">
            <w:pPr>
              <w:pStyle w:val="TableHeadingRight"/>
            </w:pPr>
            <w:r>
              <w:t>2019–20</w:t>
            </w:r>
          </w:p>
        </w:tc>
        <w:tc>
          <w:tcPr>
            <w:tcW w:w="722" w:type="pct"/>
          </w:tcPr>
          <w:p w:rsidR="007B52C0" w:rsidRPr="00FC1F1C" w:rsidRDefault="007B52C0" w:rsidP="00F7554A">
            <w:pPr>
              <w:pStyle w:val="TableHeadingRight"/>
              <w:rPr>
                <w:b/>
              </w:rPr>
            </w:pPr>
            <w:r w:rsidRPr="00FC1F1C">
              <w:t>Total</w:t>
            </w:r>
          </w:p>
        </w:tc>
      </w:tr>
      <w:tr w:rsidR="007B52C0" w:rsidTr="00F7554A">
        <w:tc>
          <w:tcPr>
            <w:tcW w:w="1393" w:type="pct"/>
          </w:tcPr>
          <w:p w:rsidR="007B52C0" w:rsidRPr="003A3459" w:rsidRDefault="007B52C0" w:rsidP="00F7554A">
            <w:pPr>
              <w:pStyle w:val="TableText"/>
            </w:pPr>
            <w:r>
              <w:t>Fiscal balance</w:t>
            </w:r>
          </w:p>
        </w:tc>
        <w:tc>
          <w:tcPr>
            <w:tcW w:w="721" w:type="pct"/>
          </w:tcPr>
          <w:p w:rsidR="007B52C0" w:rsidRPr="009F71E1" w:rsidRDefault="007B52C0" w:rsidP="00F7554A">
            <w:pPr>
              <w:pStyle w:val="TableTextRight"/>
            </w:pPr>
            <w:r w:rsidRPr="009F71E1">
              <w:t>-1</w:t>
            </w:r>
            <w:r>
              <w:t>.0</w:t>
            </w:r>
          </w:p>
        </w:tc>
        <w:tc>
          <w:tcPr>
            <w:tcW w:w="721" w:type="pct"/>
          </w:tcPr>
          <w:p w:rsidR="007B52C0" w:rsidRPr="009F71E1" w:rsidRDefault="007B52C0" w:rsidP="00F7554A">
            <w:pPr>
              <w:pStyle w:val="TableTextRight"/>
            </w:pPr>
            <w:r w:rsidRPr="009F71E1">
              <w:t>-3</w:t>
            </w:r>
            <w:r>
              <w:t>.0</w:t>
            </w:r>
          </w:p>
        </w:tc>
        <w:tc>
          <w:tcPr>
            <w:tcW w:w="722" w:type="pct"/>
          </w:tcPr>
          <w:p w:rsidR="007B52C0" w:rsidRPr="009F71E1" w:rsidRDefault="007B52C0" w:rsidP="00F7554A">
            <w:pPr>
              <w:pStyle w:val="TableTextRight"/>
            </w:pPr>
            <w:r w:rsidRPr="009F71E1">
              <w:t>-4</w:t>
            </w:r>
            <w:r>
              <w:t>.0</w:t>
            </w:r>
          </w:p>
        </w:tc>
        <w:tc>
          <w:tcPr>
            <w:tcW w:w="721" w:type="pct"/>
          </w:tcPr>
          <w:p w:rsidR="007B52C0" w:rsidRPr="009F71E1" w:rsidRDefault="007B52C0" w:rsidP="00F7554A">
            <w:pPr>
              <w:pStyle w:val="TableTextRight"/>
            </w:pPr>
            <w:r w:rsidRPr="009F71E1">
              <w:t>-5</w:t>
            </w:r>
            <w:r>
              <w:t>.0</w:t>
            </w:r>
          </w:p>
        </w:tc>
        <w:tc>
          <w:tcPr>
            <w:tcW w:w="722" w:type="pct"/>
          </w:tcPr>
          <w:p w:rsidR="007B52C0" w:rsidRPr="009F71E1" w:rsidRDefault="007B52C0" w:rsidP="00F7554A">
            <w:pPr>
              <w:pStyle w:val="TableTextRight"/>
              <w:rPr>
                <w:b/>
              </w:rPr>
            </w:pPr>
            <w:r w:rsidRPr="009F71E1">
              <w:rPr>
                <w:b/>
              </w:rPr>
              <w:t>-13.0</w:t>
            </w:r>
          </w:p>
        </w:tc>
      </w:tr>
      <w:tr w:rsidR="007B52C0" w:rsidTr="00F7554A">
        <w:tc>
          <w:tcPr>
            <w:tcW w:w="1393" w:type="pct"/>
          </w:tcPr>
          <w:p w:rsidR="007B52C0" w:rsidRPr="003A3459" w:rsidRDefault="007B52C0" w:rsidP="00F7554A">
            <w:pPr>
              <w:pStyle w:val="TableText"/>
            </w:pPr>
            <w:r>
              <w:t>Underlying cash balance</w:t>
            </w:r>
          </w:p>
        </w:tc>
        <w:tc>
          <w:tcPr>
            <w:tcW w:w="721" w:type="pct"/>
          </w:tcPr>
          <w:p w:rsidR="007B52C0" w:rsidRPr="009F71E1" w:rsidRDefault="007B52C0" w:rsidP="00F7554A">
            <w:pPr>
              <w:pStyle w:val="TableTextRight"/>
            </w:pPr>
            <w:r w:rsidRPr="009F71E1">
              <w:t>-1</w:t>
            </w:r>
            <w:r>
              <w:t>.0</w:t>
            </w:r>
          </w:p>
        </w:tc>
        <w:tc>
          <w:tcPr>
            <w:tcW w:w="721" w:type="pct"/>
          </w:tcPr>
          <w:p w:rsidR="007B52C0" w:rsidRPr="009F71E1" w:rsidRDefault="007B52C0" w:rsidP="00F7554A">
            <w:pPr>
              <w:pStyle w:val="TableTextRight"/>
            </w:pPr>
            <w:r w:rsidRPr="009F71E1">
              <w:t>-2</w:t>
            </w:r>
            <w:r>
              <w:t>.0</w:t>
            </w:r>
          </w:p>
        </w:tc>
        <w:tc>
          <w:tcPr>
            <w:tcW w:w="722" w:type="pct"/>
          </w:tcPr>
          <w:p w:rsidR="007B52C0" w:rsidRPr="009F71E1" w:rsidRDefault="007B52C0" w:rsidP="00F7554A">
            <w:pPr>
              <w:pStyle w:val="TableTextRight"/>
            </w:pPr>
            <w:r w:rsidRPr="009F71E1">
              <w:t>-3</w:t>
            </w:r>
            <w:r>
              <w:t>.0</w:t>
            </w:r>
          </w:p>
        </w:tc>
        <w:tc>
          <w:tcPr>
            <w:tcW w:w="721" w:type="pct"/>
          </w:tcPr>
          <w:p w:rsidR="007B52C0" w:rsidRPr="009F71E1" w:rsidRDefault="007B52C0" w:rsidP="00F7554A">
            <w:pPr>
              <w:pStyle w:val="TableTextRight"/>
            </w:pPr>
            <w:r w:rsidRPr="009F71E1">
              <w:t>-4</w:t>
            </w:r>
            <w:r>
              <w:t>.0</w:t>
            </w:r>
          </w:p>
        </w:tc>
        <w:tc>
          <w:tcPr>
            <w:tcW w:w="722" w:type="pct"/>
          </w:tcPr>
          <w:p w:rsidR="007B52C0" w:rsidRPr="009F71E1" w:rsidRDefault="007B52C0" w:rsidP="00F7554A">
            <w:pPr>
              <w:pStyle w:val="TableTextRight"/>
              <w:rPr>
                <w:b/>
              </w:rPr>
            </w:pPr>
            <w:r w:rsidRPr="009F71E1">
              <w:rPr>
                <w:b/>
              </w:rPr>
              <w:t>-10.0</w:t>
            </w:r>
          </w:p>
        </w:tc>
      </w:tr>
      <w:tr w:rsidR="007B52C0" w:rsidTr="00F7554A">
        <w:tc>
          <w:tcPr>
            <w:tcW w:w="1393" w:type="pct"/>
          </w:tcPr>
          <w:p w:rsidR="007B52C0" w:rsidRDefault="007B52C0" w:rsidP="00F7554A">
            <w:pPr>
              <w:pStyle w:val="TableText"/>
            </w:pPr>
            <w:r>
              <w:t>Headline cash balance</w:t>
            </w:r>
          </w:p>
        </w:tc>
        <w:tc>
          <w:tcPr>
            <w:tcW w:w="721" w:type="pct"/>
          </w:tcPr>
          <w:p w:rsidR="007B52C0" w:rsidRPr="009F71E1" w:rsidRDefault="007B52C0" w:rsidP="00F7554A">
            <w:pPr>
              <w:pStyle w:val="TableTextRight"/>
            </w:pPr>
            <w:r w:rsidRPr="009F71E1">
              <w:t>-5</w:t>
            </w:r>
            <w:r>
              <w:t>.0</w:t>
            </w:r>
          </w:p>
        </w:tc>
        <w:tc>
          <w:tcPr>
            <w:tcW w:w="721" w:type="pct"/>
          </w:tcPr>
          <w:p w:rsidR="007B52C0" w:rsidRPr="009F71E1" w:rsidRDefault="007B52C0" w:rsidP="00F7554A">
            <w:pPr>
              <w:pStyle w:val="TableTextRight"/>
            </w:pPr>
            <w:r w:rsidRPr="009F71E1">
              <w:t>-14</w:t>
            </w:r>
            <w:r>
              <w:t>.0</w:t>
            </w:r>
          </w:p>
        </w:tc>
        <w:tc>
          <w:tcPr>
            <w:tcW w:w="722" w:type="pct"/>
          </w:tcPr>
          <w:p w:rsidR="007B52C0" w:rsidRPr="009F71E1" w:rsidRDefault="007B52C0" w:rsidP="00F7554A">
            <w:pPr>
              <w:pStyle w:val="TableTextRight"/>
            </w:pPr>
            <w:r w:rsidRPr="009F71E1">
              <w:t>-20</w:t>
            </w:r>
            <w:r>
              <w:t>.0</w:t>
            </w:r>
          </w:p>
        </w:tc>
        <w:tc>
          <w:tcPr>
            <w:tcW w:w="721" w:type="pct"/>
          </w:tcPr>
          <w:p w:rsidR="007B52C0" w:rsidRPr="009F71E1" w:rsidRDefault="007B52C0" w:rsidP="00F7554A">
            <w:pPr>
              <w:pStyle w:val="TableTextRight"/>
            </w:pPr>
            <w:r w:rsidRPr="009F71E1">
              <w:t>-24</w:t>
            </w:r>
            <w:r>
              <w:t>.0</w:t>
            </w:r>
          </w:p>
        </w:tc>
        <w:tc>
          <w:tcPr>
            <w:tcW w:w="722" w:type="pct"/>
          </w:tcPr>
          <w:p w:rsidR="007B52C0" w:rsidRPr="009F71E1" w:rsidRDefault="007B52C0" w:rsidP="00F7554A">
            <w:pPr>
              <w:pStyle w:val="TableTextRight"/>
              <w:rPr>
                <w:b/>
              </w:rPr>
            </w:pPr>
            <w:r w:rsidRPr="009F71E1">
              <w:rPr>
                <w:b/>
              </w:rPr>
              <w:t>-64.0</w:t>
            </w:r>
          </w:p>
        </w:tc>
      </w:tr>
    </w:tbl>
    <w:p w:rsidR="007B52C0" w:rsidRDefault="007B52C0" w:rsidP="00DA40A0">
      <w:pPr>
        <w:pStyle w:val="Footnotes"/>
        <w:numPr>
          <w:ilvl w:val="0"/>
          <w:numId w:val="141"/>
        </w:numPr>
        <w:ind w:left="284" w:hanging="284"/>
      </w:pPr>
      <w:r>
        <w:t xml:space="preserve">A positive </w:t>
      </w:r>
      <w:r w:rsidRPr="00FC1F1C">
        <w:t>number indicates an increase in the relevant budget balance, a negative number a decrease.</w:t>
      </w:r>
    </w:p>
    <w:p w:rsidR="007B52C0" w:rsidRPr="000E063A" w:rsidRDefault="007B52C0" w:rsidP="00DA40A0">
      <w:pPr>
        <w:pStyle w:val="Footnotes"/>
        <w:ind w:left="284" w:hanging="284"/>
        <w:rPr>
          <w:rStyle w:val="FootnoteReference"/>
          <w:vertAlign w:val="baseline"/>
        </w:rPr>
      </w:pPr>
      <w:r w:rsidRPr="000E063A">
        <w:t>Figures may not sum to totals due to rounding.</w:t>
      </w:r>
    </w:p>
    <w:p w:rsidR="007B52C0" w:rsidRDefault="007B52C0" w:rsidP="007B52C0">
      <w:pPr>
        <w:pStyle w:val="CostingsH7"/>
      </w:pPr>
      <w:r>
        <w:t>Key assumptions</w:t>
      </w:r>
    </w:p>
    <w:p w:rsidR="007B52C0" w:rsidRDefault="007B52C0" w:rsidP="007B52C0">
      <w:pPr>
        <w:pStyle w:val="BodyText"/>
      </w:pPr>
      <w:r>
        <w:t>In costing the proposal, the following assumptions have been made:</w:t>
      </w:r>
    </w:p>
    <w:p w:rsidR="007B52C0" w:rsidRDefault="007B52C0" w:rsidP="007B52C0">
      <w:pPr>
        <w:pStyle w:val="ListBullet"/>
      </w:pPr>
      <w:r>
        <w:t>The entrepreneurship studies funded under this proposal would not affect demand for other higher education studies currently funded by the Government through CGS and HELP.</w:t>
      </w:r>
    </w:p>
    <w:p w:rsidR="007B52C0" w:rsidRDefault="007B52C0" w:rsidP="007B52C0">
      <w:pPr>
        <w:pStyle w:val="ListBullet"/>
      </w:pPr>
      <w:r>
        <w:t>Universities would offer these studies at the capped amount of the Band 3 student contribution level.</w:t>
      </w:r>
    </w:p>
    <w:p w:rsidR="007B52C0" w:rsidRDefault="007B52C0" w:rsidP="007B52C0">
      <w:pPr>
        <w:pStyle w:val="ListBullet"/>
      </w:pPr>
      <w:r>
        <w:t>Based on the experience of current university students, approximately 10 per cent of the students would pay their fees upfront.</w:t>
      </w:r>
    </w:p>
    <w:p w:rsidR="007B52C0" w:rsidRDefault="007B52C0" w:rsidP="007B52C0">
      <w:pPr>
        <w:pStyle w:val="ListBullet"/>
      </w:pPr>
      <w:r>
        <w:t>Approximately 10 per cent of the students undertaking these entrepreneurship studies would also access Austudy or Youth Allowance for the duration of their study.</w:t>
      </w:r>
      <w:r w:rsidRPr="00E53973">
        <w:rPr>
          <w:rStyle w:val="FootnoteReference"/>
        </w:rPr>
        <w:footnoteReference w:id="23"/>
      </w:r>
    </w:p>
    <w:p w:rsidR="007B52C0" w:rsidRDefault="007B52C0" w:rsidP="007B52C0">
      <w:pPr>
        <w:pStyle w:val="ListBullet"/>
      </w:pPr>
      <w:r>
        <w:t>All students would undertake the entrepreneurship studies on a full-time basis over a year.</w:t>
      </w:r>
    </w:p>
    <w:p w:rsidR="007B52C0" w:rsidRDefault="007B52C0" w:rsidP="007B52C0">
      <w:pPr>
        <w:pStyle w:val="ListBullet"/>
      </w:pPr>
      <w:r>
        <w:t>The number of capped places taken up would be in the following profile:</w:t>
      </w:r>
    </w:p>
    <w:p w:rsidR="007B52C0" w:rsidRDefault="007B52C0" w:rsidP="007B52C0">
      <w:pPr>
        <w:pStyle w:val="ListBullet2"/>
      </w:pPr>
      <w:r>
        <w:t>1,000 places in the first year</w:t>
      </w:r>
    </w:p>
    <w:p w:rsidR="007B52C0" w:rsidRDefault="007B52C0" w:rsidP="007B52C0">
      <w:pPr>
        <w:pStyle w:val="ListBullet2"/>
      </w:pPr>
      <w:r>
        <w:t>1,500 places in the second year</w:t>
      </w:r>
    </w:p>
    <w:p w:rsidR="007B52C0" w:rsidRPr="006D2BBB" w:rsidRDefault="007B52C0" w:rsidP="007B52C0">
      <w:pPr>
        <w:pStyle w:val="ListBullet2"/>
      </w:pPr>
      <w:r>
        <w:t>2,000 places in the third and subsequent years.</w:t>
      </w:r>
    </w:p>
    <w:p w:rsidR="007B52C0" w:rsidRDefault="007B52C0" w:rsidP="007B52C0">
      <w:pPr>
        <w:pStyle w:val="CostingsH7"/>
      </w:pPr>
      <w:r>
        <w:t>Methodology</w:t>
      </w:r>
    </w:p>
    <w:p w:rsidR="007B52C0" w:rsidRDefault="007B52C0" w:rsidP="007B52C0">
      <w:pPr>
        <w:pStyle w:val="BodyText"/>
        <w:keepNext/>
        <w:keepLines/>
      </w:pPr>
      <w:r>
        <w:t>The proposal would be expected to increase the number of recipients accessing Austudy or Youth Allowance.  The value of additional allowance payments was estimated by multiplying:</w:t>
      </w:r>
    </w:p>
    <w:p w:rsidR="007B52C0" w:rsidRDefault="007B52C0" w:rsidP="007B52C0">
      <w:pPr>
        <w:pStyle w:val="ListBullet"/>
      </w:pPr>
      <w:r>
        <w:t>the proportion of students in postgraduate studies accessing Austudy or Youth Allowance</w:t>
      </w:r>
    </w:p>
    <w:p w:rsidR="007B52C0" w:rsidRDefault="007B52C0" w:rsidP="007B52C0">
      <w:pPr>
        <w:pStyle w:val="ListBullet"/>
      </w:pPr>
      <w:r>
        <w:t>the number of students undertaking entrepreneurship studies</w:t>
      </w:r>
    </w:p>
    <w:p w:rsidR="007B52C0" w:rsidRDefault="007B52C0" w:rsidP="007B52C0">
      <w:pPr>
        <w:pStyle w:val="ListBullet"/>
      </w:pPr>
      <w:r>
        <w:t>the average rate of Austudy and Youth Allowance.</w:t>
      </w:r>
    </w:p>
    <w:p w:rsidR="007B52C0" w:rsidRDefault="007B52C0" w:rsidP="007B52C0">
      <w:pPr>
        <w:pStyle w:val="BodyText"/>
      </w:pPr>
      <w:r>
        <w:t>The value of additional HELP loans was estimated by multiplying the number of additional students by the Band 3 student contribution cap, taking into account that 10 per cent of the students would pay the fee upfront.  The additional HELP loans have the following impacts on budget balances:</w:t>
      </w:r>
    </w:p>
    <w:p w:rsidR="007B52C0" w:rsidRDefault="007B52C0" w:rsidP="007B52C0">
      <w:pPr>
        <w:pStyle w:val="CostingsH8"/>
      </w:pPr>
      <w:r>
        <w:t>Fiscal balance impact – components</w:t>
      </w:r>
    </w:p>
    <w:p w:rsidR="007B52C0" w:rsidRDefault="007B52C0" w:rsidP="007B52C0">
      <w:pPr>
        <w:pStyle w:val="ListBullet"/>
      </w:pPr>
      <w:r>
        <w:t>Concessional loan discount (CLD) expenses due to additional HELP loans being issued have a negative impact on the fiscal balance.</w:t>
      </w:r>
    </w:p>
    <w:p w:rsidR="007B52C0" w:rsidRDefault="007B52C0" w:rsidP="007B52C0">
      <w:pPr>
        <w:pStyle w:val="ListBullet"/>
      </w:pPr>
      <w:r>
        <w:t>CLD unwinding revenue in later years offsets the increased CLD expenses and has a positive impact on the fiscal balance.  Over the life of an individual loan, the CLD unwinding revenue is equal to the CLD expenses and results in a nil impact on the fiscal balance.</w:t>
      </w:r>
      <w:r w:rsidRPr="00E53973">
        <w:rPr>
          <w:rStyle w:val="FootnoteReference"/>
        </w:rPr>
        <w:footnoteReference w:id="24"/>
      </w:r>
    </w:p>
    <w:p w:rsidR="007B52C0" w:rsidRDefault="007B52C0" w:rsidP="007B52C0">
      <w:pPr>
        <w:pStyle w:val="ListBullet"/>
      </w:pPr>
      <w:r>
        <w:t>Interest revenue from students undertaking entrepreneurial studies has a positive impact on the fiscal balance.</w:t>
      </w:r>
    </w:p>
    <w:p w:rsidR="007B52C0" w:rsidRDefault="007B52C0" w:rsidP="007B52C0">
      <w:pPr>
        <w:pStyle w:val="ListBullet"/>
      </w:pPr>
      <w:r>
        <w:t>Increased writedowns of bad debts due to borrowings by students undertaking entrepreneurial studies have a negative impact on the fiscal balance.</w:t>
      </w:r>
    </w:p>
    <w:p w:rsidR="007B52C0" w:rsidRDefault="007B52C0" w:rsidP="007B52C0">
      <w:pPr>
        <w:pStyle w:val="ListBullet"/>
      </w:pPr>
      <w:r>
        <w:t>Increased PDI expenses have a negative impact on the fiscal balance.</w:t>
      </w:r>
    </w:p>
    <w:p w:rsidR="007B52C0" w:rsidRDefault="007B52C0" w:rsidP="007B52C0">
      <w:pPr>
        <w:pStyle w:val="CostingsH8"/>
      </w:pPr>
      <w:r>
        <w:t>Underlying cash balance impact – components</w:t>
      </w:r>
    </w:p>
    <w:p w:rsidR="007B52C0" w:rsidRDefault="007B52C0" w:rsidP="007B52C0">
      <w:pPr>
        <w:pStyle w:val="ListBullet"/>
      </w:pPr>
      <w:r>
        <w:t>Interest receipts from students undertaking entrepreneurial studies (interest was estimated as a fixed proportion of repayments) have a positive impact on the underlying cash balance.</w:t>
      </w:r>
    </w:p>
    <w:p w:rsidR="007B52C0" w:rsidRDefault="007B52C0" w:rsidP="007B52C0">
      <w:pPr>
        <w:pStyle w:val="ListBullet"/>
      </w:pPr>
      <w:r>
        <w:t>Increased PDI payments have a negative impact on the underlying cash balance.</w:t>
      </w:r>
    </w:p>
    <w:p w:rsidR="007B52C0" w:rsidRDefault="007B52C0" w:rsidP="007B52C0">
      <w:pPr>
        <w:pStyle w:val="CostingsH8"/>
      </w:pPr>
      <w:r>
        <w:t>Headline cash balance impact – components</w:t>
      </w:r>
    </w:p>
    <w:p w:rsidR="007B52C0" w:rsidRDefault="007B52C0" w:rsidP="007B52C0">
      <w:pPr>
        <w:pStyle w:val="ListBullet"/>
      </w:pPr>
      <w:r>
        <w:t>Loans to students undertaking entrepreneurial studies have a negative impact on the headline cash balance.</w:t>
      </w:r>
    </w:p>
    <w:p w:rsidR="007B52C0" w:rsidRDefault="007B52C0" w:rsidP="007B52C0">
      <w:pPr>
        <w:pStyle w:val="ListBullet"/>
      </w:pPr>
      <w:r>
        <w:t>Principal repayments by students undertaking entrepreneurial studies have a positive impact on the headline cash balance.</w:t>
      </w:r>
    </w:p>
    <w:p w:rsidR="007B52C0" w:rsidRDefault="007B52C0" w:rsidP="007B52C0">
      <w:pPr>
        <w:pStyle w:val="ListBullet"/>
      </w:pPr>
      <w:r>
        <w:t>Interest receipts from students undertaking entrepreneurial studies (interest was estimated as a fixed proportion of repayments) have a positive impact on the headline cash balance.</w:t>
      </w:r>
    </w:p>
    <w:p w:rsidR="007B52C0" w:rsidRDefault="007B52C0" w:rsidP="007B52C0">
      <w:pPr>
        <w:pStyle w:val="ListBullet"/>
      </w:pPr>
      <w:r>
        <w:t>Increased PDI payments have a negative impact on the headline cash balance.</w:t>
      </w:r>
    </w:p>
    <w:p w:rsidR="007B52C0" w:rsidRDefault="007B52C0" w:rsidP="007B52C0">
      <w:pPr>
        <w:pStyle w:val="BodyText"/>
      </w:pPr>
      <w:r>
        <w:t>The total of the financial impacts from the additional HELP loans issued and allowance payments represent the financial impacts of the proposal.</w:t>
      </w:r>
    </w:p>
    <w:p w:rsidR="007B52C0" w:rsidRPr="006D2BBB" w:rsidRDefault="007B52C0" w:rsidP="007B52C0">
      <w:pPr>
        <w:pStyle w:val="BodyText"/>
      </w:pPr>
      <w:r>
        <w:t>All estimates have been rounded to the nearest $1 million.</w:t>
      </w:r>
    </w:p>
    <w:p w:rsidR="007B52C0" w:rsidRDefault="007B52C0" w:rsidP="007B52C0">
      <w:pPr>
        <w:pStyle w:val="CostingsH7"/>
      </w:pPr>
      <w:r>
        <w:t>Data sources</w:t>
      </w:r>
    </w:p>
    <w:p w:rsidR="007B52C0" w:rsidRDefault="005B53BF" w:rsidP="007B52C0">
      <w:pPr>
        <w:pStyle w:val="ListBullet"/>
      </w:pPr>
      <w:r>
        <w:t xml:space="preserve">The </w:t>
      </w:r>
      <w:r w:rsidR="007B52C0">
        <w:t>Department of Education and Training</w:t>
      </w:r>
      <w:r>
        <w:t xml:space="preserve"> provided:</w:t>
      </w:r>
    </w:p>
    <w:p w:rsidR="007B52C0" w:rsidRDefault="007B52C0" w:rsidP="007B52C0">
      <w:pPr>
        <w:pStyle w:val="ListBullet2"/>
      </w:pPr>
      <w:r>
        <w:t>Higher Education Statistics 2014</w:t>
      </w:r>
    </w:p>
    <w:p w:rsidR="007B52C0" w:rsidRDefault="007B52C0" w:rsidP="007B52C0">
      <w:pPr>
        <w:pStyle w:val="ListBullet2"/>
      </w:pPr>
      <w:r>
        <w:t>HELP forward estimates model.</w:t>
      </w:r>
    </w:p>
    <w:p w:rsidR="007B52C0" w:rsidRDefault="005B53BF" w:rsidP="007B52C0">
      <w:pPr>
        <w:pStyle w:val="ListBullet"/>
      </w:pPr>
      <w:r>
        <w:t xml:space="preserve">The </w:t>
      </w:r>
      <w:r w:rsidR="007B52C0">
        <w:t>Department of Social Services</w:t>
      </w:r>
      <w:r>
        <w:t xml:space="preserve"> provided:</w:t>
      </w:r>
    </w:p>
    <w:p w:rsidR="007B52C0" w:rsidRDefault="007B52C0" w:rsidP="007B52C0">
      <w:pPr>
        <w:pStyle w:val="ListBullet2"/>
      </w:pPr>
      <w:r>
        <w:t>Allowance recipients microdata</w:t>
      </w:r>
    </w:p>
    <w:p w:rsidR="007B52C0" w:rsidRDefault="007B52C0" w:rsidP="007B52C0">
      <w:pPr>
        <w:pStyle w:val="ListBullet2"/>
      </w:pPr>
      <w:r>
        <w:t>Austudy forward estimates model</w:t>
      </w:r>
    </w:p>
    <w:p w:rsidR="007B52C0" w:rsidRDefault="007B52C0" w:rsidP="007B52C0">
      <w:pPr>
        <w:pStyle w:val="ListBullet2"/>
      </w:pPr>
      <w:r>
        <w:t>Youth Allowance forward estimates model.</w:t>
      </w:r>
    </w:p>
    <w:p w:rsidR="007B52C0" w:rsidRPr="001E4B1C" w:rsidRDefault="007B52C0" w:rsidP="001E4B1C">
      <w:pPr>
        <w:pStyle w:val="BodyText"/>
      </w:pPr>
    </w:p>
    <w:p w:rsidR="007B52C0" w:rsidRPr="001E4B1C" w:rsidRDefault="007B52C0" w:rsidP="001E4B1C">
      <w:pPr>
        <w:pStyle w:val="BodyText"/>
        <w:sectPr w:rsidR="007B52C0" w:rsidRPr="001E4B1C" w:rsidSect="00967BCD">
          <w:footnotePr>
            <w:numRestart w:val="eachSect"/>
          </w:footnotePr>
          <w:pgSz w:w="11906" w:h="16838" w:code="9"/>
          <w:pgMar w:top="1361" w:right="1797" w:bottom="1474" w:left="1797" w:header="283" w:footer="454" w:gutter="0"/>
          <w:cols w:space="708"/>
          <w:docGrid w:linePitch="360"/>
        </w:sectPr>
      </w:pPr>
    </w:p>
    <w:p w:rsidR="007D4011" w:rsidRPr="007D4011" w:rsidRDefault="007D4011" w:rsidP="0089451D">
      <w:pPr>
        <w:pStyle w:val="Heading6"/>
        <w:rPr>
          <w:rFonts w:eastAsia="Calibri"/>
        </w:rPr>
      </w:pPr>
      <w:r w:rsidRPr="007D4011">
        <w:rPr>
          <w:rFonts w:eastAsia="Calibri"/>
        </w:rPr>
        <w:t>Attachment A: Startup Year—financial implications</w:t>
      </w:r>
    </w:p>
    <w:p w:rsidR="007D4011" w:rsidRPr="007D4011" w:rsidRDefault="007D4011" w:rsidP="007D4011">
      <w:pPr>
        <w:keepNext/>
        <w:spacing w:before="340" w:after="114"/>
        <w:rPr>
          <w:rFonts w:ascii="Calibri" w:eastAsia="Calibri" w:hAnsi="Calibri" w:cs="Times New Roman"/>
          <w:b/>
          <w:bCs/>
          <w:color w:val="1F497D"/>
          <w:spacing w:val="-4"/>
        </w:rPr>
      </w:pPr>
      <w:r w:rsidRPr="007D4011">
        <w:rPr>
          <w:rFonts w:ascii="Calibri" w:eastAsia="Calibri" w:hAnsi="Calibri" w:cs="Times New Roman"/>
          <w:b/>
          <w:bCs/>
          <w:color w:val="1F497D"/>
          <w:spacing w:val="-4"/>
        </w:rPr>
        <w:t>Table A1: Startup Year—Fiscal balance</w:t>
      </w:r>
      <w:r w:rsidRPr="007D4011">
        <w:rPr>
          <w:rFonts w:ascii="Calibri" w:eastAsia="Calibri" w:hAnsi="Calibri" w:cs="Times New Roman"/>
          <w:b/>
          <w:bCs/>
          <w:color w:val="1F497D"/>
          <w:spacing w:val="-4"/>
          <w:vertAlign w:val="superscript"/>
        </w:rPr>
        <w:t>(a)(b)</w:t>
      </w:r>
    </w:p>
    <w:tbl>
      <w:tblPr>
        <w:tblStyle w:val="TableGrid47"/>
        <w:tblW w:w="5110" w:type="pct"/>
        <w:tblLayout w:type="fixed"/>
        <w:tblLook w:val="0680" w:firstRow="0" w:lastRow="0" w:firstColumn="1" w:lastColumn="0" w:noHBand="1" w:noVBand="1"/>
      </w:tblPr>
      <w:tblGrid>
        <w:gridCol w:w="2418"/>
        <w:gridCol w:w="846"/>
        <w:gridCol w:w="846"/>
        <w:gridCol w:w="845"/>
        <w:gridCol w:w="845"/>
        <w:gridCol w:w="848"/>
        <w:gridCol w:w="845"/>
        <w:gridCol w:w="845"/>
        <w:gridCol w:w="845"/>
        <w:gridCol w:w="848"/>
        <w:gridCol w:w="845"/>
        <w:gridCol w:w="845"/>
        <w:gridCol w:w="845"/>
        <w:gridCol w:w="981"/>
      </w:tblGrid>
      <w:tr w:rsidR="007D4011" w:rsidRPr="007D4011" w:rsidTr="007D4011">
        <w:trPr>
          <w:cantSplit/>
          <w:tblHeader/>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szCs w:val="20"/>
              </w:rPr>
            </w:pPr>
            <w:r w:rsidRPr="007D4011">
              <w:rPr>
                <w:szCs w:val="20"/>
              </w:rPr>
              <w:t>($m)</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2016–17</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2017–18</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2018–19</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2019–20</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2019–20</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2020–21</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2021–22</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2022–23</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2023–24</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2024–25</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2025–26</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2026–27</w:t>
            </w:r>
          </w:p>
        </w:tc>
        <w:tc>
          <w:tcPr>
            <w:tcW w:w="36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2026–27</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7D4011" w:rsidRPr="007D4011" w:rsidRDefault="007D4011" w:rsidP="007D4011">
            <w:pPr>
              <w:keepNext/>
              <w:spacing w:line="240" w:lineRule="auto"/>
              <w:ind w:left="57" w:right="57"/>
              <w:rPr>
                <w:b/>
                <w:i/>
                <w:szCs w:val="20"/>
              </w:rPr>
            </w:pPr>
            <w:r w:rsidRPr="007D4011">
              <w:rPr>
                <w:b/>
                <w:szCs w:val="20"/>
              </w:rPr>
              <w:t>Impact on fiscal balance</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7D4011" w:rsidRPr="007D4011" w:rsidRDefault="007D4011" w:rsidP="007D4011">
            <w:pPr>
              <w:keepNext/>
              <w:spacing w:line="240" w:lineRule="auto"/>
              <w:ind w:left="57" w:right="57"/>
              <w:rPr>
                <w:b/>
                <w:szCs w:val="20"/>
              </w:rPr>
            </w:pPr>
            <w:r w:rsidRPr="007D4011">
              <w:rPr>
                <w:b/>
                <w:szCs w:val="20"/>
              </w:rPr>
              <w:t>Income support payments</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Austudy</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-11.0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Youth Allowance</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-17.0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iCs/>
                <w:color w:val="000000"/>
                <w:szCs w:val="20"/>
              </w:rPr>
            </w:pPr>
            <w:r w:rsidRPr="007D4011">
              <w:rPr>
                <w:b/>
                <w:bCs/>
                <w:iCs/>
                <w:color w:val="000000"/>
                <w:szCs w:val="20"/>
              </w:rPr>
              <w:t>HELP</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i/>
                <w:iCs/>
                <w:color w:val="000000"/>
                <w:szCs w:val="20"/>
              </w:rPr>
              <w:t>CLD expense</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-5.0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-19.0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i/>
                <w:iCs/>
                <w:color w:val="000000"/>
                <w:szCs w:val="20"/>
              </w:rPr>
              <w:t>CLD unwinding revenue</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8.0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Net CLD</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-5.0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-11.0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Interest revenue accrued</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4.0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18.0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Loan writedowns</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color w:val="000000"/>
                <w:szCs w:val="20"/>
              </w:rPr>
            </w:pPr>
            <w:r w:rsidRPr="007D4011">
              <w:rPr>
                <w:b/>
                <w:bCs/>
                <w:color w:val="000000"/>
                <w:szCs w:val="20"/>
              </w:rPr>
              <w:t>PDI</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Expenses</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-6.0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-8.0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-15.0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-60.0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b/>
                <w:szCs w:val="20"/>
              </w:rPr>
            </w:pPr>
            <w:r w:rsidRPr="007D4011">
              <w:rPr>
                <w:b/>
                <w:szCs w:val="20"/>
              </w:rPr>
              <w:t>Total</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-4.0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-5.0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-13.0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-6.0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-7.0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-8.0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-9.0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-11.0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-13.0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-14.0</w:t>
            </w:r>
          </w:p>
        </w:tc>
        <w:tc>
          <w:tcPr>
            <w:tcW w:w="36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-81.0</w:t>
            </w:r>
          </w:p>
        </w:tc>
      </w:tr>
    </w:tbl>
    <w:p w:rsidR="007D4011" w:rsidRPr="0089451D" w:rsidRDefault="007D4011" w:rsidP="001E4B1C">
      <w:pPr>
        <w:pStyle w:val="Footnotes"/>
        <w:numPr>
          <w:ilvl w:val="0"/>
          <w:numId w:val="204"/>
        </w:numPr>
        <w:spacing w:before="113" w:after="114" w:line="240" w:lineRule="auto"/>
        <w:ind w:left="284" w:hanging="284"/>
        <w:rPr>
          <w:rFonts w:ascii="Calibri" w:eastAsia="Calibri" w:hAnsi="Calibri" w:cs="Times New Roman"/>
        </w:rPr>
      </w:pPr>
      <w:r w:rsidRPr="0089451D">
        <w:rPr>
          <w:rFonts w:ascii="Calibri" w:eastAsia="Calibri" w:hAnsi="Calibri" w:cs="Times New Roman"/>
        </w:rPr>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7D4011" w:rsidRPr="007D4011" w:rsidRDefault="007D4011" w:rsidP="001E4B1C">
      <w:pPr>
        <w:pStyle w:val="Footnotes"/>
        <w:ind w:left="284" w:hanging="284"/>
        <w:rPr>
          <w:rFonts w:ascii="Calibri" w:eastAsia="Calibri" w:hAnsi="Calibri" w:cs="Times New Roman"/>
        </w:rPr>
      </w:pPr>
      <w:r w:rsidRPr="007D4011">
        <w:rPr>
          <w:rFonts w:ascii="Calibri" w:eastAsia="Calibri" w:hAnsi="Calibri" w:cs="Times New Roman"/>
        </w:rPr>
        <w:t>Figures may not sum to totals due to rounding.</w:t>
      </w:r>
    </w:p>
    <w:p w:rsidR="007D4011" w:rsidRPr="007D4011" w:rsidRDefault="007D4011" w:rsidP="001E4B1C">
      <w:pPr>
        <w:pStyle w:val="Footnotes"/>
        <w:numPr>
          <w:ilvl w:val="0"/>
          <w:numId w:val="0"/>
        </w:numPr>
        <w:ind w:left="284" w:hanging="284"/>
      </w:pPr>
      <w:r w:rsidRPr="007D4011">
        <w:t>..</w:t>
      </w:r>
      <w:r w:rsidRPr="007D4011">
        <w:tab/>
        <w:t>Not zero but rounded to zero.</w:t>
      </w:r>
    </w:p>
    <w:p w:rsidR="007D4011" w:rsidRPr="001E4B1C" w:rsidRDefault="007D4011" w:rsidP="001E4B1C">
      <w:pPr>
        <w:pStyle w:val="Footnotes"/>
        <w:numPr>
          <w:ilvl w:val="0"/>
          <w:numId w:val="33"/>
        </w:numPr>
        <w:ind w:left="284" w:hanging="284"/>
      </w:pPr>
      <w:r w:rsidRPr="001E4B1C">
        <w:t>Indicates nil.</w:t>
      </w:r>
    </w:p>
    <w:p w:rsidR="007D4011" w:rsidRPr="007D4011" w:rsidRDefault="007D4011" w:rsidP="007D4011">
      <w:pPr>
        <w:keepNext/>
        <w:spacing w:before="340" w:after="114"/>
        <w:rPr>
          <w:rFonts w:ascii="Calibri" w:eastAsia="Calibri" w:hAnsi="Calibri" w:cs="Times New Roman"/>
          <w:b/>
          <w:bCs/>
          <w:color w:val="1F497D"/>
          <w:spacing w:val="-4"/>
          <w:vertAlign w:val="superscript"/>
        </w:rPr>
      </w:pPr>
      <w:r w:rsidRPr="007D4011">
        <w:rPr>
          <w:rFonts w:ascii="Calibri" w:eastAsia="Calibri" w:hAnsi="Calibri" w:cs="Times New Roman"/>
          <w:b/>
          <w:bCs/>
          <w:color w:val="1F497D"/>
          <w:spacing w:val="-4"/>
        </w:rPr>
        <w:t>Table A2: Startup Year—Underlying cash balance</w:t>
      </w:r>
      <w:r w:rsidRPr="007D4011">
        <w:rPr>
          <w:rFonts w:ascii="Calibri" w:eastAsia="Calibri" w:hAnsi="Calibri" w:cs="Times New Roman"/>
          <w:b/>
          <w:bCs/>
          <w:color w:val="1F497D"/>
          <w:spacing w:val="-4"/>
          <w:vertAlign w:val="superscript"/>
        </w:rPr>
        <w:t>(a)(b)</w:t>
      </w:r>
    </w:p>
    <w:tbl>
      <w:tblPr>
        <w:tblStyle w:val="TableGrid47"/>
        <w:tblW w:w="5110" w:type="pct"/>
        <w:tblLayout w:type="fixed"/>
        <w:tblLook w:val="0680" w:firstRow="0" w:lastRow="0" w:firstColumn="1" w:lastColumn="0" w:noHBand="1" w:noVBand="1"/>
      </w:tblPr>
      <w:tblGrid>
        <w:gridCol w:w="2418"/>
        <w:gridCol w:w="846"/>
        <w:gridCol w:w="846"/>
        <w:gridCol w:w="845"/>
        <w:gridCol w:w="845"/>
        <w:gridCol w:w="848"/>
        <w:gridCol w:w="845"/>
        <w:gridCol w:w="845"/>
        <w:gridCol w:w="845"/>
        <w:gridCol w:w="848"/>
        <w:gridCol w:w="845"/>
        <w:gridCol w:w="845"/>
        <w:gridCol w:w="845"/>
        <w:gridCol w:w="981"/>
      </w:tblGrid>
      <w:tr w:rsidR="007D4011" w:rsidRPr="007D4011" w:rsidTr="007D4011">
        <w:trPr>
          <w:cantSplit/>
          <w:tblHeader/>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szCs w:val="20"/>
              </w:rPr>
            </w:pPr>
            <w:r w:rsidRPr="007D4011">
              <w:rPr>
                <w:szCs w:val="20"/>
              </w:rPr>
              <w:t>($m)</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2016–17</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2017–18</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2018–19</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2019–20</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2019–20</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2020–21</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2021–22</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2022–23</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2023–24</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2024–25</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2025–26</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2026–27</w:t>
            </w:r>
          </w:p>
        </w:tc>
        <w:tc>
          <w:tcPr>
            <w:tcW w:w="36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2026–27</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7D4011" w:rsidRPr="007D4011" w:rsidRDefault="007D4011" w:rsidP="007D4011">
            <w:pPr>
              <w:keepNext/>
              <w:spacing w:line="240" w:lineRule="auto"/>
              <w:ind w:left="57" w:right="57"/>
              <w:rPr>
                <w:b/>
                <w:i/>
                <w:szCs w:val="20"/>
              </w:rPr>
            </w:pPr>
            <w:r w:rsidRPr="007D4011">
              <w:rPr>
                <w:b/>
              </w:rPr>
              <w:t>Impa</w:t>
            </w:r>
            <w:r w:rsidRPr="007D4011">
              <w:rPr>
                <w:b/>
                <w:shd w:val="clear" w:color="auto" w:fill="D7DDE9"/>
              </w:rPr>
              <w:t xml:space="preserve">ct on </w:t>
            </w:r>
            <w:r w:rsidRPr="007D4011">
              <w:rPr>
                <w:b/>
                <w:bCs/>
                <w:color w:val="000000"/>
                <w:szCs w:val="20"/>
              </w:rPr>
              <w:t>underlying cash balance</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7D4011" w:rsidRPr="007D4011" w:rsidRDefault="007D4011" w:rsidP="007D4011">
            <w:pPr>
              <w:keepNext/>
              <w:spacing w:line="240" w:lineRule="auto"/>
              <w:ind w:left="57" w:right="57"/>
              <w:rPr>
                <w:b/>
                <w:szCs w:val="20"/>
              </w:rPr>
            </w:pPr>
            <w:r w:rsidRPr="007D4011">
              <w:rPr>
                <w:b/>
                <w:szCs w:val="20"/>
              </w:rPr>
              <w:t>Income support payments</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Austudy</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-11.0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Youth Allowance</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-17.0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iCs/>
                <w:color w:val="000000"/>
                <w:szCs w:val="20"/>
              </w:rPr>
            </w:pPr>
            <w:r w:rsidRPr="007D4011">
              <w:rPr>
                <w:b/>
                <w:bCs/>
                <w:iCs/>
                <w:color w:val="000000"/>
                <w:szCs w:val="20"/>
              </w:rPr>
              <w:t>HELP</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Interest received</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2.0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color w:val="000000"/>
                <w:szCs w:val="20"/>
              </w:rPr>
            </w:pPr>
            <w:r w:rsidRPr="007D4011">
              <w:rPr>
                <w:b/>
                <w:bCs/>
                <w:color w:val="000000"/>
                <w:szCs w:val="20"/>
              </w:rPr>
              <w:t>PDI</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Payments</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-6.0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-8.0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-14.0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-59.0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b/>
                <w:szCs w:val="20"/>
              </w:rPr>
            </w:pPr>
            <w:r w:rsidRPr="007D4011">
              <w:rPr>
                <w:b/>
                <w:szCs w:val="20"/>
              </w:rPr>
              <w:t>Total</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-4.0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-10.0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-5.0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-7.0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-9.0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-11.0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-13.0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-15.0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-17.0</w:t>
            </w:r>
          </w:p>
        </w:tc>
        <w:tc>
          <w:tcPr>
            <w:tcW w:w="36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-85.0</w:t>
            </w:r>
          </w:p>
        </w:tc>
      </w:tr>
    </w:tbl>
    <w:p w:rsidR="007D4011" w:rsidRPr="0089451D" w:rsidRDefault="007D4011" w:rsidP="001E4B1C">
      <w:pPr>
        <w:pStyle w:val="Footnotes"/>
        <w:numPr>
          <w:ilvl w:val="0"/>
          <w:numId w:val="205"/>
        </w:numPr>
        <w:spacing w:before="113" w:after="114"/>
        <w:ind w:left="284" w:hanging="284"/>
        <w:rPr>
          <w:rFonts w:ascii="Calibri" w:eastAsia="Calibri" w:hAnsi="Calibri" w:cs="Times New Roman"/>
        </w:rPr>
      </w:pPr>
      <w:r w:rsidRPr="0089451D">
        <w:rPr>
          <w:rFonts w:ascii="Calibri" w:eastAsia="Calibri" w:hAnsi="Calibri" w:cs="Times New Roman"/>
        </w:rPr>
        <w:t xml:space="preserve">A positive number for the underlying cash balance indicates an increase in receipts or a decrease in </w:t>
      </w:r>
      <w:r w:rsidR="0080154C">
        <w:rPr>
          <w:rFonts w:ascii="Calibri" w:eastAsia="Calibri" w:hAnsi="Calibri" w:cs="Times New Roman"/>
        </w:rPr>
        <w:t>payments</w:t>
      </w:r>
      <w:r w:rsidRPr="0089451D">
        <w:rPr>
          <w:rFonts w:ascii="Calibri" w:eastAsia="Calibri" w:hAnsi="Calibri" w:cs="Times New Roman"/>
        </w:rPr>
        <w:t xml:space="preserve"> or net capital investment in cash terms.  A negative number for the underlying cash balance indicates a decrease in receipts or an increase in </w:t>
      </w:r>
      <w:r w:rsidR="0080154C">
        <w:rPr>
          <w:rFonts w:ascii="Calibri" w:eastAsia="Calibri" w:hAnsi="Calibri" w:cs="Times New Roman"/>
        </w:rPr>
        <w:t>payments</w:t>
      </w:r>
      <w:r w:rsidRPr="0089451D">
        <w:rPr>
          <w:rFonts w:ascii="Calibri" w:eastAsia="Calibri" w:hAnsi="Calibri" w:cs="Times New Roman"/>
        </w:rPr>
        <w:t xml:space="preserve"> or net capital investment in cash terms. </w:t>
      </w:r>
    </w:p>
    <w:p w:rsidR="007D4011" w:rsidRPr="007D4011" w:rsidRDefault="007D4011" w:rsidP="001E4B1C">
      <w:pPr>
        <w:pStyle w:val="Footnotes"/>
        <w:ind w:left="284" w:hanging="284"/>
        <w:rPr>
          <w:rFonts w:ascii="Calibri" w:eastAsia="Calibri" w:hAnsi="Calibri" w:cs="Times New Roman"/>
        </w:rPr>
      </w:pPr>
      <w:r w:rsidRPr="007D4011">
        <w:rPr>
          <w:rFonts w:ascii="Calibri" w:eastAsia="Calibri" w:hAnsi="Calibri" w:cs="Times New Roman"/>
        </w:rPr>
        <w:t>Figures may not sum to totals due to rounding.</w:t>
      </w:r>
    </w:p>
    <w:p w:rsidR="007D4011" w:rsidRPr="007D4011" w:rsidRDefault="007D4011" w:rsidP="001E4B1C">
      <w:pPr>
        <w:pStyle w:val="Footnotes"/>
        <w:numPr>
          <w:ilvl w:val="0"/>
          <w:numId w:val="0"/>
        </w:numPr>
        <w:ind w:left="284" w:hanging="284"/>
      </w:pPr>
      <w:r w:rsidRPr="007D4011">
        <w:t>..</w:t>
      </w:r>
      <w:r w:rsidRPr="007D4011">
        <w:tab/>
        <w:t>Not zero but rounded to zero.</w:t>
      </w:r>
    </w:p>
    <w:p w:rsidR="007D4011" w:rsidRPr="007D4011" w:rsidRDefault="007D4011" w:rsidP="001E4B1C">
      <w:pPr>
        <w:pStyle w:val="Footnotes"/>
        <w:numPr>
          <w:ilvl w:val="0"/>
          <w:numId w:val="0"/>
        </w:numPr>
        <w:ind w:left="284" w:hanging="284"/>
      </w:pPr>
      <w:r w:rsidRPr="007D4011">
        <w:t>-</w:t>
      </w:r>
      <w:r w:rsidRPr="007D4011">
        <w:tab/>
        <w:t>Indicates nil.</w:t>
      </w:r>
    </w:p>
    <w:p w:rsidR="007D4011" w:rsidRPr="007D4011" w:rsidRDefault="007D4011" w:rsidP="007D4011">
      <w:pPr>
        <w:keepNext/>
        <w:spacing w:before="340" w:after="114"/>
        <w:rPr>
          <w:rFonts w:ascii="Calibri" w:eastAsia="Calibri" w:hAnsi="Calibri" w:cs="Times New Roman"/>
          <w:b/>
          <w:bCs/>
          <w:color w:val="1F497D"/>
          <w:spacing w:val="-4"/>
          <w:vertAlign w:val="superscript"/>
        </w:rPr>
      </w:pPr>
      <w:r w:rsidRPr="007D4011">
        <w:rPr>
          <w:rFonts w:ascii="Calibri" w:eastAsia="Calibri" w:hAnsi="Calibri" w:cs="Times New Roman"/>
          <w:b/>
          <w:bCs/>
          <w:color w:val="1F497D"/>
          <w:spacing w:val="-4"/>
        </w:rPr>
        <w:t>Table A3: Startup Year—Headline cash balance</w:t>
      </w:r>
      <w:r w:rsidRPr="007D4011">
        <w:rPr>
          <w:rFonts w:ascii="Calibri" w:eastAsia="Calibri" w:hAnsi="Calibri" w:cs="Times New Roman"/>
          <w:b/>
          <w:bCs/>
          <w:color w:val="1F497D"/>
          <w:spacing w:val="-4"/>
          <w:vertAlign w:val="superscript"/>
        </w:rPr>
        <w:t>(a)(b)</w:t>
      </w:r>
    </w:p>
    <w:tbl>
      <w:tblPr>
        <w:tblStyle w:val="TableGrid47"/>
        <w:tblW w:w="5110" w:type="pct"/>
        <w:tblLayout w:type="fixed"/>
        <w:tblLook w:val="0680" w:firstRow="0" w:lastRow="0" w:firstColumn="1" w:lastColumn="0" w:noHBand="1" w:noVBand="1"/>
      </w:tblPr>
      <w:tblGrid>
        <w:gridCol w:w="2418"/>
        <w:gridCol w:w="846"/>
        <w:gridCol w:w="846"/>
        <w:gridCol w:w="845"/>
        <w:gridCol w:w="845"/>
        <w:gridCol w:w="848"/>
        <w:gridCol w:w="845"/>
        <w:gridCol w:w="845"/>
        <w:gridCol w:w="845"/>
        <w:gridCol w:w="848"/>
        <w:gridCol w:w="845"/>
        <w:gridCol w:w="845"/>
        <w:gridCol w:w="845"/>
        <w:gridCol w:w="981"/>
      </w:tblGrid>
      <w:tr w:rsidR="007D4011" w:rsidRPr="007D4011" w:rsidTr="007D4011">
        <w:trPr>
          <w:cantSplit/>
          <w:tblHeader/>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szCs w:val="20"/>
              </w:rPr>
            </w:pPr>
            <w:r w:rsidRPr="007D4011">
              <w:rPr>
                <w:szCs w:val="20"/>
              </w:rPr>
              <w:t>($m)</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2016–17</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2017–18</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2018–19</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2019–20</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2019–20</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2020–21</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2021–22</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2022–23</w:t>
            </w:r>
          </w:p>
        </w:tc>
        <w:tc>
          <w:tcPr>
            <w:tcW w:w="313"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2023–24</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2024–25</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2025–26</w:t>
            </w:r>
          </w:p>
        </w:tc>
        <w:tc>
          <w:tcPr>
            <w:tcW w:w="31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D4011">
              <w:rPr>
                <w:rFonts w:ascii="Calibri" w:hAnsi="Calibri"/>
                <w:sz w:val="20"/>
                <w:szCs w:val="20"/>
              </w:rPr>
              <w:t>2026–27</w:t>
            </w:r>
          </w:p>
        </w:tc>
        <w:tc>
          <w:tcPr>
            <w:tcW w:w="362" w:type="pct"/>
            <w:shd w:val="clear" w:color="auto" w:fill="D7DDE9"/>
          </w:tcPr>
          <w:p w:rsidR="007D4011" w:rsidRPr="007D4011" w:rsidRDefault="007D4011" w:rsidP="007D4011">
            <w:pPr>
              <w:keepNext/>
              <w:keepLines/>
              <w:spacing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7D4011">
              <w:rPr>
                <w:rFonts w:ascii="Calibri" w:hAnsi="Calibri"/>
                <w:b/>
                <w:sz w:val="20"/>
                <w:szCs w:val="20"/>
              </w:rPr>
              <w:t>Total to 2026–27</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D7DDE9"/>
          </w:tcPr>
          <w:p w:rsidR="007D4011" w:rsidRPr="007D4011" w:rsidRDefault="007D4011" w:rsidP="007D4011">
            <w:pPr>
              <w:keepNext/>
              <w:spacing w:line="240" w:lineRule="auto"/>
              <w:ind w:left="57" w:right="57"/>
              <w:rPr>
                <w:b/>
                <w:i/>
                <w:szCs w:val="20"/>
              </w:rPr>
            </w:pPr>
            <w:r w:rsidRPr="007D4011">
              <w:rPr>
                <w:b/>
              </w:rPr>
              <w:t>Impa</w:t>
            </w:r>
            <w:r w:rsidRPr="007D4011">
              <w:rPr>
                <w:b/>
                <w:shd w:val="clear" w:color="auto" w:fill="D7DDE9"/>
              </w:rPr>
              <w:t xml:space="preserve">ct on </w:t>
            </w:r>
            <w:r w:rsidRPr="007D4011">
              <w:rPr>
                <w:b/>
                <w:bCs/>
                <w:color w:val="000000"/>
                <w:szCs w:val="20"/>
              </w:rPr>
              <w:t>headline cash balance</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EF1F6"/>
          </w:tcPr>
          <w:p w:rsidR="007D4011" w:rsidRPr="007D4011" w:rsidRDefault="007D4011" w:rsidP="007D4011">
            <w:pPr>
              <w:keepNext/>
              <w:spacing w:line="240" w:lineRule="auto"/>
              <w:ind w:left="57" w:right="57"/>
              <w:rPr>
                <w:b/>
                <w:szCs w:val="20"/>
              </w:rPr>
            </w:pPr>
            <w:r w:rsidRPr="007D4011">
              <w:rPr>
                <w:b/>
                <w:szCs w:val="20"/>
              </w:rPr>
              <w:t>Income support payments</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Austudy</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-11.0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i/>
                <w:iCs/>
                <w:color w:val="000000"/>
                <w:szCs w:val="20"/>
              </w:rPr>
            </w:pPr>
            <w:r w:rsidRPr="007D4011">
              <w:rPr>
                <w:color w:val="000000"/>
                <w:szCs w:val="20"/>
              </w:rPr>
              <w:t>Youth Allowance</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iCs/>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iCs/>
                <w:color w:val="000000"/>
                <w:sz w:val="20"/>
                <w:szCs w:val="20"/>
              </w:rPr>
            </w:pPr>
            <w:r w:rsidRPr="007D4011">
              <w:rPr>
                <w:rFonts w:ascii="Calibri" w:hAnsi="Calibri"/>
                <w:b/>
                <w:i/>
                <w:sz w:val="20"/>
                <w:szCs w:val="20"/>
              </w:rPr>
              <w:t>-17.0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iCs/>
                <w:color w:val="000000"/>
                <w:szCs w:val="20"/>
              </w:rPr>
            </w:pPr>
            <w:r w:rsidRPr="007D4011">
              <w:rPr>
                <w:b/>
                <w:bCs/>
                <w:iCs/>
                <w:color w:val="000000"/>
                <w:szCs w:val="20"/>
              </w:rPr>
              <w:t>HELP</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Loans issued</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-5.0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-17.0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-54.0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-22.0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-23.0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-24.0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-211.0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Repayments and interest received</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7.0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7D4011" w:rsidRPr="007D4011" w:rsidRDefault="007D4011" w:rsidP="007D4011">
            <w:pPr>
              <w:spacing w:line="240" w:lineRule="auto"/>
              <w:ind w:left="57" w:right="57"/>
              <w:rPr>
                <w:b/>
                <w:bCs/>
                <w:color w:val="000000"/>
                <w:szCs w:val="20"/>
              </w:rPr>
            </w:pPr>
            <w:r w:rsidRPr="007D4011">
              <w:rPr>
                <w:b/>
                <w:bCs/>
                <w:color w:val="000000"/>
                <w:szCs w:val="20"/>
              </w:rPr>
              <w:t>PDI</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tcPr>
          <w:p w:rsidR="007D4011" w:rsidRPr="007D4011" w:rsidRDefault="007D4011" w:rsidP="007D4011">
            <w:pPr>
              <w:keepNext/>
              <w:spacing w:line="240" w:lineRule="auto"/>
              <w:ind w:left="57" w:right="57"/>
              <w:rPr>
                <w:color w:val="000000"/>
                <w:szCs w:val="20"/>
              </w:rPr>
            </w:pPr>
            <w:r w:rsidRPr="007D4011">
              <w:rPr>
                <w:color w:val="000000"/>
                <w:szCs w:val="20"/>
              </w:rPr>
              <w:t>Payments</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-4.0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-6.0</w:t>
            </w:r>
          </w:p>
        </w:tc>
        <w:tc>
          <w:tcPr>
            <w:tcW w:w="313"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-8.0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-10.0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-12.0</w:t>
            </w:r>
          </w:p>
        </w:tc>
        <w:tc>
          <w:tcPr>
            <w:tcW w:w="31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i/>
                <w:color w:val="000000"/>
                <w:sz w:val="20"/>
                <w:szCs w:val="20"/>
              </w:rPr>
            </w:pPr>
            <w:r w:rsidRPr="007D4011">
              <w:rPr>
                <w:rFonts w:ascii="Calibri" w:hAnsi="Calibri"/>
                <w:i/>
                <w:sz w:val="20"/>
                <w:szCs w:val="20"/>
              </w:rPr>
              <w:t>-14.0</w:t>
            </w:r>
          </w:p>
        </w:tc>
        <w:tc>
          <w:tcPr>
            <w:tcW w:w="362" w:type="pct"/>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i/>
                <w:color w:val="000000"/>
                <w:sz w:val="20"/>
                <w:szCs w:val="20"/>
              </w:rPr>
            </w:pPr>
            <w:r w:rsidRPr="007D4011">
              <w:rPr>
                <w:rFonts w:ascii="Calibri" w:hAnsi="Calibri"/>
                <w:b/>
                <w:i/>
                <w:sz w:val="20"/>
                <w:szCs w:val="20"/>
              </w:rPr>
              <w:t>-59.0</w:t>
            </w:r>
          </w:p>
        </w:tc>
      </w:tr>
      <w:tr w:rsidR="007D4011" w:rsidRPr="007D4011" w:rsidTr="007D4011">
        <w:trPr>
          <w:cantSplit/>
        </w:trPr>
        <w:tc>
          <w:tcPr>
            <w:cnfStyle w:val="001000000000" w:firstRow="0" w:lastRow="0" w:firstColumn="1" w:lastColumn="0" w:oddVBand="0" w:evenVBand="0" w:oddHBand="0" w:evenHBand="0" w:firstRowFirstColumn="0" w:firstRowLastColumn="0" w:lastRowFirstColumn="0" w:lastRowLastColumn="0"/>
            <w:tcW w:w="892" w:type="pct"/>
            <w:shd w:val="clear" w:color="auto" w:fill="D7DDE9"/>
          </w:tcPr>
          <w:p w:rsidR="007D4011" w:rsidRPr="007D4011" w:rsidRDefault="007D4011" w:rsidP="007D4011">
            <w:pPr>
              <w:keepNext/>
              <w:keepLines/>
              <w:spacing w:line="240" w:lineRule="auto"/>
              <w:ind w:left="57" w:right="57"/>
              <w:rPr>
                <w:b/>
                <w:szCs w:val="20"/>
              </w:rPr>
            </w:pPr>
            <w:r w:rsidRPr="007D4011">
              <w:rPr>
                <w:b/>
                <w:szCs w:val="20"/>
              </w:rPr>
              <w:t>Total</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-5.0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-14.0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-20.0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-24.0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-64.0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-26.0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-28.0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-30.0</w:t>
            </w:r>
          </w:p>
        </w:tc>
        <w:tc>
          <w:tcPr>
            <w:tcW w:w="313"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-32.0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-35.0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-37.0</w:t>
            </w:r>
          </w:p>
        </w:tc>
        <w:tc>
          <w:tcPr>
            <w:tcW w:w="31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-39.0</w:t>
            </w:r>
          </w:p>
        </w:tc>
        <w:tc>
          <w:tcPr>
            <w:tcW w:w="362" w:type="pct"/>
            <w:shd w:val="clear" w:color="auto" w:fill="D7DDE9"/>
          </w:tcPr>
          <w:p w:rsidR="007D4011" w:rsidRPr="007D4011" w:rsidRDefault="007D4011" w:rsidP="007D4011">
            <w:pPr>
              <w:spacing w:line="240" w:lineRule="auto"/>
              <w:ind w:left="57" w:right="57"/>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20"/>
              </w:rPr>
            </w:pPr>
            <w:r w:rsidRPr="007D4011">
              <w:rPr>
                <w:rFonts w:ascii="Calibri" w:hAnsi="Calibri"/>
                <w:b/>
                <w:sz w:val="20"/>
                <w:szCs w:val="20"/>
              </w:rPr>
              <w:t>-290.0</w:t>
            </w:r>
          </w:p>
        </w:tc>
      </w:tr>
    </w:tbl>
    <w:p w:rsidR="007D4011" w:rsidRPr="0089451D" w:rsidRDefault="007D4011" w:rsidP="001E4B1C">
      <w:pPr>
        <w:pStyle w:val="Footnotes"/>
        <w:numPr>
          <w:ilvl w:val="0"/>
          <w:numId w:val="206"/>
        </w:numPr>
        <w:spacing w:before="113" w:after="114"/>
        <w:ind w:left="284" w:hanging="284"/>
        <w:rPr>
          <w:rFonts w:ascii="Calibri" w:eastAsia="Calibri" w:hAnsi="Calibri" w:cs="Times New Roman"/>
        </w:rPr>
      </w:pPr>
      <w:r w:rsidRPr="0089451D">
        <w:rPr>
          <w:rFonts w:ascii="Calibri" w:eastAsia="Calibri" w:hAnsi="Calibri" w:cs="Times New Roman"/>
        </w:rPr>
        <w:t xml:space="preserve">A positive number in headline cash balance indicates an increase in cashflow.  A negative number in headline cash balance indicates a decrease in cashflow. </w:t>
      </w:r>
    </w:p>
    <w:p w:rsidR="007D4011" w:rsidRPr="007D4011" w:rsidRDefault="007D4011" w:rsidP="001E4B1C">
      <w:pPr>
        <w:pStyle w:val="Footnotes"/>
        <w:ind w:left="284" w:hanging="284"/>
        <w:rPr>
          <w:rFonts w:ascii="Calibri" w:eastAsia="Calibri" w:hAnsi="Calibri" w:cs="Times New Roman"/>
        </w:rPr>
      </w:pPr>
      <w:r w:rsidRPr="007D4011">
        <w:rPr>
          <w:rFonts w:ascii="Calibri" w:eastAsia="Calibri" w:hAnsi="Calibri" w:cs="Times New Roman"/>
        </w:rPr>
        <w:t>Figures may not sum to totals due to rounding.</w:t>
      </w:r>
    </w:p>
    <w:p w:rsidR="007D4011" w:rsidRPr="007D4011" w:rsidRDefault="007D4011" w:rsidP="001E4B1C">
      <w:pPr>
        <w:pStyle w:val="Footnotes"/>
        <w:numPr>
          <w:ilvl w:val="0"/>
          <w:numId w:val="0"/>
        </w:numPr>
        <w:ind w:left="284" w:hanging="284"/>
      </w:pPr>
      <w:r w:rsidRPr="007D4011">
        <w:t>..</w:t>
      </w:r>
      <w:r w:rsidRPr="007D4011">
        <w:tab/>
        <w:t>Not zero but rounded to zero.</w:t>
      </w:r>
    </w:p>
    <w:p w:rsidR="007D4011" w:rsidRPr="007D4011" w:rsidRDefault="007D4011" w:rsidP="001E4B1C">
      <w:pPr>
        <w:pStyle w:val="Footnotes"/>
        <w:numPr>
          <w:ilvl w:val="0"/>
          <w:numId w:val="33"/>
        </w:numPr>
        <w:ind w:left="284" w:hanging="284"/>
      </w:pPr>
      <w:r w:rsidRPr="007D4011">
        <w:t>Indicates nil.</w:t>
      </w:r>
    </w:p>
    <w:p w:rsidR="00420CF4" w:rsidRPr="00951305" w:rsidRDefault="00420CF4" w:rsidP="00420CF4">
      <w:pPr>
        <w:pStyle w:val="BodyText"/>
      </w:pPr>
    </w:p>
    <w:p w:rsidR="00420CF4" w:rsidRDefault="00420CF4" w:rsidP="00420CF4">
      <w:pPr>
        <w:pStyle w:val="BodyText"/>
        <w:sectPr w:rsidR="00420CF4" w:rsidSect="001E4B1C">
          <w:headerReference w:type="even" r:id="rId172"/>
          <w:headerReference w:type="default" r:id="rId173"/>
          <w:footerReference w:type="even" r:id="rId174"/>
          <w:footerReference w:type="default" r:id="rId175"/>
          <w:footnotePr>
            <w:numRestart w:val="eachSect"/>
          </w:footnotePr>
          <w:pgSz w:w="16839" w:h="11907" w:orient="landscape" w:code="9"/>
          <w:pgMar w:top="1361" w:right="1797" w:bottom="1474" w:left="1797" w:header="283" w:footer="454" w:gutter="0"/>
          <w:cols w:space="708"/>
          <w:docGrid w:linePitch="360"/>
        </w:sectPr>
      </w:pPr>
    </w:p>
    <w:p w:rsidR="005448CC" w:rsidRDefault="005448CC" w:rsidP="005448CC">
      <w:pPr>
        <w:pStyle w:val="Heading5"/>
        <w:ind w:left="1080" w:hanging="1080"/>
      </w:pPr>
      <w:bookmarkStart w:id="80" w:name="_Toc455655020"/>
      <w:bookmarkStart w:id="81" w:name="_Toc458081687"/>
      <w:r>
        <w:t>ALP06</w:t>
      </w:r>
      <w:r w:rsidR="00A00D61">
        <w:t>3</w:t>
      </w:r>
      <w:r>
        <w:t>: Domestic Gas National Interest Test</w:t>
      </w:r>
      <w:bookmarkEnd w:id="80"/>
      <w:bookmarkEnd w:id="81"/>
    </w:p>
    <w:p w:rsidR="005448CC" w:rsidRDefault="005448CC" w:rsidP="00967B83">
      <w:pPr>
        <w:pStyle w:val="BodyText"/>
      </w:pPr>
      <w:r>
        <w:rPr>
          <w:noProof/>
          <w:lang w:eastAsia="en-AU"/>
        </w:rPr>
        <w:drawing>
          <wp:inline distT="0" distB="0" distL="0" distR="0" wp14:anchorId="4729DE17" wp14:editId="2C39EBFA">
            <wp:extent cx="2696845" cy="572135"/>
            <wp:effectExtent l="0" t="0" r="8255" b="0"/>
            <wp:docPr id="454" name="Picture 45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448CC" w:rsidRDefault="005448CC" w:rsidP="005448C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448CC"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448CC" w:rsidRPr="008379A4" w:rsidRDefault="005448CC" w:rsidP="00F7554A">
            <w:pPr>
              <w:pStyle w:val="PullOutBoxHeading"/>
              <w:rPr>
                <w:b/>
              </w:rPr>
            </w:pPr>
            <w:r w:rsidRPr="008379A4">
              <w:rPr>
                <w:b/>
              </w:rPr>
              <w:t>Name of proposal:</w:t>
            </w:r>
          </w:p>
        </w:tc>
        <w:tc>
          <w:tcPr>
            <w:tcW w:w="3191" w:type="pct"/>
          </w:tcPr>
          <w:p w:rsidR="005448CC" w:rsidRPr="008379A4" w:rsidRDefault="005448CC" w:rsidP="00F7554A">
            <w:pPr>
              <w:pStyle w:val="PullOutBoxHeading"/>
              <w:rPr>
                <w:b/>
              </w:rPr>
            </w:pPr>
            <w:r w:rsidRPr="008379A4">
              <w:rPr>
                <w:b/>
              </w:rPr>
              <w:t>Domestic Gas National Interest Test</w:t>
            </w:r>
          </w:p>
        </w:tc>
      </w:tr>
      <w:tr w:rsidR="005448CC" w:rsidRPr="00B45F94" w:rsidTr="00F7554A">
        <w:tc>
          <w:tcPr>
            <w:tcW w:w="1809" w:type="pct"/>
          </w:tcPr>
          <w:p w:rsidR="005448CC" w:rsidRPr="00B45F94" w:rsidRDefault="005448CC" w:rsidP="00F7554A">
            <w:pPr>
              <w:pStyle w:val="PullOutBoxBodyText"/>
            </w:pPr>
            <w:r w:rsidRPr="00B45F94">
              <w:t>Summary of proposal:</w:t>
            </w:r>
          </w:p>
        </w:tc>
        <w:tc>
          <w:tcPr>
            <w:tcW w:w="3191" w:type="pct"/>
          </w:tcPr>
          <w:p w:rsidR="005448CC" w:rsidRDefault="005448CC" w:rsidP="00F7554A">
            <w:pPr>
              <w:pStyle w:val="PullOutBoxBodyText"/>
            </w:pPr>
            <w:r>
              <w:t>The proposal would establish a Domestic Gas Review Board.</w:t>
            </w:r>
          </w:p>
          <w:p w:rsidR="005448CC" w:rsidRDefault="005448CC" w:rsidP="00F7554A">
            <w:pPr>
              <w:pStyle w:val="PullOutBoxBodyText"/>
            </w:pPr>
            <w:r>
              <w:t>The Board would consist of five members, with members remunerated in a manner consistent with comparable boards, which would be decided by the Remuneration Tribunal.</w:t>
            </w:r>
          </w:p>
          <w:p w:rsidR="005448CC" w:rsidRDefault="005448CC" w:rsidP="00F7554A">
            <w:pPr>
              <w:pStyle w:val="PullOutBoxBodyText"/>
            </w:pPr>
            <w:r>
              <w:t>The Board would be supported by a secretariat in the Treasury.  The Secretariat would be made up of one Executive Level 2 and two Australian Public Service Level 6 staff.</w:t>
            </w:r>
          </w:p>
          <w:p w:rsidR="005448CC" w:rsidRPr="00B45F94" w:rsidRDefault="005448CC" w:rsidP="00F7554A">
            <w:pPr>
              <w:pStyle w:val="PullOutBoxBodyText"/>
            </w:pPr>
            <w:r>
              <w:t>The policy would begin on 1 July 2017.</w:t>
            </w:r>
          </w:p>
        </w:tc>
      </w:tr>
      <w:tr w:rsidR="005448CC" w:rsidRPr="00B45F94" w:rsidTr="00F7554A">
        <w:tc>
          <w:tcPr>
            <w:tcW w:w="1809" w:type="pct"/>
          </w:tcPr>
          <w:p w:rsidR="005448CC" w:rsidRPr="00B45F94" w:rsidRDefault="005448CC" w:rsidP="00F7554A">
            <w:pPr>
              <w:pStyle w:val="PullOutBoxBodyText"/>
            </w:pPr>
            <w:r>
              <w:t>Party:</w:t>
            </w:r>
          </w:p>
        </w:tc>
        <w:tc>
          <w:tcPr>
            <w:tcW w:w="3191" w:type="pct"/>
          </w:tcPr>
          <w:p w:rsidR="005448CC" w:rsidRPr="00B45F94" w:rsidRDefault="005448CC" w:rsidP="00F7554A">
            <w:pPr>
              <w:pStyle w:val="PullOutBoxBodyText"/>
            </w:pPr>
            <w:r>
              <w:t>Australian Labor Party</w:t>
            </w:r>
          </w:p>
        </w:tc>
      </w:tr>
      <w:tr w:rsidR="005448CC" w:rsidRPr="00B45F94" w:rsidTr="00F7554A">
        <w:tc>
          <w:tcPr>
            <w:tcW w:w="1809" w:type="pct"/>
          </w:tcPr>
          <w:p w:rsidR="005448CC" w:rsidRPr="00B45F94" w:rsidRDefault="005448CC" w:rsidP="00F7554A">
            <w:pPr>
              <w:pStyle w:val="PullOutBoxBodyText"/>
            </w:pPr>
            <w:r w:rsidRPr="00B45F94">
              <w:t>Expiry date for the costing:</w:t>
            </w:r>
          </w:p>
        </w:tc>
        <w:tc>
          <w:tcPr>
            <w:tcW w:w="3191" w:type="pct"/>
          </w:tcPr>
          <w:p w:rsidR="005448CC" w:rsidRPr="00B45F94" w:rsidRDefault="005448CC" w:rsidP="00F7554A">
            <w:pPr>
              <w:pStyle w:val="PullOutBoxBodyText"/>
            </w:pPr>
            <w:r>
              <w:t>Release of the next economic and fiscal update</w:t>
            </w:r>
          </w:p>
        </w:tc>
      </w:tr>
    </w:tbl>
    <w:p w:rsidR="005448CC" w:rsidRDefault="005448CC" w:rsidP="005448CC">
      <w:pPr>
        <w:pStyle w:val="CostingsH7"/>
      </w:pPr>
      <w:r w:rsidRPr="00BF1EE6">
        <w:t>Costing overview</w:t>
      </w:r>
    </w:p>
    <w:p w:rsidR="005448CC" w:rsidRDefault="005448CC" w:rsidP="005448CC">
      <w:pPr>
        <w:pStyle w:val="BodyText"/>
      </w:pPr>
      <w:r>
        <w:t>The proposal would be expected to decrease the fiscal and underlying cash balances by $2.4 million over the 2016-17 Budget forward estimates period.  This is entirely due to an increase in departmental expenses.</w:t>
      </w:r>
    </w:p>
    <w:p w:rsidR="005448CC" w:rsidRDefault="005448CC" w:rsidP="005448CC">
      <w:pPr>
        <w:pStyle w:val="BodyText"/>
      </w:pPr>
      <w:r>
        <w:t>This proposal would have an ongoing impact that extends beyond the 2016</w:t>
      </w:r>
      <w:r>
        <w:noBreakHyphen/>
        <w:t>17 Budget forward estimates period.</w:t>
      </w:r>
    </w:p>
    <w:p w:rsidR="005448CC" w:rsidRDefault="005448CC" w:rsidP="005448CC">
      <w:pPr>
        <w:pStyle w:val="BodyText"/>
      </w:pPr>
      <w:r>
        <w:t>This costing is considered to be of high reliability as it is based on applying Remuneration Tribunal board member remuneration rates and standard average departmental costing rates to Australian Public Service positions as specified in the proposal.</w:t>
      </w:r>
    </w:p>
    <w:p w:rsidR="005448CC" w:rsidRPr="00EB0919" w:rsidRDefault="005448CC" w:rsidP="005448CC">
      <w:pPr>
        <w:pStyle w:val="BodyText"/>
      </w:pPr>
      <w:r>
        <w:t>The Parliamentary Budget Office (PBO) has not undertaken any analysis of whether or not the prescribed staffing resources would be adequate to achieve the responsibilities outlined.</w:t>
      </w:r>
    </w:p>
    <w:p w:rsidR="005448CC" w:rsidRDefault="005448CC" w:rsidP="004109BA">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448CC"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448CC" w:rsidRPr="00D264E1" w:rsidRDefault="005448CC" w:rsidP="004109BA">
            <w:pPr>
              <w:pStyle w:val="TableHeading"/>
            </w:pPr>
            <w:r>
              <w:t>Impact on ($m)</w:t>
            </w:r>
          </w:p>
        </w:tc>
        <w:tc>
          <w:tcPr>
            <w:tcW w:w="721" w:type="pct"/>
          </w:tcPr>
          <w:p w:rsidR="005448CC" w:rsidRPr="00FC1F1C" w:rsidRDefault="005448CC" w:rsidP="004109BA">
            <w:pPr>
              <w:pStyle w:val="TableHeadingRight"/>
            </w:pPr>
            <w:r>
              <w:t>2016–17</w:t>
            </w:r>
          </w:p>
        </w:tc>
        <w:tc>
          <w:tcPr>
            <w:tcW w:w="721" w:type="pct"/>
          </w:tcPr>
          <w:p w:rsidR="005448CC" w:rsidRPr="00FC1F1C" w:rsidRDefault="005448CC" w:rsidP="004109BA">
            <w:pPr>
              <w:pStyle w:val="TableHeadingRight"/>
            </w:pPr>
            <w:r>
              <w:t>2017–18</w:t>
            </w:r>
          </w:p>
        </w:tc>
        <w:tc>
          <w:tcPr>
            <w:tcW w:w="722" w:type="pct"/>
          </w:tcPr>
          <w:p w:rsidR="005448CC" w:rsidRPr="00FC1F1C" w:rsidRDefault="005448CC" w:rsidP="004109BA">
            <w:pPr>
              <w:pStyle w:val="TableHeadingRight"/>
            </w:pPr>
            <w:r>
              <w:t>2018–19</w:t>
            </w:r>
          </w:p>
        </w:tc>
        <w:tc>
          <w:tcPr>
            <w:tcW w:w="721" w:type="pct"/>
          </w:tcPr>
          <w:p w:rsidR="005448CC" w:rsidRPr="00FC1F1C" w:rsidRDefault="005448CC" w:rsidP="004109BA">
            <w:pPr>
              <w:pStyle w:val="TableHeadingRight"/>
            </w:pPr>
            <w:r>
              <w:t>2019–20</w:t>
            </w:r>
          </w:p>
        </w:tc>
        <w:tc>
          <w:tcPr>
            <w:tcW w:w="722" w:type="pct"/>
          </w:tcPr>
          <w:p w:rsidR="005448CC" w:rsidRPr="00FC1F1C" w:rsidRDefault="005448CC" w:rsidP="004109BA">
            <w:pPr>
              <w:pStyle w:val="TableHeadingRight"/>
              <w:rPr>
                <w:b/>
              </w:rPr>
            </w:pPr>
            <w:r w:rsidRPr="00FC1F1C">
              <w:t>Total</w:t>
            </w:r>
          </w:p>
        </w:tc>
      </w:tr>
      <w:tr w:rsidR="005448CC" w:rsidTr="00F7554A">
        <w:tc>
          <w:tcPr>
            <w:tcW w:w="1393" w:type="pct"/>
          </w:tcPr>
          <w:p w:rsidR="005448CC" w:rsidRDefault="005448CC" w:rsidP="004109BA">
            <w:pPr>
              <w:pStyle w:val="TableText"/>
              <w:keepNext/>
              <w:keepLines/>
            </w:pPr>
            <w:r>
              <w:t>Fiscal balance</w:t>
            </w:r>
          </w:p>
        </w:tc>
        <w:tc>
          <w:tcPr>
            <w:tcW w:w="721" w:type="pct"/>
            <w:vAlign w:val="center"/>
          </w:tcPr>
          <w:p w:rsidR="005448CC" w:rsidRPr="003A3459" w:rsidRDefault="005448CC" w:rsidP="004109BA">
            <w:pPr>
              <w:pStyle w:val="TableTextRight"/>
              <w:keepNext/>
              <w:keepLines/>
            </w:pPr>
            <w:r>
              <w:t>-</w:t>
            </w:r>
          </w:p>
        </w:tc>
        <w:tc>
          <w:tcPr>
            <w:tcW w:w="721" w:type="pct"/>
            <w:vAlign w:val="center"/>
          </w:tcPr>
          <w:p w:rsidR="005448CC" w:rsidRPr="003A3459" w:rsidRDefault="005448CC" w:rsidP="004109BA">
            <w:pPr>
              <w:pStyle w:val="TableTextRight"/>
              <w:keepNext/>
              <w:keepLines/>
            </w:pPr>
            <w:r>
              <w:t>-0.8</w:t>
            </w:r>
          </w:p>
        </w:tc>
        <w:tc>
          <w:tcPr>
            <w:tcW w:w="722" w:type="pct"/>
            <w:vAlign w:val="center"/>
          </w:tcPr>
          <w:p w:rsidR="005448CC" w:rsidRPr="003A3459" w:rsidRDefault="005448CC" w:rsidP="004109BA">
            <w:pPr>
              <w:pStyle w:val="TableTextRight"/>
              <w:keepNext/>
              <w:keepLines/>
            </w:pPr>
            <w:r>
              <w:t>-0.8</w:t>
            </w:r>
          </w:p>
        </w:tc>
        <w:tc>
          <w:tcPr>
            <w:tcW w:w="721" w:type="pct"/>
            <w:vAlign w:val="center"/>
          </w:tcPr>
          <w:p w:rsidR="005448CC" w:rsidRPr="003A3459" w:rsidRDefault="005448CC" w:rsidP="004109BA">
            <w:pPr>
              <w:pStyle w:val="TableTextRight"/>
              <w:keepNext/>
              <w:keepLines/>
            </w:pPr>
            <w:r>
              <w:t>-0.8</w:t>
            </w:r>
          </w:p>
        </w:tc>
        <w:tc>
          <w:tcPr>
            <w:tcW w:w="722" w:type="pct"/>
            <w:vAlign w:val="center"/>
          </w:tcPr>
          <w:p w:rsidR="005448CC" w:rsidRPr="00C363AE" w:rsidRDefault="005448CC" w:rsidP="004109BA">
            <w:pPr>
              <w:pStyle w:val="TableTextRight"/>
              <w:keepNext/>
              <w:keepLines/>
              <w:rPr>
                <w:b/>
              </w:rPr>
            </w:pPr>
            <w:r>
              <w:rPr>
                <w:b/>
              </w:rPr>
              <w:t>-2.4</w:t>
            </w:r>
          </w:p>
        </w:tc>
      </w:tr>
      <w:tr w:rsidR="005448CC" w:rsidTr="00F7554A">
        <w:tc>
          <w:tcPr>
            <w:tcW w:w="1393" w:type="pct"/>
          </w:tcPr>
          <w:p w:rsidR="005448CC" w:rsidRDefault="005448CC" w:rsidP="004109BA">
            <w:pPr>
              <w:pStyle w:val="TableText"/>
              <w:keepNext/>
              <w:keepLines/>
            </w:pPr>
            <w:r>
              <w:t>Underlying cash balance</w:t>
            </w:r>
          </w:p>
        </w:tc>
        <w:tc>
          <w:tcPr>
            <w:tcW w:w="721" w:type="pct"/>
            <w:vAlign w:val="center"/>
          </w:tcPr>
          <w:p w:rsidR="005448CC" w:rsidRPr="003A3459" w:rsidRDefault="005448CC" w:rsidP="004109BA">
            <w:pPr>
              <w:pStyle w:val="TableTextRight"/>
              <w:keepNext/>
              <w:keepLines/>
            </w:pPr>
            <w:r>
              <w:t>-</w:t>
            </w:r>
          </w:p>
        </w:tc>
        <w:tc>
          <w:tcPr>
            <w:tcW w:w="721" w:type="pct"/>
            <w:vAlign w:val="center"/>
          </w:tcPr>
          <w:p w:rsidR="005448CC" w:rsidRPr="003A3459" w:rsidRDefault="005448CC" w:rsidP="004109BA">
            <w:pPr>
              <w:pStyle w:val="TableTextRight"/>
              <w:keepNext/>
              <w:keepLines/>
            </w:pPr>
            <w:r>
              <w:t>-0.8</w:t>
            </w:r>
          </w:p>
        </w:tc>
        <w:tc>
          <w:tcPr>
            <w:tcW w:w="722" w:type="pct"/>
            <w:vAlign w:val="center"/>
          </w:tcPr>
          <w:p w:rsidR="005448CC" w:rsidRPr="003A3459" w:rsidRDefault="005448CC" w:rsidP="004109BA">
            <w:pPr>
              <w:pStyle w:val="TableTextRight"/>
              <w:keepNext/>
              <w:keepLines/>
            </w:pPr>
            <w:r>
              <w:t>-0.8</w:t>
            </w:r>
          </w:p>
        </w:tc>
        <w:tc>
          <w:tcPr>
            <w:tcW w:w="721" w:type="pct"/>
            <w:vAlign w:val="center"/>
          </w:tcPr>
          <w:p w:rsidR="005448CC" w:rsidRPr="003A3459" w:rsidRDefault="005448CC" w:rsidP="004109BA">
            <w:pPr>
              <w:pStyle w:val="TableTextRight"/>
              <w:keepNext/>
              <w:keepLines/>
            </w:pPr>
            <w:r>
              <w:t>-0.8</w:t>
            </w:r>
          </w:p>
        </w:tc>
        <w:tc>
          <w:tcPr>
            <w:tcW w:w="722" w:type="pct"/>
            <w:vAlign w:val="center"/>
          </w:tcPr>
          <w:p w:rsidR="005448CC" w:rsidRPr="00C363AE" w:rsidRDefault="005448CC" w:rsidP="004109BA">
            <w:pPr>
              <w:pStyle w:val="TableTextRight"/>
              <w:keepNext/>
              <w:keepLines/>
              <w:rPr>
                <w:b/>
              </w:rPr>
            </w:pPr>
            <w:r>
              <w:rPr>
                <w:b/>
              </w:rPr>
              <w:t>-2.4</w:t>
            </w:r>
          </w:p>
        </w:tc>
      </w:tr>
    </w:tbl>
    <w:p w:rsidR="005448CC" w:rsidRDefault="005448CC" w:rsidP="004109BA">
      <w:pPr>
        <w:pStyle w:val="Footnotes"/>
        <w:keepNext/>
        <w:keepLines/>
        <w:numPr>
          <w:ilvl w:val="0"/>
          <w:numId w:val="142"/>
        </w:numPr>
        <w:ind w:left="284" w:hanging="284"/>
      </w:pPr>
      <w:r>
        <w:t xml:space="preserve">A positive </w:t>
      </w:r>
      <w:r w:rsidRPr="00FC1F1C">
        <w:t>number indicates an increase in the relevant budget balance, a negative number a decrease.</w:t>
      </w:r>
    </w:p>
    <w:p w:rsidR="005448CC" w:rsidRDefault="005448CC" w:rsidP="004109BA">
      <w:pPr>
        <w:pStyle w:val="Footnotes"/>
        <w:keepNext/>
        <w:keepLines/>
        <w:ind w:left="284" w:hanging="284"/>
      </w:pPr>
      <w:r w:rsidRPr="000E063A">
        <w:t>Figures may not sum to totals due to rounding.</w:t>
      </w:r>
    </w:p>
    <w:p w:rsidR="005448CC" w:rsidRPr="000E063A" w:rsidRDefault="005448CC" w:rsidP="004109BA">
      <w:pPr>
        <w:pStyle w:val="Footnotes"/>
        <w:numPr>
          <w:ilvl w:val="0"/>
          <w:numId w:val="33"/>
        </w:numPr>
        <w:ind w:left="284" w:hanging="284"/>
        <w:rPr>
          <w:rStyle w:val="FootnoteReference"/>
          <w:vertAlign w:val="baseline"/>
        </w:rPr>
      </w:pPr>
      <w:r>
        <w:t>Indicates nil.</w:t>
      </w:r>
    </w:p>
    <w:p w:rsidR="005448CC" w:rsidRDefault="005448CC" w:rsidP="005448CC">
      <w:pPr>
        <w:pStyle w:val="CostingsH7"/>
      </w:pPr>
      <w:r>
        <w:t>Methodology</w:t>
      </w:r>
    </w:p>
    <w:p w:rsidR="005448CC" w:rsidRDefault="005448CC" w:rsidP="005448CC">
      <w:pPr>
        <w:pStyle w:val="BodyText"/>
      </w:pPr>
      <w:r>
        <w:t>The number of board members is as specified.  The Board would consist of a Chair, a Deputy, and three members.  Remuneration levels are consistent with members of comparable boards as specified.</w:t>
      </w:r>
    </w:p>
    <w:p w:rsidR="005448CC" w:rsidRDefault="005448CC" w:rsidP="005448CC">
      <w:pPr>
        <w:pStyle w:val="BodyText"/>
      </w:pPr>
      <w:r>
        <w:t>The number and classification of average staffing level (ASL) is as specified.</w:t>
      </w:r>
    </w:p>
    <w:p w:rsidR="005448CC" w:rsidRPr="0006101C" w:rsidRDefault="005448CC" w:rsidP="005448CC">
      <w:pPr>
        <w:pStyle w:val="BodyText"/>
      </w:pPr>
      <w:r>
        <w:t>The impact of the additional specified ASL on departmental expenditure was derived by applying the net effect of indexation parameters and the efficiency dividend, in accordance with the Department of Finance’s costing practices.</w:t>
      </w:r>
    </w:p>
    <w:p w:rsidR="005448CC" w:rsidRDefault="005448CC" w:rsidP="005448CC">
      <w:pPr>
        <w:pStyle w:val="CostingsH7"/>
      </w:pPr>
      <w:r>
        <w:t>Data sources</w:t>
      </w:r>
    </w:p>
    <w:p w:rsidR="005448CC" w:rsidRDefault="005448CC" w:rsidP="005448CC">
      <w:pPr>
        <w:pStyle w:val="BodyText"/>
      </w:pPr>
      <w:r w:rsidRPr="0006101C">
        <w:t>The Department of Finance provided indexation and efficiency dividend parameters.</w:t>
      </w:r>
    </w:p>
    <w:p w:rsidR="00A00D61" w:rsidRDefault="00A00D61" w:rsidP="005448CC">
      <w:pPr>
        <w:pStyle w:val="BodyText"/>
        <w:sectPr w:rsidR="00A00D61" w:rsidSect="004109BA">
          <w:headerReference w:type="even" r:id="rId176"/>
          <w:headerReference w:type="default" r:id="rId177"/>
          <w:footerReference w:type="even" r:id="rId178"/>
          <w:footerReference w:type="default" r:id="rId179"/>
          <w:footnotePr>
            <w:numRestart w:val="eachSect"/>
          </w:footnotePr>
          <w:pgSz w:w="11906" w:h="16838" w:code="9"/>
          <w:pgMar w:top="1361" w:right="1797" w:bottom="1474" w:left="1797" w:header="283" w:footer="454" w:gutter="0"/>
          <w:cols w:space="708"/>
          <w:docGrid w:linePitch="360"/>
        </w:sectPr>
      </w:pPr>
    </w:p>
    <w:p w:rsidR="00A00D61" w:rsidRDefault="00A00D61" w:rsidP="00A00D61">
      <w:pPr>
        <w:pStyle w:val="Heading5"/>
        <w:ind w:left="1080" w:hanging="1080"/>
      </w:pPr>
      <w:bookmarkStart w:id="82" w:name="_Toc458081688"/>
      <w:r>
        <w:t>ALP064: Doubling funding for the AIP Authority and appointing an AIP Board</w:t>
      </w:r>
      <w:bookmarkEnd w:id="82"/>
    </w:p>
    <w:p w:rsidR="00A00D61" w:rsidRDefault="00A00D61" w:rsidP="00A00D61">
      <w:pPr>
        <w:pStyle w:val="BodyText"/>
      </w:pPr>
      <w:r>
        <w:rPr>
          <w:noProof/>
          <w:lang w:eastAsia="en-AU"/>
        </w:rPr>
        <w:drawing>
          <wp:inline distT="0" distB="0" distL="0" distR="0" wp14:anchorId="451EA492" wp14:editId="439C4B35">
            <wp:extent cx="2696845" cy="572135"/>
            <wp:effectExtent l="0" t="0" r="8255" b="0"/>
            <wp:docPr id="453" name="Picture 45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A00D61" w:rsidRDefault="00A00D61" w:rsidP="00A00D6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A00D61" w:rsidRPr="008379A4" w:rsidTr="00A00D61">
        <w:trPr>
          <w:cnfStyle w:val="100000000000" w:firstRow="1" w:lastRow="0" w:firstColumn="0" w:lastColumn="0" w:oddVBand="0" w:evenVBand="0" w:oddHBand="0" w:evenHBand="0" w:firstRowFirstColumn="0" w:firstRowLastColumn="0" w:lastRowFirstColumn="0" w:lastRowLastColumn="0"/>
        </w:trPr>
        <w:tc>
          <w:tcPr>
            <w:tcW w:w="1809" w:type="pct"/>
          </w:tcPr>
          <w:p w:rsidR="00A00D61" w:rsidRPr="008379A4" w:rsidRDefault="00A00D61" w:rsidP="00A00D61">
            <w:pPr>
              <w:pStyle w:val="PullOutBoxHeading"/>
              <w:rPr>
                <w:b/>
              </w:rPr>
            </w:pPr>
            <w:r w:rsidRPr="008379A4">
              <w:rPr>
                <w:b/>
              </w:rPr>
              <w:t>Name of proposal:</w:t>
            </w:r>
          </w:p>
        </w:tc>
        <w:tc>
          <w:tcPr>
            <w:tcW w:w="3191" w:type="pct"/>
          </w:tcPr>
          <w:p w:rsidR="00A00D61" w:rsidRPr="008379A4" w:rsidRDefault="00A00D61" w:rsidP="00A00D61">
            <w:pPr>
              <w:pStyle w:val="PullOutBoxHeading"/>
              <w:rPr>
                <w:b/>
              </w:rPr>
            </w:pPr>
            <w:r w:rsidRPr="008379A4">
              <w:rPr>
                <w:b/>
              </w:rPr>
              <w:t>Doubling funding for the AIP Authority and appointing an AIP Board</w:t>
            </w:r>
          </w:p>
        </w:tc>
      </w:tr>
      <w:tr w:rsidR="00A00D61" w:rsidRPr="00B45F94" w:rsidTr="00A00D61">
        <w:tc>
          <w:tcPr>
            <w:tcW w:w="1809" w:type="pct"/>
          </w:tcPr>
          <w:p w:rsidR="00A00D61" w:rsidRPr="00B45F94" w:rsidRDefault="00A00D61" w:rsidP="00A00D61">
            <w:pPr>
              <w:pStyle w:val="PullOutBoxBodyText"/>
            </w:pPr>
            <w:r w:rsidRPr="00B45F94">
              <w:t>Summary of proposal:</w:t>
            </w:r>
          </w:p>
        </w:tc>
        <w:tc>
          <w:tcPr>
            <w:tcW w:w="3191" w:type="pct"/>
          </w:tcPr>
          <w:p w:rsidR="00A00D61" w:rsidRDefault="00A00D61" w:rsidP="00A00D61">
            <w:pPr>
              <w:pStyle w:val="PullOutBoxBodyText"/>
            </w:pPr>
            <w:r>
              <w:t>The proposal would:</w:t>
            </w:r>
          </w:p>
          <w:p w:rsidR="00A00D61" w:rsidRDefault="00A00D61" w:rsidP="00A00D61">
            <w:pPr>
              <w:pStyle w:val="PullOutBoxBullet"/>
            </w:pPr>
            <w:r>
              <w:t>double the funding for the Australian Industry Participation Authority (AIPA)</w:t>
            </w:r>
          </w:p>
          <w:p w:rsidR="00A00D61" w:rsidRDefault="00A00D61" w:rsidP="00A00D61">
            <w:pPr>
              <w:pStyle w:val="PullOutBoxBullet"/>
            </w:pPr>
            <w:r>
              <w:t>establish an Australian Industry Participation Advisory Board (the Advisory Board), as per the provisions of the Australian Jobs Act 2013, consisting of a chair and five members.</w:t>
            </w:r>
          </w:p>
          <w:p w:rsidR="00A00D61" w:rsidRDefault="00A00D61" w:rsidP="00A00D61">
            <w:pPr>
              <w:pStyle w:val="PullOutBoxBodyText"/>
            </w:pPr>
            <w:r>
              <w:t>The proposal would take effect from 1 July 2017.</w:t>
            </w:r>
          </w:p>
          <w:p w:rsidR="00A00D61" w:rsidRDefault="00A00D61" w:rsidP="00A00D61">
            <w:pPr>
              <w:pStyle w:val="PullOutBoxBodyText"/>
            </w:pPr>
            <w:r>
              <w:t>The funding increase would be provided on an ongoing basis.</w:t>
            </w:r>
          </w:p>
          <w:p w:rsidR="00A00D61" w:rsidRPr="00B45F94" w:rsidRDefault="00A00D61" w:rsidP="00A00D61">
            <w:pPr>
              <w:pStyle w:val="PullOutBoxBodyText"/>
            </w:pPr>
            <w:r>
              <w:t>The Advisory Board would exist on an ongoing basis.</w:t>
            </w:r>
          </w:p>
        </w:tc>
      </w:tr>
      <w:tr w:rsidR="00A00D61" w:rsidRPr="00B45F94" w:rsidTr="00A00D61">
        <w:tc>
          <w:tcPr>
            <w:tcW w:w="1809" w:type="pct"/>
          </w:tcPr>
          <w:p w:rsidR="00A00D61" w:rsidRPr="00B45F94" w:rsidRDefault="00A00D61" w:rsidP="00A00D61">
            <w:pPr>
              <w:pStyle w:val="PullOutBoxBodyText"/>
            </w:pPr>
            <w:r>
              <w:t>Party:</w:t>
            </w:r>
          </w:p>
        </w:tc>
        <w:tc>
          <w:tcPr>
            <w:tcW w:w="3191" w:type="pct"/>
          </w:tcPr>
          <w:p w:rsidR="00A00D61" w:rsidRPr="00B45F94" w:rsidRDefault="00A00D61" w:rsidP="00A00D61">
            <w:pPr>
              <w:pStyle w:val="PullOutBoxBodyText"/>
            </w:pPr>
            <w:r>
              <w:t>Australian Labor Party</w:t>
            </w:r>
          </w:p>
        </w:tc>
      </w:tr>
      <w:tr w:rsidR="00A00D61" w:rsidRPr="00B45F94" w:rsidTr="00A00D61">
        <w:tc>
          <w:tcPr>
            <w:tcW w:w="1809" w:type="pct"/>
          </w:tcPr>
          <w:p w:rsidR="00A00D61" w:rsidRPr="00B45F94" w:rsidRDefault="00A00D61" w:rsidP="00A00D61">
            <w:pPr>
              <w:pStyle w:val="PullOutBoxBodyText"/>
            </w:pPr>
            <w:r w:rsidRPr="00B45F94">
              <w:t>Expiry date for the costing:</w:t>
            </w:r>
          </w:p>
        </w:tc>
        <w:tc>
          <w:tcPr>
            <w:tcW w:w="3191" w:type="pct"/>
          </w:tcPr>
          <w:p w:rsidR="00A00D61" w:rsidRPr="00B45F94" w:rsidRDefault="00A00D61" w:rsidP="00A00D61">
            <w:pPr>
              <w:pStyle w:val="PullOutBoxBodyText"/>
            </w:pPr>
            <w:r>
              <w:t>Release of the next economic and fiscal update</w:t>
            </w:r>
          </w:p>
        </w:tc>
      </w:tr>
    </w:tbl>
    <w:p w:rsidR="00A00D61" w:rsidRDefault="00A00D61" w:rsidP="00A00D61">
      <w:pPr>
        <w:pStyle w:val="CostingsH7"/>
      </w:pPr>
      <w:r w:rsidRPr="00BF1EE6">
        <w:t>Costing overview</w:t>
      </w:r>
    </w:p>
    <w:p w:rsidR="00A00D61" w:rsidRDefault="00A00D61" w:rsidP="00A00D61">
      <w:pPr>
        <w:pStyle w:val="BodyText"/>
      </w:pPr>
      <w:r>
        <w:t xml:space="preserve">This proposal would be expected to decrease the fiscal and underlying cash balances by $6.6 million over the </w:t>
      </w:r>
      <w:r w:rsidR="000F6282">
        <w:t>2016-</w:t>
      </w:r>
      <w:r>
        <w:t>17 Budget forward estimates period.  This impact is entirely due to an increase in departmental expenses.</w:t>
      </w:r>
    </w:p>
    <w:p w:rsidR="00A00D61" w:rsidRDefault="00A00D61" w:rsidP="00A00D61">
      <w:pPr>
        <w:pStyle w:val="BodyText"/>
      </w:pPr>
      <w:r>
        <w:t xml:space="preserve">The proposal would have an ongoing impact beyond the </w:t>
      </w:r>
      <w:r w:rsidR="000F6282">
        <w:t>2016-</w:t>
      </w:r>
      <w:r>
        <w:t>17 Budget forward estimates period.</w:t>
      </w:r>
    </w:p>
    <w:p w:rsidR="00A00D61" w:rsidRPr="00D94FDC" w:rsidRDefault="00A00D61" w:rsidP="00A00D61">
      <w:pPr>
        <w:pStyle w:val="BodyText"/>
      </w:pPr>
      <w:r>
        <w:t>This costing is considered to be of high reliability as estimates are based on current AIPA expenditure estimates and similar activity costs.</w:t>
      </w:r>
    </w:p>
    <w:p w:rsidR="00A00D61" w:rsidRDefault="00A00D61" w:rsidP="00A00D61">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A00D61" w:rsidRPr="00D264E1" w:rsidTr="00A00D61">
        <w:trPr>
          <w:cnfStyle w:val="100000000000" w:firstRow="1" w:lastRow="0" w:firstColumn="0" w:lastColumn="0" w:oddVBand="0" w:evenVBand="0" w:oddHBand="0" w:evenHBand="0" w:firstRowFirstColumn="0" w:firstRowLastColumn="0" w:lastRowFirstColumn="0" w:lastRowLastColumn="0"/>
        </w:trPr>
        <w:tc>
          <w:tcPr>
            <w:tcW w:w="1393" w:type="pct"/>
          </w:tcPr>
          <w:p w:rsidR="00A00D61" w:rsidRPr="00D264E1" w:rsidRDefault="00A00D61" w:rsidP="00A00D61">
            <w:pPr>
              <w:pStyle w:val="TableHeading"/>
            </w:pPr>
            <w:r>
              <w:t>Impact on ($m)</w:t>
            </w:r>
          </w:p>
        </w:tc>
        <w:tc>
          <w:tcPr>
            <w:tcW w:w="721" w:type="pct"/>
          </w:tcPr>
          <w:p w:rsidR="00A00D61" w:rsidRPr="00FC1F1C" w:rsidRDefault="00A00D61" w:rsidP="00A00D61">
            <w:pPr>
              <w:pStyle w:val="TableHeadingRight"/>
            </w:pPr>
            <w:r>
              <w:t>2016–17</w:t>
            </w:r>
          </w:p>
        </w:tc>
        <w:tc>
          <w:tcPr>
            <w:tcW w:w="721" w:type="pct"/>
          </w:tcPr>
          <w:p w:rsidR="00A00D61" w:rsidRPr="00FC1F1C" w:rsidRDefault="00A00D61" w:rsidP="00A00D61">
            <w:pPr>
              <w:pStyle w:val="TableHeadingRight"/>
            </w:pPr>
            <w:r>
              <w:t>2017–18</w:t>
            </w:r>
          </w:p>
        </w:tc>
        <w:tc>
          <w:tcPr>
            <w:tcW w:w="722" w:type="pct"/>
          </w:tcPr>
          <w:p w:rsidR="00A00D61" w:rsidRPr="00FC1F1C" w:rsidRDefault="00A00D61" w:rsidP="00A00D61">
            <w:pPr>
              <w:pStyle w:val="TableHeadingRight"/>
            </w:pPr>
            <w:r>
              <w:t>2018–19</w:t>
            </w:r>
          </w:p>
        </w:tc>
        <w:tc>
          <w:tcPr>
            <w:tcW w:w="721" w:type="pct"/>
          </w:tcPr>
          <w:p w:rsidR="00A00D61" w:rsidRPr="00FC1F1C" w:rsidRDefault="00A00D61" w:rsidP="00A00D61">
            <w:pPr>
              <w:pStyle w:val="TableHeadingRight"/>
            </w:pPr>
            <w:r>
              <w:t>2019–20</w:t>
            </w:r>
          </w:p>
        </w:tc>
        <w:tc>
          <w:tcPr>
            <w:tcW w:w="722" w:type="pct"/>
          </w:tcPr>
          <w:p w:rsidR="00A00D61" w:rsidRPr="00FC1F1C" w:rsidRDefault="00A00D61" w:rsidP="00A00D61">
            <w:pPr>
              <w:pStyle w:val="TableHeadingRight"/>
              <w:rPr>
                <w:b/>
              </w:rPr>
            </w:pPr>
            <w:r w:rsidRPr="00FC1F1C">
              <w:t>Total</w:t>
            </w:r>
          </w:p>
        </w:tc>
      </w:tr>
      <w:tr w:rsidR="00A00D61" w:rsidTr="00A00D61">
        <w:tc>
          <w:tcPr>
            <w:tcW w:w="1393" w:type="pct"/>
          </w:tcPr>
          <w:p w:rsidR="00A00D61" w:rsidRDefault="00A00D61" w:rsidP="00A00D61">
            <w:pPr>
              <w:pStyle w:val="TableText"/>
              <w:keepNext/>
              <w:keepLines/>
            </w:pPr>
            <w:r>
              <w:t>Fiscal balance</w:t>
            </w:r>
          </w:p>
        </w:tc>
        <w:tc>
          <w:tcPr>
            <w:tcW w:w="721" w:type="pct"/>
            <w:vAlign w:val="center"/>
          </w:tcPr>
          <w:p w:rsidR="00A00D61" w:rsidRPr="0073668A" w:rsidRDefault="00A00D61" w:rsidP="00A00D61">
            <w:pPr>
              <w:pStyle w:val="TableTextRight"/>
            </w:pPr>
            <w:r w:rsidRPr="0073668A">
              <w:t>-</w:t>
            </w:r>
          </w:p>
        </w:tc>
        <w:tc>
          <w:tcPr>
            <w:tcW w:w="721" w:type="pct"/>
            <w:vAlign w:val="center"/>
          </w:tcPr>
          <w:p w:rsidR="00A00D61" w:rsidRPr="0073668A" w:rsidRDefault="00A00D61" w:rsidP="00A00D61">
            <w:pPr>
              <w:pStyle w:val="TableTextRight"/>
            </w:pPr>
            <w:r w:rsidRPr="0073668A">
              <w:t xml:space="preserve">-2.1 </w:t>
            </w:r>
          </w:p>
        </w:tc>
        <w:tc>
          <w:tcPr>
            <w:tcW w:w="722" w:type="pct"/>
            <w:vAlign w:val="center"/>
          </w:tcPr>
          <w:p w:rsidR="00A00D61" w:rsidRPr="0073668A" w:rsidRDefault="00A00D61" w:rsidP="00A00D61">
            <w:pPr>
              <w:pStyle w:val="TableTextRight"/>
            </w:pPr>
            <w:r w:rsidRPr="0073668A">
              <w:t xml:space="preserve"> -2.3 </w:t>
            </w:r>
          </w:p>
        </w:tc>
        <w:tc>
          <w:tcPr>
            <w:tcW w:w="721" w:type="pct"/>
            <w:vAlign w:val="center"/>
          </w:tcPr>
          <w:p w:rsidR="00A00D61" w:rsidRPr="0073668A" w:rsidRDefault="00A00D61" w:rsidP="00A00D61">
            <w:pPr>
              <w:pStyle w:val="TableTextRight"/>
            </w:pPr>
            <w:r w:rsidRPr="0073668A">
              <w:t>-2.3</w:t>
            </w:r>
          </w:p>
        </w:tc>
        <w:tc>
          <w:tcPr>
            <w:tcW w:w="722" w:type="pct"/>
            <w:vAlign w:val="center"/>
          </w:tcPr>
          <w:p w:rsidR="00A00D61" w:rsidRPr="00DF64AA" w:rsidRDefault="00A00D61" w:rsidP="00A00D61">
            <w:pPr>
              <w:pStyle w:val="TableTextRight"/>
              <w:rPr>
                <w:b/>
              </w:rPr>
            </w:pPr>
            <w:r w:rsidRPr="00DF64AA">
              <w:rPr>
                <w:b/>
              </w:rPr>
              <w:t>-6.6</w:t>
            </w:r>
          </w:p>
        </w:tc>
      </w:tr>
      <w:tr w:rsidR="00A00D61" w:rsidTr="00A00D61">
        <w:tc>
          <w:tcPr>
            <w:tcW w:w="1393" w:type="pct"/>
          </w:tcPr>
          <w:p w:rsidR="00A00D61" w:rsidRDefault="00A00D61" w:rsidP="00A00D61">
            <w:pPr>
              <w:pStyle w:val="TableText"/>
              <w:keepNext/>
              <w:keepLines/>
            </w:pPr>
            <w:r>
              <w:t>Underlying cash balance</w:t>
            </w:r>
          </w:p>
        </w:tc>
        <w:tc>
          <w:tcPr>
            <w:tcW w:w="721" w:type="pct"/>
            <w:vAlign w:val="center"/>
          </w:tcPr>
          <w:p w:rsidR="00A00D61" w:rsidRPr="00B926AC" w:rsidRDefault="00A00D61" w:rsidP="00A00D61">
            <w:pPr>
              <w:pStyle w:val="TableTextRight"/>
            </w:pPr>
            <w:r w:rsidRPr="00B926AC">
              <w:t>-</w:t>
            </w:r>
          </w:p>
        </w:tc>
        <w:tc>
          <w:tcPr>
            <w:tcW w:w="721" w:type="pct"/>
            <w:vAlign w:val="center"/>
          </w:tcPr>
          <w:p w:rsidR="00A00D61" w:rsidRPr="00B926AC" w:rsidRDefault="00A00D61" w:rsidP="00A00D61">
            <w:pPr>
              <w:pStyle w:val="TableTextRight"/>
            </w:pPr>
            <w:r w:rsidRPr="00B926AC">
              <w:t xml:space="preserve">-2.1 </w:t>
            </w:r>
          </w:p>
        </w:tc>
        <w:tc>
          <w:tcPr>
            <w:tcW w:w="722" w:type="pct"/>
            <w:vAlign w:val="center"/>
          </w:tcPr>
          <w:p w:rsidR="00A00D61" w:rsidRPr="00B926AC" w:rsidRDefault="00A00D61" w:rsidP="00A00D61">
            <w:pPr>
              <w:pStyle w:val="TableTextRight"/>
            </w:pPr>
            <w:r w:rsidRPr="00B926AC">
              <w:t xml:space="preserve"> -2.3 </w:t>
            </w:r>
          </w:p>
        </w:tc>
        <w:tc>
          <w:tcPr>
            <w:tcW w:w="721" w:type="pct"/>
            <w:vAlign w:val="center"/>
          </w:tcPr>
          <w:p w:rsidR="00A00D61" w:rsidRPr="00B926AC" w:rsidRDefault="00A00D61" w:rsidP="00A00D61">
            <w:pPr>
              <w:pStyle w:val="TableTextRight"/>
            </w:pPr>
            <w:r w:rsidRPr="00B926AC">
              <w:t>-2.3</w:t>
            </w:r>
          </w:p>
        </w:tc>
        <w:tc>
          <w:tcPr>
            <w:tcW w:w="722" w:type="pct"/>
            <w:vAlign w:val="center"/>
          </w:tcPr>
          <w:p w:rsidR="00A00D61" w:rsidRPr="00DF64AA" w:rsidRDefault="00A00D61" w:rsidP="00A00D61">
            <w:pPr>
              <w:pStyle w:val="TableTextRight"/>
              <w:rPr>
                <w:b/>
              </w:rPr>
            </w:pPr>
            <w:r w:rsidRPr="00DF64AA">
              <w:rPr>
                <w:b/>
              </w:rPr>
              <w:t>-6.6</w:t>
            </w:r>
          </w:p>
        </w:tc>
      </w:tr>
    </w:tbl>
    <w:p w:rsidR="00A00D61" w:rsidRPr="00D94FDC" w:rsidRDefault="00A00D61" w:rsidP="002C43F8">
      <w:pPr>
        <w:pStyle w:val="Footnotes"/>
        <w:numPr>
          <w:ilvl w:val="0"/>
          <w:numId w:val="143"/>
        </w:numPr>
        <w:ind w:left="284" w:hanging="284"/>
      </w:pPr>
      <w:r w:rsidRPr="00D94FDC">
        <w:t>A negative number for the fiscal balance indicates an increase in expenses or net capital investment in accrual terms.  A negative number for the underlying cash balance indicates an increase in expenses or net capital investment in cash terms.</w:t>
      </w:r>
    </w:p>
    <w:p w:rsidR="00A00D61" w:rsidRDefault="00A00D61" w:rsidP="00A00D61">
      <w:pPr>
        <w:pStyle w:val="Footnotes"/>
        <w:ind w:left="284" w:hanging="284"/>
      </w:pPr>
      <w:r w:rsidRPr="00D94FDC">
        <w:t>Figures may not sum to totals due to rounding.</w:t>
      </w:r>
    </w:p>
    <w:p w:rsidR="009A3B0A" w:rsidRPr="00D94FDC" w:rsidRDefault="009A3B0A" w:rsidP="009A3B0A">
      <w:pPr>
        <w:pStyle w:val="Footnotes"/>
        <w:numPr>
          <w:ilvl w:val="0"/>
          <w:numId w:val="0"/>
        </w:numPr>
        <w:ind w:left="284" w:hanging="284"/>
        <w:rPr>
          <w:rStyle w:val="FootnoteReference"/>
          <w:vertAlign w:val="baseline"/>
        </w:rPr>
      </w:pPr>
      <w:r>
        <w:t>–</w:t>
      </w:r>
      <w:r>
        <w:tab/>
        <w:t xml:space="preserve"> Indicates nil</w:t>
      </w:r>
    </w:p>
    <w:p w:rsidR="00A00D61" w:rsidRDefault="00A00D61" w:rsidP="00A00D61">
      <w:pPr>
        <w:pStyle w:val="CostingsH7"/>
      </w:pPr>
      <w:r>
        <w:t>Key assumptions</w:t>
      </w:r>
    </w:p>
    <w:p w:rsidR="00A00D61" w:rsidRPr="00D94FDC" w:rsidRDefault="00A00D61" w:rsidP="00A00D61">
      <w:pPr>
        <w:pStyle w:val="BodyText"/>
      </w:pPr>
      <w:r w:rsidRPr="00D94FDC">
        <w:t>It has been assumed that the Advisory Board would be remunerated at a similar level to the Education Investment Fund Advisory Board.</w:t>
      </w:r>
    </w:p>
    <w:p w:rsidR="00A00D61" w:rsidRDefault="00A00D61" w:rsidP="00A00D61">
      <w:pPr>
        <w:pStyle w:val="CostingsH7"/>
      </w:pPr>
      <w:r>
        <w:t>Methodology</w:t>
      </w:r>
    </w:p>
    <w:p w:rsidR="00A00D61" w:rsidRDefault="00A00D61" w:rsidP="00A00D61">
      <w:pPr>
        <w:pStyle w:val="BodyText"/>
      </w:pPr>
      <w:r>
        <w:t>The impact of doubling the funding for AIPA was calculated based on the current estimates for AIPA, accounting for the net effect of indexation parameters and the efficiency dividend, in accordance with the Department of Finance’s costing practices.</w:t>
      </w:r>
    </w:p>
    <w:p w:rsidR="00A00D61" w:rsidRPr="00D94FDC" w:rsidRDefault="00A00D61" w:rsidP="00A00D61">
      <w:pPr>
        <w:pStyle w:val="BodyText"/>
      </w:pPr>
      <w:r>
        <w:t>The impact of establishing an Advisory Board was derived by applying Education Investment Fund Advisory Board remuneration factors to the specified positions of a chair and five members.  Costs were projected by applying the appropriate indexation parameters.</w:t>
      </w:r>
    </w:p>
    <w:p w:rsidR="00A00D61" w:rsidRDefault="00A00D61" w:rsidP="00A00D61">
      <w:pPr>
        <w:pStyle w:val="CostingsH7"/>
      </w:pPr>
      <w:r>
        <w:t>Data sources</w:t>
      </w:r>
    </w:p>
    <w:p w:rsidR="00A00D61" w:rsidRDefault="00A00D61" w:rsidP="00A00D61">
      <w:pPr>
        <w:pStyle w:val="ListBullet"/>
      </w:pPr>
      <w:r>
        <w:t>The Department of Finance provided indexation and efficiency dividend parameters.</w:t>
      </w:r>
    </w:p>
    <w:p w:rsidR="00A00D61" w:rsidRDefault="00A00D61" w:rsidP="00A00D61">
      <w:pPr>
        <w:pStyle w:val="ListBullet"/>
      </w:pPr>
      <w:r>
        <w:t xml:space="preserve">The Department of Industry, Innovation and Science advised that the 2015-16 Mid-Year Economic and Fiscal Outlook measure, </w:t>
      </w:r>
      <w:r w:rsidRPr="00D94FDC">
        <w:rPr>
          <w:i/>
        </w:rPr>
        <w:t>Administration of the Australian Job Act 2013 – continuation</w:t>
      </w:r>
      <w:r>
        <w:t xml:space="preserve"> provides current expenditure estimates for AIPA.</w:t>
      </w:r>
    </w:p>
    <w:p w:rsidR="00A00D61" w:rsidRPr="00D94FDC" w:rsidRDefault="00A00D61" w:rsidP="00A00D61">
      <w:pPr>
        <w:pStyle w:val="ListBullet"/>
      </w:pPr>
      <w:r>
        <w:t>Remuneration Tribunal</w:t>
      </w:r>
      <w:r w:rsidR="005B53BF">
        <w:t>,</w:t>
      </w:r>
      <w:r>
        <w:t xml:space="preserve"> </w:t>
      </w:r>
      <w:r w:rsidRPr="0073534F">
        <w:rPr>
          <w:i/>
        </w:rPr>
        <w:t>Determination 2015/20 - Remuneration and Allowances for Holders of Part</w:t>
      </w:r>
      <w:r w:rsidR="005B53BF">
        <w:rPr>
          <w:i/>
        </w:rPr>
        <w:noBreakHyphen/>
      </w:r>
      <w:r w:rsidRPr="0073534F">
        <w:rPr>
          <w:i/>
        </w:rPr>
        <w:t>Time Public Office</w:t>
      </w:r>
      <w:r>
        <w:t>.</w:t>
      </w:r>
    </w:p>
    <w:p w:rsidR="00A00D61" w:rsidRPr="00951305" w:rsidRDefault="00A00D61" w:rsidP="00A00D61">
      <w:pPr>
        <w:pStyle w:val="BodyText"/>
      </w:pPr>
    </w:p>
    <w:p w:rsidR="00A00D61" w:rsidRDefault="00A00D61" w:rsidP="00A00D61">
      <w:pPr>
        <w:pStyle w:val="BodyText"/>
        <w:sectPr w:rsidR="00A00D61" w:rsidSect="00967BCD">
          <w:footnotePr>
            <w:numRestart w:val="eachSect"/>
          </w:footnotePr>
          <w:pgSz w:w="11906" w:h="16838" w:code="9"/>
          <w:pgMar w:top="1361" w:right="1797" w:bottom="1474" w:left="1797" w:header="283" w:footer="454" w:gutter="0"/>
          <w:cols w:space="708"/>
          <w:docGrid w:linePitch="360"/>
        </w:sectPr>
      </w:pPr>
    </w:p>
    <w:p w:rsidR="00465602" w:rsidRPr="00465602" w:rsidRDefault="00A00D61" w:rsidP="00465602">
      <w:pPr>
        <w:pStyle w:val="Heading5"/>
        <w:ind w:left="1080" w:hanging="1080"/>
        <w:rPr>
          <w:lang w:val="fr-FR"/>
        </w:rPr>
      </w:pPr>
      <w:bookmarkStart w:id="83" w:name="_Toc458081689"/>
      <w:r>
        <w:rPr>
          <w:lang w:val="fr-FR"/>
        </w:rPr>
        <w:t>ALP065</w:t>
      </w:r>
      <w:r w:rsidR="00030420" w:rsidRPr="00030420">
        <w:rPr>
          <w:lang w:val="fr-FR"/>
        </w:rPr>
        <w:t>: National Automotive Supplier</w:t>
      </w:r>
      <w:r w:rsidR="00465602" w:rsidRPr="00465602">
        <w:t xml:space="preserve"> Advocate</w:t>
      </w:r>
      <w:bookmarkEnd w:id="83"/>
    </w:p>
    <w:p w:rsidR="00030420" w:rsidRDefault="00030420" w:rsidP="00030420">
      <w:pPr>
        <w:pStyle w:val="BodyText"/>
      </w:pPr>
      <w:r>
        <w:rPr>
          <w:noProof/>
          <w:lang w:eastAsia="en-AU"/>
        </w:rPr>
        <w:drawing>
          <wp:inline distT="0" distB="0" distL="0" distR="0" wp14:anchorId="5DFE05BF" wp14:editId="752F53E3">
            <wp:extent cx="2696845" cy="572135"/>
            <wp:effectExtent l="0" t="0" r="8255" b="0"/>
            <wp:docPr id="335" name="Picture 33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465602" w:rsidRPr="008379A4" w:rsidTr="00AC7F7B">
        <w:trPr>
          <w:cnfStyle w:val="100000000000" w:firstRow="1" w:lastRow="0" w:firstColumn="0" w:lastColumn="0" w:oddVBand="0" w:evenVBand="0" w:oddHBand="0" w:evenHBand="0" w:firstRowFirstColumn="0" w:firstRowLastColumn="0" w:lastRowFirstColumn="0" w:lastRowLastColumn="0"/>
        </w:trPr>
        <w:tc>
          <w:tcPr>
            <w:tcW w:w="1809" w:type="pct"/>
          </w:tcPr>
          <w:p w:rsidR="00465602" w:rsidRPr="008379A4" w:rsidRDefault="00465602" w:rsidP="00AC7F7B">
            <w:pPr>
              <w:pStyle w:val="PullOutBoxHeading"/>
              <w:rPr>
                <w:b/>
              </w:rPr>
            </w:pPr>
            <w:r w:rsidRPr="008379A4">
              <w:rPr>
                <w:b/>
              </w:rPr>
              <w:t>Name of proposal:</w:t>
            </w:r>
          </w:p>
        </w:tc>
        <w:tc>
          <w:tcPr>
            <w:tcW w:w="3191" w:type="pct"/>
          </w:tcPr>
          <w:p w:rsidR="00465602" w:rsidRPr="008379A4" w:rsidRDefault="00465602" w:rsidP="00AC7F7B">
            <w:pPr>
              <w:pStyle w:val="PullOutBoxHeading"/>
              <w:rPr>
                <w:b/>
              </w:rPr>
            </w:pPr>
            <w:r>
              <w:rPr>
                <w:b/>
              </w:rPr>
              <w:t>National Automotive Supplier Advocate</w:t>
            </w:r>
          </w:p>
        </w:tc>
      </w:tr>
      <w:tr w:rsidR="00465602" w:rsidRPr="00B45F94" w:rsidTr="00AC7F7B">
        <w:tc>
          <w:tcPr>
            <w:tcW w:w="1809" w:type="pct"/>
          </w:tcPr>
          <w:p w:rsidR="00465602" w:rsidRPr="00B45F94" w:rsidRDefault="00465602" w:rsidP="00AC7F7B">
            <w:pPr>
              <w:pStyle w:val="PullOutBoxBodyText"/>
            </w:pPr>
            <w:r w:rsidRPr="00B45F94">
              <w:t>Summary of proposal:</w:t>
            </w:r>
          </w:p>
        </w:tc>
        <w:tc>
          <w:tcPr>
            <w:tcW w:w="3191" w:type="pct"/>
          </w:tcPr>
          <w:p w:rsidR="00465602" w:rsidRDefault="00465602" w:rsidP="00465602">
            <w:pPr>
              <w:pStyle w:val="PullOutBoxBodyText"/>
            </w:pPr>
            <w:r>
              <w:t xml:space="preserve">The proposal would appoint a National Automotive Supplier Advocate (the Advocate) who would work with small and medium sized enterprises throughout the automotive manufacturing supply chains, helping them break into new domestic and global supply chains and win manufacturing contracts. </w:t>
            </w:r>
          </w:p>
          <w:p w:rsidR="00465602" w:rsidRPr="00B45F94" w:rsidRDefault="00465602" w:rsidP="00465602">
            <w:pPr>
              <w:pStyle w:val="PullOutBoxBodyText"/>
            </w:pPr>
            <w:r>
              <w:t>The proposal would have effect from 1 July 2016.</w:t>
            </w:r>
          </w:p>
        </w:tc>
      </w:tr>
      <w:tr w:rsidR="00465602" w:rsidRPr="00B45F94" w:rsidTr="00AC7F7B">
        <w:tc>
          <w:tcPr>
            <w:tcW w:w="1809" w:type="pct"/>
          </w:tcPr>
          <w:p w:rsidR="00465602" w:rsidRPr="00B45F94" w:rsidRDefault="00465602" w:rsidP="00AC7F7B">
            <w:pPr>
              <w:pStyle w:val="PullOutBoxBodyText"/>
            </w:pPr>
            <w:r>
              <w:t>Party:</w:t>
            </w:r>
          </w:p>
        </w:tc>
        <w:tc>
          <w:tcPr>
            <w:tcW w:w="3191" w:type="pct"/>
          </w:tcPr>
          <w:p w:rsidR="00465602" w:rsidRPr="00B45F94" w:rsidRDefault="00465602" w:rsidP="00AC7F7B">
            <w:pPr>
              <w:pStyle w:val="PullOutBoxBodyText"/>
            </w:pPr>
            <w:r>
              <w:t>Australian Labor Party</w:t>
            </w:r>
          </w:p>
        </w:tc>
      </w:tr>
      <w:tr w:rsidR="00465602" w:rsidRPr="00B45F94" w:rsidTr="00AC7F7B">
        <w:tc>
          <w:tcPr>
            <w:tcW w:w="1809" w:type="pct"/>
          </w:tcPr>
          <w:p w:rsidR="00465602" w:rsidRPr="00B45F94" w:rsidRDefault="00465602" w:rsidP="00AC7F7B">
            <w:pPr>
              <w:pStyle w:val="PullOutBoxBodyText"/>
            </w:pPr>
            <w:r w:rsidRPr="00B45F94">
              <w:t>Expiry date for the costing:</w:t>
            </w:r>
          </w:p>
        </w:tc>
        <w:tc>
          <w:tcPr>
            <w:tcW w:w="3191" w:type="pct"/>
          </w:tcPr>
          <w:p w:rsidR="00465602" w:rsidRPr="00B45F94" w:rsidRDefault="00465602" w:rsidP="00AC7F7B">
            <w:pPr>
              <w:pStyle w:val="PullOutBoxBodyText"/>
            </w:pPr>
            <w:r>
              <w:t>Release of the next economic and fiscal update</w:t>
            </w:r>
          </w:p>
        </w:tc>
      </w:tr>
    </w:tbl>
    <w:p w:rsidR="00465602" w:rsidRDefault="00465602" w:rsidP="00465602">
      <w:pPr>
        <w:pStyle w:val="CostingsH7"/>
      </w:pPr>
      <w:r w:rsidRPr="00BF1EE6">
        <w:t>Costing overview</w:t>
      </w:r>
    </w:p>
    <w:p w:rsidR="00465602" w:rsidRDefault="00465602" w:rsidP="00465602">
      <w:pPr>
        <w:pStyle w:val="BodyText"/>
      </w:pPr>
      <w:r>
        <w:t>The proposal would be expected to decrease both the fiscal and underlying cash balances by $3.4 million over the 2016-17 Budget forward estimates period.  This impact is entirely due to an increase in departmental expenses.</w:t>
      </w:r>
    </w:p>
    <w:p w:rsidR="00465602" w:rsidRDefault="00465602" w:rsidP="00465602">
      <w:pPr>
        <w:pStyle w:val="BodyText"/>
      </w:pPr>
      <w:r>
        <w:t>The proposal would have an ongoing impact that extends beyond the 2016-17 Budget forward estimates period.</w:t>
      </w:r>
    </w:p>
    <w:p w:rsidR="00465602" w:rsidRPr="00465602" w:rsidRDefault="00465602" w:rsidP="00465602">
      <w:pPr>
        <w:pStyle w:val="BodyText"/>
      </w:pPr>
      <w:r>
        <w:t>This costing is considered to be of medium reliability as the estimates are based on previous programs with similar administrative complexity and structure.</w:t>
      </w:r>
    </w:p>
    <w:p w:rsidR="00465602" w:rsidRDefault="00465602" w:rsidP="00465602">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65602" w:rsidRPr="00D264E1" w:rsidTr="00465602">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65602" w:rsidRPr="00D264E1" w:rsidRDefault="00465602" w:rsidP="00465602">
            <w:pPr>
              <w:pStyle w:val="TableHeading"/>
            </w:pPr>
            <w:r>
              <w:t>Impact on ($m)</w:t>
            </w:r>
          </w:p>
        </w:tc>
        <w:tc>
          <w:tcPr>
            <w:tcW w:w="721" w:type="pct"/>
            <w:vAlign w:val="center"/>
          </w:tcPr>
          <w:p w:rsidR="00465602" w:rsidRPr="00FC1F1C" w:rsidRDefault="00465602" w:rsidP="00465602">
            <w:pPr>
              <w:pStyle w:val="TableHeadingRight"/>
            </w:pPr>
            <w:r>
              <w:t>2016–17</w:t>
            </w:r>
          </w:p>
        </w:tc>
        <w:tc>
          <w:tcPr>
            <w:tcW w:w="721" w:type="pct"/>
            <w:vAlign w:val="center"/>
          </w:tcPr>
          <w:p w:rsidR="00465602" w:rsidRPr="00FC1F1C" w:rsidRDefault="00465602" w:rsidP="00465602">
            <w:pPr>
              <w:pStyle w:val="TableHeadingRight"/>
            </w:pPr>
            <w:r>
              <w:t>2017–18</w:t>
            </w:r>
          </w:p>
        </w:tc>
        <w:tc>
          <w:tcPr>
            <w:tcW w:w="722" w:type="pct"/>
            <w:vAlign w:val="center"/>
          </w:tcPr>
          <w:p w:rsidR="00465602" w:rsidRPr="00FC1F1C" w:rsidRDefault="00465602" w:rsidP="00465602">
            <w:pPr>
              <w:pStyle w:val="TableHeadingRight"/>
            </w:pPr>
            <w:r>
              <w:t>2018–19</w:t>
            </w:r>
          </w:p>
        </w:tc>
        <w:tc>
          <w:tcPr>
            <w:tcW w:w="721" w:type="pct"/>
            <w:vAlign w:val="center"/>
          </w:tcPr>
          <w:p w:rsidR="00465602" w:rsidRPr="00FC1F1C" w:rsidRDefault="00465602" w:rsidP="00465602">
            <w:pPr>
              <w:pStyle w:val="TableHeadingRight"/>
            </w:pPr>
            <w:r>
              <w:t>2019–20</w:t>
            </w:r>
          </w:p>
        </w:tc>
        <w:tc>
          <w:tcPr>
            <w:tcW w:w="722" w:type="pct"/>
            <w:vAlign w:val="center"/>
          </w:tcPr>
          <w:p w:rsidR="00465602" w:rsidRPr="00FC1F1C" w:rsidRDefault="00465602" w:rsidP="00465602">
            <w:pPr>
              <w:pStyle w:val="TableHeadingRight"/>
              <w:rPr>
                <w:b/>
              </w:rPr>
            </w:pPr>
            <w:r w:rsidRPr="00FC1F1C">
              <w:t>Total</w:t>
            </w:r>
          </w:p>
        </w:tc>
      </w:tr>
      <w:tr w:rsidR="00465602" w:rsidTr="00465602">
        <w:tc>
          <w:tcPr>
            <w:tcW w:w="1393" w:type="pct"/>
            <w:vAlign w:val="center"/>
          </w:tcPr>
          <w:p w:rsidR="00465602" w:rsidRDefault="00465602" w:rsidP="00465602">
            <w:pPr>
              <w:pStyle w:val="TableText"/>
              <w:keepNext/>
              <w:keepLines/>
            </w:pPr>
            <w:r>
              <w:t>Fiscal balance</w:t>
            </w:r>
          </w:p>
        </w:tc>
        <w:tc>
          <w:tcPr>
            <w:tcW w:w="721" w:type="pct"/>
            <w:vAlign w:val="center"/>
          </w:tcPr>
          <w:p w:rsidR="00465602" w:rsidRPr="00C22EAB" w:rsidRDefault="00465602" w:rsidP="00465602">
            <w:pPr>
              <w:pStyle w:val="TableTextRight"/>
              <w:keepNext/>
              <w:keepLines/>
            </w:pPr>
            <w:r>
              <w:t>-0.8</w:t>
            </w:r>
          </w:p>
        </w:tc>
        <w:tc>
          <w:tcPr>
            <w:tcW w:w="721" w:type="pct"/>
            <w:vAlign w:val="center"/>
          </w:tcPr>
          <w:p w:rsidR="00465602" w:rsidRPr="00C22EAB" w:rsidRDefault="00465602" w:rsidP="00465602">
            <w:pPr>
              <w:pStyle w:val="TableTextRight"/>
              <w:keepNext/>
              <w:keepLines/>
            </w:pPr>
            <w:r>
              <w:t>-0.8</w:t>
            </w:r>
          </w:p>
        </w:tc>
        <w:tc>
          <w:tcPr>
            <w:tcW w:w="722" w:type="pct"/>
            <w:vAlign w:val="center"/>
          </w:tcPr>
          <w:p w:rsidR="00465602" w:rsidRPr="00C22EAB" w:rsidRDefault="00465602" w:rsidP="00465602">
            <w:pPr>
              <w:pStyle w:val="TableTextRight"/>
              <w:keepNext/>
              <w:keepLines/>
            </w:pPr>
            <w:r>
              <w:t>-0.9</w:t>
            </w:r>
          </w:p>
        </w:tc>
        <w:tc>
          <w:tcPr>
            <w:tcW w:w="721" w:type="pct"/>
            <w:vAlign w:val="center"/>
          </w:tcPr>
          <w:p w:rsidR="00465602" w:rsidRPr="00C22EAB" w:rsidRDefault="00465602" w:rsidP="00465602">
            <w:pPr>
              <w:pStyle w:val="TableTextRight"/>
              <w:keepNext/>
              <w:keepLines/>
            </w:pPr>
            <w:r>
              <w:t>-0.9</w:t>
            </w:r>
          </w:p>
        </w:tc>
        <w:tc>
          <w:tcPr>
            <w:tcW w:w="722" w:type="pct"/>
            <w:vAlign w:val="center"/>
          </w:tcPr>
          <w:p w:rsidR="00465602" w:rsidRPr="0041344E" w:rsidRDefault="00465602" w:rsidP="00465602">
            <w:pPr>
              <w:pStyle w:val="TableTextRight"/>
              <w:keepNext/>
              <w:keepLines/>
              <w:rPr>
                <w:b/>
              </w:rPr>
            </w:pPr>
            <w:r>
              <w:rPr>
                <w:b/>
              </w:rPr>
              <w:t>-3.4</w:t>
            </w:r>
          </w:p>
        </w:tc>
      </w:tr>
      <w:tr w:rsidR="00465602" w:rsidTr="00465602">
        <w:tc>
          <w:tcPr>
            <w:tcW w:w="1393" w:type="pct"/>
            <w:vAlign w:val="center"/>
          </w:tcPr>
          <w:p w:rsidR="00465602" w:rsidRDefault="00465602" w:rsidP="00465602">
            <w:pPr>
              <w:pStyle w:val="TableText"/>
              <w:keepNext/>
              <w:keepLines/>
            </w:pPr>
            <w:r>
              <w:t>Underlying cash balance</w:t>
            </w:r>
          </w:p>
        </w:tc>
        <w:tc>
          <w:tcPr>
            <w:tcW w:w="721" w:type="pct"/>
            <w:vAlign w:val="center"/>
          </w:tcPr>
          <w:p w:rsidR="00465602" w:rsidRPr="00C22EAB" w:rsidRDefault="00465602" w:rsidP="00465602">
            <w:pPr>
              <w:pStyle w:val="TableTextRight"/>
              <w:keepNext/>
              <w:keepLines/>
            </w:pPr>
            <w:r>
              <w:t>-0.8</w:t>
            </w:r>
          </w:p>
        </w:tc>
        <w:tc>
          <w:tcPr>
            <w:tcW w:w="721" w:type="pct"/>
            <w:vAlign w:val="center"/>
          </w:tcPr>
          <w:p w:rsidR="00465602" w:rsidRPr="00C22EAB" w:rsidRDefault="00465602" w:rsidP="00465602">
            <w:pPr>
              <w:pStyle w:val="TableTextRight"/>
              <w:keepNext/>
              <w:keepLines/>
            </w:pPr>
            <w:r>
              <w:t>-0.8</w:t>
            </w:r>
          </w:p>
        </w:tc>
        <w:tc>
          <w:tcPr>
            <w:tcW w:w="722" w:type="pct"/>
            <w:vAlign w:val="center"/>
          </w:tcPr>
          <w:p w:rsidR="00465602" w:rsidRPr="00C22EAB" w:rsidRDefault="00465602" w:rsidP="00465602">
            <w:pPr>
              <w:pStyle w:val="TableTextRight"/>
              <w:keepNext/>
              <w:keepLines/>
            </w:pPr>
            <w:r>
              <w:t>-0.9</w:t>
            </w:r>
          </w:p>
        </w:tc>
        <w:tc>
          <w:tcPr>
            <w:tcW w:w="721" w:type="pct"/>
            <w:vAlign w:val="center"/>
          </w:tcPr>
          <w:p w:rsidR="00465602" w:rsidRPr="00C22EAB" w:rsidRDefault="00465602" w:rsidP="00465602">
            <w:pPr>
              <w:pStyle w:val="TableTextRight"/>
              <w:keepNext/>
              <w:keepLines/>
            </w:pPr>
            <w:r>
              <w:t>-0.9</w:t>
            </w:r>
          </w:p>
        </w:tc>
        <w:tc>
          <w:tcPr>
            <w:tcW w:w="722" w:type="pct"/>
            <w:vAlign w:val="center"/>
          </w:tcPr>
          <w:p w:rsidR="00465602" w:rsidRPr="0041344E" w:rsidRDefault="00465602" w:rsidP="00465602">
            <w:pPr>
              <w:pStyle w:val="TableTextRight"/>
              <w:keepNext/>
              <w:keepLines/>
              <w:rPr>
                <w:b/>
              </w:rPr>
            </w:pPr>
            <w:r>
              <w:rPr>
                <w:b/>
              </w:rPr>
              <w:t>-3.4</w:t>
            </w:r>
          </w:p>
        </w:tc>
      </w:tr>
    </w:tbl>
    <w:p w:rsidR="00465602" w:rsidRDefault="00465602" w:rsidP="004109BA">
      <w:pPr>
        <w:pStyle w:val="Footnotes"/>
        <w:keepNext/>
        <w:keepLines/>
        <w:numPr>
          <w:ilvl w:val="0"/>
          <w:numId w:val="144"/>
        </w:numPr>
        <w:ind w:left="284" w:hanging="284"/>
      </w:pPr>
      <w:r>
        <w:t xml:space="preserve">A positive </w:t>
      </w:r>
      <w:r w:rsidRPr="00FC1F1C">
        <w:t>number indicates an increase in the relevant budget balance, a negative number a decrease.</w:t>
      </w:r>
    </w:p>
    <w:p w:rsidR="00465602" w:rsidRPr="000E063A" w:rsidRDefault="00465602" w:rsidP="004109BA">
      <w:pPr>
        <w:pStyle w:val="Footnotes"/>
        <w:ind w:left="284" w:hanging="284"/>
        <w:rPr>
          <w:rStyle w:val="FootnoteReference"/>
          <w:vertAlign w:val="baseline"/>
        </w:rPr>
      </w:pPr>
      <w:r w:rsidRPr="000E063A">
        <w:t>Figures may not sum to totals due to rounding.</w:t>
      </w:r>
    </w:p>
    <w:p w:rsidR="00465602" w:rsidRDefault="00465602" w:rsidP="00465602">
      <w:pPr>
        <w:pStyle w:val="CostingsH7"/>
      </w:pPr>
      <w:r>
        <w:t>Key assumptions</w:t>
      </w:r>
    </w:p>
    <w:p w:rsidR="00465602" w:rsidRDefault="00465602" w:rsidP="00465602">
      <w:pPr>
        <w:pStyle w:val="BodyText"/>
        <w:keepNext/>
        <w:keepLines/>
      </w:pPr>
      <w:r>
        <w:t>It has been assumed that the Advocate would:</w:t>
      </w:r>
    </w:p>
    <w:p w:rsidR="00465602" w:rsidRDefault="00465602" w:rsidP="00465602">
      <w:pPr>
        <w:pStyle w:val="ListBullet"/>
        <w:keepNext/>
      </w:pPr>
      <w:r>
        <w:t xml:space="preserve">be provided with remuneration on the basis of the number of days worked (assumed to be 75 days a year) </w:t>
      </w:r>
    </w:p>
    <w:p w:rsidR="00465602" w:rsidRDefault="00465602" w:rsidP="00465602">
      <w:pPr>
        <w:pStyle w:val="ListBullet"/>
        <w:keepNext/>
      </w:pPr>
      <w:r>
        <w:t>have a travel budget of approximately $51,000 in 2016-17, with appropriate indexation applied thereafter</w:t>
      </w:r>
    </w:p>
    <w:p w:rsidR="00465602" w:rsidRDefault="00465602" w:rsidP="00465602">
      <w:pPr>
        <w:pStyle w:val="ListBullet"/>
        <w:keepNext/>
      </w:pPr>
      <w:r>
        <w:t>be supported by one and half full time staff within the Department of Industry, Innovation and Science</w:t>
      </w:r>
    </w:p>
    <w:p w:rsidR="00465602" w:rsidRPr="00465602" w:rsidRDefault="00465602" w:rsidP="00465602">
      <w:pPr>
        <w:pStyle w:val="ListBullet"/>
      </w:pPr>
      <w:r>
        <w:t>have a budget of $500,000 per year for partnership projects.</w:t>
      </w:r>
    </w:p>
    <w:p w:rsidR="00465602" w:rsidRDefault="00465602" w:rsidP="00465602">
      <w:pPr>
        <w:pStyle w:val="CostingsH7"/>
      </w:pPr>
      <w:r>
        <w:t>Methodology</w:t>
      </w:r>
    </w:p>
    <w:p w:rsidR="00465602" w:rsidRPr="00465602" w:rsidRDefault="00465602" w:rsidP="00465602">
      <w:pPr>
        <w:pStyle w:val="BodyText"/>
      </w:pPr>
      <w:r w:rsidRPr="00465602">
        <w:t>The impact of the proposal was derived by summing the costs of the Advocate’s remuneration and travel, project funding and administration costs for the Department of Industry, Innovation and Science, accounting for the net effect of indexation parameters and the efficiency dividend, in accordance with the Department of Finance’s costing practices.</w:t>
      </w:r>
    </w:p>
    <w:p w:rsidR="00465602" w:rsidRDefault="00465602" w:rsidP="00465602">
      <w:pPr>
        <w:pStyle w:val="CostingsH7"/>
      </w:pPr>
      <w:r>
        <w:t>Data sources</w:t>
      </w:r>
    </w:p>
    <w:p w:rsidR="00465602" w:rsidRDefault="00465602" w:rsidP="00465602">
      <w:pPr>
        <w:pStyle w:val="BodyText"/>
      </w:pPr>
      <w:r>
        <w:t>The Department of Finance provided indexation and efficiency dividend parameters.</w:t>
      </w:r>
    </w:p>
    <w:p w:rsidR="00465602" w:rsidRDefault="00465602" w:rsidP="00465602">
      <w:pPr>
        <w:pStyle w:val="BodyText"/>
      </w:pPr>
      <w:r>
        <w:t>Economics Legislation Committee - Answers to Questions on Notice, Industry, Innovation, Science, Research and Tertiary Education Portfolio - Budget Estimates Hearing 2012-13 - 28 and 29 May 2012 – Question No. BI-54.</w:t>
      </w:r>
    </w:p>
    <w:p w:rsidR="00465602" w:rsidRPr="00465602" w:rsidRDefault="00465602" w:rsidP="00465602">
      <w:pPr>
        <w:pStyle w:val="BodyText"/>
      </w:pPr>
      <w:r>
        <w:t>Economics Legislation Committee - Answers to Questions on Notice, Industry, Innovation, Science, Research and Tertiary Education Portfolio - Budget Estimates Hearing 2013-14 - 3 and 4 June 2013 – Question No. BI-109.</w:t>
      </w:r>
    </w:p>
    <w:p w:rsidR="00030420" w:rsidRPr="00951305" w:rsidRDefault="00030420" w:rsidP="00420CF4">
      <w:pPr>
        <w:pStyle w:val="BodyText"/>
      </w:pPr>
    </w:p>
    <w:p w:rsidR="00420CF4" w:rsidRDefault="00420CF4" w:rsidP="00420CF4">
      <w:pPr>
        <w:pStyle w:val="BodyText"/>
        <w:sectPr w:rsidR="00420CF4" w:rsidSect="00FB12F1">
          <w:footnotePr>
            <w:numRestart w:val="eachSect"/>
          </w:footnotePr>
          <w:pgSz w:w="11906" w:h="16838" w:code="9"/>
          <w:pgMar w:top="1361" w:right="1797" w:bottom="1474" w:left="1797" w:header="283" w:footer="454" w:gutter="0"/>
          <w:cols w:space="708"/>
          <w:docGrid w:linePitch="360"/>
        </w:sectPr>
      </w:pPr>
    </w:p>
    <w:p w:rsidR="00030420" w:rsidRDefault="00030420" w:rsidP="00030420">
      <w:pPr>
        <w:pStyle w:val="Heading5"/>
        <w:ind w:left="1080" w:hanging="1080"/>
      </w:pPr>
      <w:bookmarkStart w:id="84" w:name="_Toc458081690"/>
      <w:bookmarkStart w:id="85" w:name="_Toc455655021"/>
      <w:r>
        <w:t>ALP0</w:t>
      </w:r>
      <w:r w:rsidR="00A00D61">
        <w:t>66</w:t>
      </w:r>
      <w:r>
        <w:t>: National Steel Supplier Advocate</w:t>
      </w:r>
      <w:bookmarkEnd w:id="84"/>
    </w:p>
    <w:p w:rsidR="00030420" w:rsidRDefault="00030420" w:rsidP="00030420">
      <w:pPr>
        <w:pStyle w:val="BodyText"/>
      </w:pPr>
      <w:r>
        <w:rPr>
          <w:noProof/>
          <w:lang w:eastAsia="en-AU"/>
        </w:rPr>
        <w:drawing>
          <wp:inline distT="0" distB="0" distL="0" distR="0" wp14:anchorId="33B2340F" wp14:editId="56840262">
            <wp:extent cx="2696845" cy="572135"/>
            <wp:effectExtent l="0" t="0" r="8255" b="0"/>
            <wp:docPr id="337" name="Picture 33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465602" w:rsidRPr="008379A4" w:rsidTr="00AC7F7B">
        <w:trPr>
          <w:cnfStyle w:val="100000000000" w:firstRow="1" w:lastRow="0" w:firstColumn="0" w:lastColumn="0" w:oddVBand="0" w:evenVBand="0" w:oddHBand="0" w:evenHBand="0" w:firstRowFirstColumn="0" w:firstRowLastColumn="0" w:lastRowFirstColumn="0" w:lastRowLastColumn="0"/>
        </w:trPr>
        <w:tc>
          <w:tcPr>
            <w:tcW w:w="1809" w:type="pct"/>
          </w:tcPr>
          <w:p w:rsidR="00465602" w:rsidRPr="008379A4" w:rsidRDefault="00465602" w:rsidP="00AC7F7B">
            <w:pPr>
              <w:pStyle w:val="PullOutBoxHeading"/>
              <w:rPr>
                <w:b/>
              </w:rPr>
            </w:pPr>
            <w:r w:rsidRPr="008379A4">
              <w:rPr>
                <w:b/>
              </w:rPr>
              <w:t>Name of proposal:</w:t>
            </w:r>
          </w:p>
        </w:tc>
        <w:tc>
          <w:tcPr>
            <w:tcW w:w="3191" w:type="pct"/>
          </w:tcPr>
          <w:p w:rsidR="00465602" w:rsidRPr="008379A4" w:rsidRDefault="004A6DB2" w:rsidP="00AC7F7B">
            <w:pPr>
              <w:pStyle w:val="PullOutBoxHeading"/>
              <w:rPr>
                <w:b/>
              </w:rPr>
            </w:pPr>
            <w:r>
              <w:rPr>
                <w:b/>
              </w:rPr>
              <w:t>National Steel Supplier Advocate</w:t>
            </w:r>
          </w:p>
        </w:tc>
      </w:tr>
      <w:tr w:rsidR="00465602" w:rsidRPr="00B45F94" w:rsidTr="00AC7F7B">
        <w:tc>
          <w:tcPr>
            <w:tcW w:w="1809" w:type="pct"/>
          </w:tcPr>
          <w:p w:rsidR="00465602" w:rsidRPr="00B45F94" w:rsidRDefault="00465602" w:rsidP="00AC7F7B">
            <w:pPr>
              <w:pStyle w:val="PullOutBoxBodyText"/>
            </w:pPr>
            <w:r w:rsidRPr="00B45F94">
              <w:t>Summary of proposal:</w:t>
            </w:r>
          </w:p>
        </w:tc>
        <w:tc>
          <w:tcPr>
            <w:tcW w:w="3191" w:type="pct"/>
          </w:tcPr>
          <w:p w:rsidR="004A6DB2" w:rsidRDefault="004A6DB2" w:rsidP="004A6DB2">
            <w:pPr>
              <w:pStyle w:val="PullOutBoxBodyText"/>
            </w:pPr>
            <w:r>
              <w:t xml:space="preserve">The proposal would appoint a National Steel Supplier Advocate (the Advocate), with funding based on the previous Steel Supplier Advocate.  The Advocate would work with Australian steel manufacturers, particularly small and medium sized enterprise (SME) fabricators, to help them win major contracts. </w:t>
            </w:r>
          </w:p>
          <w:p w:rsidR="00465602" w:rsidRPr="00B45F94" w:rsidRDefault="004A6DB2" w:rsidP="004A6DB2">
            <w:pPr>
              <w:pStyle w:val="PullOutBoxBodyText"/>
            </w:pPr>
            <w:r>
              <w:t>The proposal would have effect from 1 July 2017.</w:t>
            </w:r>
          </w:p>
        </w:tc>
      </w:tr>
      <w:tr w:rsidR="00465602" w:rsidRPr="00B45F94" w:rsidTr="00AC7F7B">
        <w:tc>
          <w:tcPr>
            <w:tcW w:w="1809" w:type="pct"/>
          </w:tcPr>
          <w:p w:rsidR="00465602" w:rsidRPr="00B45F94" w:rsidRDefault="00465602" w:rsidP="00AC7F7B">
            <w:pPr>
              <w:pStyle w:val="PullOutBoxBodyText"/>
            </w:pPr>
            <w:r>
              <w:t>Party:</w:t>
            </w:r>
          </w:p>
        </w:tc>
        <w:tc>
          <w:tcPr>
            <w:tcW w:w="3191" w:type="pct"/>
          </w:tcPr>
          <w:p w:rsidR="00465602" w:rsidRPr="00B45F94" w:rsidRDefault="00465602" w:rsidP="00AC7F7B">
            <w:pPr>
              <w:pStyle w:val="PullOutBoxBodyText"/>
            </w:pPr>
            <w:r>
              <w:t>Australian Labor Party</w:t>
            </w:r>
          </w:p>
        </w:tc>
      </w:tr>
      <w:tr w:rsidR="00465602" w:rsidRPr="00B45F94" w:rsidTr="00AC7F7B">
        <w:tc>
          <w:tcPr>
            <w:tcW w:w="1809" w:type="pct"/>
          </w:tcPr>
          <w:p w:rsidR="00465602" w:rsidRPr="00B45F94" w:rsidRDefault="00465602" w:rsidP="00AC7F7B">
            <w:pPr>
              <w:pStyle w:val="PullOutBoxBodyText"/>
            </w:pPr>
            <w:r w:rsidRPr="00B45F94">
              <w:t>Expiry date for the costing:</w:t>
            </w:r>
          </w:p>
        </w:tc>
        <w:tc>
          <w:tcPr>
            <w:tcW w:w="3191" w:type="pct"/>
          </w:tcPr>
          <w:p w:rsidR="00465602" w:rsidRPr="00B45F94" w:rsidRDefault="00465602" w:rsidP="00AC7F7B">
            <w:pPr>
              <w:pStyle w:val="PullOutBoxBodyText"/>
            </w:pPr>
            <w:r>
              <w:t>Release of the next economic and fiscal update</w:t>
            </w:r>
          </w:p>
        </w:tc>
      </w:tr>
    </w:tbl>
    <w:p w:rsidR="00465602" w:rsidRDefault="00465602" w:rsidP="00465602">
      <w:pPr>
        <w:pStyle w:val="CostingsH7"/>
      </w:pPr>
      <w:r w:rsidRPr="00BF1EE6">
        <w:t>Costing overview</w:t>
      </w:r>
    </w:p>
    <w:p w:rsidR="004A6DB2" w:rsidRDefault="004A6DB2" w:rsidP="004A6DB2">
      <w:pPr>
        <w:pStyle w:val="BodyText"/>
      </w:pPr>
      <w:r>
        <w:t xml:space="preserve">The proposal would be expected to decrease both the fiscal and underlying cash balances by $2.6 million over the </w:t>
      </w:r>
      <w:r w:rsidR="000F6282">
        <w:t>2016-</w:t>
      </w:r>
      <w:r>
        <w:t>17 Budget forward estimates period.  This impact is entirely due to an increase in departmental expenses.</w:t>
      </w:r>
    </w:p>
    <w:p w:rsidR="004A6DB2" w:rsidRDefault="004A6DB2" w:rsidP="004A6DB2">
      <w:pPr>
        <w:pStyle w:val="BodyText"/>
      </w:pPr>
      <w:r>
        <w:t>The proposal would have an ongoing impact that extends beyond the 2016-17 Budget forward estimates period.</w:t>
      </w:r>
    </w:p>
    <w:p w:rsidR="004A6DB2" w:rsidRPr="004A6DB2" w:rsidRDefault="004A6DB2" w:rsidP="004A6DB2">
      <w:pPr>
        <w:pStyle w:val="BodyText"/>
      </w:pPr>
      <w:r>
        <w:t>This costing is considered to be of medium reliability.  While it is based on funding for the previous Steel Supplier Advocate, the estimates are contingent on the assumptions regarding the number of days that the Advocate would work each year and other associated expenses.</w:t>
      </w:r>
    </w:p>
    <w:p w:rsidR="00465602" w:rsidRDefault="00465602" w:rsidP="004A6DB2">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65602" w:rsidRPr="00D264E1" w:rsidTr="004A6DB2">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465602" w:rsidRPr="00D264E1" w:rsidRDefault="00465602" w:rsidP="004A6DB2">
            <w:pPr>
              <w:pStyle w:val="TableHeading"/>
            </w:pPr>
            <w:r>
              <w:t>Impact on ($m)</w:t>
            </w:r>
          </w:p>
        </w:tc>
        <w:tc>
          <w:tcPr>
            <w:tcW w:w="721" w:type="pct"/>
            <w:vAlign w:val="center"/>
          </w:tcPr>
          <w:p w:rsidR="00465602" w:rsidRPr="00FC1F1C" w:rsidRDefault="00465602" w:rsidP="004A6DB2">
            <w:pPr>
              <w:pStyle w:val="TableHeadingRight"/>
            </w:pPr>
            <w:r>
              <w:t>2016–17</w:t>
            </w:r>
          </w:p>
        </w:tc>
        <w:tc>
          <w:tcPr>
            <w:tcW w:w="721" w:type="pct"/>
            <w:vAlign w:val="center"/>
          </w:tcPr>
          <w:p w:rsidR="00465602" w:rsidRPr="00FC1F1C" w:rsidRDefault="00465602" w:rsidP="004A6DB2">
            <w:pPr>
              <w:pStyle w:val="TableHeadingRight"/>
            </w:pPr>
            <w:r>
              <w:t>2017–18</w:t>
            </w:r>
          </w:p>
        </w:tc>
        <w:tc>
          <w:tcPr>
            <w:tcW w:w="722" w:type="pct"/>
            <w:vAlign w:val="center"/>
          </w:tcPr>
          <w:p w:rsidR="00465602" w:rsidRPr="00FC1F1C" w:rsidRDefault="00465602" w:rsidP="004A6DB2">
            <w:pPr>
              <w:pStyle w:val="TableHeadingRight"/>
            </w:pPr>
            <w:r>
              <w:t>2018–19</w:t>
            </w:r>
          </w:p>
        </w:tc>
        <w:tc>
          <w:tcPr>
            <w:tcW w:w="721" w:type="pct"/>
            <w:vAlign w:val="center"/>
          </w:tcPr>
          <w:p w:rsidR="00465602" w:rsidRPr="00FC1F1C" w:rsidRDefault="00465602" w:rsidP="004A6DB2">
            <w:pPr>
              <w:pStyle w:val="TableHeadingRight"/>
            </w:pPr>
            <w:r>
              <w:t>2019–20</w:t>
            </w:r>
          </w:p>
        </w:tc>
        <w:tc>
          <w:tcPr>
            <w:tcW w:w="722" w:type="pct"/>
            <w:vAlign w:val="center"/>
          </w:tcPr>
          <w:p w:rsidR="00465602" w:rsidRPr="00FC1F1C" w:rsidRDefault="00465602" w:rsidP="004A6DB2">
            <w:pPr>
              <w:pStyle w:val="TableHeadingRight"/>
              <w:rPr>
                <w:b/>
              </w:rPr>
            </w:pPr>
            <w:r w:rsidRPr="00FC1F1C">
              <w:t>Total</w:t>
            </w:r>
          </w:p>
        </w:tc>
      </w:tr>
      <w:tr w:rsidR="004A6DB2" w:rsidTr="004A6DB2">
        <w:tc>
          <w:tcPr>
            <w:tcW w:w="1393" w:type="pct"/>
            <w:vAlign w:val="center"/>
          </w:tcPr>
          <w:p w:rsidR="004A6DB2" w:rsidRDefault="004A6DB2" w:rsidP="004A6DB2">
            <w:pPr>
              <w:pStyle w:val="TableText"/>
              <w:keepNext/>
              <w:keepLines/>
            </w:pPr>
            <w:r>
              <w:t>Fiscal balance</w:t>
            </w:r>
          </w:p>
        </w:tc>
        <w:tc>
          <w:tcPr>
            <w:tcW w:w="721" w:type="pct"/>
            <w:vAlign w:val="center"/>
          </w:tcPr>
          <w:p w:rsidR="004A6DB2" w:rsidRPr="004A6DB2" w:rsidRDefault="004A6DB2" w:rsidP="004A6DB2">
            <w:pPr>
              <w:pStyle w:val="TableTextRight"/>
              <w:keepNext/>
              <w:keepLines/>
            </w:pPr>
            <w:r w:rsidRPr="004A6DB2">
              <w:t>-</w:t>
            </w:r>
          </w:p>
        </w:tc>
        <w:tc>
          <w:tcPr>
            <w:tcW w:w="721" w:type="pct"/>
            <w:vAlign w:val="center"/>
          </w:tcPr>
          <w:p w:rsidR="004A6DB2" w:rsidRPr="004A6DB2" w:rsidRDefault="004A6DB2" w:rsidP="004A6DB2">
            <w:pPr>
              <w:pStyle w:val="TableTextRight"/>
              <w:keepNext/>
              <w:keepLines/>
            </w:pPr>
            <w:r>
              <w:t>-0.8</w:t>
            </w:r>
          </w:p>
        </w:tc>
        <w:tc>
          <w:tcPr>
            <w:tcW w:w="722" w:type="pct"/>
            <w:vAlign w:val="center"/>
          </w:tcPr>
          <w:p w:rsidR="004A6DB2" w:rsidRPr="004A6DB2" w:rsidRDefault="004A6DB2" w:rsidP="004A6DB2">
            <w:pPr>
              <w:pStyle w:val="TableTextRight"/>
              <w:keepNext/>
              <w:keepLines/>
            </w:pPr>
            <w:r>
              <w:t>-0.9</w:t>
            </w:r>
          </w:p>
        </w:tc>
        <w:tc>
          <w:tcPr>
            <w:tcW w:w="721" w:type="pct"/>
            <w:vAlign w:val="center"/>
          </w:tcPr>
          <w:p w:rsidR="004A6DB2" w:rsidRPr="004A6DB2" w:rsidRDefault="004A6DB2" w:rsidP="004A6DB2">
            <w:pPr>
              <w:pStyle w:val="TableTextRight"/>
              <w:keepNext/>
              <w:keepLines/>
            </w:pPr>
            <w:r>
              <w:t>-0.9</w:t>
            </w:r>
          </w:p>
        </w:tc>
        <w:tc>
          <w:tcPr>
            <w:tcW w:w="722" w:type="pct"/>
            <w:vAlign w:val="center"/>
          </w:tcPr>
          <w:p w:rsidR="004A6DB2" w:rsidRPr="004A6DB2" w:rsidRDefault="004A6DB2" w:rsidP="004A6DB2">
            <w:pPr>
              <w:pStyle w:val="TableTextRight"/>
              <w:keepNext/>
              <w:keepLines/>
            </w:pPr>
            <w:r>
              <w:t>-2.6</w:t>
            </w:r>
          </w:p>
        </w:tc>
      </w:tr>
      <w:tr w:rsidR="004A6DB2" w:rsidTr="004A6DB2">
        <w:tc>
          <w:tcPr>
            <w:tcW w:w="1393" w:type="pct"/>
            <w:vAlign w:val="center"/>
          </w:tcPr>
          <w:p w:rsidR="004A6DB2" w:rsidRDefault="004A6DB2" w:rsidP="004A6DB2">
            <w:pPr>
              <w:pStyle w:val="TableText"/>
              <w:keepNext/>
              <w:keepLines/>
            </w:pPr>
            <w:r>
              <w:t>Underlying cash balance</w:t>
            </w:r>
          </w:p>
        </w:tc>
        <w:tc>
          <w:tcPr>
            <w:tcW w:w="721" w:type="pct"/>
            <w:vAlign w:val="center"/>
          </w:tcPr>
          <w:p w:rsidR="004A6DB2" w:rsidRPr="004A6DB2" w:rsidRDefault="004A6DB2" w:rsidP="004A6DB2">
            <w:pPr>
              <w:pStyle w:val="TableTextRight"/>
              <w:keepNext/>
              <w:keepLines/>
            </w:pPr>
            <w:r w:rsidRPr="004A6DB2">
              <w:t>-</w:t>
            </w:r>
          </w:p>
        </w:tc>
        <w:tc>
          <w:tcPr>
            <w:tcW w:w="721" w:type="pct"/>
            <w:vAlign w:val="center"/>
          </w:tcPr>
          <w:p w:rsidR="004A6DB2" w:rsidRPr="004A6DB2" w:rsidRDefault="004A6DB2" w:rsidP="004A6DB2">
            <w:pPr>
              <w:pStyle w:val="TableTextRight"/>
              <w:keepNext/>
              <w:keepLines/>
            </w:pPr>
            <w:r>
              <w:t>-0.8</w:t>
            </w:r>
          </w:p>
        </w:tc>
        <w:tc>
          <w:tcPr>
            <w:tcW w:w="722" w:type="pct"/>
            <w:vAlign w:val="center"/>
          </w:tcPr>
          <w:p w:rsidR="004A6DB2" w:rsidRPr="004A6DB2" w:rsidRDefault="004A6DB2" w:rsidP="004A6DB2">
            <w:pPr>
              <w:pStyle w:val="TableTextRight"/>
              <w:keepNext/>
              <w:keepLines/>
            </w:pPr>
            <w:r>
              <w:t>-0.9</w:t>
            </w:r>
          </w:p>
        </w:tc>
        <w:tc>
          <w:tcPr>
            <w:tcW w:w="721" w:type="pct"/>
            <w:vAlign w:val="center"/>
          </w:tcPr>
          <w:p w:rsidR="004A6DB2" w:rsidRPr="004A6DB2" w:rsidRDefault="004A6DB2" w:rsidP="004A6DB2">
            <w:pPr>
              <w:pStyle w:val="TableTextRight"/>
              <w:keepNext/>
              <w:keepLines/>
            </w:pPr>
            <w:r>
              <w:t>-0.9</w:t>
            </w:r>
          </w:p>
        </w:tc>
        <w:tc>
          <w:tcPr>
            <w:tcW w:w="722" w:type="pct"/>
            <w:vAlign w:val="center"/>
          </w:tcPr>
          <w:p w:rsidR="004A6DB2" w:rsidRPr="004A6DB2" w:rsidRDefault="004A6DB2" w:rsidP="004A6DB2">
            <w:pPr>
              <w:pStyle w:val="TableTextRight"/>
              <w:keepNext/>
              <w:keepLines/>
            </w:pPr>
            <w:r>
              <w:t>-2.6</w:t>
            </w:r>
          </w:p>
        </w:tc>
      </w:tr>
    </w:tbl>
    <w:p w:rsidR="00465602" w:rsidRDefault="00465602" w:rsidP="00CE79E0">
      <w:pPr>
        <w:pStyle w:val="Footnotes"/>
        <w:keepNext/>
        <w:keepLines/>
        <w:numPr>
          <w:ilvl w:val="0"/>
          <w:numId w:val="193"/>
        </w:numPr>
        <w:ind w:left="284" w:hanging="284"/>
      </w:pPr>
      <w:r>
        <w:t xml:space="preserve">A positive </w:t>
      </w:r>
      <w:r w:rsidRPr="00FC1F1C">
        <w:t>number indicates an increase in the relevant budget balance, a negative number a decrease.</w:t>
      </w:r>
    </w:p>
    <w:p w:rsidR="00465602" w:rsidRDefault="00465602" w:rsidP="00CE79E0">
      <w:pPr>
        <w:pStyle w:val="Footnotes"/>
        <w:keepNext/>
        <w:keepLines/>
        <w:ind w:left="284" w:hanging="284"/>
      </w:pPr>
      <w:r w:rsidRPr="000E063A">
        <w:t>Figures may not sum to totals due to rounding.</w:t>
      </w:r>
    </w:p>
    <w:p w:rsidR="004A6DB2" w:rsidRPr="004A6DB2" w:rsidRDefault="004A6DB2" w:rsidP="00CE79E0">
      <w:pPr>
        <w:pStyle w:val="Footnotes"/>
        <w:numPr>
          <w:ilvl w:val="0"/>
          <w:numId w:val="0"/>
        </w:numPr>
        <w:ind w:left="284" w:hanging="284"/>
        <w:rPr>
          <w:rStyle w:val="FootnoteReference"/>
          <w:vertAlign w:val="baseline"/>
        </w:rPr>
      </w:pPr>
      <w:r w:rsidRPr="005F544A">
        <w:t>-</w:t>
      </w:r>
      <w:r w:rsidRPr="005F544A">
        <w:tab/>
        <w:t>Indicates nil.</w:t>
      </w:r>
    </w:p>
    <w:p w:rsidR="00465602" w:rsidRDefault="00465602" w:rsidP="00465602">
      <w:pPr>
        <w:pStyle w:val="CostingsH7"/>
      </w:pPr>
      <w:r>
        <w:t>Key assumptions</w:t>
      </w:r>
    </w:p>
    <w:p w:rsidR="004A6DB2" w:rsidRDefault="004A6DB2" w:rsidP="004A6DB2">
      <w:pPr>
        <w:pStyle w:val="BodyText"/>
      </w:pPr>
      <w:r>
        <w:t>It has been assumed that the Advocate would:</w:t>
      </w:r>
    </w:p>
    <w:p w:rsidR="004A6DB2" w:rsidRDefault="004A6DB2" w:rsidP="004A6DB2">
      <w:pPr>
        <w:pStyle w:val="ListBullet"/>
      </w:pPr>
      <w:r>
        <w:t xml:space="preserve">be provided with remuneration on the basis of the number of days worked (assumed to be 75 days a year) </w:t>
      </w:r>
    </w:p>
    <w:p w:rsidR="004A6DB2" w:rsidRDefault="004A6DB2" w:rsidP="004A6DB2">
      <w:pPr>
        <w:pStyle w:val="ListBullet"/>
      </w:pPr>
      <w:r>
        <w:t>have a travel budget of approximately $52,000 in 2017 18, with appropriate indexation applied thereafter</w:t>
      </w:r>
    </w:p>
    <w:p w:rsidR="004A6DB2" w:rsidRDefault="004A6DB2" w:rsidP="004A6DB2">
      <w:pPr>
        <w:pStyle w:val="ListBullet"/>
      </w:pPr>
      <w:r>
        <w:t>be supported by one and half full time staff within the Department of Industry, Innovation and Science</w:t>
      </w:r>
    </w:p>
    <w:p w:rsidR="004A6DB2" w:rsidRPr="004A6DB2" w:rsidRDefault="004A6DB2" w:rsidP="004A6DB2">
      <w:pPr>
        <w:pStyle w:val="ListBullet"/>
      </w:pPr>
      <w:r>
        <w:t>have a budget of $500,000 per year for partnership projects.</w:t>
      </w:r>
    </w:p>
    <w:p w:rsidR="00465602" w:rsidRDefault="00465602" w:rsidP="00465602">
      <w:pPr>
        <w:pStyle w:val="CostingsH7"/>
      </w:pPr>
      <w:r>
        <w:t>Methodology</w:t>
      </w:r>
    </w:p>
    <w:p w:rsidR="004A6DB2" w:rsidRPr="004A6DB2" w:rsidRDefault="004A6DB2" w:rsidP="004A6DB2">
      <w:pPr>
        <w:pStyle w:val="BodyText"/>
      </w:pPr>
      <w:r w:rsidRPr="004A6DB2">
        <w:t>The impact of the proposal was derived by summing the costs of the Advocate’s remuneration and travel, project funding and administration costs for the Department of Industry, Innovation and Science, accounting for the net effect of indexation parameters and the efficiency dividend, in accordance with the Department of Finance’s costing practices.</w:t>
      </w:r>
    </w:p>
    <w:p w:rsidR="00465602" w:rsidRDefault="00465602" w:rsidP="004A6DB2">
      <w:pPr>
        <w:pStyle w:val="CostingsH7"/>
        <w:tabs>
          <w:tab w:val="left" w:pos="2629"/>
        </w:tabs>
      </w:pPr>
      <w:r>
        <w:t>Data sources</w:t>
      </w:r>
    </w:p>
    <w:p w:rsidR="004A6DB2" w:rsidRDefault="004A6DB2" w:rsidP="004A6DB2">
      <w:pPr>
        <w:pStyle w:val="BodyText"/>
      </w:pPr>
      <w:r>
        <w:t>The Department of Finance provided indexation and efficiency dividend parameters.</w:t>
      </w:r>
    </w:p>
    <w:p w:rsidR="004A6DB2" w:rsidRDefault="004A6DB2" w:rsidP="004A6DB2">
      <w:pPr>
        <w:pStyle w:val="BodyText"/>
      </w:pPr>
      <w:r>
        <w:t>Economics Legislation Committee - Answers to Questions on Notice, Industry, Innovation, Science, Research and Tertiary Education Portfolio - Budget Estimates Hearing 2012-13 – 28 and 29 May 2012 – Question No. BI-54.</w:t>
      </w:r>
    </w:p>
    <w:p w:rsidR="004A6DB2" w:rsidRPr="004A6DB2" w:rsidRDefault="004A6DB2" w:rsidP="004A6DB2">
      <w:pPr>
        <w:pStyle w:val="BodyText"/>
      </w:pPr>
      <w:r>
        <w:t>Economics Legislation Committee - Answers to Questions on Notice, Industry, Innovation, Science, Research and Tertiary Education Portfolio - Budget Estimates Hearing 2013-14 – 3 and 4 June 2013 – Question No. BI-109.</w:t>
      </w:r>
    </w:p>
    <w:p w:rsidR="00030420" w:rsidRPr="00951305" w:rsidRDefault="00030420" w:rsidP="00030420">
      <w:pPr>
        <w:pStyle w:val="BodyText"/>
      </w:pPr>
    </w:p>
    <w:p w:rsidR="00030420" w:rsidRDefault="00030420" w:rsidP="00030420">
      <w:pPr>
        <w:pStyle w:val="BodyText"/>
        <w:sectPr w:rsidR="00030420" w:rsidSect="00FB12F1">
          <w:footnotePr>
            <w:numRestart w:val="eachSect"/>
          </w:footnotePr>
          <w:pgSz w:w="11906" w:h="16838" w:code="9"/>
          <w:pgMar w:top="1361" w:right="1797" w:bottom="1474" w:left="1797" w:header="283" w:footer="454" w:gutter="0"/>
          <w:cols w:space="708"/>
          <w:docGrid w:linePitch="360"/>
        </w:sectPr>
      </w:pPr>
    </w:p>
    <w:p w:rsidR="00030420" w:rsidRPr="00030420" w:rsidRDefault="005448CC" w:rsidP="00030420">
      <w:pPr>
        <w:pStyle w:val="Heading5"/>
        <w:ind w:left="1080" w:hanging="1080"/>
      </w:pPr>
      <w:bookmarkStart w:id="86" w:name="_Toc455655023"/>
      <w:bookmarkStart w:id="87" w:name="_Toc458081691"/>
      <w:bookmarkEnd w:id="85"/>
      <w:r>
        <w:t>ALP0</w:t>
      </w:r>
      <w:r w:rsidR="00A00D61">
        <w:t>67</w:t>
      </w:r>
      <w:r>
        <w:t>:</w:t>
      </w:r>
      <w:bookmarkEnd w:id="86"/>
      <w:r w:rsidR="00AC7F7B">
        <w:t xml:space="preserve"> </w:t>
      </w:r>
      <w:r w:rsidR="00030420">
        <w:t>New Jobs Tax Cut</w:t>
      </w:r>
      <w:r w:rsidR="00AC7F7B">
        <w:t>, Working Futures, and Uncommitted wage subsidy funding</w:t>
      </w:r>
      <w:bookmarkEnd w:id="87"/>
    </w:p>
    <w:p w:rsidR="005448CC" w:rsidRDefault="005448CC" w:rsidP="00967B83">
      <w:pPr>
        <w:pStyle w:val="BodyText"/>
      </w:pPr>
      <w:r>
        <w:rPr>
          <w:noProof/>
          <w:lang w:eastAsia="en-AU"/>
        </w:rPr>
        <w:drawing>
          <wp:inline distT="0" distB="0" distL="0" distR="0" wp14:anchorId="215C48C3" wp14:editId="6C602E8A">
            <wp:extent cx="2696845" cy="572135"/>
            <wp:effectExtent l="0" t="0" r="8255" b="0"/>
            <wp:docPr id="450" name="Picture 45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448CC" w:rsidRDefault="005448CC" w:rsidP="005448C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448CC"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448CC" w:rsidRPr="008379A4" w:rsidRDefault="005448CC" w:rsidP="00916D57">
            <w:pPr>
              <w:pStyle w:val="PullOutBoxHeading"/>
              <w:rPr>
                <w:b/>
              </w:rPr>
            </w:pPr>
            <w:r w:rsidRPr="008379A4">
              <w:rPr>
                <w:b/>
              </w:rPr>
              <w:t>Name of proposal:</w:t>
            </w:r>
          </w:p>
        </w:tc>
        <w:tc>
          <w:tcPr>
            <w:tcW w:w="3191" w:type="pct"/>
          </w:tcPr>
          <w:p w:rsidR="005448CC" w:rsidRPr="008379A4" w:rsidRDefault="00AC7F7B" w:rsidP="00916D57">
            <w:pPr>
              <w:pStyle w:val="PullOutBoxHeading"/>
              <w:rPr>
                <w:b/>
              </w:rPr>
            </w:pPr>
            <w:r w:rsidRPr="00AC7F7B">
              <w:rPr>
                <w:b/>
              </w:rPr>
              <w:t>New Jobs Tax Cut, Working Futures, and, Uncommitted wage subsidy funding</w:t>
            </w:r>
          </w:p>
        </w:tc>
      </w:tr>
      <w:tr w:rsidR="005448CC" w:rsidRPr="00B45F94" w:rsidTr="00F7554A">
        <w:tc>
          <w:tcPr>
            <w:tcW w:w="1809" w:type="pct"/>
          </w:tcPr>
          <w:p w:rsidR="005448CC" w:rsidRPr="00B45F94" w:rsidRDefault="005448CC" w:rsidP="00916D57">
            <w:pPr>
              <w:pStyle w:val="PullOutBoxBodyText"/>
            </w:pPr>
            <w:r w:rsidRPr="00B45F94">
              <w:t>Summary of proposal:</w:t>
            </w:r>
          </w:p>
        </w:tc>
        <w:tc>
          <w:tcPr>
            <w:tcW w:w="3191" w:type="pct"/>
          </w:tcPr>
          <w:p w:rsidR="00AC7F7B" w:rsidRDefault="00AC7F7B" w:rsidP="00AC7F7B">
            <w:pPr>
              <w:pStyle w:val="PullOutBoxBodyText"/>
            </w:pPr>
            <w:r>
              <w:t>This proposal has three components:</w:t>
            </w:r>
          </w:p>
          <w:p w:rsidR="00AC7F7B" w:rsidRDefault="00AC7F7B" w:rsidP="00AC7F7B">
            <w:pPr>
              <w:pStyle w:val="PullOutBoxBullet"/>
            </w:pPr>
            <w:r>
              <w:t>New Jobs Tax Cut</w:t>
            </w:r>
          </w:p>
          <w:p w:rsidR="00AC7F7B" w:rsidRDefault="00AC7F7B" w:rsidP="00AC7F7B">
            <w:pPr>
              <w:pStyle w:val="PullOutBoxBullet"/>
            </w:pPr>
            <w:r>
              <w:t>Working Futures</w:t>
            </w:r>
          </w:p>
          <w:p w:rsidR="00AC7F7B" w:rsidRDefault="00AC7F7B" w:rsidP="00AC7F7B">
            <w:pPr>
              <w:pStyle w:val="PullOutBoxBullet"/>
            </w:pPr>
            <w:r>
              <w:t>Uncommitted wage subsidy funding.</w:t>
            </w:r>
          </w:p>
          <w:p w:rsidR="00AC7F7B" w:rsidRPr="00AC7F7B" w:rsidRDefault="00AC7F7B" w:rsidP="00AC7F7B">
            <w:pPr>
              <w:pStyle w:val="PullOutBoxBodyText"/>
              <w:rPr>
                <w:u w:val="single"/>
              </w:rPr>
            </w:pPr>
            <w:r w:rsidRPr="00AC7F7B">
              <w:rPr>
                <w:u w:val="single"/>
              </w:rPr>
              <w:t>Component 1 - New Jobs Tax Cut</w:t>
            </w:r>
          </w:p>
          <w:p w:rsidR="00AC7F7B" w:rsidRDefault="00AC7F7B" w:rsidP="00AC7F7B">
            <w:pPr>
              <w:pStyle w:val="PullOutBoxBodyText"/>
            </w:pPr>
            <w:r>
              <w:t>This component would allow small businesses to claim an additional tax deduction of 40 per cent of wage costs, capped at $20,000 per employee, for up to five new employees (in their first year of employment).</w:t>
            </w:r>
          </w:p>
          <w:p w:rsidR="00AC7F7B" w:rsidRDefault="00AC7F7B" w:rsidP="00AC7F7B">
            <w:pPr>
              <w:pStyle w:val="PullOutBoxBodyText"/>
            </w:pPr>
            <w:r>
              <w:t xml:space="preserve">The scheme would be limited to small businesses with turnover of less than $2 million that have been operating for a minimum of two years.  </w:t>
            </w:r>
          </w:p>
          <w:p w:rsidR="00AC7F7B" w:rsidRDefault="00AC7F7B" w:rsidP="00AC7F7B">
            <w:pPr>
              <w:pStyle w:val="PullOutBoxBodyText"/>
            </w:pPr>
            <w:r>
              <w:t>To qualify, new employees would need to be:</w:t>
            </w:r>
          </w:p>
          <w:p w:rsidR="00AC7F7B" w:rsidRDefault="00AC7F7B" w:rsidP="00AC7F7B">
            <w:pPr>
              <w:pStyle w:val="PullOutBoxBullet"/>
            </w:pPr>
            <w:r>
              <w:t>a jobseeker under the age of 25 or over the age of 55 who has been unemployed for a period of three months or more, or</w:t>
            </w:r>
          </w:p>
          <w:p w:rsidR="00AC7F7B" w:rsidRDefault="00AC7F7B" w:rsidP="00AC7F7B">
            <w:pPr>
              <w:pStyle w:val="PullOutBoxBullet"/>
            </w:pPr>
            <w:r>
              <w:t xml:space="preserve">a recipient of Parenting Payment Single (PPS), or </w:t>
            </w:r>
          </w:p>
          <w:p w:rsidR="00AC7F7B" w:rsidRDefault="00AC7F7B" w:rsidP="00AC7F7B">
            <w:pPr>
              <w:pStyle w:val="PullOutBoxBullet"/>
            </w:pPr>
            <w:r>
              <w:t>a carer.</w:t>
            </w:r>
          </w:p>
          <w:p w:rsidR="00AC7F7B" w:rsidRDefault="00AC7F7B" w:rsidP="00AC7F7B">
            <w:pPr>
              <w:pStyle w:val="PullOutBoxBodyText"/>
            </w:pPr>
            <w:r>
              <w:t>In order to qualify for the deduction a new employee would need to be a net addition to the company’s average full-time equivalent (FTE) staffing level for the previous year.</w:t>
            </w:r>
          </w:p>
          <w:p w:rsidR="00AC7F7B" w:rsidRDefault="00AC7F7B" w:rsidP="00AC7F7B">
            <w:pPr>
              <w:pStyle w:val="PullOutBoxBodyText"/>
            </w:pPr>
            <w:r>
              <w:t xml:space="preserve">The Australian Taxation Office (ATO) would be given $2 million spread evenly over the </w:t>
            </w:r>
            <w:r w:rsidR="000F6282">
              <w:t>2016-</w:t>
            </w:r>
            <w:r>
              <w:t>17 Budget forward estimates period to ensure that small businesses were in compliance with the new regulations.</w:t>
            </w:r>
          </w:p>
          <w:p w:rsidR="00AC7F7B" w:rsidRDefault="00AC7F7B" w:rsidP="00AC7F7B">
            <w:pPr>
              <w:pStyle w:val="PullOutBoxBodyText"/>
            </w:pPr>
            <w:r>
              <w:t>This component would have effect from 1 July 2016.</w:t>
            </w:r>
          </w:p>
          <w:p w:rsidR="00AC7F7B" w:rsidRPr="00AC7F7B" w:rsidRDefault="00AC7F7B" w:rsidP="00AC7F7B">
            <w:pPr>
              <w:pStyle w:val="PullOutBoxBodyText"/>
              <w:rPr>
                <w:u w:val="single"/>
              </w:rPr>
            </w:pPr>
            <w:r w:rsidRPr="00AC7F7B">
              <w:rPr>
                <w:u w:val="single"/>
              </w:rPr>
              <w:t>Component 2 - Working Futures</w:t>
            </w:r>
          </w:p>
          <w:p w:rsidR="00AC7F7B" w:rsidRDefault="00AC7F7B" w:rsidP="00AC7F7B">
            <w:pPr>
              <w:pStyle w:val="PullOutBoxBodyText"/>
              <w:spacing w:after="360"/>
            </w:pPr>
            <w:r>
              <w:t xml:space="preserve">This component would establish a work placement program that would support 20,000 people </w:t>
            </w:r>
            <w:r w:rsidR="00290160">
              <w:t xml:space="preserve">per year </w:t>
            </w:r>
            <w:r>
              <w:t>aged between 15 and 24.</w:t>
            </w:r>
          </w:p>
          <w:p w:rsidR="00AC7F7B" w:rsidRDefault="00AC7F7B" w:rsidP="00AC7F7B">
            <w:pPr>
              <w:pStyle w:val="PullOutBoxBodyText"/>
            </w:pPr>
            <w:r>
              <w:t>The program would provide job seekers with:</w:t>
            </w:r>
          </w:p>
          <w:p w:rsidR="00AC7F7B" w:rsidRDefault="00AC7F7B" w:rsidP="00AC7F7B">
            <w:pPr>
              <w:pStyle w:val="PullOutBoxBullet"/>
            </w:pPr>
            <w:r>
              <w:t>a six-week work-readiness course focusing on essential employment skills as well as personal presentation, interview techniques and job hunting</w:t>
            </w:r>
          </w:p>
          <w:p w:rsidR="00AC7F7B" w:rsidRDefault="00AC7F7B" w:rsidP="00AC7F7B">
            <w:pPr>
              <w:pStyle w:val="PullOutBoxBullet"/>
            </w:pPr>
            <w:r>
              <w:t>a six-month work placement with an employer, paid at an award equivalent training wage</w:t>
            </w:r>
          </w:p>
          <w:p w:rsidR="00AC7F7B" w:rsidRDefault="00AC7F7B" w:rsidP="00AC7F7B">
            <w:pPr>
              <w:pStyle w:val="PullOutBoxBullet"/>
            </w:pPr>
            <w:r>
              <w:t>a fully-funded Certificate III in a subject of their choice.</w:t>
            </w:r>
          </w:p>
          <w:p w:rsidR="00EE7311" w:rsidRDefault="002C6D5A" w:rsidP="00AC7F7B">
            <w:pPr>
              <w:pStyle w:val="PullOutBoxBodyText"/>
            </w:pPr>
            <w:r>
              <w:t>An evaluation of the Working Futures program would be undertaken in 2019-</w:t>
            </w:r>
            <w:r w:rsidR="00EE7311">
              <w:t>20.</w:t>
            </w:r>
          </w:p>
          <w:p w:rsidR="00AC7F7B" w:rsidRDefault="00AC7F7B" w:rsidP="00AC7F7B">
            <w:pPr>
              <w:pStyle w:val="PullOutBoxBodyText"/>
            </w:pPr>
            <w:r>
              <w:t>This component would have effect from 1 July 2017 with some departmental expenses occurring in 2016-17.</w:t>
            </w:r>
          </w:p>
          <w:p w:rsidR="00AC7F7B" w:rsidRPr="00AC7F7B" w:rsidRDefault="00AC7F7B" w:rsidP="00AC7F7B">
            <w:pPr>
              <w:pStyle w:val="PullOutBoxBodyText"/>
              <w:rPr>
                <w:u w:val="single"/>
              </w:rPr>
            </w:pPr>
            <w:r w:rsidRPr="00AC7F7B">
              <w:rPr>
                <w:u w:val="single"/>
              </w:rPr>
              <w:t>Component 3 - Uncommitted wage subsidy funding</w:t>
            </w:r>
          </w:p>
          <w:p w:rsidR="005448CC" w:rsidRPr="00B45F94" w:rsidRDefault="00AC7F7B" w:rsidP="00AC7F7B">
            <w:pPr>
              <w:pStyle w:val="PullOutBoxBodyText"/>
            </w:pPr>
            <w:r>
              <w:t>This component would return all uncommitted wage subsidy funding in the 2016-17 Budget Youth Employment Package measures to the budget, with the objective of offsetting the cost of the first two components over the forward estimates period.</w:t>
            </w:r>
          </w:p>
        </w:tc>
      </w:tr>
      <w:tr w:rsidR="005448CC" w:rsidRPr="00B45F94" w:rsidTr="00F7554A">
        <w:tc>
          <w:tcPr>
            <w:tcW w:w="1809" w:type="pct"/>
          </w:tcPr>
          <w:p w:rsidR="005448CC" w:rsidRPr="00B45F94" w:rsidRDefault="005448CC" w:rsidP="00916D57">
            <w:pPr>
              <w:pStyle w:val="PullOutBoxBodyText"/>
            </w:pPr>
            <w:r>
              <w:t>Party:</w:t>
            </w:r>
          </w:p>
        </w:tc>
        <w:tc>
          <w:tcPr>
            <w:tcW w:w="3191" w:type="pct"/>
          </w:tcPr>
          <w:p w:rsidR="005448CC" w:rsidRPr="00B45F94" w:rsidRDefault="005448CC" w:rsidP="00916D57">
            <w:pPr>
              <w:pStyle w:val="PullOutBoxBodyText"/>
            </w:pPr>
            <w:r>
              <w:t>Australian Labor Party</w:t>
            </w:r>
          </w:p>
        </w:tc>
      </w:tr>
      <w:tr w:rsidR="005448CC" w:rsidRPr="00B45F94" w:rsidTr="00F7554A">
        <w:tc>
          <w:tcPr>
            <w:tcW w:w="1809" w:type="pct"/>
          </w:tcPr>
          <w:p w:rsidR="005448CC" w:rsidRPr="00B45F94" w:rsidRDefault="005448CC" w:rsidP="00916D57">
            <w:pPr>
              <w:pStyle w:val="PullOutBoxBodyText"/>
            </w:pPr>
            <w:r w:rsidRPr="00B45F94">
              <w:t>Expiry date for the costing:</w:t>
            </w:r>
          </w:p>
        </w:tc>
        <w:tc>
          <w:tcPr>
            <w:tcW w:w="3191" w:type="pct"/>
          </w:tcPr>
          <w:p w:rsidR="005448CC" w:rsidRPr="00B45F94" w:rsidRDefault="005448CC" w:rsidP="00916D57">
            <w:pPr>
              <w:pStyle w:val="PullOutBoxBodyText"/>
            </w:pPr>
            <w:r>
              <w:t>Release of the next economic and fiscal update</w:t>
            </w:r>
          </w:p>
        </w:tc>
      </w:tr>
    </w:tbl>
    <w:p w:rsidR="005448CC" w:rsidRDefault="005448CC" w:rsidP="005448CC">
      <w:pPr>
        <w:pStyle w:val="CostingsH7"/>
      </w:pPr>
      <w:r w:rsidRPr="00BF1EE6">
        <w:t>Costing overview</w:t>
      </w:r>
    </w:p>
    <w:p w:rsidR="00AC7F7B" w:rsidRDefault="00AC7F7B" w:rsidP="00AC7F7B">
      <w:pPr>
        <w:pStyle w:val="BodyText"/>
      </w:pPr>
      <w:r>
        <w:t>This proposal would be expected to decrease both the fiscal and underlying cash balances by $1.0 million over the 2016-17 Budget forward estimates period.  This reflects a net decrease in revenue of $174.0 million, a net decrease in administered expenditure of $170.7 million and a net decrease in departmental expenditure of $2.3 million over this period.</w:t>
      </w:r>
    </w:p>
    <w:p w:rsidR="00AC7F7B" w:rsidRDefault="00AC7F7B" w:rsidP="00AC7F7B">
      <w:pPr>
        <w:pStyle w:val="ListBullet"/>
      </w:pPr>
      <w:r>
        <w:t>The New Jobs Tax Cut component of the proposal would be expected to decrease both the fiscal and underlying cash balances by $257.0 million over the 2016-17 Budget forward estimates period.  This impact reflects a decrease in revenue of $250.0 million and an increase in departmental expenditure of $7.0 million over this period.</w:t>
      </w:r>
    </w:p>
    <w:p w:rsidR="00AC7F7B" w:rsidRDefault="00AC7F7B" w:rsidP="00AC7F7B">
      <w:pPr>
        <w:pStyle w:val="ListBullet"/>
      </w:pPr>
      <w:r>
        <w:t>The Working Futures component of the proposal would be expected to decrease both the fiscal and underlying cash balances by $1,121.0 million over the 2016-17 Budget forward estimates period.  This impact reflects an increase in revenue of $76.0 million, an increase in administered expenses of $1,167.0 million and an increase in departmental expenditure of $30.0 million over this period.</w:t>
      </w:r>
    </w:p>
    <w:p w:rsidR="00AC7F7B" w:rsidRDefault="00AC7F7B" w:rsidP="00AC7F7B">
      <w:pPr>
        <w:pStyle w:val="ListBullet"/>
      </w:pPr>
      <w:r>
        <w:t>The return of uncommitted wage subsidy funding from the 2016-17 Budget Youth Employment Package would be expected to increase both the fiscal and underlying cash balances by $1,377.0 million over the 2016 17 Budget forward estimates period.  This impact reflects a net decrease in administered expenditure of $1,337.7 million and a decrease in departmental expenditure of $39.3 million over this period.</w:t>
      </w:r>
    </w:p>
    <w:p w:rsidR="00AC7F7B" w:rsidRDefault="00AC7F7B" w:rsidP="00AC7F7B">
      <w:pPr>
        <w:pStyle w:val="BodyText"/>
      </w:pPr>
      <w:r>
        <w:t xml:space="preserve">Detailed financial implications of the impact of the proposals are provided at </w:t>
      </w:r>
      <w:r w:rsidRPr="00AC7F7B">
        <w:rPr>
          <w:u w:val="single"/>
        </w:rPr>
        <w:t>Attachment A</w:t>
      </w:r>
      <w:r>
        <w:t>.</w:t>
      </w:r>
    </w:p>
    <w:p w:rsidR="00AC7F7B" w:rsidRDefault="00AC7F7B" w:rsidP="00AC7F7B">
      <w:pPr>
        <w:pStyle w:val="BodyText"/>
      </w:pPr>
      <w:r>
        <w:t xml:space="preserve">These proposals would have an ongoing financial impact beyond the </w:t>
      </w:r>
      <w:r w:rsidR="000F6282">
        <w:t>2016-</w:t>
      </w:r>
      <w:r>
        <w:t>17 Budget forward estimates period broadly equivalent to its 2019</w:t>
      </w:r>
      <w:r w:rsidR="00EE7311">
        <w:t>-</w:t>
      </w:r>
      <w:r>
        <w:t>20 level</w:t>
      </w:r>
      <w:r w:rsidR="00EE7311">
        <w:t xml:space="preserve">, noting that </w:t>
      </w:r>
      <w:r w:rsidR="002C6D5A">
        <w:t>an evaluation of the program would be undertaken in 2019-20</w:t>
      </w:r>
      <w:r>
        <w:t>.</w:t>
      </w:r>
    </w:p>
    <w:p w:rsidR="00AC7F7B" w:rsidRDefault="00AC7F7B" w:rsidP="00AC7F7B">
      <w:pPr>
        <w:pStyle w:val="BodyText"/>
      </w:pPr>
      <w:r>
        <w:t>The costing of the New Jobs Tax Cut proposal is considered to be of low reliability because the level of take-up of the proposal is highly uncertain and a number of assumptions are used.</w:t>
      </w:r>
    </w:p>
    <w:p w:rsidR="00AC7F7B" w:rsidRDefault="00AC7F7B" w:rsidP="00AC7F7B">
      <w:pPr>
        <w:pStyle w:val="BodyText"/>
      </w:pPr>
      <w:r>
        <w:t>The costing of the Working Futures proposal is considered to be of medium reliability due to the uncertainty surrounding the mix of industries and occupations in which program participants are assumed to be placed, which would affect their wage rate and training costs.</w:t>
      </w:r>
    </w:p>
    <w:p w:rsidR="00AC7F7B" w:rsidRPr="00AC7F7B" w:rsidRDefault="00AC7F7B" w:rsidP="00AC7F7B">
      <w:pPr>
        <w:pStyle w:val="BodyText"/>
      </w:pPr>
      <w:r>
        <w:t xml:space="preserve">The costing of the return of uncommitted wage subsidy funding from the 2016 17 Budget </w:t>
      </w:r>
      <w:r w:rsidRPr="00AC7F7B">
        <w:rPr>
          <w:i/>
        </w:rPr>
        <w:t>Youth Employment Package</w:t>
      </w:r>
      <w:r>
        <w:t xml:space="preserve"> is considered to be of high reliability, as it based on the amounts set out in the 2016-17 Budget and the level of committed funding has been provided by the Department of Employment.</w:t>
      </w:r>
    </w:p>
    <w:p w:rsidR="005448CC" w:rsidRDefault="005448CC" w:rsidP="005448CC">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448CC" w:rsidRPr="00D264E1" w:rsidTr="00AC7F7B">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5448CC" w:rsidRPr="00D264E1" w:rsidRDefault="005448CC" w:rsidP="00AC7F7B">
            <w:pPr>
              <w:pStyle w:val="TableHeading"/>
            </w:pPr>
            <w:r>
              <w:t>Impact on ($m)</w:t>
            </w:r>
          </w:p>
        </w:tc>
        <w:tc>
          <w:tcPr>
            <w:tcW w:w="721" w:type="pct"/>
            <w:vAlign w:val="center"/>
          </w:tcPr>
          <w:p w:rsidR="005448CC" w:rsidRPr="00FC1F1C" w:rsidRDefault="005448CC" w:rsidP="00AC7F7B">
            <w:pPr>
              <w:pStyle w:val="TableHeadingRight"/>
            </w:pPr>
            <w:r>
              <w:t>2016–17</w:t>
            </w:r>
          </w:p>
        </w:tc>
        <w:tc>
          <w:tcPr>
            <w:tcW w:w="721" w:type="pct"/>
            <w:vAlign w:val="center"/>
          </w:tcPr>
          <w:p w:rsidR="005448CC" w:rsidRPr="00FC1F1C" w:rsidRDefault="005448CC" w:rsidP="00AC7F7B">
            <w:pPr>
              <w:pStyle w:val="TableHeadingRight"/>
            </w:pPr>
            <w:r>
              <w:t>2017–18</w:t>
            </w:r>
          </w:p>
        </w:tc>
        <w:tc>
          <w:tcPr>
            <w:tcW w:w="722" w:type="pct"/>
            <w:vAlign w:val="center"/>
          </w:tcPr>
          <w:p w:rsidR="005448CC" w:rsidRPr="00FC1F1C" w:rsidRDefault="005448CC" w:rsidP="00AC7F7B">
            <w:pPr>
              <w:pStyle w:val="TableHeadingRight"/>
            </w:pPr>
            <w:r>
              <w:t>2018–19</w:t>
            </w:r>
          </w:p>
        </w:tc>
        <w:tc>
          <w:tcPr>
            <w:tcW w:w="721" w:type="pct"/>
            <w:vAlign w:val="center"/>
          </w:tcPr>
          <w:p w:rsidR="005448CC" w:rsidRPr="00FC1F1C" w:rsidRDefault="005448CC" w:rsidP="00AC7F7B">
            <w:pPr>
              <w:pStyle w:val="TableHeadingRight"/>
            </w:pPr>
            <w:r>
              <w:t>2019–20</w:t>
            </w:r>
          </w:p>
        </w:tc>
        <w:tc>
          <w:tcPr>
            <w:tcW w:w="722" w:type="pct"/>
            <w:vAlign w:val="center"/>
          </w:tcPr>
          <w:p w:rsidR="005448CC" w:rsidRPr="00FC1F1C" w:rsidRDefault="005448CC" w:rsidP="00AC7F7B">
            <w:pPr>
              <w:pStyle w:val="TableHeadingRight"/>
              <w:rPr>
                <w:b/>
              </w:rPr>
            </w:pPr>
            <w:r w:rsidRPr="00FC1F1C">
              <w:t>Total</w:t>
            </w:r>
          </w:p>
        </w:tc>
      </w:tr>
      <w:tr w:rsidR="00AC7F7B" w:rsidTr="00AC7F7B">
        <w:tc>
          <w:tcPr>
            <w:tcW w:w="1393" w:type="pct"/>
            <w:vAlign w:val="center"/>
          </w:tcPr>
          <w:p w:rsidR="00AC7F7B" w:rsidRDefault="00AC7F7B" w:rsidP="00AC7F7B">
            <w:pPr>
              <w:pStyle w:val="TableText"/>
            </w:pPr>
            <w:r>
              <w:t>Fiscal balance</w:t>
            </w:r>
          </w:p>
        </w:tc>
        <w:tc>
          <w:tcPr>
            <w:tcW w:w="721" w:type="pct"/>
            <w:vAlign w:val="center"/>
          </w:tcPr>
          <w:p w:rsidR="00AC7F7B" w:rsidRPr="00AB2C4C" w:rsidRDefault="00AC7F7B" w:rsidP="00AC7F7B">
            <w:pPr>
              <w:pStyle w:val="TableTextRight"/>
              <w:rPr>
                <w:noProof/>
              </w:rPr>
            </w:pPr>
            <w:r w:rsidRPr="00AB2C4C">
              <w:rPr>
                <w:noProof/>
              </w:rPr>
              <w:t>194.</w:t>
            </w:r>
            <w:r>
              <w:rPr>
                <w:noProof/>
              </w:rPr>
              <w:t>5</w:t>
            </w:r>
          </w:p>
        </w:tc>
        <w:tc>
          <w:tcPr>
            <w:tcW w:w="721" w:type="pct"/>
            <w:vAlign w:val="center"/>
          </w:tcPr>
          <w:p w:rsidR="00AC7F7B" w:rsidRPr="00AB2C4C" w:rsidRDefault="00AC7F7B" w:rsidP="00AC7F7B">
            <w:pPr>
              <w:pStyle w:val="TableTextRight"/>
              <w:rPr>
                <w:noProof/>
              </w:rPr>
            </w:pPr>
            <w:r w:rsidRPr="00AB2C4C">
              <w:rPr>
                <w:noProof/>
              </w:rPr>
              <w:t>-5.7</w:t>
            </w:r>
          </w:p>
        </w:tc>
        <w:tc>
          <w:tcPr>
            <w:tcW w:w="722" w:type="pct"/>
            <w:vAlign w:val="center"/>
          </w:tcPr>
          <w:p w:rsidR="00AC7F7B" w:rsidRPr="00AB2C4C" w:rsidRDefault="00AC7F7B" w:rsidP="00AC7F7B">
            <w:pPr>
              <w:pStyle w:val="TableTextRight"/>
              <w:rPr>
                <w:noProof/>
              </w:rPr>
            </w:pPr>
            <w:r w:rsidRPr="00AB2C4C">
              <w:rPr>
                <w:noProof/>
              </w:rPr>
              <w:t>-79.1</w:t>
            </w:r>
          </w:p>
        </w:tc>
        <w:tc>
          <w:tcPr>
            <w:tcW w:w="721" w:type="pct"/>
            <w:vAlign w:val="center"/>
          </w:tcPr>
          <w:p w:rsidR="00AC7F7B" w:rsidRPr="00AB2C4C" w:rsidRDefault="00AC7F7B" w:rsidP="00AC7F7B">
            <w:pPr>
              <w:pStyle w:val="TableTextRight"/>
              <w:rPr>
                <w:noProof/>
              </w:rPr>
            </w:pPr>
            <w:r w:rsidRPr="00AB2C4C">
              <w:rPr>
                <w:noProof/>
              </w:rPr>
              <w:t>-109.7</w:t>
            </w:r>
          </w:p>
        </w:tc>
        <w:tc>
          <w:tcPr>
            <w:tcW w:w="722" w:type="pct"/>
            <w:vAlign w:val="center"/>
          </w:tcPr>
          <w:p w:rsidR="00AC7F7B" w:rsidRPr="00AB2C4C" w:rsidRDefault="00AC7F7B" w:rsidP="00AC7F7B">
            <w:pPr>
              <w:pStyle w:val="TableTextRight"/>
              <w:rPr>
                <w:b/>
                <w:noProof/>
              </w:rPr>
            </w:pPr>
            <w:r>
              <w:rPr>
                <w:b/>
                <w:noProof/>
              </w:rPr>
              <w:t>-1.0</w:t>
            </w:r>
          </w:p>
        </w:tc>
      </w:tr>
      <w:tr w:rsidR="00AC7F7B" w:rsidTr="00AC7F7B">
        <w:tc>
          <w:tcPr>
            <w:tcW w:w="1393" w:type="pct"/>
            <w:vAlign w:val="center"/>
          </w:tcPr>
          <w:p w:rsidR="00AC7F7B" w:rsidRDefault="00AC7F7B" w:rsidP="00AC7F7B">
            <w:pPr>
              <w:pStyle w:val="TableText"/>
            </w:pPr>
            <w:r>
              <w:t>Underlying cash balance</w:t>
            </w:r>
          </w:p>
        </w:tc>
        <w:tc>
          <w:tcPr>
            <w:tcW w:w="721" w:type="pct"/>
            <w:vAlign w:val="center"/>
          </w:tcPr>
          <w:p w:rsidR="00AC7F7B" w:rsidRPr="00AB2C4C" w:rsidRDefault="00AC7F7B" w:rsidP="00AC7F7B">
            <w:pPr>
              <w:pStyle w:val="TableTextRight"/>
              <w:rPr>
                <w:noProof/>
              </w:rPr>
            </w:pPr>
            <w:r w:rsidRPr="00AB2C4C">
              <w:rPr>
                <w:noProof/>
              </w:rPr>
              <w:t>194.</w:t>
            </w:r>
            <w:r>
              <w:rPr>
                <w:noProof/>
              </w:rPr>
              <w:t>5</w:t>
            </w:r>
          </w:p>
        </w:tc>
        <w:tc>
          <w:tcPr>
            <w:tcW w:w="721" w:type="pct"/>
            <w:vAlign w:val="center"/>
          </w:tcPr>
          <w:p w:rsidR="00AC7F7B" w:rsidRPr="00AB2C4C" w:rsidRDefault="00AC7F7B" w:rsidP="00AC7F7B">
            <w:pPr>
              <w:pStyle w:val="TableTextRight"/>
              <w:rPr>
                <w:noProof/>
              </w:rPr>
            </w:pPr>
            <w:r w:rsidRPr="00AB2C4C">
              <w:rPr>
                <w:noProof/>
              </w:rPr>
              <w:t>-5.7</w:t>
            </w:r>
          </w:p>
        </w:tc>
        <w:tc>
          <w:tcPr>
            <w:tcW w:w="722" w:type="pct"/>
            <w:vAlign w:val="center"/>
          </w:tcPr>
          <w:p w:rsidR="00AC7F7B" w:rsidRPr="00AB2C4C" w:rsidRDefault="00AC7F7B" w:rsidP="00AC7F7B">
            <w:pPr>
              <w:pStyle w:val="TableTextRight"/>
              <w:rPr>
                <w:noProof/>
              </w:rPr>
            </w:pPr>
            <w:r w:rsidRPr="00AB2C4C">
              <w:rPr>
                <w:noProof/>
              </w:rPr>
              <w:t>-79.1</w:t>
            </w:r>
          </w:p>
        </w:tc>
        <w:tc>
          <w:tcPr>
            <w:tcW w:w="721" w:type="pct"/>
            <w:vAlign w:val="center"/>
          </w:tcPr>
          <w:p w:rsidR="00AC7F7B" w:rsidRPr="00AB2C4C" w:rsidRDefault="00AC7F7B" w:rsidP="00AC7F7B">
            <w:pPr>
              <w:pStyle w:val="TableTextRight"/>
              <w:rPr>
                <w:noProof/>
              </w:rPr>
            </w:pPr>
            <w:r w:rsidRPr="00AB2C4C">
              <w:rPr>
                <w:noProof/>
              </w:rPr>
              <w:t>-109.7</w:t>
            </w:r>
          </w:p>
        </w:tc>
        <w:tc>
          <w:tcPr>
            <w:tcW w:w="722" w:type="pct"/>
            <w:vAlign w:val="center"/>
          </w:tcPr>
          <w:p w:rsidR="00AC7F7B" w:rsidRPr="00AB2C4C" w:rsidRDefault="00AC7F7B" w:rsidP="00AC7F7B">
            <w:pPr>
              <w:pStyle w:val="TableTextRight"/>
              <w:rPr>
                <w:b/>
                <w:noProof/>
              </w:rPr>
            </w:pPr>
            <w:r>
              <w:rPr>
                <w:b/>
                <w:noProof/>
              </w:rPr>
              <w:t>-1.0</w:t>
            </w:r>
          </w:p>
        </w:tc>
      </w:tr>
    </w:tbl>
    <w:p w:rsidR="005448CC" w:rsidRDefault="005448CC" w:rsidP="00F41F70">
      <w:pPr>
        <w:pStyle w:val="Footnotes"/>
        <w:numPr>
          <w:ilvl w:val="0"/>
          <w:numId w:val="194"/>
        </w:numPr>
        <w:ind w:left="284" w:hanging="284"/>
      </w:pPr>
      <w:r>
        <w:t xml:space="preserve">A positive </w:t>
      </w:r>
      <w:r w:rsidRPr="00FC1F1C">
        <w:t>number indicates an increase in the relevant budget balance, a negative number a decrease.</w:t>
      </w:r>
    </w:p>
    <w:p w:rsidR="005448CC" w:rsidRPr="000E063A" w:rsidRDefault="005448CC" w:rsidP="00F41F70">
      <w:pPr>
        <w:pStyle w:val="Footnotes"/>
        <w:ind w:left="284" w:hanging="284"/>
        <w:rPr>
          <w:rStyle w:val="FootnoteReference"/>
          <w:vertAlign w:val="baseline"/>
        </w:rPr>
      </w:pPr>
      <w:r w:rsidRPr="000E063A">
        <w:t>Figures may not sum to totals due to rounding.</w:t>
      </w:r>
    </w:p>
    <w:p w:rsidR="005448CC" w:rsidRDefault="005448CC" w:rsidP="005448CC">
      <w:pPr>
        <w:pStyle w:val="CostingsH7"/>
      </w:pPr>
      <w:r>
        <w:t>Key assumptions</w:t>
      </w:r>
    </w:p>
    <w:p w:rsidR="00AC7F7B" w:rsidRDefault="00AC7F7B" w:rsidP="00AC7F7B">
      <w:pPr>
        <w:pStyle w:val="CostingsH8"/>
      </w:pPr>
      <w:r>
        <w:t>Component 1 – New Jobs Tax Cut</w:t>
      </w:r>
    </w:p>
    <w:p w:rsidR="00AC7F7B" w:rsidRDefault="00AC7F7B" w:rsidP="00AC7F7B">
      <w:pPr>
        <w:pStyle w:val="ListBullet"/>
      </w:pPr>
      <w:r>
        <w:t>The increase in employment by small companies over the recent past continues into the future.</w:t>
      </w:r>
    </w:p>
    <w:p w:rsidR="00AC7F7B" w:rsidRDefault="00AC7F7B" w:rsidP="00AC7F7B">
      <w:pPr>
        <w:pStyle w:val="ListBullet"/>
      </w:pPr>
      <w:r>
        <w:t>There is no minimum period of employment under the scheme.  Employers can claim the deduction if they hire an additional full-time or part-time employee and if the employee is hired on an ongoing or non-ongoing basis.</w:t>
      </w:r>
    </w:p>
    <w:p w:rsidR="00AC7F7B" w:rsidRDefault="00AC7F7B" w:rsidP="00AC7F7B">
      <w:pPr>
        <w:pStyle w:val="ListBullet"/>
      </w:pPr>
      <w:r>
        <w:t>The deduction cap is not indexed over time.</w:t>
      </w:r>
    </w:p>
    <w:p w:rsidR="00AC7F7B" w:rsidRDefault="00AC7F7B" w:rsidP="00AC7F7B">
      <w:pPr>
        <w:pStyle w:val="ListBullet"/>
      </w:pPr>
      <w:r>
        <w:t>The costing does not take into account any impact on the overall level of employment in the economy as a result of this proposal.</w:t>
      </w:r>
    </w:p>
    <w:p w:rsidR="00AC7F7B" w:rsidRDefault="00AC7F7B" w:rsidP="00AC7F7B">
      <w:pPr>
        <w:pStyle w:val="ListBullet"/>
      </w:pPr>
      <w:r>
        <w:t>The assumed take-up rate of the proposal includes an assessment of the number of new (additional) employees that would be able to be utilised by small businesses ($2 million per annum turnover).</w:t>
      </w:r>
    </w:p>
    <w:p w:rsidR="00AC7F7B" w:rsidRDefault="00AC7F7B" w:rsidP="00AC7F7B">
      <w:pPr>
        <w:pStyle w:val="ListBullet"/>
      </w:pPr>
      <w:r>
        <w:t>The deduction would be able to be claimed at the end of each financial year.</w:t>
      </w:r>
    </w:p>
    <w:p w:rsidR="00AC7F7B" w:rsidRDefault="00AC7F7B" w:rsidP="00AC7F7B">
      <w:pPr>
        <w:pStyle w:val="CostingsH8"/>
      </w:pPr>
      <w:r>
        <w:t>Component 2 – Working Futures</w:t>
      </w:r>
    </w:p>
    <w:p w:rsidR="00AC7F7B" w:rsidRDefault="00AC7F7B" w:rsidP="00AC7F7B">
      <w:pPr>
        <w:pStyle w:val="ListBullet"/>
      </w:pPr>
      <w:r>
        <w:t>All of the placements arise from new vacancies and do not displace existing workers or prospective jobseekers.</w:t>
      </w:r>
    </w:p>
    <w:p w:rsidR="00AC7F7B" w:rsidRDefault="00AC7F7B" w:rsidP="00AC7F7B">
      <w:pPr>
        <w:pStyle w:val="ListBullet"/>
      </w:pPr>
      <w:r>
        <w:t>All participants represent a subset of the existing population of the jobactive caseload, rather than new entrants to the service.</w:t>
      </w:r>
    </w:p>
    <w:p w:rsidR="00AC7F7B" w:rsidRDefault="00AC7F7B" w:rsidP="00AC7F7B">
      <w:pPr>
        <w:pStyle w:val="ListBullet"/>
      </w:pPr>
      <w:r>
        <w:t>All of the capped places available under each option would be taken up evenly over the financial year.</w:t>
      </w:r>
    </w:p>
    <w:p w:rsidR="00AC7F7B" w:rsidRDefault="00AC7F7B" w:rsidP="00AC7F7B">
      <w:pPr>
        <w:pStyle w:val="ListBullet"/>
      </w:pPr>
      <w:r>
        <w:t>In the absence of this proposal, all participants would be in receipt of unemployment benefits.</w:t>
      </w:r>
    </w:p>
    <w:p w:rsidR="00AC7F7B" w:rsidRDefault="00AC7F7B" w:rsidP="00AC7F7B">
      <w:pPr>
        <w:pStyle w:val="ListBullet"/>
      </w:pPr>
      <w:r>
        <w:t>The average fee for the Certificate III level training courses would be approximately $5,300 in 2017 18 (based on data from myskills.gov.au after indexation).  The Commonwealth would meet this amount in full, including components that would otherwise be paid by students and government subsidies (ie state subsidy for vocational education and training).</w:t>
      </w:r>
    </w:p>
    <w:p w:rsidR="00AC7F7B" w:rsidRPr="00AC7F7B" w:rsidRDefault="00AC7F7B" w:rsidP="00AC7F7B">
      <w:pPr>
        <w:pStyle w:val="ListBullet2"/>
      </w:pPr>
      <w:r>
        <w:t>The average course fee would grow by the Consumer Price Index each year.</w:t>
      </w:r>
    </w:p>
    <w:p w:rsidR="005448CC" w:rsidRDefault="005448CC" w:rsidP="005448CC">
      <w:pPr>
        <w:pStyle w:val="CostingsH7"/>
      </w:pPr>
      <w:r>
        <w:t>Methodology</w:t>
      </w:r>
    </w:p>
    <w:p w:rsidR="00AC7F7B" w:rsidRDefault="00AC7F7B" w:rsidP="00AC7F7B">
      <w:pPr>
        <w:pStyle w:val="CostingsH8"/>
      </w:pPr>
      <w:r>
        <w:t>Component 1 – New Jobs Tax Cut</w:t>
      </w:r>
    </w:p>
    <w:p w:rsidR="00AC7F7B" w:rsidRDefault="00AC7F7B" w:rsidP="00AC7F7B">
      <w:pPr>
        <w:pStyle w:val="BodyText"/>
      </w:pPr>
      <w:r>
        <w:t>The PBO micro-simulated company unit record data on wage and salary expenses to estimate the number of FTE employees employed by companies that have been operating for more than two years with turnover of less than $2 million.  The change in employees over time was multiplied by the estimated proportion of new employees that would meet the criteria for the program.</w:t>
      </w:r>
    </w:p>
    <w:p w:rsidR="00AC7F7B" w:rsidRDefault="00AC7F7B" w:rsidP="00AC7F7B">
      <w:pPr>
        <w:pStyle w:val="BodyText"/>
      </w:pPr>
      <w:r>
        <w:t>An additional percentage of the salaries and wages of these eligible employees (up to the deduction cap) was added to each eligible company’s deductions.  The change in taxable income as a result of the additional deduction was multiplied by the small company tax rate to estimate the impact of the proposal.</w:t>
      </w:r>
    </w:p>
    <w:p w:rsidR="00AC7F7B" w:rsidRDefault="00AC7F7B" w:rsidP="00AC7F7B">
      <w:pPr>
        <w:pStyle w:val="BodyText"/>
      </w:pPr>
      <w:r>
        <w:t>Revenue estimates in this costing have been rounded to the nearest $10 million.</w:t>
      </w:r>
    </w:p>
    <w:p w:rsidR="00AC7F7B" w:rsidRDefault="00AC7F7B" w:rsidP="00AC7F7B">
      <w:pPr>
        <w:pStyle w:val="BodyText"/>
      </w:pPr>
      <w:r>
        <w:t>The departmental expenditure estimates are based on the cost of administering measures with similar administrative complexity.</w:t>
      </w:r>
    </w:p>
    <w:p w:rsidR="00AC7F7B" w:rsidRDefault="00AC7F7B" w:rsidP="00AC7F7B">
      <w:pPr>
        <w:pStyle w:val="BodyText"/>
      </w:pPr>
      <w:r>
        <w:t>Departmental expenditure estimates have been rounded to the nearest $500,000.</w:t>
      </w:r>
    </w:p>
    <w:p w:rsidR="00AC7F7B" w:rsidRDefault="00AC7F7B" w:rsidP="00AC7F7B">
      <w:pPr>
        <w:pStyle w:val="BodyText"/>
      </w:pPr>
      <w:r>
        <w:t xml:space="preserve">Funds from underutilised existing wage subsidy programs are re-allocated to offset the net impact of this proposal.  </w:t>
      </w:r>
    </w:p>
    <w:p w:rsidR="00AC7F7B" w:rsidRDefault="00AC7F7B" w:rsidP="00AC7F7B">
      <w:pPr>
        <w:pStyle w:val="CostingsH8"/>
      </w:pPr>
      <w:r>
        <w:t>Component 2 – Working Futures</w:t>
      </w:r>
    </w:p>
    <w:p w:rsidR="00AC7F7B" w:rsidRDefault="00AC7F7B" w:rsidP="00AC7F7B">
      <w:pPr>
        <w:pStyle w:val="BodyText"/>
      </w:pPr>
      <w:r>
        <w:t>The financial implication of the proposal is the sum of the following:</w:t>
      </w:r>
    </w:p>
    <w:p w:rsidR="00AC7F7B" w:rsidRDefault="00AC7F7B" w:rsidP="00AC7F7B">
      <w:pPr>
        <w:pStyle w:val="ListBullet"/>
      </w:pPr>
      <w:r>
        <w:t xml:space="preserve">The cost of the six-week work-readiness course was estimated based on the unit cost of similar training provided under the 2016-17 Budget measure, </w:t>
      </w:r>
      <w:r w:rsidRPr="004A0937">
        <w:rPr>
          <w:i/>
        </w:rPr>
        <w:t>Youth Employment Package – Youth Jobs PaTH (Prepare – Trial – Hire)</w:t>
      </w:r>
      <w:r>
        <w:t>.</w:t>
      </w:r>
    </w:p>
    <w:p w:rsidR="00AC7F7B" w:rsidRDefault="00AC7F7B" w:rsidP="00AC7F7B">
      <w:pPr>
        <w:pStyle w:val="ListBullet"/>
      </w:pPr>
      <w:r>
        <w:t>The trainee wage costs of program participants were estimated by multiplying the average trainee wage by the capped number of placements.  The average trainee wage was estimated based on the 2011</w:t>
      </w:r>
      <w:r w:rsidR="004A0937">
        <w:t>-</w:t>
      </w:r>
      <w:r>
        <w:t>12 unit record tax file of taxpayers who identified themselves as a trainee.  The wage costs estimate also takes into account participants exiting the placements early at their own volition.</w:t>
      </w:r>
    </w:p>
    <w:p w:rsidR="00AC7F7B" w:rsidRDefault="00AC7F7B" w:rsidP="00AC7F7B">
      <w:pPr>
        <w:pStyle w:val="ListBullet"/>
      </w:pPr>
      <w:r>
        <w:t>The costs of Certificate III training were estimated by multiplying the unit cost by th</w:t>
      </w:r>
      <w:r w:rsidR="004A0937">
        <w:t>e capped number of placements.</w:t>
      </w:r>
    </w:p>
    <w:p w:rsidR="00AC7F7B" w:rsidRDefault="00AC7F7B" w:rsidP="00AC7F7B">
      <w:pPr>
        <w:pStyle w:val="ListBullet"/>
      </w:pPr>
      <w:r>
        <w:t xml:space="preserve">The change in </w:t>
      </w:r>
      <w:r w:rsidRPr="004A0937">
        <w:rPr>
          <w:i/>
        </w:rPr>
        <w:t>jobactive</w:t>
      </w:r>
      <w:r>
        <w:t xml:space="preserve"> outcome fees were estimated as the </w:t>
      </w:r>
      <w:r w:rsidRPr="004A0937">
        <w:rPr>
          <w:i/>
        </w:rPr>
        <w:t>jobactive</w:t>
      </w:r>
      <w:r>
        <w:t xml:space="preserve"> placement fees payable for all participants.  This is because all participants would be paid an award</w:t>
      </w:r>
      <w:r w:rsidR="003E6244">
        <w:noBreakHyphen/>
      </w:r>
      <w:r>
        <w:t xml:space="preserve">based training wage and have their unemployment benefit suspended during their placements; consequently </w:t>
      </w:r>
      <w:r w:rsidRPr="004A0937">
        <w:rPr>
          <w:i/>
        </w:rPr>
        <w:t>jobactive</w:t>
      </w:r>
      <w:r>
        <w:t xml:space="preserve"> providers would be eligible </w:t>
      </w:r>
      <w:r w:rsidR="004A0937">
        <w:t>for the relevant outcome fees.</w:t>
      </w:r>
    </w:p>
    <w:p w:rsidR="00AC7F7B" w:rsidRDefault="00AC7F7B" w:rsidP="00AC7F7B">
      <w:pPr>
        <w:pStyle w:val="ListBullet"/>
      </w:pPr>
      <w:r>
        <w:t>The savings in unemployment benefit payments were estimated by multiplying the number of participants by the average unemployment benefit payment, taking into account the age of program participants and those who exit their placements early.</w:t>
      </w:r>
    </w:p>
    <w:p w:rsidR="00AC7F7B" w:rsidRDefault="00AC7F7B" w:rsidP="00AC7F7B">
      <w:pPr>
        <w:pStyle w:val="ListBullet"/>
      </w:pPr>
      <w:r>
        <w:t>The increase in income tax collected, estimated as a result of wages paid by the Government and subsequently by employers for participants who remain employed for up to a further six months, is included as part of the financial implications of the proposal.</w:t>
      </w:r>
    </w:p>
    <w:p w:rsidR="00AC7F7B" w:rsidRDefault="00AC7F7B" w:rsidP="00AC7F7B">
      <w:pPr>
        <w:pStyle w:val="ListBullet"/>
      </w:pPr>
      <w:r>
        <w:t>The increase in Government superannuation contributions for participants was estimated by multiplying the total wage paid by the Government by the relevant superannuation guarantee rate.</w:t>
      </w:r>
    </w:p>
    <w:p w:rsidR="00AC7F7B" w:rsidRDefault="00AC7F7B" w:rsidP="00AC7F7B">
      <w:pPr>
        <w:pStyle w:val="ListBullet2"/>
      </w:pPr>
      <w:r>
        <w:t>Superannuation contributions tax on these additional contributions is included.  The impact of rebates and payments resulting from the Low Income Superannuation Tax Offset (LISTO) is also included in the results.</w:t>
      </w:r>
    </w:p>
    <w:p w:rsidR="00AC7F7B" w:rsidRDefault="00AC7F7B" w:rsidP="00AC7F7B">
      <w:pPr>
        <w:pStyle w:val="ListBullet"/>
      </w:pPr>
      <w:r>
        <w:t>Superannuation earnings tax (from earnings as a result of new contributions to superannuation) is calculated based on an assumed aggregate earning rate of superannuation funds.</w:t>
      </w:r>
    </w:p>
    <w:p w:rsidR="00AC7F7B" w:rsidRDefault="00AC7F7B" w:rsidP="00AC7F7B">
      <w:pPr>
        <w:pStyle w:val="BodyText"/>
      </w:pPr>
      <w:r>
        <w:t>All estimates have been rounded to the nearest $1 million.</w:t>
      </w:r>
    </w:p>
    <w:p w:rsidR="00AC7F7B" w:rsidRDefault="00AC7F7B" w:rsidP="00AC7F7B">
      <w:pPr>
        <w:pStyle w:val="CostingsH8"/>
      </w:pPr>
      <w:r>
        <w:t>Component 3 – Uncommitted wage subsidy funding</w:t>
      </w:r>
    </w:p>
    <w:p w:rsidR="00AC7F7B" w:rsidRPr="00AC7F7B" w:rsidRDefault="00AC7F7B" w:rsidP="00AC7F7B">
      <w:pPr>
        <w:pStyle w:val="BodyText"/>
      </w:pPr>
      <w:r>
        <w:t>The savings that would arise from reversing the specified measures were derived from costings models and budget data provided by the relevant departments, taking into account funding that is already committed.</w:t>
      </w:r>
    </w:p>
    <w:p w:rsidR="005448CC" w:rsidRDefault="005448CC" w:rsidP="005448CC">
      <w:pPr>
        <w:pStyle w:val="CostingsH7"/>
      </w:pPr>
      <w:r>
        <w:t>Data sources</w:t>
      </w:r>
    </w:p>
    <w:p w:rsidR="004A0937" w:rsidRDefault="004A0937" w:rsidP="004A0937">
      <w:pPr>
        <w:pStyle w:val="BodyText"/>
        <w:keepNext/>
        <w:keepLines/>
      </w:pPr>
      <w:r>
        <w:t>The Australian Bureau of Statistics provided:</w:t>
      </w:r>
    </w:p>
    <w:p w:rsidR="004A0937" w:rsidRDefault="004A0937" w:rsidP="004A0937">
      <w:pPr>
        <w:pStyle w:val="ListBullet"/>
        <w:keepNext/>
      </w:pPr>
      <w:r>
        <w:t xml:space="preserve">Average Weekly Earnings, November 2015, Cat. </w:t>
      </w:r>
      <w:r w:rsidR="003E6244">
        <w:t xml:space="preserve">No. </w:t>
      </w:r>
      <w:r>
        <w:t>6302.0</w:t>
      </w:r>
    </w:p>
    <w:p w:rsidR="004A0937" w:rsidRDefault="004A0937" w:rsidP="004A0937">
      <w:pPr>
        <w:pStyle w:val="ListBullet"/>
        <w:keepNext/>
      </w:pPr>
      <w:r>
        <w:t xml:space="preserve">Labour Mobility, Australia, February 2013, Cat. </w:t>
      </w:r>
      <w:r w:rsidR="003E6244">
        <w:t xml:space="preserve">No. </w:t>
      </w:r>
      <w:r>
        <w:t>6209.0</w:t>
      </w:r>
    </w:p>
    <w:p w:rsidR="004A0937" w:rsidRDefault="004A0937" w:rsidP="004A0937">
      <w:pPr>
        <w:pStyle w:val="ListBullet"/>
      </w:pPr>
      <w:r>
        <w:t xml:space="preserve">Labour Force, May 2016, Cat. </w:t>
      </w:r>
      <w:r w:rsidR="003E6244">
        <w:t xml:space="preserve">No. </w:t>
      </w:r>
      <w:r>
        <w:t>6202.0.</w:t>
      </w:r>
    </w:p>
    <w:p w:rsidR="004A0937" w:rsidRDefault="004A0937" w:rsidP="004A0937">
      <w:pPr>
        <w:pStyle w:val="BodyText"/>
        <w:keepNext/>
        <w:keepLines/>
      </w:pPr>
      <w:r>
        <w:t>The Australian Taxation Office provided:</w:t>
      </w:r>
    </w:p>
    <w:p w:rsidR="004A0937" w:rsidRDefault="004A0937" w:rsidP="004A0937">
      <w:pPr>
        <w:pStyle w:val="ListBullet"/>
        <w:keepNext/>
      </w:pPr>
      <w:r>
        <w:t>2011-12 unit record tax file</w:t>
      </w:r>
    </w:p>
    <w:p w:rsidR="004A0937" w:rsidRDefault="004A0937" w:rsidP="004A0937">
      <w:pPr>
        <w:pStyle w:val="ListBullet"/>
      </w:pPr>
      <w:r>
        <w:t>Company tax return data for 2008-09 to 2013-14.</w:t>
      </w:r>
    </w:p>
    <w:p w:rsidR="004A0937" w:rsidRDefault="004A0937" w:rsidP="004A0937">
      <w:pPr>
        <w:pStyle w:val="BodyText"/>
        <w:keepNext/>
        <w:keepLines/>
      </w:pPr>
      <w:r>
        <w:t>The Department of Employment provided:</w:t>
      </w:r>
    </w:p>
    <w:p w:rsidR="004A0937" w:rsidRDefault="004A0937" w:rsidP="004A0937">
      <w:pPr>
        <w:pStyle w:val="ListBullet"/>
        <w:keepNext/>
      </w:pPr>
      <w:r>
        <w:t>jobactive costing model</w:t>
      </w:r>
    </w:p>
    <w:p w:rsidR="004A0937" w:rsidRDefault="004A0937" w:rsidP="004A0937">
      <w:pPr>
        <w:pStyle w:val="ListBullet"/>
        <w:keepNext/>
      </w:pPr>
      <w:r>
        <w:t>Job retention rate of employees with the assistance of wage subsidies</w:t>
      </w:r>
    </w:p>
    <w:p w:rsidR="004A0937" w:rsidRDefault="004A0937" w:rsidP="004A0937">
      <w:pPr>
        <w:pStyle w:val="ListBullet"/>
        <w:keepNext/>
      </w:pPr>
      <w:r>
        <w:t>Wage subsidy commitments</w:t>
      </w:r>
    </w:p>
    <w:p w:rsidR="004A0937" w:rsidRDefault="004A0937" w:rsidP="004A0937">
      <w:pPr>
        <w:pStyle w:val="ListBullet"/>
      </w:pPr>
      <w:r>
        <w:t>Costing models for the 2016-17 Budget measure, Youth Employment Package – Youth Jobs PaTH (Prepare – Trial – Hire).</w:t>
      </w:r>
    </w:p>
    <w:p w:rsidR="004A0937" w:rsidRDefault="004A0937" w:rsidP="004A0937">
      <w:pPr>
        <w:pStyle w:val="BodyText"/>
        <w:keepNext/>
        <w:keepLines/>
      </w:pPr>
      <w:r>
        <w:t>The Department of Finance provided:</w:t>
      </w:r>
    </w:p>
    <w:p w:rsidR="004A0937" w:rsidRDefault="004A0937" w:rsidP="004A0937">
      <w:pPr>
        <w:pStyle w:val="ListBullet"/>
      </w:pPr>
      <w:r>
        <w:t>Central Budget Management System outputs.</w:t>
      </w:r>
    </w:p>
    <w:p w:rsidR="004A0937" w:rsidRDefault="004A0937" w:rsidP="004A0937">
      <w:pPr>
        <w:pStyle w:val="BodyText"/>
        <w:keepNext/>
        <w:keepLines/>
      </w:pPr>
      <w:r>
        <w:t>The Department of Human Services provided:</w:t>
      </w:r>
    </w:p>
    <w:p w:rsidR="004A0937" w:rsidRDefault="004A0937" w:rsidP="004A0937">
      <w:pPr>
        <w:pStyle w:val="ListBullet"/>
      </w:pPr>
      <w:r w:rsidRPr="004A0937">
        <w:t>Costing models for the 2016 17 Budget measure, Youth Employment Package – Youth</w:t>
      </w:r>
      <w:r>
        <w:t xml:space="preserve"> Jobs PaTH (Prepare – Trial – Hire).</w:t>
      </w:r>
    </w:p>
    <w:p w:rsidR="004A0937" w:rsidRDefault="004A0937" w:rsidP="004A0937">
      <w:pPr>
        <w:pStyle w:val="BodyText"/>
        <w:keepNext/>
        <w:keepLines/>
      </w:pPr>
      <w:r>
        <w:t>The Department of Social Servicesprovided:</w:t>
      </w:r>
    </w:p>
    <w:p w:rsidR="004A0937" w:rsidRDefault="004A0937" w:rsidP="004A0937">
      <w:pPr>
        <w:pStyle w:val="ListBullet"/>
        <w:keepNext/>
      </w:pPr>
      <w:r>
        <w:t>2016-17 Portfolio Budget Statements – expenditure and recipient numbers</w:t>
      </w:r>
    </w:p>
    <w:p w:rsidR="004A0937" w:rsidRDefault="004A0937" w:rsidP="004A0937">
      <w:pPr>
        <w:pStyle w:val="ListBullet"/>
        <w:keepNext/>
      </w:pPr>
      <w:r>
        <w:t>Average payment rates of Newstart Allowance and Youth Allowance (Other)</w:t>
      </w:r>
    </w:p>
    <w:p w:rsidR="004A0937" w:rsidRDefault="004A0937" w:rsidP="004A0937">
      <w:pPr>
        <w:pStyle w:val="ListBullet"/>
      </w:pPr>
      <w:r>
        <w:t>Costing models for the 2016 17 Budget measure, Youth Employment Package – Youth Jobs PaTH (Prepare – Trial – Hire).</w:t>
      </w:r>
    </w:p>
    <w:p w:rsidR="004A0937" w:rsidRDefault="004A0937" w:rsidP="004A0937">
      <w:pPr>
        <w:pStyle w:val="BodyText"/>
        <w:keepNext/>
        <w:keepLines/>
      </w:pPr>
      <w:r>
        <w:t>The Commonwealth Treasury provided:</w:t>
      </w:r>
    </w:p>
    <w:p w:rsidR="004A0937" w:rsidRDefault="004A0937" w:rsidP="004A0937">
      <w:pPr>
        <w:pStyle w:val="ListBullet"/>
      </w:pPr>
      <w:r>
        <w:t>LISTO costing model.</w:t>
      </w:r>
    </w:p>
    <w:p w:rsidR="00020177" w:rsidRDefault="00020177" w:rsidP="00020177">
      <w:pPr>
        <w:pStyle w:val="BodyText"/>
      </w:pPr>
    </w:p>
    <w:p w:rsidR="00020177" w:rsidRDefault="00020177" w:rsidP="00020177">
      <w:pPr>
        <w:pStyle w:val="BodyText"/>
        <w:sectPr w:rsidR="00020177" w:rsidSect="00967BCD">
          <w:footnotePr>
            <w:numRestart w:val="eachSect"/>
          </w:footnotePr>
          <w:pgSz w:w="11906" w:h="16838" w:code="9"/>
          <w:pgMar w:top="1361" w:right="1797" w:bottom="1474" w:left="1797" w:header="283" w:footer="454" w:gutter="0"/>
          <w:cols w:space="708"/>
          <w:docGrid w:linePitch="360"/>
        </w:sectPr>
      </w:pPr>
    </w:p>
    <w:p w:rsidR="005448CC" w:rsidRDefault="005448CC" w:rsidP="00951C19">
      <w:pPr>
        <w:pStyle w:val="Heading6"/>
      </w:pPr>
      <w:r>
        <w:t xml:space="preserve">Attachment </w:t>
      </w:r>
      <w:r w:rsidR="004A0937">
        <w:t>A</w:t>
      </w:r>
      <w:r>
        <w:t>:</w:t>
      </w:r>
      <w:r w:rsidR="004A0937">
        <w:t xml:space="preserve"> </w:t>
      </w:r>
      <w:r w:rsidR="004A0937" w:rsidRPr="004A0937">
        <w:t xml:space="preserve">New Jobs Tax Cut, Working Futures, and Uncommitted wage subsidy funding </w:t>
      </w:r>
      <w:r>
        <w:t>—</w:t>
      </w:r>
      <w:r w:rsidR="0080154C">
        <w:t>financial implications</w:t>
      </w:r>
    </w:p>
    <w:p w:rsidR="005448CC" w:rsidRDefault="005448CC" w:rsidP="00951C19">
      <w:pPr>
        <w:pStyle w:val="Caption"/>
        <w:keepLines/>
      </w:pPr>
      <w:r w:rsidRPr="002B36F1">
        <w:t xml:space="preserve">Table </w:t>
      </w:r>
      <w:r>
        <w:t>A1</w:t>
      </w:r>
      <w:r w:rsidRPr="002B36F1">
        <w:t>:</w:t>
      </w:r>
      <w:r w:rsidR="00127BB2" w:rsidRPr="00127BB2">
        <w:t xml:space="preserve"> New Jobs Tax Cut, Working Futures, and Uncommitted wage subsidy funding—Financial</w:t>
      </w:r>
      <w:r w:rsidR="00127BB2">
        <w:t> </w:t>
      </w:r>
      <w:r w:rsidR="00127BB2" w:rsidRPr="00127BB2">
        <w:t>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448CC"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448CC" w:rsidRPr="007C2713" w:rsidRDefault="005448CC" w:rsidP="00951C19">
            <w:pPr>
              <w:pStyle w:val="TableText"/>
              <w:keepNext/>
              <w:keepLines/>
              <w:rPr>
                <w:b w:val="0"/>
              </w:rPr>
            </w:pPr>
            <w:r>
              <w:t>($)</w:t>
            </w:r>
          </w:p>
        </w:tc>
        <w:tc>
          <w:tcPr>
            <w:tcW w:w="689" w:type="pct"/>
            <w:vAlign w:val="center"/>
          </w:tcPr>
          <w:p w:rsidR="005448CC" w:rsidRDefault="005448CC" w:rsidP="00951C19">
            <w:pPr>
              <w:pStyle w:val="TableTextRight"/>
              <w:keepNext/>
              <w:keepLines/>
              <w:rPr>
                <w:b w:val="0"/>
              </w:rPr>
            </w:pPr>
            <w:r>
              <w:t>2016–17</w:t>
            </w:r>
          </w:p>
        </w:tc>
        <w:tc>
          <w:tcPr>
            <w:tcW w:w="689" w:type="pct"/>
            <w:vAlign w:val="center"/>
          </w:tcPr>
          <w:p w:rsidR="005448CC" w:rsidRDefault="005448CC" w:rsidP="00951C19">
            <w:pPr>
              <w:pStyle w:val="TableTextRight"/>
              <w:keepNext/>
              <w:keepLines/>
              <w:rPr>
                <w:b w:val="0"/>
              </w:rPr>
            </w:pPr>
            <w:r>
              <w:t>2017–18</w:t>
            </w:r>
          </w:p>
        </w:tc>
        <w:tc>
          <w:tcPr>
            <w:tcW w:w="689" w:type="pct"/>
            <w:vAlign w:val="center"/>
          </w:tcPr>
          <w:p w:rsidR="005448CC" w:rsidRDefault="005448CC" w:rsidP="00951C19">
            <w:pPr>
              <w:pStyle w:val="TableTextRight"/>
              <w:keepNext/>
              <w:keepLines/>
              <w:rPr>
                <w:b w:val="0"/>
              </w:rPr>
            </w:pPr>
            <w:r>
              <w:t>2018–19</w:t>
            </w:r>
          </w:p>
        </w:tc>
        <w:tc>
          <w:tcPr>
            <w:tcW w:w="689" w:type="pct"/>
            <w:vAlign w:val="center"/>
          </w:tcPr>
          <w:p w:rsidR="005448CC" w:rsidRDefault="005448CC" w:rsidP="00951C19">
            <w:pPr>
              <w:pStyle w:val="TableTextRight"/>
              <w:keepNext/>
              <w:keepLines/>
              <w:rPr>
                <w:b w:val="0"/>
              </w:rPr>
            </w:pPr>
            <w:r>
              <w:t>2019–20</w:t>
            </w:r>
          </w:p>
        </w:tc>
        <w:tc>
          <w:tcPr>
            <w:tcW w:w="690" w:type="pct"/>
            <w:vAlign w:val="center"/>
          </w:tcPr>
          <w:p w:rsidR="005448CC" w:rsidRDefault="005448CC" w:rsidP="00951C19">
            <w:pPr>
              <w:pStyle w:val="TableTextRight"/>
              <w:keepNext/>
              <w:keepLines/>
            </w:pPr>
            <w:r>
              <w:t>Total to 2019–20</w:t>
            </w:r>
          </w:p>
        </w:tc>
      </w:tr>
      <w:tr w:rsidR="00127BB2" w:rsidTr="00127BB2">
        <w:tc>
          <w:tcPr>
            <w:tcW w:w="5000" w:type="pct"/>
            <w:gridSpan w:val="6"/>
            <w:shd w:val="clear" w:color="auto" w:fill="D7DDE9" w:themeFill="accent3"/>
            <w:vAlign w:val="center"/>
          </w:tcPr>
          <w:p w:rsidR="00127BB2" w:rsidRDefault="00127BB2" w:rsidP="00951C19">
            <w:pPr>
              <w:pStyle w:val="TableHeading"/>
            </w:pPr>
            <w:r>
              <w:t>Impact on fiscal and underlying cash balances</w:t>
            </w:r>
          </w:p>
        </w:tc>
      </w:tr>
      <w:tr w:rsidR="00127BB2" w:rsidTr="00127BB2">
        <w:tc>
          <w:tcPr>
            <w:tcW w:w="1554" w:type="pct"/>
            <w:shd w:val="clear" w:color="auto" w:fill="E9ECF3" w:themeFill="accent2" w:themeFillTint="33"/>
            <w:vAlign w:val="center"/>
          </w:tcPr>
          <w:p w:rsidR="00127BB2" w:rsidRPr="007C2713" w:rsidRDefault="00127BB2" w:rsidP="00951C19">
            <w:pPr>
              <w:pStyle w:val="TableHeading"/>
            </w:pPr>
            <w:r>
              <w:t>Revenue</w:t>
            </w:r>
          </w:p>
        </w:tc>
        <w:tc>
          <w:tcPr>
            <w:tcW w:w="689" w:type="pct"/>
            <w:shd w:val="clear" w:color="auto" w:fill="E9ECF3" w:themeFill="accent2" w:themeFillTint="33"/>
            <w:vAlign w:val="center"/>
          </w:tcPr>
          <w:p w:rsidR="00127BB2" w:rsidRDefault="00127BB2" w:rsidP="00951C19">
            <w:pPr>
              <w:pStyle w:val="TableTextRight"/>
              <w:keepNext/>
              <w:keepLines/>
            </w:pPr>
          </w:p>
        </w:tc>
        <w:tc>
          <w:tcPr>
            <w:tcW w:w="689" w:type="pct"/>
            <w:shd w:val="clear" w:color="auto" w:fill="E9ECF3" w:themeFill="accent2" w:themeFillTint="33"/>
            <w:vAlign w:val="center"/>
          </w:tcPr>
          <w:p w:rsidR="00127BB2" w:rsidRDefault="00127BB2" w:rsidP="00951C19">
            <w:pPr>
              <w:pStyle w:val="TableTextRight"/>
              <w:keepNext/>
              <w:keepLines/>
            </w:pPr>
          </w:p>
        </w:tc>
        <w:tc>
          <w:tcPr>
            <w:tcW w:w="689" w:type="pct"/>
            <w:shd w:val="clear" w:color="auto" w:fill="E9ECF3" w:themeFill="accent2" w:themeFillTint="33"/>
            <w:vAlign w:val="center"/>
          </w:tcPr>
          <w:p w:rsidR="00127BB2" w:rsidRDefault="00127BB2" w:rsidP="00951C19">
            <w:pPr>
              <w:pStyle w:val="TableTextRight"/>
              <w:keepNext/>
              <w:keepLines/>
            </w:pPr>
          </w:p>
        </w:tc>
        <w:tc>
          <w:tcPr>
            <w:tcW w:w="689" w:type="pct"/>
            <w:shd w:val="clear" w:color="auto" w:fill="E9ECF3" w:themeFill="accent2" w:themeFillTint="33"/>
            <w:vAlign w:val="center"/>
          </w:tcPr>
          <w:p w:rsidR="00127BB2" w:rsidRDefault="00127BB2" w:rsidP="00951C19">
            <w:pPr>
              <w:pStyle w:val="TableTextRight"/>
              <w:keepNext/>
              <w:keepLines/>
            </w:pPr>
          </w:p>
        </w:tc>
        <w:tc>
          <w:tcPr>
            <w:tcW w:w="690" w:type="pct"/>
            <w:shd w:val="clear" w:color="auto" w:fill="E9ECF3" w:themeFill="accent2" w:themeFillTint="33"/>
            <w:vAlign w:val="center"/>
          </w:tcPr>
          <w:p w:rsidR="00127BB2" w:rsidRDefault="00127BB2" w:rsidP="00951C19">
            <w:pPr>
              <w:pStyle w:val="TableTextRight"/>
              <w:keepNext/>
              <w:keepLines/>
            </w:pPr>
          </w:p>
        </w:tc>
      </w:tr>
      <w:tr w:rsidR="00127BB2" w:rsidTr="00127BB2">
        <w:tc>
          <w:tcPr>
            <w:tcW w:w="1554" w:type="pct"/>
            <w:vAlign w:val="center"/>
          </w:tcPr>
          <w:p w:rsidR="00127BB2" w:rsidRPr="007C2713" w:rsidRDefault="00127BB2" w:rsidP="00951C19">
            <w:pPr>
              <w:pStyle w:val="TableHeading"/>
            </w:pPr>
            <w:r>
              <w:t>Total revenue</w:t>
            </w:r>
          </w:p>
        </w:tc>
        <w:tc>
          <w:tcPr>
            <w:tcW w:w="689" w:type="pct"/>
            <w:vAlign w:val="center"/>
          </w:tcPr>
          <w:p w:rsidR="00127BB2" w:rsidRPr="00AA557C" w:rsidRDefault="00127BB2" w:rsidP="00951C19">
            <w:pPr>
              <w:pStyle w:val="TableTextRight"/>
              <w:keepNext/>
              <w:keepLines/>
              <w:rPr>
                <w:rFonts w:eastAsia="Times New Roman"/>
                <w:b/>
                <w:bCs/>
                <w:color w:val="000000"/>
                <w:szCs w:val="20"/>
                <w:lang w:eastAsia="en-AU"/>
              </w:rPr>
            </w:pPr>
            <w:r w:rsidRPr="001977C1">
              <w:rPr>
                <w:b/>
                <w:color w:val="000000"/>
                <w:szCs w:val="20"/>
              </w:rPr>
              <w:t>-</w:t>
            </w:r>
          </w:p>
        </w:tc>
        <w:tc>
          <w:tcPr>
            <w:tcW w:w="689" w:type="pct"/>
            <w:vAlign w:val="center"/>
          </w:tcPr>
          <w:p w:rsidR="00127BB2" w:rsidRPr="00AA557C" w:rsidRDefault="00127BB2" w:rsidP="00951C19">
            <w:pPr>
              <w:pStyle w:val="TableTextRight"/>
              <w:keepNext/>
              <w:keepLines/>
              <w:rPr>
                <w:rFonts w:eastAsia="Times New Roman"/>
                <w:b/>
                <w:bCs/>
                <w:color w:val="000000"/>
                <w:szCs w:val="20"/>
                <w:lang w:eastAsia="en-AU"/>
              </w:rPr>
            </w:pPr>
            <w:r w:rsidRPr="001977C1">
              <w:rPr>
                <w:b/>
                <w:color w:val="000000"/>
                <w:szCs w:val="20"/>
              </w:rPr>
              <w:t>-38.0</w:t>
            </w:r>
          </w:p>
        </w:tc>
        <w:tc>
          <w:tcPr>
            <w:tcW w:w="689" w:type="pct"/>
            <w:vAlign w:val="center"/>
          </w:tcPr>
          <w:p w:rsidR="00127BB2" w:rsidRPr="00AA557C" w:rsidRDefault="00127BB2" w:rsidP="00951C19">
            <w:pPr>
              <w:pStyle w:val="TableTextRight"/>
              <w:keepNext/>
              <w:keepLines/>
              <w:rPr>
                <w:rFonts w:eastAsia="Times New Roman"/>
                <w:b/>
                <w:bCs/>
                <w:color w:val="000000"/>
                <w:szCs w:val="20"/>
                <w:lang w:eastAsia="en-AU"/>
              </w:rPr>
            </w:pPr>
            <w:r w:rsidRPr="001977C1">
              <w:rPr>
                <w:b/>
                <w:color w:val="000000"/>
                <w:szCs w:val="20"/>
              </w:rPr>
              <w:t>-63.0</w:t>
            </w:r>
          </w:p>
        </w:tc>
        <w:tc>
          <w:tcPr>
            <w:tcW w:w="689" w:type="pct"/>
            <w:vAlign w:val="center"/>
          </w:tcPr>
          <w:p w:rsidR="00127BB2" w:rsidRPr="00AA557C" w:rsidRDefault="00127BB2" w:rsidP="00951C19">
            <w:pPr>
              <w:pStyle w:val="TableTextRight"/>
              <w:keepNext/>
              <w:keepLines/>
              <w:rPr>
                <w:rFonts w:eastAsia="Times New Roman"/>
                <w:b/>
                <w:bCs/>
                <w:color w:val="000000"/>
                <w:szCs w:val="20"/>
                <w:lang w:eastAsia="en-AU"/>
              </w:rPr>
            </w:pPr>
            <w:r w:rsidRPr="001977C1">
              <w:rPr>
                <w:b/>
                <w:color w:val="000000"/>
                <w:szCs w:val="20"/>
              </w:rPr>
              <w:t>-73.0</w:t>
            </w:r>
          </w:p>
        </w:tc>
        <w:tc>
          <w:tcPr>
            <w:tcW w:w="690" w:type="pct"/>
            <w:vAlign w:val="center"/>
          </w:tcPr>
          <w:p w:rsidR="00127BB2" w:rsidRPr="00140916" w:rsidRDefault="00127BB2" w:rsidP="00951C19">
            <w:pPr>
              <w:pStyle w:val="TableTextRight"/>
              <w:keepNext/>
              <w:keepLines/>
              <w:rPr>
                <w:rFonts w:eastAsia="Times New Roman"/>
                <w:b/>
                <w:bCs/>
                <w:color w:val="000000"/>
                <w:szCs w:val="20"/>
                <w:lang w:eastAsia="en-AU"/>
              </w:rPr>
            </w:pPr>
            <w:r w:rsidRPr="001977C1">
              <w:rPr>
                <w:b/>
                <w:color w:val="000000"/>
                <w:szCs w:val="20"/>
              </w:rPr>
              <w:t>-174.0</w:t>
            </w:r>
          </w:p>
        </w:tc>
      </w:tr>
      <w:tr w:rsidR="00127BB2" w:rsidTr="00127BB2">
        <w:tc>
          <w:tcPr>
            <w:tcW w:w="1554" w:type="pct"/>
            <w:shd w:val="clear" w:color="auto" w:fill="E9ECF3" w:themeFill="accent2" w:themeFillTint="33"/>
            <w:vAlign w:val="center"/>
          </w:tcPr>
          <w:p w:rsidR="00127BB2" w:rsidRPr="007C2713" w:rsidRDefault="00127BB2" w:rsidP="00951C19">
            <w:pPr>
              <w:pStyle w:val="TableHeading"/>
            </w:pPr>
            <w:r>
              <w:t>Expenses</w:t>
            </w:r>
          </w:p>
        </w:tc>
        <w:tc>
          <w:tcPr>
            <w:tcW w:w="689" w:type="pct"/>
            <w:shd w:val="clear" w:color="auto" w:fill="E9ECF3" w:themeFill="accent2" w:themeFillTint="33"/>
            <w:vAlign w:val="center"/>
          </w:tcPr>
          <w:p w:rsidR="00127BB2" w:rsidRPr="00AF3228" w:rsidRDefault="00127BB2" w:rsidP="00951C19">
            <w:pPr>
              <w:pStyle w:val="TableTextRight"/>
              <w:keepNext/>
              <w:keepLines/>
              <w:rPr>
                <w:rFonts w:eastAsia="Times New Roman"/>
                <w:b/>
                <w:bCs/>
                <w:color w:val="000000"/>
                <w:szCs w:val="20"/>
                <w:lang w:eastAsia="en-AU"/>
              </w:rPr>
            </w:pPr>
          </w:p>
        </w:tc>
        <w:tc>
          <w:tcPr>
            <w:tcW w:w="689" w:type="pct"/>
            <w:shd w:val="clear" w:color="auto" w:fill="E9ECF3" w:themeFill="accent2" w:themeFillTint="33"/>
            <w:vAlign w:val="center"/>
          </w:tcPr>
          <w:p w:rsidR="00127BB2" w:rsidRPr="00AF3228" w:rsidRDefault="00127BB2" w:rsidP="00951C19">
            <w:pPr>
              <w:pStyle w:val="TableTextRight"/>
              <w:keepNext/>
              <w:keepLines/>
              <w:rPr>
                <w:rFonts w:eastAsia="Times New Roman"/>
                <w:b/>
                <w:bCs/>
                <w:color w:val="000000"/>
                <w:szCs w:val="20"/>
                <w:lang w:eastAsia="en-AU"/>
              </w:rPr>
            </w:pPr>
          </w:p>
        </w:tc>
        <w:tc>
          <w:tcPr>
            <w:tcW w:w="689" w:type="pct"/>
            <w:shd w:val="clear" w:color="auto" w:fill="E9ECF3" w:themeFill="accent2" w:themeFillTint="33"/>
            <w:vAlign w:val="center"/>
          </w:tcPr>
          <w:p w:rsidR="00127BB2" w:rsidRPr="00AF3228" w:rsidRDefault="00127BB2" w:rsidP="00951C19">
            <w:pPr>
              <w:pStyle w:val="TableTextRight"/>
              <w:keepNext/>
              <w:keepLines/>
              <w:rPr>
                <w:rFonts w:eastAsia="Times New Roman"/>
                <w:b/>
                <w:bCs/>
                <w:color w:val="000000"/>
                <w:szCs w:val="20"/>
                <w:lang w:eastAsia="en-AU"/>
              </w:rPr>
            </w:pPr>
          </w:p>
        </w:tc>
        <w:tc>
          <w:tcPr>
            <w:tcW w:w="689" w:type="pct"/>
            <w:shd w:val="clear" w:color="auto" w:fill="E9ECF3" w:themeFill="accent2" w:themeFillTint="33"/>
            <w:vAlign w:val="center"/>
          </w:tcPr>
          <w:p w:rsidR="00127BB2" w:rsidRPr="00AF3228" w:rsidRDefault="00127BB2" w:rsidP="00951C19">
            <w:pPr>
              <w:pStyle w:val="TableTextRight"/>
              <w:keepNext/>
              <w:keepLines/>
              <w:rPr>
                <w:rFonts w:eastAsia="Times New Roman"/>
                <w:b/>
                <w:bCs/>
                <w:color w:val="000000"/>
                <w:szCs w:val="20"/>
                <w:lang w:eastAsia="en-AU"/>
              </w:rPr>
            </w:pPr>
          </w:p>
        </w:tc>
        <w:tc>
          <w:tcPr>
            <w:tcW w:w="690" w:type="pct"/>
            <w:shd w:val="clear" w:color="auto" w:fill="E9ECF3" w:themeFill="accent2" w:themeFillTint="33"/>
            <w:vAlign w:val="center"/>
          </w:tcPr>
          <w:p w:rsidR="00127BB2" w:rsidRPr="00AF3228" w:rsidRDefault="00127BB2" w:rsidP="00951C19">
            <w:pPr>
              <w:pStyle w:val="TableTextRight"/>
              <w:keepNext/>
              <w:keepLines/>
              <w:rPr>
                <w:rFonts w:eastAsia="Times New Roman"/>
                <w:b/>
                <w:bCs/>
                <w:color w:val="000000"/>
                <w:szCs w:val="20"/>
                <w:lang w:eastAsia="en-AU"/>
              </w:rPr>
            </w:pPr>
          </w:p>
        </w:tc>
      </w:tr>
      <w:tr w:rsidR="00127BB2" w:rsidTr="00127BB2">
        <w:tc>
          <w:tcPr>
            <w:tcW w:w="1554" w:type="pct"/>
            <w:vAlign w:val="center"/>
          </w:tcPr>
          <w:p w:rsidR="00127BB2" w:rsidRPr="007C2713" w:rsidRDefault="00127BB2" w:rsidP="00951C19">
            <w:pPr>
              <w:pStyle w:val="TableText"/>
              <w:keepNext/>
              <w:keepLines/>
            </w:pPr>
            <w:r>
              <w:t>Administered</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179.4</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41.3</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-14.8</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-35.1</w:t>
            </w:r>
          </w:p>
        </w:tc>
        <w:tc>
          <w:tcPr>
            <w:tcW w:w="690" w:type="pct"/>
            <w:vAlign w:val="center"/>
          </w:tcPr>
          <w:p w:rsidR="00127BB2" w:rsidRPr="00AF3228" w:rsidRDefault="00127BB2" w:rsidP="00951C19">
            <w:pPr>
              <w:pStyle w:val="TableTextRight"/>
              <w:keepNext/>
              <w:keepLines/>
              <w:rPr>
                <w:rFonts w:eastAsia="Times New Roman"/>
                <w:b/>
                <w:bCs/>
                <w:i/>
                <w:color w:val="000000"/>
                <w:szCs w:val="20"/>
                <w:lang w:eastAsia="en-AU"/>
              </w:rPr>
            </w:pPr>
            <w:r w:rsidRPr="001977C1">
              <w:rPr>
                <w:b/>
                <w:i/>
                <w:iCs/>
                <w:color w:val="000000"/>
                <w:szCs w:val="20"/>
              </w:rPr>
              <w:t>170.7</w:t>
            </w:r>
          </w:p>
        </w:tc>
      </w:tr>
      <w:tr w:rsidR="00127BB2" w:rsidTr="00127BB2">
        <w:tc>
          <w:tcPr>
            <w:tcW w:w="1554" w:type="pct"/>
            <w:vAlign w:val="center"/>
          </w:tcPr>
          <w:p w:rsidR="00127BB2" w:rsidRPr="007C2713" w:rsidRDefault="00127BB2" w:rsidP="00951C19">
            <w:pPr>
              <w:pStyle w:val="TableText"/>
              <w:keepNext/>
              <w:keepLines/>
            </w:pPr>
            <w:r>
              <w:t>Departmental</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15.1</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-9.0</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-1.3</w:t>
            </w:r>
          </w:p>
        </w:tc>
        <w:tc>
          <w:tcPr>
            <w:tcW w:w="689" w:type="pct"/>
            <w:vAlign w:val="center"/>
          </w:tcPr>
          <w:p w:rsidR="00127BB2" w:rsidRPr="00AF3228" w:rsidRDefault="00127BB2" w:rsidP="00951C19">
            <w:pPr>
              <w:pStyle w:val="TableTextRight"/>
              <w:keepNext/>
              <w:keepLines/>
              <w:rPr>
                <w:rFonts w:eastAsia="Times New Roman"/>
                <w:i/>
                <w:color w:val="000000"/>
                <w:szCs w:val="20"/>
                <w:lang w:eastAsia="en-AU"/>
              </w:rPr>
            </w:pPr>
            <w:r w:rsidRPr="001977C1">
              <w:rPr>
                <w:i/>
                <w:iCs/>
                <w:color w:val="000000"/>
                <w:szCs w:val="20"/>
              </w:rPr>
              <w:t>-1.6</w:t>
            </w:r>
          </w:p>
        </w:tc>
        <w:tc>
          <w:tcPr>
            <w:tcW w:w="690" w:type="pct"/>
            <w:vAlign w:val="center"/>
          </w:tcPr>
          <w:p w:rsidR="00127BB2" w:rsidRPr="00AF3228" w:rsidRDefault="00127BB2" w:rsidP="00951C19">
            <w:pPr>
              <w:pStyle w:val="TableTextRight"/>
              <w:keepNext/>
              <w:keepLines/>
              <w:rPr>
                <w:rFonts w:eastAsia="Times New Roman"/>
                <w:b/>
                <w:bCs/>
                <w:i/>
                <w:color w:val="000000"/>
                <w:szCs w:val="20"/>
                <w:lang w:eastAsia="en-AU"/>
              </w:rPr>
            </w:pPr>
            <w:r w:rsidRPr="001977C1">
              <w:rPr>
                <w:b/>
                <w:i/>
                <w:iCs/>
                <w:color w:val="000000"/>
                <w:szCs w:val="20"/>
              </w:rPr>
              <w:t>2.3</w:t>
            </w:r>
          </w:p>
        </w:tc>
      </w:tr>
      <w:tr w:rsidR="00127BB2" w:rsidTr="00127BB2">
        <w:tc>
          <w:tcPr>
            <w:tcW w:w="1554" w:type="pct"/>
            <w:vAlign w:val="center"/>
          </w:tcPr>
          <w:p w:rsidR="00127BB2" w:rsidRPr="007C2713" w:rsidRDefault="00127BB2" w:rsidP="00951C19">
            <w:pPr>
              <w:pStyle w:val="TableHeading"/>
            </w:pPr>
            <w:r>
              <w:t>Total expenses</w:t>
            </w:r>
          </w:p>
        </w:tc>
        <w:tc>
          <w:tcPr>
            <w:tcW w:w="689" w:type="pct"/>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color w:val="000000"/>
                <w:szCs w:val="20"/>
              </w:rPr>
              <w:t>194.5</w:t>
            </w:r>
          </w:p>
        </w:tc>
        <w:tc>
          <w:tcPr>
            <w:tcW w:w="689" w:type="pct"/>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color w:val="000000"/>
                <w:szCs w:val="20"/>
              </w:rPr>
              <w:t>32.3</w:t>
            </w:r>
          </w:p>
        </w:tc>
        <w:tc>
          <w:tcPr>
            <w:tcW w:w="689" w:type="pct"/>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color w:val="000000"/>
                <w:szCs w:val="20"/>
              </w:rPr>
              <w:t>-16.1</w:t>
            </w:r>
          </w:p>
        </w:tc>
        <w:tc>
          <w:tcPr>
            <w:tcW w:w="689" w:type="pct"/>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color w:val="000000"/>
                <w:szCs w:val="20"/>
              </w:rPr>
              <w:t>-36.7</w:t>
            </w:r>
          </w:p>
        </w:tc>
        <w:tc>
          <w:tcPr>
            <w:tcW w:w="690" w:type="pct"/>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color w:val="000000"/>
                <w:szCs w:val="20"/>
              </w:rPr>
              <w:t>173.0</w:t>
            </w:r>
          </w:p>
        </w:tc>
      </w:tr>
      <w:tr w:rsidR="00127BB2" w:rsidRPr="007C2713" w:rsidTr="00127BB2">
        <w:tc>
          <w:tcPr>
            <w:tcW w:w="1554" w:type="pct"/>
            <w:shd w:val="clear" w:color="auto" w:fill="D7DDE9" w:themeFill="accent3"/>
            <w:vAlign w:val="center"/>
          </w:tcPr>
          <w:p w:rsidR="00127BB2" w:rsidRPr="007C2713" w:rsidRDefault="00127BB2" w:rsidP="00951C19">
            <w:pPr>
              <w:pStyle w:val="TableText"/>
              <w:keepNext/>
              <w:keepLines/>
              <w:rPr>
                <w:b/>
              </w:rPr>
            </w:pPr>
            <w:r w:rsidRPr="007C2713">
              <w:rPr>
                <w:b/>
              </w:rPr>
              <w:t>Total</w:t>
            </w:r>
          </w:p>
        </w:tc>
        <w:tc>
          <w:tcPr>
            <w:tcW w:w="689" w:type="pct"/>
            <w:shd w:val="clear" w:color="auto" w:fill="D7DDE9" w:themeFill="accent3"/>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bCs/>
                <w:color w:val="000000"/>
                <w:szCs w:val="20"/>
              </w:rPr>
              <w:t>194.5</w:t>
            </w:r>
          </w:p>
        </w:tc>
        <w:tc>
          <w:tcPr>
            <w:tcW w:w="689" w:type="pct"/>
            <w:shd w:val="clear" w:color="auto" w:fill="D7DDE9" w:themeFill="accent3"/>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bCs/>
                <w:color w:val="000000"/>
                <w:szCs w:val="20"/>
              </w:rPr>
              <w:t>-5.7</w:t>
            </w:r>
          </w:p>
        </w:tc>
        <w:tc>
          <w:tcPr>
            <w:tcW w:w="689" w:type="pct"/>
            <w:shd w:val="clear" w:color="auto" w:fill="D7DDE9" w:themeFill="accent3"/>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bCs/>
                <w:color w:val="000000"/>
                <w:szCs w:val="20"/>
              </w:rPr>
              <w:t>-79.1</w:t>
            </w:r>
          </w:p>
        </w:tc>
        <w:tc>
          <w:tcPr>
            <w:tcW w:w="689" w:type="pct"/>
            <w:shd w:val="clear" w:color="auto" w:fill="D7DDE9" w:themeFill="accent3"/>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bCs/>
                <w:color w:val="000000"/>
                <w:szCs w:val="20"/>
              </w:rPr>
              <w:t>-109.7</w:t>
            </w:r>
          </w:p>
        </w:tc>
        <w:tc>
          <w:tcPr>
            <w:tcW w:w="690" w:type="pct"/>
            <w:shd w:val="clear" w:color="auto" w:fill="D7DDE9" w:themeFill="accent3"/>
            <w:vAlign w:val="center"/>
          </w:tcPr>
          <w:p w:rsidR="00127BB2" w:rsidRPr="00AF3228" w:rsidRDefault="00127BB2" w:rsidP="00951C19">
            <w:pPr>
              <w:pStyle w:val="TableTextRight"/>
              <w:keepNext/>
              <w:keepLines/>
              <w:rPr>
                <w:rFonts w:eastAsia="Times New Roman"/>
                <w:b/>
                <w:bCs/>
                <w:color w:val="000000"/>
                <w:szCs w:val="20"/>
                <w:lang w:eastAsia="en-AU"/>
              </w:rPr>
            </w:pPr>
            <w:r w:rsidRPr="001977C1">
              <w:rPr>
                <w:b/>
                <w:bCs/>
                <w:color w:val="000000"/>
                <w:szCs w:val="20"/>
              </w:rPr>
              <w:t>-1.0</w:t>
            </w:r>
          </w:p>
        </w:tc>
      </w:tr>
    </w:tbl>
    <w:p w:rsidR="00951C19" w:rsidRPr="00951C19" w:rsidRDefault="00951C19" w:rsidP="00020177">
      <w:pPr>
        <w:pStyle w:val="Footnotes"/>
        <w:keepNext/>
        <w:keepLines/>
        <w:numPr>
          <w:ilvl w:val="0"/>
          <w:numId w:val="145"/>
        </w:numPr>
        <w:ind w:left="284" w:hanging="284"/>
      </w:pPr>
      <w:r w:rsidRPr="00951C19">
        <w:t>A positive number indicates an increase in revenue or decrease in expenses or net capital investment in accrual and cash terms. A negative number indicates a decrease in revenue or an increase in expenses or net capital investment in accrual and cash terms.</w:t>
      </w:r>
    </w:p>
    <w:p w:rsidR="005448CC" w:rsidRPr="005F544A" w:rsidRDefault="005448CC" w:rsidP="00020177">
      <w:pPr>
        <w:pStyle w:val="Footnotes"/>
        <w:keepNext/>
        <w:keepLines/>
        <w:spacing w:after="120"/>
        <w:ind w:left="284" w:hanging="284"/>
      </w:pPr>
      <w:r w:rsidRPr="005F544A">
        <w:t>Figures may not sum to totals due to rounding.</w:t>
      </w:r>
    </w:p>
    <w:p w:rsidR="005448CC" w:rsidRDefault="005448CC" w:rsidP="00020177">
      <w:pPr>
        <w:pStyle w:val="Footnotes"/>
        <w:numPr>
          <w:ilvl w:val="0"/>
          <w:numId w:val="0"/>
        </w:numPr>
        <w:ind w:left="284" w:hanging="284"/>
      </w:pPr>
      <w:r w:rsidRPr="005F544A">
        <w:t>-</w:t>
      </w:r>
      <w:r w:rsidRPr="005F544A">
        <w:tab/>
        <w:t>Indicates nil.</w:t>
      </w:r>
    </w:p>
    <w:p w:rsidR="005448CC" w:rsidRDefault="005448CC" w:rsidP="00951C19">
      <w:pPr>
        <w:pStyle w:val="Caption"/>
        <w:keepLines/>
      </w:pPr>
      <w:r w:rsidRPr="002B36F1">
        <w:t xml:space="preserve">Table </w:t>
      </w:r>
      <w:r>
        <w:t>A2</w:t>
      </w:r>
      <w:r w:rsidRPr="002B36F1">
        <w:t>:</w:t>
      </w:r>
      <w:r w:rsidR="00951C19">
        <w:t xml:space="preserve"> </w:t>
      </w:r>
      <w:r w:rsidR="00951C19" w:rsidRPr="00951C19">
        <w:t xml:space="preserve">Component 1 </w:t>
      </w:r>
      <w:r w:rsidR="00951C19">
        <w:t>–</w:t>
      </w:r>
      <w:r w:rsidR="00951C19" w:rsidRPr="00951C19">
        <w:t xml:space="preserve"> New Jobs Tax Cut—Financial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448CC"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448CC" w:rsidRPr="007C2713" w:rsidRDefault="005448CC" w:rsidP="00951C19">
            <w:pPr>
              <w:pStyle w:val="TableText"/>
              <w:keepNext/>
              <w:keepLines/>
              <w:rPr>
                <w:b w:val="0"/>
              </w:rPr>
            </w:pPr>
            <w:r>
              <w:t>($)</w:t>
            </w:r>
          </w:p>
        </w:tc>
        <w:tc>
          <w:tcPr>
            <w:tcW w:w="689" w:type="pct"/>
            <w:vAlign w:val="center"/>
          </w:tcPr>
          <w:p w:rsidR="005448CC" w:rsidRDefault="005448CC" w:rsidP="00951C19">
            <w:pPr>
              <w:pStyle w:val="TableTextRight"/>
              <w:keepNext/>
              <w:keepLines/>
              <w:rPr>
                <w:b w:val="0"/>
              </w:rPr>
            </w:pPr>
            <w:r>
              <w:t>2016–17</w:t>
            </w:r>
          </w:p>
        </w:tc>
        <w:tc>
          <w:tcPr>
            <w:tcW w:w="689" w:type="pct"/>
            <w:vAlign w:val="center"/>
          </w:tcPr>
          <w:p w:rsidR="005448CC" w:rsidRDefault="005448CC" w:rsidP="00951C19">
            <w:pPr>
              <w:pStyle w:val="TableTextRight"/>
              <w:keepNext/>
              <w:keepLines/>
              <w:rPr>
                <w:b w:val="0"/>
              </w:rPr>
            </w:pPr>
            <w:r>
              <w:t>2017–18</w:t>
            </w:r>
          </w:p>
        </w:tc>
        <w:tc>
          <w:tcPr>
            <w:tcW w:w="689" w:type="pct"/>
            <w:vAlign w:val="center"/>
          </w:tcPr>
          <w:p w:rsidR="005448CC" w:rsidRDefault="005448CC" w:rsidP="00951C19">
            <w:pPr>
              <w:pStyle w:val="TableTextRight"/>
              <w:keepNext/>
              <w:keepLines/>
              <w:rPr>
                <w:b w:val="0"/>
              </w:rPr>
            </w:pPr>
            <w:r>
              <w:t>2018–19</w:t>
            </w:r>
          </w:p>
        </w:tc>
        <w:tc>
          <w:tcPr>
            <w:tcW w:w="689" w:type="pct"/>
            <w:vAlign w:val="center"/>
          </w:tcPr>
          <w:p w:rsidR="005448CC" w:rsidRDefault="005448CC" w:rsidP="00951C19">
            <w:pPr>
              <w:pStyle w:val="TableTextRight"/>
              <w:keepNext/>
              <w:keepLines/>
              <w:rPr>
                <w:b w:val="0"/>
              </w:rPr>
            </w:pPr>
            <w:r>
              <w:t>2019–20</w:t>
            </w:r>
          </w:p>
        </w:tc>
        <w:tc>
          <w:tcPr>
            <w:tcW w:w="690" w:type="pct"/>
            <w:vAlign w:val="center"/>
          </w:tcPr>
          <w:p w:rsidR="005448CC" w:rsidRDefault="005448CC" w:rsidP="00951C19">
            <w:pPr>
              <w:pStyle w:val="TableTextRight"/>
              <w:keepNext/>
              <w:keepLines/>
            </w:pPr>
            <w:r>
              <w:t>Total to 2019–20</w:t>
            </w:r>
          </w:p>
        </w:tc>
      </w:tr>
      <w:tr w:rsidR="00951C19" w:rsidTr="00951C19">
        <w:tc>
          <w:tcPr>
            <w:tcW w:w="5000" w:type="pct"/>
            <w:gridSpan w:val="6"/>
            <w:shd w:val="clear" w:color="auto" w:fill="D7DDE9" w:themeFill="accent3"/>
            <w:vAlign w:val="center"/>
          </w:tcPr>
          <w:p w:rsidR="00951C19" w:rsidRDefault="00951C19" w:rsidP="00951C19">
            <w:pPr>
              <w:pStyle w:val="TableHeading"/>
            </w:pPr>
            <w:r>
              <w:t>Impact on fiscal and underlying cash balances</w:t>
            </w:r>
          </w:p>
        </w:tc>
      </w:tr>
      <w:tr w:rsidR="00951C19" w:rsidTr="00951C19">
        <w:tc>
          <w:tcPr>
            <w:tcW w:w="1554" w:type="pct"/>
            <w:shd w:val="clear" w:color="auto" w:fill="E9ECF3" w:themeFill="accent2" w:themeFillTint="33"/>
            <w:vAlign w:val="center"/>
          </w:tcPr>
          <w:p w:rsidR="00951C19" w:rsidRPr="007C2713" w:rsidRDefault="00951C19" w:rsidP="00951C19">
            <w:pPr>
              <w:pStyle w:val="TableHeading"/>
            </w:pPr>
            <w:r>
              <w:t>Revenue</w:t>
            </w: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90" w:type="pct"/>
            <w:shd w:val="clear" w:color="auto" w:fill="E9ECF3" w:themeFill="accent2" w:themeFillTint="33"/>
            <w:vAlign w:val="center"/>
          </w:tcPr>
          <w:p w:rsidR="00951C19" w:rsidRDefault="00951C19" w:rsidP="00951C19">
            <w:pPr>
              <w:pStyle w:val="TableTextRight"/>
              <w:keepNext/>
              <w:keepLines/>
            </w:pPr>
          </w:p>
        </w:tc>
      </w:tr>
      <w:tr w:rsidR="00951C19" w:rsidTr="00951C19">
        <w:tc>
          <w:tcPr>
            <w:tcW w:w="1554" w:type="pct"/>
            <w:vAlign w:val="center"/>
          </w:tcPr>
          <w:p w:rsidR="00951C19" w:rsidRPr="007C2713" w:rsidRDefault="00951C19" w:rsidP="00951C19">
            <w:pPr>
              <w:pStyle w:val="TableText"/>
              <w:keepNext/>
              <w:keepLines/>
            </w:pPr>
            <w:r>
              <w:t>Company tax</w:t>
            </w:r>
          </w:p>
        </w:tc>
        <w:tc>
          <w:tcPr>
            <w:tcW w:w="689" w:type="pct"/>
            <w:vAlign w:val="center"/>
          </w:tcPr>
          <w:p w:rsidR="00951C19" w:rsidRPr="001977C1" w:rsidRDefault="00951C19" w:rsidP="00951C19">
            <w:pPr>
              <w:pStyle w:val="TableTextRight"/>
              <w:keepNext/>
              <w:keepLines/>
              <w:rPr>
                <w:rFonts w:eastAsia="Times New Roman"/>
                <w:lang w:eastAsia="en-AU"/>
              </w:rPr>
            </w:pPr>
            <w:r w:rsidRPr="001977C1">
              <w:t>-</w:t>
            </w:r>
          </w:p>
        </w:tc>
        <w:tc>
          <w:tcPr>
            <w:tcW w:w="689" w:type="pct"/>
            <w:vAlign w:val="center"/>
          </w:tcPr>
          <w:p w:rsidR="00951C19" w:rsidRPr="001977C1" w:rsidRDefault="00951C19" w:rsidP="00951C19">
            <w:pPr>
              <w:pStyle w:val="TableTextRight"/>
              <w:keepNext/>
              <w:keepLines/>
              <w:rPr>
                <w:rFonts w:eastAsia="Times New Roman"/>
                <w:lang w:eastAsia="en-AU"/>
              </w:rPr>
            </w:pPr>
            <w:r w:rsidRPr="001977C1">
              <w:t>-60.0</w:t>
            </w:r>
          </w:p>
        </w:tc>
        <w:tc>
          <w:tcPr>
            <w:tcW w:w="689" w:type="pct"/>
            <w:vAlign w:val="center"/>
          </w:tcPr>
          <w:p w:rsidR="00951C19" w:rsidRPr="001977C1" w:rsidRDefault="00951C19" w:rsidP="00951C19">
            <w:pPr>
              <w:pStyle w:val="TableTextRight"/>
              <w:keepNext/>
              <w:keepLines/>
              <w:rPr>
                <w:rFonts w:eastAsia="Times New Roman"/>
                <w:lang w:eastAsia="en-AU"/>
              </w:rPr>
            </w:pPr>
            <w:r w:rsidRPr="001977C1">
              <w:t>-90.0</w:t>
            </w:r>
          </w:p>
        </w:tc>
        <w:tc>
          <w:tcPr>
            <w:tcW w:w="689" w:type="pct"/>
            <w:vAlign w:val="center"/>
          </w:tcPr>
          <w:p w:rsidR="00951C19" w:rsidRPr="001977C1" w:rsidRDefault="00951C19" w:rsidP="00951C19">
            <w:pPr>
              <w:pStyle w:val="TableTextRight"/>
              <w:keepNext/>
              <w:keepLines/>
              <w:rPr>
                <w:rFonts w:eastAsia="Times New Roman"/>
                <w:lang w:eastAsia="en-AU"/>
              </w:rPr>
            </w:pPr>
            <w:r w:rsidRPr="001977C1">
              <w:t>-100.0</w:t>
            </w:r>
          </w:p>
        </w:tc>
        <w:tc>
          <w:tcPr>
            <w:tcW w:w="690" w:type="pct"/>
            <w:vAlign w:val="center"/>
          </w:tcPr>
          <w:p w:rsidR="00951C19" w:rsidRPr="001977C1" w:rsidRDefault="00951C19" w:rsidP="00951C19">
            <w:pPr>
              <w:pStyle w:val="TableTextRight"/>
              <w:keepNext/>
              <w:keepLines/>
              <w:rPr>
                <w:rFonts w:eastAsia="Times New Roman"/>
                <w:b/>
                <w:bCs/>
                <w:lang w:eastAsia="en-AU"/>
              </w:rPr>
            </w:pPr>
            <w:r w:rsidRPr="001977C1">
              <w:rPr>
                <w:b/>
              </w:rPr>
              <w:t>-250.0</w:t>
            </w:r>
          </w:p>
        </w:tc>
      </w:tr>
      <w:tr w:rsidR="00951C19" w:rsidTr="00951C19">
        <w:tc>
          <w:tcPr>
            <w:tcW w:w="1554" w:type="pct"/>
            <w:shd w:val="clear" w:color="auto" w:fill="E9ECF3" w:themeFill="accent2" w:themeFillTint="33"/>
            <w:vAlign w:val="center"/>
          </w:tcPr>
          <w:p w:rsidR="00951C19" w:rsidRPr="007C2713" w:rsidRDefault="00951C19" w:rsidP="00951C19">
            <w:pPr>
              <w:pStyle w:val="TableHeading"/>
            </w:pPr>
            <w:r>
              <w:t>Expenses</w:t>
            </w: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90"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r>
      <w:tr w:rsidR="00951C19" w:rsidTr="00951C19">
        <w:tc>
          <w:tcPr>
            <w:tcW w:w="1554" w:type="pct"/>
            <w:vAlign w:val="center"/>
          </w:tcPr>
          <w:p w:rsidR="00951C19" w:rsidRPr="007C2713" w:rsidRDefault="00951C19" w:rsidP="00951C19">
            <w:pPr>
              <w:pStyle w:val="TableText"/>
              <w:keepNext/>
              <w:keepLines/>
            </w:pPr>
            <w:r>
              <w:t>Departmental – implementation</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-2.0</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-1.0</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-1.0</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-1.0</w:t>
            </w:r>
          </w:p>
        </w:tc>
        <w:tc>
          <w:tcPr>
            <w:tcW w:w="690" w:type="pct"/>
            <w:vAlign w:val="center"/>
          </w:tcPr>
          <w:p w:rsidR="00951C19" w:rsidRPr="001B1758" w:rsidRDefault="00951C19" w:rsidP="00951C19">
            <w:pPr>
              <w:pStyle w:val="TableTextRight"/>
              <w:keepNext/>
              <w:keepLines/>
              <w:rPr>
                <w:rFonts w:eastAsia="Times New Roman"/>
                <w:b/>
                <w:bCs/>
                <w:i/>
                <w:lang w:eastAsia="en-AU"/>
              </w:rPr>
            </w:pPr>
            <w:r w:rsidRPr="001977C1">
              <w:rPr>
                <w:b/>
                <w:i/>
              </w:rPr>
              <w:t>-5.0</w:t>
            </w:r>
          </w:p>
        </w:tc>
      </w:tr>
      <w:tr w:rsidR="00951C19" w:rsidTr="00951C19">
        <w:tc>
          <w:tcPr>
            <w:tcW w:w="1554" w:type="pct"/>
            <w:vAlign w:val="center"/>
          </w:tcPr>
          <w:p w:rsidR="00951C19" w:rsidRPr="007C2713" w:rsidRDefault="00951C19" w:rsidP="00951C19">
            <w:pPr>
              <w:pStyle w:val="TableText"/>
              <w:keepNext/>
              <w:keepLines/>
            </w:pPr>
            <w:r>
              <w:t>Departmental - compliance</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-0.5</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-0.5</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-0.5</w:t>
            </w:r>
          </w:p>
        </w:tc>
        <w:tc>
          <w:tcPr>
            <w:tcW w:w="689" w:type="pct"/>
            <w:vAlign w:val="center"/>
          </w:tcPr>
          <w:p w:rsidR="00951C19" w:rsidRPr="001B1758" w:rsidRDefault="00951C19" w:rsidP="00951C19">
            <w:pPr>
              <w:pStyle w:val="TableTextRight"/>
              <w:keepNext/>
              <w:keepLines/>
              <w:rPr>
                <w:rFonts w:eastAsia="Times New Roman"/>
                <w:i/>
                <w:lang w:eastAsia="en-AU"/>
              </w:rPr>
            </w:pPr>
            <w:r w:rsidRPr="001977C1">
              <w:rPr>
                <w:i/>
              </w:rPr>
              <w:t>-0.5</w:t>
            </w:r>
          </w:p>
        </w:tc>
        <w:tc>
          <w:tcPr>
            <w:tcW w:w="690" w:type="pct"/>
            <w:vAlign w:val="center"/>
          </w:tcPr>
          <w:p w:rsidR="00951C19" w:rsidRPr="001B1758" w:rsidRDefault="00951C19" w:rsidP="00951C19">
            <w:pPr>
              <w:pStyle w:val="TableTextRight"/>
              <w:keepNext/>
              <w:keepLines/>
              <w:rPr>
                <w:rFonts w:eastAsia="Times New Roman"/>
                <w:b/>
                <w:bCs/>
                <w:i/>
                <w:lang w:eastAsia="en-AU"/>
              </w:rPr>
            </w:pPr>
            <w:r w:rsidRPr="001977C1">
              <w:rPr>
                <w:b/>
                <w:i/>
              </w:rPr>
              <w:t>-2.0</w:t>
            </w:r>
          </w:p>
        </w:tc>
      </w:tr>
      <w:tr w:rsidR="00951C19" w:rsidTr="00951C19">
        <w:tc>
          <w:tcPr>
            <w:tcW w:w="1554" w:type="pct"/>
            <w:vAlign w:val="center"/>
          </w:tcPr>
          <w:p w:rsidR="00951C19" w:rsidRPr="007C2713" w:rsidRDefault="00951C19" w:rsidP="00951C19">
            <w:pPr>
              <w:pStyle w:val="TableHeading"/>
            </w:pPr>
            <w:r>
              <w:t>Total expenses</w:t>
            </w:r>
          </w:p>
        </w:tc>
        <w:tc>
          <w:tcPr>
            <w:tcW w:w="689" w:type="pct"/>
            <w:vAlign w:val="center"/>
          </w:tcPr>
          <w:p w:rsidR="00951C19" w:rsidRPr="001B1758" w:rsidRDefault="00951C19" w:rsidP="00951C19">
            <w:pPr>
              <w:pStyle w:val="TableTextRight"/>
              <w:keepNext/>
              <w:keepLines/>
              <w:rPr>
                <w:rFonts w:eastAsia="Times New Roman"/>
                <w:b/>
                <w:bCs/>
                <w:lang w:eastAsia="en-AU"/>
              </w:rPr>
            </w:pPr>
            <w:r w:rsidRPr="001977C1">
              <w:rPr>
                <w:b/>
              </w:rPr>
              <w:t>-2.5</w:t>
            </w:r>
          </w:p>
        </w:tc>
        <w:tc>
          <w:tcPr>
            <w:tcW w:w="689" w:type="pct"/>
            <w:vAlign w:val="center"/>
          </w:tcPr>
          <w:p w:rsidR="00951C19" w:rsidRPr="001B1758" w:rsidRDefault="00951C19" w:rsidP="00951C19">
            <w:pPr>
              <w:pStyle w:val="TableTextRight"/>
              <w:keepNext/>
              <w:keepLines/>
              <w:rPr>
                <w:rFonts w:eastAsia="Times New Roman"/>
                <w:b/>
                <w:bCs/>
                <w:lang w:eastAsia="en-AU"/>
              </w:rPr>
            </w:pPr>
            <w:r w:rsidRPr="001977C1">
              <w:rPr>
                <w:b/>
              </w:rPr>
              <w:t>-1.5</w:t>
            </w:r>
          </w:p>
        </w:tc>
        <w:tc>
          <w:tcPr>
            <w:tcW w:w="689" w:type="pct"/>
            <w:vAlign w:val="center"/>
          </w:tcPr>
          <w:p w:rsidR="00951C19" w:rsidRPr="001B1758" w:rsidRDefault="00951C19" w:rsidP="00951C19">
            <w:pPr>
              <w:pStyle w:val="TableTextRight"/>
              <w:keepNext/>
              <w:keepLines/>
              <w:rPr>
                <w:rFonts w:eastAsia="Times New Roman"/>
                <w:b/>
                <w:bCs/>
                <w:lang w:eastAsia="en-AU"/>
              </w:rPr>
            </w:pPr>
            <w:r w:rsidRPr="001977C1">
              <w:rPr>
                <w:b/>
              </w:rPr>
              <w:t>-1.5</w:t>
            </w:r>
          </w:p>
        </w:tc>
        <w:tc>
          <w:tcPr>
            <w:tcW w:w="689" w:type="pct"/>
            <w:vAlign w:val="center"/>
          </w:tcPr>
          <w:p w:rsidR="00951C19" w:rsidRPr="001B1758" w:rsidRDefault="00951C19" w:rsidP="00951C19">
            <w:pPr>
              <w:pStyle w:val="TableTextRight"/>
              <w:keepNext/>
              <w:keepLines/>
              <w:rPr>
                <w:rFonts w:eastAsia="Times New Roman"/>
                <w:b/>
                <w:bCs/>
                <w:lang w:eastAsia="en-AU"/>
              </w:rPr>
            </w:pPr>
            <w:r w:rsidRPr="001977C1">
              <w:rPr>
                <w:b/>
              </w:rPr>
              <w:t>-1.5</w:t>
            </w:r>
          </w:p>
        </w:tc>
        <w:tc>
          <w:tcPr>
            <w:tcW w:w="690" w:type="pct"/>
            <w:vAlign w:val="center"/>
          </w:tcPr>
          <w:p w:rsidR="00951C19" w:rsidRPr="001B1758" w:rsidRDefault="00951C19" w:rsidP="00951C19">
            <w:pPr>
              <w:pStyle w:val="TableTextRight"/>
              <w:keepNext/>
              <w:keepLines/>
              <w:rPr>
                <w:rFonts w:eastAsia="Times New Roman"/>
                <w:b/>
                <w:bCs/>
                <w:lang w:eastAsia="en-AU"/>
              </w:rPr>
            </w:pPr>
            <w:r w:rsidRPr="001977C1">
              <w:rPr>
                <w:b/>
              </w:rPr>
              <w:t>-7.0</w:t>
            </w:r>
          </w:p>
        </w:tc>
      </w:tr>
      <w:tr w:rsidR="00951C19" w:rsidRPr="007C2713" w:rsidTr="00951C19">
        <w:tc>
          <w:tcPr>
            <w:tcW w:w="1554" w:type="pct"/>
            <w:shd w:val="clear" w:color="auto" w:fill="D7DDE9" w:themeFill="accent3"/>
            <w:vAlign w:val="center"/>
          </w:tcPr>
          <w:p w:rsidR="00951C19" w:rsidRPr="007C2713" w:rsidRDefault="00951C19" w:rsidP="00951C19">
            <w:pPr>
              <w:pStyle w:val="TableText"/>
              <w:keepNext/>
              <w:keepLines/>
              <w:rPr>
                <w:b/>
              </w:rPr>
            </w:pPr>
            <w:r w:rsidRPr="007C2713">
              <w:rPr>
                <w:b/>
              </w:rPr>
              <w:t>Total</w:t>
            </w:r>
          </w:p>
        </w:tc>
        <w:tc>
          <w:tcPr>
            <w:tcW w:w="689" w:type="pct"/>
            <w:shd w:val="clear" w:color="auto" w:fill="D7DDE9" w:themeFill="accent3"/>
            <w:vAlign w:val="center"/>
          </w:tcPr>
          <w:p w:rsidR="00951C19" w:rsidRPr="001B1758" w:rsidRDefault="00951C19" w:rsidP="00951C19">
            <w:pPr>
              <w:pStyle w:val="TableTextRight"/>
              <w:keepNext/>
              <w:keepLines/>
              <w:rPr>
                <w:rFonts w:eastAsia="Times New Roman"/>
                <w:b/>
                <w:bCs/>
                <w:lang w:eastAsia="en-AU"/>
              </w:rPr>
            </w:pPr>
            <w:r w:rsidRPr="001977C1">
              <w:rPr>
                <w:b/>
                <w:bCs/>
              </w:rPr>
              <w:t>-2.5</w:t>
            </w:r>
          </w:p>
        </w:tc>
        <w:tc>
          <w:tcPr>
            <w:tcW w:w="689" w:type="pct"/>
            <w:shd w:val="clear" w:color="auto" w:fill="D7DDE9" w:themeFill="accent3"/>
            <w:vAlign w:val="center"/>
          </w:tcPr>
          <w:p w:rsidR="00951C19" w:rsidRPr="001B1758" w:rsidRDefault="00951C19" w:rsidP="00951C19">
            <w:pPr>
              <w:pStyle w:val="TableTextRight"/>
              <w:keepNext/>
              <w:keepLines/>
              <w:rPr>
                <w:rFonts w:eastAsia="Times New Roman"/>
                <w:b/>
                <w:bCs/>
                <w:lang w:eastAsia="en-AU"/>
              </w:rPr>
            </w:pPr>
            <w:r w:rsidRPr="001977C1">
              <w:rPr>
                <w:b/>
                <w:bCs/>
              </w:rPr>
              <w:t>-61.5</w:t>
            </w:r>
          </w:p>
        </w:tc>
        <w:tc>
          <w:tcPr>
            <w:tcW w:w="689" w:type="pct"/>
            <w:shd w:val="clear" w:color="auto" w:fill="D7DDE9" w:themeFill="accent3"/>
            <w:vAlign w:val="center"/>
          </w:tcPr>
          <w:p w:rsidR="00951C19" w:rsidRPr="001B1758" w:rsidRDefault="00951C19" w:rsidP="00951C19">
            <w:pPr>
              <w:pStyle w:val="TableTextRight"/>
              <w:keepNext/>
              <w:keepLines/>
              <w:rPr>
                <w:rFonts w:eastAsia="Times New Roman"/>
                <w:b/>
                <w:bCs/>
                <w:lang w:eastAsia="en-AU"/>
              </w:rPr>
            </w:pPr>
            <w:r w:rsidRPr="001977C1">
              <w:rPr>
                <w:b/>
                <w:bCs/>
              </w:rPr>
              <w:t>-91.5</w:t>
            </w:r>
          </w:p>
        </w:tc>
        <w:tc>
          <w:tcPr>
            <w:tcW w:w="689" w:type="pct"/>
            <w:shd w:val="clear" w:color="auto" w:fill="D7DDE9" w:themeFill="accent3"/>
            <w:vAlign w:val="center"/>
          </w:tcPr>
          <w:p w:rsidR="00951C19" w:rsidRPr="001B1758" w:rsidRDefault="00951C19" w:rsidP="00951C19">
            <w:pPr>
              <w:pStyle w:val="TableTextRight"/>
              <w:keepNext/>
              <w:keepLines/>
              <w:rPr>
                <w:rFonts w:eastAsia="Times New Roman"/>
                <w:b/>
                <w:bCs/>
                <w:lang w:eastAsia="en-AU"/>
              </w:rPr>
            </w:pPr>
            <w:r w:rsidRPr="001977C1">
              <w:rPr>
                <w:b/>
                <w:bCs/>
              </w:rPr>
              <w:t>-101.5</w:t>
            </w:r>
          </w:p>
        </w:tc>
        <w:tc>
          <w:tcPr>
            <w:tcW w:w="690" w:type="pct"/>
            <w:shd w:val="clear" w:color="auto" w:fill="D7DDE9" w:themeFill="accent3"/>
            <w:vAlign w:val="center"/>
          </w:tcPr>
          <w:p w:rsidR="00951C19" w:rsidRPr="001B1758" w:rsidRDefault="00951C19" w:rsidP="00951C19">
            <w:pPr>
              <w:pStyle w:val="TableTextRight"/>
              <w:keepNext/>
              <w:keepLines/>
              <w:rPr>
                <w:rFonts w:eastAsia="Times New Roman"/>
                <w:b/>
                <w:bCs/>
                <w:lang w:eastAsia="en-AU"/>
              </w:rPr>
            </w:pPr>
            <w:r w:rsidRPr="001977C1">
              <w:rPr>
                <w:b/>
                <w:bCs/>
              </w:rPr>
              <w:t>-257.0</w:t>
            </w:r>
          </w:p>
        </w:tc>
      </w:tr>
    </w:tbl>
    <w:p w:rsidR="00951C19" w:rsidRPr="00951C19" w:rsidRDefault="00951C19" w:rsidP="00020177">
      <w:pPr>
        <w:pStyle w:val="Footnotes"/>
        <w:keepNext/>
        <w:keepLines/>
        <w:numPr>
          <w:ilvl w:val="0"/>
          <w:numId w:val="146"/>
        </w:numPr>
        <w:ind w:left="284" w:hanging="284"/>
      </w:pPr>
      <w:r w:rsidRPr="00951C19">
        <w:t>A positive number indicates an increase in revenue or decrease in expenses or net capital investment in accrual and cash terms. A negative number indicates a decrease in revenue or an increase in expenses or net capital investment in accrual and cash terms.</w:t>
      </w:r>
    </w:p>
    <w:p w:rsidR="005448CC" w:rsidRPr="005F544A" w:rsidRDefault="005448CC" w:rsidP="00020177">
      <w:pPr>
        <w:pStyle w:val="Footnotes"/>
        <w:keepNext/>
        <w:keepLines/>
        <w:spacing w:after="120"/>
        <w:ind w:left="284" w:hanging="284"/>
      </w:pPr>
      <w:r w:rsidRPr="005F544A">
        <w:t>Figures may not sum to totals due to rounding.</w:t>
      </w:r>
    </w:p>
    <w:p w:rsidR="005448CC" w:rsidRPr="005F544A" w:rsidRDefault="005448CC" w:rsidP="00020177">
      <w:pPr>
        <w:pStyle w:val="Footnotes"/>
        <w:numPr>
          <w:ilvl w:val="0"/>
          <w:numId w:val="0"/>
        </w:numPr>
        <w:ind w:left="284" w:hanging="284"/>
      </w:pPr>
      <w:r w:rsidRPr="005F544A">
        <w:t>-</w:t>
      </w:r>
      <w:r w:rsidRPr="005F544A">
        <w:tab/>
        <w:t>Indicates nil.</w:t>
      </w:r>
    </w:p>
    <w:p w:rsidR="005448CC" w:rsidRDefault="005448CC" w:rsidP="00951C19">
      <w:pPr>
        <w:pStyle w:val="Caption"/>
        <w:keepLines/>
      </w:pPr>
      <w:r w:rsidRPr="002B36F1">
        <w:t xml:space="preserve">Table </w:t>
      </w:r>
      <w:r>
        <w:t>A3</w:t>
      </w:r>
      <w:r w:rsidRPr="002B36F1">
        <w:t>:</w:t>
      </w:r>
      <w:r>
        <w:t xml:space="preserve"> </w:t>
      </w:r>
      <w:r w:rsidR="00951C19">
        <w:t>Component 2 – Working Futures—Financial implications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448CC"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448CC" w:rsidRPr="007C2713" w:rsidRDefault="005448CC" w:rsidP="00951C19">
            <w:pPr>
              <w:pStyle w:val="TableText"/>
              <w:keepNext/>
              <w:keepLines/>
              <w:rPr>
                <w:b w:val="0"/>
              </w:rPr>
            </w:pPr>
            <w:r>
              <w:t>($)</w:t>
            </w:r>
          </w:p>
        </w:tc>
        <w:tc>
          <w:tcPr>
            <w:tcW w:w="689" w:type="pct"/>
            <w:vAlign w:val="center"/>
          </w:tcPr>
          <w:p w:rsidR="005448CC" w:rsidRDefault="005448CC" w:rsidP="00951C19">
            <w:pPr>
              <w:pStyle w:val="TableTextRight"/>
              <w:keepNext/>
              <w:keepLines/>
              <w:rPr>
                <w:b w:val="0"/>
              </w:rPr>
            </w:pPr>
            <w:r>
              <w:t>2016–17</w:t>
            </w:r>
          </w:p>
        </w:tc>
        <w:tc>
          <w:tcPr>
            <w:tcW w:w="689" w:type="pct"/>
            <w:vAlign w:val="center"/>
          </w:tcPr>
          <w:p w:rsidR="005448CC" w:rsidRDefault="005448CC" w:rsidP="00951C19">
            <w:pPr>
              <w:pStyle w:val="TableTextRight"/>
              <w:keepNext/>
              <w:keepLines/>
              <w:rPr>
                <w:b w:val="0"/>
              </w:rPr>
            </w:pPr>
            <w:r>
              <w:t>2017–18</w:t>
            </w:r>
          </w:p>
        </w:tc>
        <w:tc>
          <w:tcPr>
            <w:tcW w:w="689" w:type="pct"/>
            <w:vAlign w:val="center"/>
          </w:tcPr>
          <w:p w:rsidR="005448CC" w:rsidRDefault="005448CC" w:rsidP="00951C19">
            <w:pPr>
              <w:pStyle w:val="TableTextRight"/>
              <w:keepNext/>
              <w:keepLines/>
              <w:rPr>
                <w:b w:val="0"/>
              </w:rPr>
            </w:pPr>
            <w:r>
              <w:t>2018–19</w:t>
            </w:r>
          </w:p>
        </w:tc>
        <w:tc>
          <w:tcPr>
            <w:tcW w:w="689" w:type="pct"/>
            <w:vAlign w:val="center"/>
          </w:tcPr>
          <w:p w:rsidR="005448CC" w:rsidRDefault="005448CC" w:rsidP="00951C19">
            <w:pPr>
              <w:pStyle w:val="TableTextRight"/>
              <w:keepNext/>
              <w:keepLines/>
              <w:rPr>
                <w:b w:val="0"/>
              </w:rPr>
            </w:pPr>
            <w:r>
              <w:t>2019–20</w:t>
            </w:r>
          </w:p>
        </w:tc>
        <w:tc>
          <w:tcPr>
            <w:tcW w:w="690" w:type="pct"/>
            <w:vAlign w:val="center"/>
          </w:tcPr>
          <w:p w:rsidR="005448CC" w:rsidRDefault="005448CC" w:rsidP="00951C19">
            <w:pPr>
              <w:pStyle w:val="TableTextRight"/>
              <w:keepNext/>
              <w:keepLines/>
            </w:pPr>
            <w:r>
              <w:t>Total to 2019–20</w:t>
            </w:r>
          </w:p>
        </w:tc>
      </w:tr>
      <w:tr w:rsidR="00951C19" w:rsidTr="00951C19">
        <w:tc>
          <w:tcPr>
            <w:tcW w:w="5000" w:type="pct"/>
            <w:gridSpan w:val="6"/>
            <w:shd w:val="clear" w:color="auto" w:fill="D7DDE9" w:themeFill="accent3"/>
            <w:vAlign w:val="center"/>
          </w:tcPr>
          <w:p w:rsidR="00951C19" w:rsidRDefault="00951C19" w:rsidP="00951C19">
            <w:pPr>
              <w:pStyle w:val="TableHeading"/>
            </w:pPr>
            <w:r>
              <w:t>Impact on fiscal and underlying cash balances</w:t>
            </w:r>
          </w:p>
        </w:tc>
      </w:tr>
      <w:tr w:rsidR="00951C19" w:rsidTr="00951C19">
        <w:tc>
          <w:tcPr>
            <w:tcW w:w="1554" w:type="pct"/>
            <w:shd w:val="clear" w:color="auto" w:fill="E9ECF3" w:themeFill="accent2" w:themeFillTint="33"/>
            <w:vAlign w:val="center"/>
          </w:tcPr>
          <w:p w:rsidR="00951C19" w:rsidRPr="007C2713" w:rsidRDefault="00951C19" w:rsidP="00951C19">
            <w:pPr>
              <w:pStyle w:val="TableHeading"/>
            </w:pPr>
            <w:r>
              <w:t>Revenue</w:t>
            </w: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89" w:type="pct"/>
            <w:shd w:val="clear" w:color="auto" w:fill="E9ECF3" w:themeFill="accent2" w:themeFillTint="33"/>
            <w:vAlign w:val="center"/>
          </w:tcPr>
          <w:p w:rsidR="00951C19" w:rsidRDefault="00951C19" w:rsidP="00951C19">
            <w:pPr>
              <w:pStyle w:val="TableTextRight"/>
              <w:keepNext/>
              <w:keepLines/>
            </w:pPr>
          </w:p>
        </w:tc>
        <w:tc>
          <w:tcPr>
            <w:tcW w:w="690" w:type="pct"/>
            <w:shd w:val="clear" w:color="auto" w:fill="E9ECF3" w:themeFill="accent2" w:themeFillTint="33"/>
            <w:vAlign w:val="center"/>
          </w:tcPr>
          <w:p w:rsidR="00951C19" w:rsidRDefault="00951C19" w:rsidP="00951C19">
            <w:pPr>
              <w:pStyle w:val="TableTextRight"/>
              <w:keepNext/>
              <w:keepLines/>
            </w:pPr>
          </w:p>
        </w:tc>
      </w:tr>
      <w:tr w:rsidR="00951C19" w:rsidTr="00951C19">
        <w:tc>
          <w:tcPr>
            <w:tcW w:w="1554" w:type="pct"/>
            <w:vAlign w:val="center"/>
          </w:tcPr>
          <w:p w:rsidR="00951C19" w:rsidRPr="00A21360" w:rsidRDefault="00951C19" w:rsidP="00951C19">
            <w:pPr>
              <w:pStyle w:val="TableText"/>
              <w:keepNext/>
              <w:keepLines/>
              <w:rPr>
                <w:lang w:eastAsia="en-AU"/>
              </w:rPr>
            </w:pPr>
            <w:r>
              <w:rPr>
                <w:lang w:eastAsia="en-AU"/>
              </w:rPr>
              <w:t xml:space="preserve">Total </w:t>
            </w:r>
            <w:r w:rsidRPr="00A21360">
              <w:rPr>
                <w:lang w:eastAsia="en-AU"/>
              </w:rPr>
              <w:t>Revenue</w:t>
            </w:r>
            <w:r w:rsidRPr="00A21360">
              <w:rPr>
                <w:vertAlign w:val="superscript"/>
                <w:lang w:eastAsia="en-AU"/>
              </w:rPr>
              <w:t>(</w:t>
            </w:r>
            <w:r>
              <w:rPr>
                <w:vertAlign w:val="superscript"/>
                <w:lang w:eastAsia="en-AU"/>
              </w:rPr>
              <w:t>c</w:t>
            </w:r>
            <w:r w:rsidRPr="00A21360">
              <w:rPr>
                <w:vertAlign w:val="superscript"/>
                <w:lang w:eastAsia="en-AU"/>
              </w:rPr>
              <w:t>)</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22.0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27.0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27.0</w:t>
            </w:r>
          </w:p>
        </w:tc>
        <w:tc>
          <w:tcPr>
            <w:tcW w:w="690"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76.0</w:t>
            </w:r>
          </w:p>
        </w:tc>
      </w:tr>
      <w:tr w:rsidR="00951C19" w:rsidTr="00951C19">
        <w:tc>
          <w:tcPr>
            <w:tcW w:w="1554" w:type="pct"/>
            <w:shd w:val="clear" w:color="auto" w:fill="E9ECF3" w:themeFill="accent2" w:themeFillTint="33"/>
            <w:vAlign w:val="center"/>
          </w:tcPr>
          <w:p w:rsidR="00951C19" w:rsidRPr="007C2713" w:rsidRDefault="00951C19" w:rsidP="00951C19">
            <w:pPr>
              <w:pStyle w:val="TableHeading"/>
            </w:pPr>
            <w:r>
              <w:t>Expenses</w:t>
            </w: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89"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90"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r>
      <w:tr w:rsidR="00951C19" w:rsidTr="00951C19">
        <w:tc>
          <w:tcPr>
            <w:tcW w:w="1554" w:type="pct"/>
            <w:vAlign w:val="center"/>
          </w:tcPr>
          <w:p w:rsidR="00951C19" w:rsidRPr="00A21360" w:rsidRDefault="00951C19" w:rsidP="00951C19">
            <w:pPr>
              <w:pStyle w:val="TableText"/>
              <w:keepNext/>
              <w:keepLines/>
              <w:rPr>
                <w:lang w:eastAsia="en-AU"/>
              </w:rPr>
            </w:pPr>
            <w:r w:rsidRPr="00A21360">
              <w:rPr>
                <w:lang w:eastAsia="en-AU"/>
              </w:rPr>
              <w:t>Administered</w:t>
            </w:r>
            <w:r w:rsidRPr="00A21360">
              <w:rPr>
                <w:vertAlign w:val="superscript"/>
                <w:lang w:eastAsia="en-AU"/>
              </w:rPr>
              <w:t>(</w:t>
            </w:r>
            <w:r>
              <w:rPr>
                <w:vertAlign w:val="superscript"/>
                <w:lang w:eastAsia="en-AU"/>
              </w:rPr>
              <w:t>d</w:t>
            </w:r>
            <w:r w:rsidRPr="00A21360">
              <w:rPr>
                <w:vertAlign w:val="superscript"/>
                <w:lang w:eastAsia="en-AU"/>
              </w:rPr>
              <w:t>)</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-338.0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-407.0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-422.0</w:t>
            </w:r>
          </w:p>
        </w:tc>
        <w:tc>
          <w:tcPr>
            <w:tcW w:w="690"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-1,167.0</w:t>
            </w:r>
          </w:p>
        </w:tc>
      </w:tr>
      <w:tr w:rsidR="00951C19" w:rsidTr="00951C19">
        <w:tc>
          <w:tcPr>
            <w:tcW w:w="1554" w:type="pct"/>
            <w:vAlign w:val="center"/>
          </w:tcPr>
          <w:p w:rsidR="00951C19" w:rsidRPr="00A21360" w:rsidRDefault="00951C19" w:rsidP="00951C19">
            <w:pPr>
              <w:pStyle w:val="TableText"/>
              <w:keepNext/>
              <w:keepLines/>
              <w:rPr>
                <w:lang w:eastAsia="en-AU"/>
              </w:rPr>
            </w:pPr>
            <w:r w:rsidRPr="00A21360">
              <w:rPr>
                <w:lang w:eastAsia="en-AU"/>
              </w:rPr>
              <w:t>Departmental</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-15.0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-7.0</w:t>
            </w:r>
          </w:p>
        </w:tc>
        <w:tc>
          <w:tcPr>
            <w:tcW w:w="689" w:type="pct"/>
            <w:vAlign w:val="center"/>
          </w:tcPr>
          <w:p w:rsidR="00951C19" w:rsidRPr="00951C19" w:rsidRDefault="00951C19" w:rsidP="00951C19">
            <w:pPr>
              <w:pStyle w:val="TableTextRight"/>
              <w:keepNext/>
              <w:keepLines/>
              <w:rPr>
                <w:rFonts w:eastAsia="Times New Roman"/>
                <w:i/>
                <w:lang w:eastAsia="en-AU"/>
              </w:rPr>
            </w:pPr>
            <w:r w:rsidRPr="00951C19">
              <w:rPr>
                <w:i/>
              </w:rPr>
              <w:t>-7.0</w:t>
            </w:r>
          </w:p>
        </w:tc>
        <w:tc>
          <w:tcPr>
            <w:tcW w:w="690"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-30.0</w:t>
            </w:r>
          </w:p>
        </w:tc>
      </w:tr>
      <w:tr w:rsidR="00951C19" w:rsidTr="00951C19">
        <w:tc>
          <w:tcPr>
            <w:tcW w:w="1554" w:type="pct"/>
            <w:vAlign w:val="center"/>
          </w:tcPr>
          <w:p w:rsidR="00951C19" w:rsidRPr="007C2713" w:rsidRDefault="00951C19" w:rsidP="00951C19">
            <w:pPr>
              <w:pStyle w:val="TableHeading"/>
            </w:pPr>
            <w:r>
              <w:t>Total expenses</w:t>
            </w:r>
          </w:p>
        </w:tc>
        <w:tc>
          <w:tcPr>
            <w:tcW w:w="689"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w:t>
            </w:r>
          </w:p>
        </w:tc>
        <w:tc>
          <w:tcPr>
            <w:tcW w:w="689"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-353.0</w:t>
            </w:r>
          </w:p>
        </w:tc>
        <w:tc>
          <w:tcPr>
            <w:tcW w:w="689"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-414.0</w:t>
            </w:r>
          </w:p>
        </w:tc>
        <w:tc>
          <w:tcPr>
            <w:tcW w:w="689"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-429.0</w:t>
            </w:r>
          </w:p>
        </w:tc>
        <w:tc>
          <w:tcPr>
            <w:tcW w:w="690" w:type="pct"/>
            <w:vAlign w:val="center"/>
          </w:tcPr>
          <w:p w:rsidR="00951C19" w:rsidRPr="00951C19" w:rsidRDefault="00951C19" w:rsidP="00951C19">
            <w:pPr>
              <w:pStyle w:val="TableTextRight"/>
              <w:keepNext/>
              <w:keepLines/>
              <w:rPr>
                <w:rFonts w:eastAsia="Times New Roman"/>
                <w:b/>
                <w:bCs/>
                <w:i/>
                <w:lang w:eastAsia="en-AU"/>
              </w:rPr>
            </w:pPr>
            <w:r w:rsidRPr="00951C19">
              <w:rPr>
                <w:b/>
                <w:bCs/>
                <w:i/>
              </w:rPr>
              <w:t>-1,197.0</w:t>
            </w:r>
          </w:p>
        </w:tc>
      </w:tr>
      <w:tr w:rsidR="00951C19" w:rsidRPr="007C2713" w:rsidTr="00951C19">
        <w:tc>
          <w:tcPr>
            <w:tcW w:w="1554" w:type="pct"/>
            <w:shd w:val="clear" w:color="auto" w:fill="D7DDE9" w:themeFill="accent3"/>
            <w:vAlign w:val="center"/>
          </w:tcPr>
          <w:p w:rsidR="00951C19" w:rsidRPr="007C2713" w:rsidRDefault="00951C19" w:rsidP="00951C19">
            <w:pPr>
              <w:pStyle w:val="TableText"/>
              <w:keepNext/>
              <w:keepLines/>
              <w:rPr>
                <w:b/>
              </w:rPr>
            </w:pPr>
            <w:r w:rsidRPr="007C2713">
              <w:rPr>
                <w:b/>
              </w:rPr>
              <w:t>Total</w:t>
            </w:r>
          </w:p>
        </w:tc>
        <w:tc>
          <w:tcPr>
            <w:tcW w:w="689" w:type="pct"/>
            <w:shd w:val="clear" w:color="auto" w:fill="D7DDE9" w:themeFill="accent3"/>
            <w:vAlign w:val="center"/>
          </w:tcPr>
          <w:p w:rsidR="00951C19" w:rsidRPr="00A21360" w:rsidRDefault="00951C19" w:rsidP="00951C19">
            <w:pPr>
              <w:pStyle w:val="TableTextRight"/>
              <w:keepNext/>
              <w:keepLines/>
              <w:rPr>
                <w:rFonts w:eastAsia="Times New Roman"/>
                <w:b/>
                <w:bCs/>
                <w:lang w:eastAsia="en-AU"/>
              </w:rPr>
            </w:pPr>
            <w:r>
              <w:rPr>
                <w:b/>
                <w:bCs/>
              </w:rPr>
              <w:t>..</w:t>
            </w:r>
          </w:p>
        </w:tc>
        <w:tc>
          <w:tcPr>
            <w:tcW w:w="689" w:type="pct"/>
            <w:shd w:val="clear" w:color="auto" w:fill="D7DDE9" w:themeFill="accent3"/>
            <w:vAlign w:val="center"/>
          </w:tcPr>
          <w:p w:rsidR="00951C19" w:rsidRPr="00A21360" w:rsidRDefault="00951C19" w:rsidP="00951C19">
            <w:pPr>
              <w:pStyle w:val="TableTextRight"/>
              <w:keepNext/>
              <w:keepLines/>
              <w:rPr>
                <w:rFonts w:eastAsia="Times New Roman"/>
                <w:b/>
                <w:bCs/>
                <w:lang w:eastAsia="en-AU"/>
              </w:rPr>
            </w:pPr>
            <w:r>
              <w:rPr>
                <w:b/>
                <w:bCs/>
              </w:rPr>
              <w:t>-331.0</w:t>
            </w:r>
          </w:p>
        </w:tc>
        <w:tc>
          <w:tcPr>
            <w:tcW w:w="689" w:type="pct"/>
            <w:shd w:val="clear" w:color="auto" w:fill="D7DDE9" w:themeFill="accent3"/>
            <w:vAlign w:val="center"/>
          </w:tcPr>
          <w:p w:rsidR="00951C19" w:rsidRPr="00A21360" w:rsidRDefault="00951C19" w:rsidP="00951C19">
            <w:pPr>
              <w:pStyle w:val="TableTextRight"/>
              <w:keepNext/>
              <w:keepLines/>
              <w:rPr>
                <w:rFonts w:eastAsia="Times New Roman"/>
                <w:b/>
                <w:bCs/>
                <w:lang w:eastAsia="en-AU"/>
              </w:rPr>
            </w:pPr>
            <w:r>
              <w:rPr>
                <w:b/>
                <w:bCs/>
              </w:rPr>
              <w:t>-387.0</w:t>
            </w:r>
          </w:p>
        </w:tc>
        <w:tc>
          <w:tcPr>
            <w:tcW w:w="689" w:type="pct"/>
            <w:shd w:val="clear" w:color="auto" w:fill="D7DDE9" w:themeFill="accent3"/>
            <w:vAlign w:val="center"/>
          </w:tcPr>
          <w:p w:rsidR="00951C19" w:rsidRPr="00A21360" w:rsidRDefault="00951C19" w:rsidP="00951C19">
            <w:pPr>
              <w:pStyle w:val="TableTextRight"/>
              <w:keepNext/>
              <w:keepLines/>
              <w:rPr>
                <w:rFonts w:eastAsia="Times New Roman"/>
                <w:b/>
                <w:bCs/>
                <w:lang w:eastAsia="en-AU"/>
              </w:rPr>
            </w:pPr>
            <w:r>
              <w:rPr>
                <w:b/>
                <w:bCs/>
              </w:rPr>
              <w:t>-402.0</w:t>
            </w:r>
          </w:p>
        </w:tc>
        <w:tc>
          <w:tcPr>
            <w:tcW w:w="690" w:type="pct"/>
            <w:shd w:val="clear" w:color="auto" w:fill="D7DDE9" w:themeFill="accent3"/>
            <w:vAlign w:val="center"/>
          </w:tcPr>
          <w:p w:rsidR="00951C19" w:rsidRPr="00A21360" w:rsidRDefault="00951C19" w:rsidP="00951C19">
            <w:pPr>
              <w:pStyle w:val="TableTextRight"/>
              <w:keepNext/>
              <w:keepLines/>
              <w:rPr>
                <w:rFonts w:eastAsia="Times New Roman"/>
                <w:b/>
                <w:bCs/>
                <w:lang w:eastAsia="en-AU"/>
              </w:rPr>
            </w:pPr>
            <w:r>
              <w:rPr>
                <w:b/>
                <w:bCs/>
              </w:rPr>
              <w:t>-1,121.0</w:t>
            </w:r>
          </w:p>
        </w:tc>
      </w:tr>
    </w:tbl>
    <w:p w:rsidR="005448CC" w:rsidRDefault="00951C19" w:rsidP="00020177">
      <w:pPr>
        <w:pStyle w:val="Footnotes"/>
        <w:keepNext/>
        <w:keepLines/>
        <w:numPr>
          <w:ilvl w:val="0"/>
          <w:numId w:val="147"/>
        </w:numPr>
        <w:spacing w:before="113"/>
        <w:ind w:left="284" w:hanging="284"/>
      </w:pPr>
      <w:r w:rsidRPr="00951C19">
        <w:t>A positive number indicates an increase in revenue or decrease in expenses or net capital investment in accrual and cash terms. A negative number indicates a decrease in revenue or an increase in expenses or net capital investment in accrual and cash terms.</w:t>
      </w:r>
    </w:p>
    <w:p w:rsidR="005448CC" w:rsidRDefault="005448CC" w:rsidP="00020177">
      <w:pPr>
        <w:pStyle w:val="Footnotes"/>
        <w:keepNext/>
        <w:keepLines/>
        <w:spacing w:after="120"/>
        <w:ind w:left="284" w:hanging="284"/>
      </w:pPr>
      <w:r w:rsidRPr="005F544A">
        <w:t>Figures may not sum to totals due to rounding.</w:t>
      </w:r>
    </w:p>
    <w:p w:rsidR="00951C19" w:rsidRPr="006A5D33" w:rsidRDefault="00951C19" w:rsidP="00020177">
      <w:pPr>
        <w:pStyle w:val="Footnotes"/>
        <w:keepNext/>
        <w:keepLines/>
        <w:spacing w:before="113" w:line="240" w:lineRule="auto"/>
        <w:ind w:left="284" w:hanging="284"/>
      </w:pPr>
      <w:r>
        <w:t>Revenue items include personal income tax, superannuation contributions and earnings tax and rebates paid under LISTO.</w:t>
      </w:r>
    </w:p>
    <w:p w:rsidR="00951C19" w:rsidRPr="005F544A" w:rsidRDefault="00951C19" w:rsidP="00020177">
      <w:pPr>
        <w:pStyle w:val="Footnotes"/>
        <w:keepNext/>
        <w:keepLines/>
        <w:spacing w:before="113" w:after="120" w:line="240" w:lineRule="auto"/>
        <w:ind w:left="284" w:hanging="284"/>
      </w:pPr>
      <w:r>
        <w:t>Administered expense items include the trainee wage and superannuation contributions paid by the Government, Certificate III training fees, work readiness training and outcome fees paid to jobactive providers and LISTO.</w:t>
      </w:r>
    </w:p>
    <w:p w:rsidR="005448CC" w:rsidRPr="005F544A" w:rsidRDefault="005448CC" w:rsidP="00020177">
      <w:pPr>
        <w:pStyle w:val="Footnotes"/>
        <w:keepNext/>
        <w:keepLines/>
        <w:numPr>
          <w:ilvl w:val="0"/>
          <w:numId w:val="0"/>
        </w:numPr>
        <w:ind w:left="284" w:hanging="284"/>
      </w:pPr>
      <w:r w:rsidRPr="005F544A">
        <w:t>..</w:t>
      </w:r>
      <w:r w:rsidRPr="005F544A">
        <w:tab/>
        <w:t>Not zero but rounded to zero.</w:t>
      </w:r>
    </w:p>
    <w:p w:rsidR="005448CC" w:rsidRPr="005F544A" w:rsidRDefault="005448CC" w:rsidP="00020177">
      <w:pPr>
        <w:pStyle w:val="Footnotes"/>
        <w:numPr>
          <w:ilvl w:val="0"/>
          <w:numId w:val="0"/>
        </w:numPr>
        <w:ind w:left="284" w:hanging="284"/>
      </w:pPr>
      <w:r w:rsidRPr="005F544A">
        <w:t>-</w:t>
      </w:r>
      <w:r w:rsidRPr="005F544A">
        <w:tab/>
        <w:t>Indicates nil.</w:t>
      </w:r>
    </w:p>
    <w:p w:rsidR="00951C19" w:rsidRDefault="00951C19" w:rsidP="00951C19">
      <w:pPr>
        <w:pStyle w:val="Caption"/>
        <w:keepLines/>
      </w:pPr>
      <w:r w:rsidRPr="002B36F1">
        <w:t xml:space="preserve">Table </w:t>
      </w:r>
      <w:r>
        <w:t>A4</w:t>
      </w:r>
      <w:r w:rsidRPr="002B36F1">
        <w:t>:</w:t>
      </w:r>
      <w:r>
        <w:t xml:space="preserve"> Component 3 - </w:t>
      </w:r>
      <w:r w:rsidRPr="0069455A">
        <w:t>Uncommitted wage subsidy funding</w:t>
      </w:r>
      <w:r>
        <w:t>—Financial implications (outturn prices)</w:t>
      </w:r>
      <w:r w:rsidRPr="002B36F1">
        <w:rPr>
          <w:vertAlign w:val="superscript"/>
        </w:rPr>
        <w:t xml:space="preserve"> (a)(b)</w:t>
      </w:r>
    </w:p>
    <w:tbl>
      <w:tblPr>
        <w:tblStyle w:val="Style1"/>
        <w:tblW w:w="4994" w:type="pct"/>
        <w:tblLook w:val="06A0" w:firstRow="1" w:lastRow="0" w:firstColumn="1" w:lastColumn="0" w:noHBand="1" w:noVBand="1"/>
      </w:tblPr>
      <w:tblGrid>
        <w:gridCol w:w="2599"/>
        <w:gridCol w:w="1128"/>
        <w:gridCol w:w="1128"/>
        <w:gridCol w:w="1128"/>
        <w:gridCol w:w="1128"/>
        <w:gridCol w:w="1407"/>
      </w:tblGrid>
      <w:tr w:rsidR="00951C19" w:rsidTr="00951C19">
        <w:trPr>
          <w:cnfStyle w:val="100000000000" w:firstRow="1" w:lastRow="0" w:firstColumn="0" w:lastColumn="0" w:oddVBand="0" w:evenVBand="0" w:oddHBand="0" w:evenHBand="0" w:firstRowFirstColumn="0" w:firstRowLastColumn="0" w:lastRowFirstColumn="0" w:lastRowLastColumn="0"/>
        </w:trPr>
        <w:tc>
          <w:tcPr>
            <w:tcW w:w="1526" w:type="pct"/>
            <w:vAlign w:val="center"/>
          </w:tcPr>
          <w:p w:rsidR="00951C19" w:rsidRPr="007C2713" w:rsidRDefault="00951C19" w:rsidP="00951C19">
            <w:pPr>
              <w:pStyle w:val="TableText"/>
              <w:keepNext/>
              <w:keepLines/>
              <w:rPr>
                <w:b w:val="0"/>
              </w:rPr>
            </w:pPr>
            <w:r>
              <w:t>($)</w:t>
            </w:r>
          </w:p>
        </w:tc>
        <w:tc>
          <w:tcPr>
            <w:tcW w:w="662" w:type="pct"/>
            <w:vAlign w:val="center"/>
          </w:tcPr>
          <w:p w:rsidR="00951C19" w:rsidRDefault="00951C19" w:rsidP="00951C19">
            <w:pPr>
              <w:pStyle w:val="TableTextRight"/>
              <w:keepNext/>
              <w:keepLines/>
              <w:rPr>
                <w:b w:val="0"/>
              </w:rPr>
            </w:pPr>
            <w:r>
              <w:t>2016–17</w:t>
            </w:r>
          </w:p>
        </w:tc>
        <w:tc>
          <w:tcPr>
            <w:tcW w:w="662" w:type="pct"/>
            <w:vAlign w:val="center"/>
          </w:tcPr>
          <w:p w:rsidR="00951C19" w:rsidRDefault="00951C19" w:rsidP="00951C19">
            <w:pPr>
              <w:pStyle w:val="TableTextRight"/>
              <w:keepNext/>
              <w:keepLines/>
              <w:rPr>
                <w:b w:val="0"/>
              </w:rPr>
            </w:pPr>
            <w:r>
              <w:t>2017–18</w:t>
            </w:r>
          </w:p>
        </w:tc>
        <w:tc>
          <w:tcPr>
            <w:tcW w:w="662" w:type="pct"/>
            <w:vAlign w:val="center"/>
          </w:tcPr>
          <w:p w:rsidR="00951C19" w:rsidRDefault="00951C19" w:rsidP="00951C19">
            <w:pPr>
              <w:pStyle w:val="TableTextRight"/>
              <w:keepNext/>
              <w:keepLines/>
              <w:rPr>
                <w:b w:val="0"/>
              </w:rPr>
            </w:pPr>
            <w:r>
              <w:t>2018–19</w:t>
            </w:r>
          </w:p>
        </w:tc>
        <w:tc>
          <w:tcPr>
            <w:tcW w:w="662" w:type="pct"/>
            <w:vAlign w:val="center"/>
          </w:tcPr>
          <w:p w:rsidR="00951C19" w:rsidRDefault="00951C19" w:rsidP="00951C19">
            <w:pPr>
              <w:pStyle w:val="TableTextRight"/>
              <w:keepNext/>
              <w:keepLines/>
              <w:rPr>
                <w:b w:val="0"/>
              </w:rPr>
            </w:pPr>
            <w:r>
              <w:t>2019–20</w:t>
            </w:r>
          </w:p>
        </w:tc>
        <w:tc>
          <w:tcPr>
            <w:tcW w:w="826" w:type="pct"/>
            <w:vAlign w:val="center"/>
          </w:tcPr>
          <w:p w:rsidR="00951C19" w:rsidRDefault="00951C19" w:rsidP="00951C19">
            <w:pPr>
              <w:pStyle w:val="TableTextRight"/>
              <w:keepNext/>
              <w:keepLines/>
            </w:pPr>
            <w:r>
              <w:t>Total to 2019–20</w:t>
            </w:r>
          </w:p>
        </w:tc>
      </w:tr>
      <w:tr w:rsidR="00951C19" w:rsidTr="00951C19">
        <w:tc>
          <w:tcPr>
            <w:tcW w:w="5000" w:type="pct"/>
            <w:gridSpan w:val="6"/>
            <w:shd w:val="clear" w:color="auto" w:fill="D7DDE9" w:themeFill="accent3"/>
            <w:vAlign w:val="center"/>
          </w:tcPr>
          <w:p w:rsidR="00951C19" w:rsidRDefault="00951C19" w:rsidP="00951C19">
            <w:pPr>
              <w:pStyle w:val="TableHeading"/>
            </w:pPr>
            <w:r>
              <w:t>Impact on fiscal and underlying cash balances</w:t>
            </w:r>
          </w:p>
        </w:tc>
      </w:tr>
      <w:tr w:rsidR="00951C19" w:rsidTr="00951C19">
        <w:tc>
          <w:tcPr>
            <w:tcW w:w="1526" w:type="pct"/>
            <w:shd w:val="clear" w:color="auto" w:fill="E9ECF3" w:themeFill="accent2" w:themeFillTint="33"/>
            <w:vAlign w:val="center"/>
          </w:tcPr>
          <w:p w:rsidR="00951C19" w:rsidRPr="007C2713" w:rsidRDefault="00951C19" w:rsidP="00951C19">
            <w:pPr>
              <w:pStyle w:val="TableHeading"/>
            </w:pPr>
            <w:r>
              <w:t>Administered expenses</w:t>
            </w:r>
          </w:p>
        </w:tc>
        <w:tc>
          <w:tcPr>
            <w:tcW w:w="662" w:type="pct"/>
            <w:shd w:val="clear" w:color="auto" w:fill="E9ECF3" w:themeFill="accent2" w:themeFillTint="33"/>
            <w:vAlign w:val="center"/>
          </w:tcPr>
          <w:p w:rsidR="00951C19" w:rsidRDefault="00951C19" w:rsidP="00951C19">
            <w:pPr>
              <w:pStyle w:val="TableTextRight"/>
              <w:keepNext/>
              <w:keepLines/>
            </w:pPr>
          </w:p>
        </w:tc>
        <w:tc>
          <w:tcPr>
            <w:tcW w:w="662" w:type="pct"/>
            <w:shd w:val="clear" w:color="auto" w:fill="E9ECF3" w:themeFill="accent2" w:themeFillTint="33"/>
            <w:vAlign w:val="center"/>
          </w:tcPr>
          <w:p w:rsidR="00951C19" w:rsidRDefault="00951C19" w:rsidP="00951C19">
            <w:pPr>
              <w:pStyle w:val="TableTextRight"/>
              <w:keepNext/>
              <w:keepLines/>
            </w:pPr>
          </w:p>
        </w:tc>
        <w:tc>
          <w:tcPr>
            <w:tcW w:w="662" w:type="pct"/>
            <w:shd w:val="clear" w:color="auto" w:fill="E9ECF3" w:themeFill="accent2" w:themeFillTint="33"/>
            <w:vAlign w:val="center"/>
          </w:tcPr>
          <w:p w:rsidR="00951C19" w:rsidRDefault="00951C19" w:rsidP="00951C19">
            <w:pPr>
              <w:pStyle w:val="TableTextRight"/>
              <w:keepNext/>
              <w:keepLines/>
            </w:pPr>
          </w:p>
        </w:tc>
        <w:tc>
          <w:tcPr>
            <w:tcW w:w="662" w:type="pct"/>
            <w:shd w:val="clear" w:color="auto" w:fill="E9ECF3" w:themeFill="accent2" w:themeFillTint="33"/>
            <w:vAlign w:val="center"/>
          </w:tcPr>
          <w:p w:rsidR="00951C19" w:rsidRDefault="00951C19" w:rsidP="00951C19">
            <w:pPr>
              <w:pStyle w:val="TableTextRight"/>
              <w:keepNext/>
              <w:keepLines/>
            </w:pPr>
          </w:p>
        </w:tc>
        <w:tc>
          <w:tcPr>
            <w:tcW w:w="826" w:type="pct"/>
            <w:shd w:val="clear" w:color="auto" w:fill="E9ECF3" w:themeFill="accent2" w:themeFillTint="33"/>
            <w:vAlign w:val="center"/>
          </w:tcPr>
          <w:p w:rsidR="00951C19" w:rsidRDefault="00951C19" w:rsidP="00951C19">
            <w:pPr>
              <w:pStyle w:val="TableTextRight"/>
              <w:keepNext/>
              <w:keepLines/>
            </w:pPr>
          </w:p>
        </w:tc>
      </w:tr>
      <w:tr w:rsidR="00951C19" w:rsidTr="00951C19">
        <w:tc>
          <w:tcPr>
            <w:tcW w:w="1526" w:type="pct"/>
            <w:vAlign w:val="center"/>
          </w:tcPr>
          <w:p w:rsidR="00951C19" w:rsidRPr="007C2713" w:rsidRDefault="00951C19" w:rsidP="00951C19">
            <w:pPr>
              <w:pStyle w:val="TableText"/>
              <w:keepNext/>
              <w:keepLines/>
            </w:pPr>
            <w:r>
              <w:t>Measures reversed</w:t>
            </w:r>
          </w:p>
        </w:tc>
        <w:tc>
          <w:tcPr>
            <w:tcW w:w="662" w:type="pct"/>
            <w:vAlign w:val="center"/>
          </w:tcPr>
          <w:p w:rsidR="00951C19" w:rsidRPr="00951C19" w:rsidRDefault="00951C19" w:rsidP="00951C19">
            <w:pPr>
              <w:pStyle w:val="TableTextRight"/>
              <w:rPr>
                <w:i/>
              </w:rPr>
            </w:pPr>
            <w:r w:rsidRPr="00951C19">
              <w:rPr>
                <w:i/>
              </w:rPr>
              <w:t>263.2</w:t>
            </w:r>
          </w:p>
        </w:tc>
        <w:tc>
          <w:tcPr>
            <w:tcW w:w="662" w:type="pct"/>
            <w:vAlign w:val="center"/>
          </w:tcPr>
          <w:p w:rsidR="00951C19" w:rsidRPr="00951C19" w:rsidRDefault="00951C19" w:rsidP="00951C19">
            <w:pPr>
              <w:pStyle w:val="TableTextRight"/>
              <w:rPr>
                <w:i/>
              </w:rPr>
            </w:pPr>
            <w:r w:rsidRPr="00951C19">
              <w:rPr>
                <w:i/>
              </w:rPr>
              <w:t>379.3</w:t>
            </w:r>
          </w:p>
        </w:tc>
        <w:tc>
          <w:tcPr>
            <w:tcW w:w="662" w:type="pct"/>
            <w:vAlign w:val="center"/>
          </w:tcPr>
          <w:p w:rsidR="00951C19" w:rsidRPr="00951C19" w:rsidRDefault="00951C19" w:rsidP="00951C19">
            <w:pPr>
              <w:pStyle w:val="TableTextRight"/>
              <w:rPr>
                <w:i/>
              </w:rPr>
            </w:pPr>
            <w:r w:rsidRPr="00951C19">
              <w:rPr>
                <w:i/>
              </w:rPr>
              <w:t>392.2</w:t>
            </w:r>
          </w:p>
        </w:tc>
        <w:tc>
          <w:tcPr>
            <w:tcW w:w="662" w:type="pct"/>
            <w:vAlign w:val="center"/>
          </w:tcPr>
          <w:p w:rsidR="00951C19" w:rsidRPr="00951C19" w:rsidRDefault="00951C19" w:rsidP="00951C19">
            <w:pPr>
              <w:pStyle w:val="TableTextRight"/>
              <w:rPr>
                <w:i/>
              </w:rPr>
            </w:pPr>
            <w:r w:rsidRPr="00951C19">
              <w:rPr>
                <w:i/>
              </w:rPr>
              <w:t>386.9</w:t>
            </w:r>
          </w:p>
        </w:tc>
        <w:tc>
          <w:tcPr>
            <w:tcW w:w="826" w:type="pct"/>
            <w:vAlign w:val="center"/>
          </w:tcPr>
          <w:p w:rsidR="00951C19" w:rsidRPr="00951C19" w:rsidRDefault="00951C19" w:rsidP="00951C19">
            <w:pPr>
              <w:pStyle w:val="TableTextRight"/>
              <w:rPr>
                <w:b/>
                <w:i/>
              </w:rPr>
            </w:pPr>
            <w:r w:rsidRPr="00951C19">
              <w:rPr>
                <w:b/>
                <w:i/>
              </w:rPr>
              <w:t>1,421.5</w:t>
            </w:r>
          </w:p>
        </w:tc>
      </w:tr>
      <w:tr w:rsidR="00951C19" w:rsidTr="00951C19">
        <w:tc>
          <w:tcPr>
            <w:tcW w:w="1526" w:type="pct"/>
            <w:vAlign w:val="center"/>
          </w:tcPr>
          <w:p w:rsidR="00951C19" w:rsidRDefault="00951C19" w:rsidP="00951C19">
            <w:pPr>
              <w:pStyle w:val="TableText"/>
              <w:keepNext/>
              <w:keepLines/>
            </w:pPr>
            <w:r>
              <w:t>Committed funding</w:t>
            </w:r>
          </w:p>
        </w:tc>
        <w:tc>
          <w:tcPr>
            <w:tcW w:w="662" w:type="pct"/>
            <w:vAlign w:val="center"/>
          </w:tcPr>
          <w:p w:rsidR="00951C19" w:rsidRPr="00951C19" w:rsidRDefault="00951C19" w:rsidP="00951C19">
            <w:pPr>
              <w:pStyle w:val="TableTextRight"/>
              <w:rPr>
                <w:rFonts w:eastAsia="Times New Roman"/>
                <w:i/>
                <w:lang w:eastAsia="en-AU"/>
              </w:rPr>
            </w:pPr>
            <w:r w:rsidRPr="00951C19">
              <w:rPr>
                <w:i/>
              </w:rPr>
              <w:t>-83.8</w:t>
            </w:r>
          </w:p>
        </w:tc>
        <w:tc>
          <w:tcPr>
            <w:tcW w:w="662" w:type="pct"/>
            <w:vAlign w:val="center"/>
          </w:tcPr>
          <w:p w:rsidR="00951C19" w:rsidRPr="00951C19" w:rsidRDefault="00951C19" w:rsidP="00951C19">
            <w:pPr>
              <w:pStyle w:val="TableTextRight"/>
              <w:rPr>
                <w:rFonts w:eastAsia="Times New Roman"/>
                <w:i/>
                <w:lang w:eastAsia="en-AU"/>
              </w:rPr>
            </w:pPr>
            <w:r w:rsidRPr="00951C19">
              <w:rPr>
                <w:i/>
              </w:rPr>
              <w:t>-</w:t>
            </w:r>
          </w:p>
        </w:tc>
        <w:tc>
          <w:tcPr>
            <w:tcW w:w="662" w:type="pct"/>
            <w:vAlign w:val="center"/>
          </w:tcPr>
          <w:p w:rsidR="00951C19" w:rsidRPr="00951C19" w:rsidRDefault="00951C19" w:rsidP="00951C19">
            <w:pPr>
              <w:pStyle w:val="TableTextRight"/>
              <w:rPr>
                <w:rFonts w:eastAsia="Times New Roman"/>
                <w:i/>
                <w:lang w:eastAsia="en-AU"/>
              </w:rPr>
            </w:pPr>
            <w:r w:rsidRPr="00951C19">
              <w:rPr>
                <w:i/>
              </w:rPr>
              <w:t>-</w:t>
            </w:r>
          </w:p>
        </w:tc>
        <w:tc>
          <w:tcPr>
            <w:tcW w:w="662" w:type="pct"/>
            <w:vAlign w:val="center"/>
          </w:tcPr>
          <w:p w:rsidR="00951C19" w:rsidRPr="00951C19" w:rsidRDefault="00951C19" w:rsidP="00951C19">
            <w:pPr>
              <w:pStyle w:val="TableTextRight"/>
              <w:rPr>
                <w:rFonts w:eastAsia="Times New Roman"/>
                <w:i/>
                <w:lang w:eastAsia="en-AU"/>
              </w:rPr>
            </w:pPr>
            <w:r w:rsidRPr="00951C19">
              <w:rPr>
                <w:i/>
              </w:rPr>
              <w:t>-</w:t>
            </w:r>
          </w:p>
        </w:tc>
        <w:tc>
          <w:tcPr>
            <w:tcW w:w="826" w:type="pct"/>
            <w:vAlign w:val="center"/>
          </w:tcPr>
          <w:p w:rsidR="00951C19" w:rsidRPr="00951C19" w:rsidRDefault="00951C19" w:rsidP="00951C19">
            <w:pPr>
              <w:pStyle w:val="TableTextRight"/>
              <w:rPr>
                <w:rFonts w:eastAsia="Times New Roman"/>
                <w:b/>
                <w:bCs/>
                <w:i/>
                <w:lang w:eastAsia="en-AU"/>
              </w:rPr>
            </w:pPr>
            <w:r w:rsidRPr="00951C19">
              <w:rPr>
                <w:b/>
                <w:i/>
              </w:rPr>
              <w:t>-83.8</w:t>
            </w:r>
          </w:p>
        </w:tc>
      </w:tr>
      <w:tr w:rsidR="00951C19" w:rsidTr="00951C19">
        <w:tc>
          <w:tcPr>
            <w:tcW w:w="1526" w:type="pct"/>
            <w:vAlign w:val="center"/>
          </w:tcPr>
          <w:p w:rsidR="00951C19" w:rsidRDefault="00951C19" w:rsidP="00951C19">
            <w:pPr>
              <w:pStyle w:val="TableHeading"/>
            </w:pPr>
            <w:r>
              <w:t>Total administered</w:t>
            </w:r>
          </w:p>
        </w:tc>
        <w:tc>
          <w:tcPr>
            <w:tcW w:w="662" w:type="pct"/>
            <w:vAlign w:val="center"/>
          </w:tcPr>
          <w:p w:rsidR="00951C19" w:rsidRPr="00951C19" w:rsidRDefault="00951C19" w:rsidP="00951C19">
            <w:pPr>
              <w:pStyle w:val="TableTextRight"/>
              <w:rPr>
                <w:rFonts w:eastAsia="Times New Roman"/>
                <w:b/>
                <w:bCs/>
                <w:i/>
                <w:lang w:eastAsia="en-AU"/>
              </w:rPr>
            </w:pPr>
            <w:r w:rsidRPr="00951C19">
              <w:rPr>
                <w:b/>
                <w:i/>
              </w:rPr>
              <w:t>179.4</w:t>
            </w:r>
          </w:p>
        </w:tc>
        <w:tc>
          <w:tcPr>
            <w:tcW w:w="662" w:type="pct"/>
            <w:vAlign w:val="center"/>
          </w:tcPr>
          <w:p w:rsidR="00951C19" w:rsidRPr="00951C19" w:rsidRDefault="00951C19" w:rsidP="00951C19">
            <w:pPr>
              <w:pStyle w:val="TableTextRight"/>
              <w:rPr>
                <w:rFonts w:eastAsia="Times New Roman"/>
                <w:b/>
                <w:bCs/>
                <w:i/>
                <w:lang w:eastAsia="en-AU"/>
              </w:rPr>
            </w:pPr>
            <w:r w:rsidRPr="00951C19">
              <w:rPr>
                <w:b/>
                <w:i/>
              </w:rPr>
              <w:t>379.3</w:t>
            </w:r>
          </w:p>
        </w:tc>
        <w:tc>
          <w:tcPr>
            <w:tcW w:w="662" w:type="pct"/>
            <w:vAlign w:val="center"/>
          </w:tcPr>
          <w:p w:rsidR="00951C19" w:rsidRPr="00951C19" w:rsidRDefault="00951C19" w:rsidP="00951C19">
            <w:pPr>
              <w:pStyle w:val="TableTextRight"/>
              <w:rPr>
                <w:rFonts w:eastAsia="Times New Roman"/>
                <w:b/>
                <w:bCs/>
                <w:i/>
                <w:lang w:eastAsia="en-AU"/>
              </w:rPr>
            </w:pPr>
            <w:r w:rsidRPr="00951C19">
              <w:rPr>
                <w:b/>
                <w:i/>
              </w:rPr>
              <w:t>392.2</w:t>
            </w:r>
          </w:p>
        </w:tc>
        <w:tc>
          <w:tcPr>
            <w:tcW w:w="662" w:type="pct"/>
            <w:vAlign w:val="center"/>
          </w:tcPr>
          <w:p w:rsidR="00951C19" w:rsidRPr="00951C19" w:rsidRDefault="00951C19" w:rsidP="00951C19">
            <w:pPr>
              <w:pStyle w:val="TableTextRight"/>
              <w:rPr>
                <w:rFonts w:eastAsia="Times New Roman"/>
                <w:b/>
                <w:bCs/>
                <w:i/>
                <w:lang w:eastAsia="en-AU"/>
              </w:rPr>
            </w:pPr>
            <w:r w:rsidRPr="00951C19">
              <w:rPr>
                <w:b/>
                <w:i/>
              </w:rPr>
              <w:t>386.9</w:t>
            </w:r>
          </w:p>
        </w:tc>
        <w:tc>
          <w:tcPr>
            <w:tcW w:w="826" w:type="pct"/>
            <w:vAlign w:val="center"/>
          </w:tcPr>
          <w:p w:rsidR="00951C19" w:rsidRPr="00951C19" w:rsidRDefault="00951C19" w:rsidP="00951C19">
            <w:pPr>
              <w:pStyle w:val="TableTextRight"/>
              <w:rPr>
                <w:rFonts w:eastAsia="Times New Roman"/>
                <w:b/>
                <w:bCs/>
                <w:i/>
                <w:lang w:eastAsia="en-AU"/>
              </w:rPr>
            </w:pPr>
            <w:r w:rsidRPr="00951C19">
              <w:rPr>
                <w:b/>
                <w:i/>
              </w:rPr>
              <w:t>1,337.7</w:t>
            </w:r>
          </w:p>
        </w:tc>
      </w:tr>
      <w:tr w:rsidR="00951C19" w:rsidTr="00951C19">
        <w:tc>
          <w:tcPr>
            <w:tcW w:w="1526" w:type="pct"/>
            <w:shd w:val="clear" w:color="auto" w:fill="E9ECF3" w:themeFill="accent2" w:themeFillTint="33"/>
            <w:vAlign w:val="center"/>
          </w:tcPr>
          <w:p w:rsidR="00951C19" w:rsidRPr="007C2713" w:rsidRDefault="00951C19" w:rsidP="00951C19">
            <w:pPr>
              <w:pStyle w:val="TableHeading"/>
            </w:pPr>
            <w:r>
              <w:t>Departmental expenses</w:t>
            </w:r>
          </w:p>
        </w:tc>
        <w:tc>
          <w:tcPr>
            <w:tcW w:w="662"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62"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62"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662"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c>
          <w:tcPr>
            <w:tcW w:w="826" w:type="pct"/>
            <w:shd w:val="clear" w:color="auto" w:fill="E9ECF3" w:themeFill="accent2" w:themeFillTint="33"/>
            <w:vAlign w:val="center"/>
          </w:tcPr>
          <w:p w:rsidR="00951C19" w:rsidRPr="00AF3228" w:rsidRDefault="00951C19" w:rsidP="00951C19">
            <w:pPr>
              <w:pStyle w:val="TableTextRight"/>
              <w:keepNext/>
              <w:keepLines/>
              <w:rPr>
                <w:rFonts w:eastAsia="Times New Roman"/>
                <w:b/>
                <w:bCs/>
                <w:lang w:eastAsia="en-AU"/>
              </w:rPr>
            </w:pPr>
          </w:p>
        </w:tc>
      </w:tr>
      <w:tr w:rsidR="00951C19" w:rsidTr="00951C19">
        <w:tc>
          <w:tcPr>
            <w:tcW w:w="1526" w:type="pct"/>
            <w:vAlign w:val="center"/>
          </w:tcPr>
          <w:p w:rsidR="00951C19" w:rsidRPr="007C2713" w:rsidRDefault="00951C19" w:rsidP="00951C19">
            <w:pPr>
              <w:pStyle w:val="TableText"/>
              <w:keepNext/>
              <w:keepLines/>
            </w:pPr>
            <w:r>
              <w:t>Measures reversed</w:t>
            </w:r>
          </w:p>
        </w:tc>
        <w:tc>
          <w:tcPr>
            <w:tcW w:w="662" w:type="pct"/>
            <w:vAlign w:val="center"/>
          </w:tcPr>
          <w:p w:rsidR="00951C19" w:rsidRPr="00951C19" w:rsidRDefault="00951C19" w:rsidP="00951C19">
            <w:pPr>
              <w:pStyle w:val="TableTextRight"/>
              <w:rPr>
                <w:rFonts w:eastAsia="Times New Roman"/>
                <w:i/>
                <w:lang w:eastAsia="en-AU"/>
              </w:rPr>
            </w:pPr>
            <w:r w:rsidRPr="00951C19">
              <w:rPr>
                <w:i/>
              </w:rPr>
              <w:t>17.6</w:t>
            </w:r>
          </w:p>
        </w:tc>
        <w:tc>
          <w:tcPr>
            <w:tcW w:w="662" w:type="pct"/>
            <w:vAlign w:val="center"/>
          </w:tcPr>
          <w:p w:rsidR="00951C19" w:rsidRPr="00951C19" w:rsidRDefault="00951C19" w:rsidP="00951C19">
            <w:pPr>
              <w:pStyle w:val="TableTextRight"/>
              <w:rPr>
                <w:rFonts w:eastAsia="Times New Roman"/>
                <w:i/>
                <w:lang w:eastAsia="en-AU"/>
              </w:rPr>
            </w:pPr>
            <w:r w:rsidRPr="00951C19">
              <w:rPr>
                <w:i/>
              </w:rPr>
              <w:t>7.5</w:t>
            </w:r>
          </w:p>
        </w:tc>
        <w:tc>
          <w:tcPr>
            <w:tcW w:w="662" w:type="pct"/>
            <w:vAlign w:val="center"/>
          </w:tcPr>
          <w:p w:rsidR="00951C19" w:rsidRPr="00951C19" w:rsidRDefault="00951C19" w:rsidP="00951C19">
            <w:pPr>
              <w:pStyle w:val="TableTextRight"/>
              <w:rPr>
                <w:rFonts w:eastAsia="Times New Roman"/>
                <w:i/>
                <w:lang w:eastAsia="en-AU"/>
              </w:rPr>
            </w:pPr>
            <w:r w:rsidRPr="00951C19">
              <w:rPr>
                <w:i/>
              </w:rPr>
              <w:t>7.2</w:t>
            </w:r>
          </w:p>
        </w:tc>
        <w:tc>
          <w:tcPr>
            <w:tcW w:w="662" w:type="pct"/>
            <w:vAlign w:val="center"/>
          </w:tcPr>
          <w:p w:rsidR="00951C19" w:rsidRPr="00951C19" w:rsidRDefault="00951C19" w:rsidP="00951C19">
            <w:pPr>
              <w:pStyle w:val="TableTextRight"/>
              <w:rPr>
                <w:rFonts w:eastAsia="Times New Roman"/>
                <w:i/>
                <w:lang w:eastAsia="en-AU"/>
              </w:rPr>
            </w:pPr>
            <w:r w:rsidRPr="00951C19">
              <w:rPr>
                <w:i/>
              </w:rPr>
              <w:t>6.9</w:t>
            </w:r>
          </w:p>
        </w:tc>
        <w:tc>
          <w:tcPr>
            <w:tcW w:w="826" w:type="pct"/>
            <w:vAlign w:val="center"/>
          </w:tcPr>
          <w:p w:rsidR="00951C19" w:rsidRPr="00951C19" w:rsidRDefault="00951C19" w:rsidP="00951C19">
            <w:pPr>
              <w:pStyle w:val="TableTextRight"/>
              <w:rPr>
                <w:rFonts w:eastAsia="Times New Roman"/>
                <w:b/>
                <w:bCs/>
                <w:i/>
                <w:lang w:eastAsia="en-AU"/>
              </w:rPr>
            </w:pPr>
            <w:r w:rsidRPr="00951C19">
              <w:rPr>
                <w:b/>
                <w:i/>
              </w:rPr>
              <w:t>39.3</w:t>
            </w:r>
          </w:p>
        </w:tc>
      </w:tr>
      <w:tr w:rsidR="00951C19" w:rsidRPr="007C2713" w:rsidTr="00951C19">
        <w:tc>
          <w:tcPr>
            <w:tcW w:w="1526" w:type="pct"/>
            <w:shd w:val="clear" w:color="auto" w:fill="D7DDE9" w:themeFill="accent3"/>
            <w:vAlign w:val="center"/>
          </w:tcPr>
          <w:p w:rsidR="00951C19" w:rsidRPr="007C2713" w:rsidRDefault="00951C19" w:rsidP="00951C19">
            <w:pPr>
              <w:pStyle w:val="TableText"/>
              <w:keepNext/>
              <w:keepLines/>
              <w:rPr>
                <w:b/>
              </w:rPr>
            </w:pPr>
            <w:r w:rsidRPr="007C2713">
              <w:rPr>
                <w:b/>
              </w:rPr>
              <w:t>Total</w:t>
            </w:r>
          </w:p>
        </w:tc>
        <w:tc>
          <w:tcPr>
            <w:tcW w:w="662" w:type="pct"/>
            <w:shd w:val="clear" w:color="auto" w:fill="D7DDE9" w:themeFill="accent3"/>
            <w:vAlign w:val="center"/>
          </w:tcPr>
          <w:p w:rsidR="00951C19" w:rsidRPr="001B1758" w:rsidRDefault="00951C19" w:rsidP="00951C19">
            <w:pPr>
              <w:pStyle w:val="TableTextRight"/>
              <w:rPr>
                <w:rFonts w:eastAsia="Times New Roman"/>
                <w:b/>
                <w:bCs/>
                <w:lang w:eastAsia="en-AU"/>
              </w:rPr>
            </w:pPr>
            <w:r w:rsidRPr="001977C1">
              <w:rPr>
                <w:b/>
                <w:bCs/>
              </w:rPr>
              <w:t>197.0</w:t>
            </w:r>
          </w:p>
        </w:tc>
        <w:tc>
          <w:tcPr>
            <w:tcW w:w="662" w:type="pct"/>
            <w:shd w:val="clear" w:color="auto" w:fill="D7DDE9" w:themeFill="accent3"/>
            <w:vAlign w:val="center"/>
          </w:tcPr>
          <w:p w:rsidR="00951C19" w:rsidRPr="001B1758" w:rsidRDefault="00951C19" w:rsidP="00951C19">
            <w:pPr>
              <w:pStyle w:val="TableTextRight"/>
              <w:rPr>
                <w:rFonts w:eastAsia="Times New Roman"/>
                <w:b/>
                <w:bCs/>
                <w:lang w:eastAsia="en-AU"/>
              </w:rPr>
            </w:pPr>
            <w:r w:rsidRPr="001977C1">
              <w:rPr>
                <w:b/>
                <w:bCs/>
              </w:rPr>
              <w:t>386.8</w:t>
            </w:r>
          </w:p>
        </w:tc>
        <w:tc>
          <w:tcPr>
            <w:tcW w:w="662" w:type="pct"/>
            <w:shd w:val="clear" w:color="auto" w:fill="D7DDE9" w:themeFill="accent3"/>
            <w:vAlign w:val="center"/>
          </w:tcPr>
          <w:p w:rsidR="00951C19" w:rsidRPr="001B1758" w:rsidRDefault="00951C19" w:rsidP="00951C19">
            <w:pPr>
              <w:pStyle w:val="TableTextRight"/>
              <w:rPr>
                <w:rFonts w:eastAsia="Times New Roman"/>
                <w:b/>
                <w:bCs/>
                <w:lang w:eastAsia="en-AU"/>
              </w:rPr>
            </w:pPr>
            <w:r w:rsidRPr="001977C1">
              <w:rPr>
                <w:b/>
                <w:bCs/>
              </w:rPr>
              <w:t>399.4</w:t>
            </w:r>
          </w:p>
        </w:tc>
        <w:tc>
          <w:tcPr>
            <w:tcW w:w="662" w:type="pct"/>
            <w:shd w:val="clear" w:color="auto" w:fill="D7DDE9" w:themeFill="accent3"/>
            <w:vAlign w:val="center"/>
          </w:tcPr>
          <w:p w:rsidR="00951C19" w:rsidRPr="001B1758" w:rsidRDefault="00951C19" w:rsidP="00951C19">
            <w:pPr>
              <w:pStyle w:val="TableTextRight"/>
              <w:rPr>
                <w:rFonts w:eastAsia="Times New Roman"/>
                <w:b/>
                <w:bCs/>
                <w:lang w:eastAsia="en-AU"/>
              </w:rPr>
            </w:pPr>
            <w:r w:rsidRPr="001977C1">
              <w:rPr>
                <w:b/>
                <w:bCs/>
              </w:rPr>
              <w:t>393.8</w:t>
            </w:r>
          </w:p>
        </w:tc>
        <w:tc>
          <w:tcPr>
            <w:tcW w:w="826" w:type="pct"/>
            <w:shd w:val="clear" w:color="auto" w:fill="D7DDE9" w:themeFill="accent3"/>
            <w:vAlign w:val="center"/>
          </w:tcPr>
          <w:p w:rsidR="00951C19" w:rsidRPr="001B1758" w:rsidRDefault="00951C19" w:rsidP="00951C19">
            <w:pPr>
              <w:pStyle w:val="TableTextRight"/>
              <w:rPr>
                <w:rFonts w:eastAsia="Times New Roman"/>
                <w:b/>
                <w:bCs/>
                <w:lang w:eastAsia="en-AU"/>
              </w:rPr>
            </w:pPr>
            <w:r w:rsidRPr="001977C1">
              <w:rPr>
                <w:b/>
                <w:bCs/>
              </w:rPr>
              <w:t>1,377.0</w:t>
            </w:r>
          </w:p>
        </w:tc>
      </w:tr>
    </w:tbl>
    <w:p w:rsidR="00951C19" w:rsidRDefault="00951C19" w:rsidP="00020177">
      <w:pPr>
        <w:pStyle w:val="Footnotes"/>
        <w:numPr>
          <w:ilvl w:val="0"/>
          <w:numId w:val="195"/>
        </w:numPr>
        <w:spacing w:before="113"/>
        <w:ind w:left="284" w:hanging="284"/>
      </w:pPr>
      <w:r>
        <w:t>A positive number indicates an increase in revenue or decrease in expenses or net capital investment in accrual and cash terms. A negative number indicates a decrease in revenue or an increase in expenses or net capital investment in accrual and cash terms.</w:t>
      </w:r>
    </w:p>
    <w:p w:rsidR="00951C19" w:rsidRPr="005F544A" w:rsidRDefault="00951C19" w:rsidP="00020177">
      <w:pPr>
        <w:pStyle w:val="Footnotes"/>
        <w:keepNext/>
        <w:keepLines/>
        <w:spacing w:after="120"/>
        <w:ind w:left="284" w:hanging="284"/>
      </w:pPr>
      <w:r w:rsidRPr="005F544A">
        <w:t>Figures may not sum to totals due to rounding.</w:t>
      </w:r>
    </w:p>
    <w:p w:rsidR="00951C19" w:rsidRPr="00951305" w:rsidRDefault="00951C19" w:rsidP="00020177">
      <w:pPr>
        <w:pStyle w:val="Footnotes"/>
        <w:numPr>
          <w:ilvl w:val="0"/>
          <w:numId w:val="0"/>
        </w:numPr>
        <w:ind w:left="284" w:hanging="284"/>
      </w:pPr>
      <w:r w:rsidRPr="005F544A">
        <w:t>-</w:t>
      </w:r>
      <w:r w:rsidRPr="005F544A">
        <w:tab/>
        <w:t>Indicates nil.</w:t>
      </w:r>
    </w:p>
    <w:p w:rsidR="00420CF4" w:rsidRDefault="00420CF4" w:rsidP="00951C19">
      <w:pPr>
        <w:pStyle w:val="BodyText"/>
        <w:ind w:left="284" w:hanging="284"/>
        <w:contextualSpacing/>
        <w:sectPr w:rsidR="00420CF4" w:rsidSect="00967BCD">
          <w:footnotePr>
            <w:numRestart w:val="eachSect"/>
          </w:footnotePr>
          <w:pgSz w:w="11906" w:h="16838" w:code="9"/>
          <w:pgMar w:top="1361" w:right="1797" w:bottom="1474" w:left="1797" w:header="283" w:footer="454" w:gutter="0"/>
          <w:cols w:space="708"/>
          <w:docGrid w:linePitch="360"/>
        </w:sectPr>
      </w:pPr>
    </w:p>
    <w:p w:rsidR="005448CC" w:rsidRDefault="005448CC" w:rsidP="005448CC">
      <w:pPr>
        <w:pStyle w:val="Heading5"/>
        <w:ind w:left="1080" w:hanging="1080"/>
      </w:pPr>
      <w:bookmarkStart w:id="88" w:name="_Toc455655024"/>
      <w:bookmarkStart w:id="89" w:name="_Toc458081692"/>
      <w:r>
        <w:t>ALP0</w:t>
      </w:r>
      <w:r w:rsidR="009221D1">
        <w:t>68</w:t>
      </w:r>
      <w:r>
        <w:t>: Retain the Seafarer Tax Offset</w:t>
      </w:r>
      <w:bookmarkEnd w:id="88"/>
      <w:bookmarkEnd w:id="89"/>
    </w:p>
    <w:p w:rsidR="005448CC" w:rsidRDefault="005448CC" w:rsidP="00967B83">
      <w:pPr>
        <w:pStyle w:val="BodyText"/>
      </w:pPr>
      <w:r>
        <w:rPr>
          <w:noProof/>
          <w:lang w:eastAsia="en-AU"/>
        </w:rPr>
        <w:drawing>
          <wp:inline distT="0" distB="0" distL="0" distR="0" wp14:anchorId="40E64BD5" wp14:editId="5DF81334">
            <wp:extent cx="2696845" cy="572135"/>
            <wp:effectExtent l="0" t="0" r="8255" b="0"/>
            <wp:docPr id="449" name="Picture 44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448CC" w:rsidRDefault="005448CC" w:rsidP="005448C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448CC"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448CC" w:rsidRPr="008379A4" w:rsidRDefault="005448CC" w:rsidP="00F7554A">
            <w:pPr>
              <w:pStyle w:val="PullOutBoxHeading"/>
              <w:rPr>
                <w:b/>
              </w:rPr>
            </w:pPr>
            <w:r w:rsidRPr="008379A4">
              <w:rPr>
                <w:b/>
              </w:rPr>
              <w:t>Name of proposal:</w:t>
            </w:r>
          </w:p>
        </w:tc>
        <w:tc>
          <w:tcPr>
            <w:tcW w:w="3191" w:type="pct"/>
          </w:tcPr>
          <w:p w:rsidR="005448CC" w:rsidRPr="008379A4" w:rsidRDefault="005448CC" w:rsidP="00F7554A">
            <w:pPr>
              <w:pStyle w:val="PullOutBoxHeading"/>
              <w:rPr>
                <w:b/>
              </w:rPr>
            </w:pPr>
            <w:r w:rsidRPr="008379A4">
              <w:rPr>
                <w:b/>
              </w:rPr>
              <w:t>Retain the Seafarer Tax Offset</w:t>
            </w:r>
          </w:p>
        </w:tc>
      </w:tr>
      <w:tr w:rsidR="005448CC" w:rsidRPr="00B45F94" w:rsidTr="00F7554A">
        <w:tc>
          <w:tcPr>
            <w:tcW w:w="1809" w:type="pct"/>
          </w:tcPr>
          <w:p w:rsidR="005448CC" w:rsidRPr="00B45F94" w:rsidRDefault="005448CC" w:rsidP="00F7554A">
            <w:pPr>
              <w:pStyle w:val="PullOutBoxBodyText"/>
            </w:pPr>
            <w:r w:rsidRPr="00B45F94">
              <w:t>Summary of proposal:</w:t>
            </w:r>
          </w:p>
        </w:tc>
        <w:tc>
          <w:tcPr>
            <w:tcW w:w="3191" w:type="pct"/>
          </w:tcPr>
          <w:p w:rsidR="005448CC" w:rsidRPr="00B45F94" w:rsidRDefault="005448CC" w:rsidP="00F7554A">
            <w:pPr>
              <w:pStyle w:val="PullOutBoxBodyText"/>
            </w:pPr>
            <w:r w:rsidRPr="00341CDB">
              <w:t>This proposal would reverse the Government’s intended (but not legislated) policy to abolish the seafarer tax offset.</w:t>
            </w:r>
          </w:p>
        </w:tc>
      </w:tr>
      <w:tr w:rsidR="005448CC" w:rsidRPr="00B45F94" w:rsidTr="00F7554A">
        <w:tc>
          <w:tcPr>
            <w:tcW w:w="1809" w:type="pct"/>
          </w:tcPr>
          <w:p w:rsidR="005448CC" w:rsidRPr="00B45F94" w:rsidRDefault="005448CC" w:rsidP="00F7554A">
            <w:pPr>
              <w:pStyle w:val="PullOutBoxBodyText"/>
            </w:pPr>
            <w:r>
              <w:t>Party:</w:t>
            </w:r>
          </w:p>
        </w:tc>
        <w:tc>
          <w:tcPr>
            <w:tcW w:w="3191" w:type="pct"/>
          </w:tcPr>
          <w:p w:rsidR="005448CC" w:rsidRPr="00B45F94" w:rsidRDefault="005448CC" w:rsidP="00F7554A">
            <w:pPr>
              <w:pStyle w:val="PullOutBoxBodyText"/>
            </w:pPr>
            <w:r>
              <w:t>Australian Labor Party</w:t>
            </w:r>
          </w:p>
        </w:tc>
      </w:tr>
      <w:tr w:rsidR="005448CC" w:rsidRPr="00B45F94" w:rsidTr="00F7554A">
        <w:tc>
          <w:tcPr>
            <w:tcW w:w="1809" w:type="pct"/>
          </w:tcPr>
          <w:p w:rsidR="005448CC" w:rsidRPr="00B45F94" w:rsidRDefault="005448CC" w:rsidP="00F7554A">
            <w:pPr>
              <w:pStyle w:val="PullOutBoxBodyText"/>
            </w:pPr>
            <w:r w:rsidRPr="00B45F94">
              <w:t>Expiry date for the costing:</w:t>
            </w:r>
          </w:p>
        </w:tc>
        <w:tc>
          <w:tcPr>
            <w:tcW w:w="3191" w:type="pct"/>
          </w:tcPr>
          <w:p w:rsidR="005448CC" w:rsidRPr="00B45F94" w:rsidRDefault="005448CC" w:rsidP="00F7554A">
            <w:pPr>
              <w:pStyle w:val="PullOutBoxBodyText"/>
            </w:pPr>
            <w:r>
              <w:t>Release of the next economic and fiscal update</w:t>
            </w:r>
          </w:p>
        </w:tc>
      </w:tr>
    </w:tbl>
    <w:p w:rsidR="005448CC" w:rsidRDefault="005448CC" w:rsidP="005448CC">
      <w:pPr>
        <w:pStyle w:val="CostingsH7"/>
      </w:pPr>
      <w:r w:rsidRPr="00BF1EE6">
        <w:t>Costing overview</w:t>
      </w:r>
    </w:p>
    <w:p w:rsidR="005448CC" w:rsidRDefault="005448CC" w:rsidP="005448CC">
      <w:pPr>
        <w:pStyle w:val="BodyText"/>
      </w:pPr>
      <w:r>
        <w:t>This proposal would be expected to decrease both the fiscal and underlying cash balances by $16 million over the 2016-17 Budget forward estimates period.  This impact entirely reflects an increase in administered expenses.</w:t>
      </w:r>
    </w:p>
    <w:p w:rsidR="005448CC" w:rsidRDefault="005448CC" w:rsidP="005448CC">
      <w:pPr>
        <w:pStyle w:val="BodyText"/>
      </w:pPr>
      <w:r>
        <w:t>The proposal would be expected to have an ongoing impact that extends beyond the 2016</w:t>
      </w:r>
      <w:r>
        <w:noBreakHyphen/>
        <w:t xml:space="preserve">17 Budget forward estimates period. </w:t>
      </w:r>
    </w:p>
    <w:p w:rsidR="005448CC" w:rsidRPr="00341CDB" w:rsidRDefault="005448CC" w:rsidP="005448CC">
      <w:pPr>
        <w:pStyle w:val="BodyText"/>
      </w:pPr>
      <w:r>
        <w:t>This costing is considered to be of high reliability as it is based on the reversal of a published Budget measure.</w:t>
      </w:r>
    </w:p>
    <w:p w:rsidR="005448CC" w:rsidRPr="007423EE" w:rsidRDefault="005448CC" w:rsidP="005448CC">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448CC"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448CC" w:rsidRPr="00D264E1" w:rsidRDefault="005448CC" w:rsidP="00F7554A">
            <w:pPr>
              <w:pStyle w:val="TableHeading"/>
            </w:pPr>
            <w:r>
              <w:t>Impact on ($m)</w:t>
            </w:r>
          </w:p>
        </w:tc>
        <w:tc>
          <w:tcPr>
            <w:tcW w:w="721" w:type="pct"/>
          </w:tcPr>
          <w:p w:rsidR="005448CC" w:rsidRPr="00FC1F1C" w:rsidRDefault="005448CC" w:rsidP="00F7554A">
            <w:pPr>
              <w:pStyle w:val="TableHeadingRight"/>
            </w:pPr>
            <w:r>
              <w:t>2016–17</w:t>
            </w:r>
          </w:p>
        </w:tc>
        <w:tc>
          <w:tcPr>
            <w:tcW w:w="721" w:type="pct"/>
          </w:tcPr>
          <w:p w:rsidR="005448CC" w:rsidRPr="00FC1F1C" w:rsidRDefault="005448CC" w:rsidP="00F7554A">
            <w:pPr>
              <w:pStyle w:val="TableHeadingRight"/>
            </w:pPr>
            <w:r>
              <w:t>2017–18</w:t>
            </w:r>
          </w:p>
        </w:tc>
        <w:tc>
          <w:tcPr>
            <w:tcW w:w="722" w:type="pct"/>
          </w:tcPr>
          <w:p w:rsidR="005448CC" w:rsidRPr="00FC1F1C" w:rsidRDefault="005448CC" w:rsidP="00F7554A">
            <w:pPr>
              <w:pStyle w:val="TableHeadingRight"/>
            </w:pPr>
            <w:r>
              <w:t>2018–19</w:t>
            </w:r>
          </w:p>
        </w:tc>
        <w:tc>
          <w:tcPr>
            <w:tcW w:w="721" w:type="pct"/>
          </w:tcPr>
          <w:p w:rsidR="005448CC" w:rsidRPr="00FC1F1C" w:rsidRDefault="005448CC" w:rsidP="00F7554A">
            <w:pPr>
              <w:pStyle w:val="TableHeadingRight"/>
            </w:pPr>
            <w:r>
              <w:t>2019–20</w:t>
            </w:r>
          </w:p>
        </w:tc>
        <w:tc>
          <w:tcPr>
            <w:tcW w:w="722" w:type="pct"/>
          </w:tcPr>
          <w:p w:rsidR="005448CC" w:rsidRPr="00FC1F1C" w:rsidRDefault="005448CC" w:rsidP="00F7554A">
            <w:pPr>
              <w:pStyle w:val="TableHeadingRight"/>
              <w:rPr>
                <w:b/>
              </w:rPr>
            </w:pPr>
            <w:r w:rsidRPr="00FC1F1C">
              <w:t>Total</w:t>
            </w:r>
          </w:p>
        </w:tc>
      </w:tr>
      <w:tr w:rsidR="005448CC" w:rsidTr="00F7554A">
        <w:tc>
          <w:tcPr>
            <w:tcW w:w="1393" w:type="pct"/>
          </w:tcPr>
          <w:p w:rsidR="005448CC" w:rsidRDefault="005448CC" w:rsidP="00F7554A">
            <w:pPr>
              <w:pStyle w:val="TableText"/>
            </w:pPr>
            <w:r>
              <w:t>Fiscal balance</w:t>
            </w:r>
          </w:p>
        </w:tc>
        <w:tc>
          <w:tcPr>
            <w:tcW w:w="721" w:type="pct"/>
          </w:tcPr>
          <w:p w:rsidR="005448CC" w:rsidRPr="003A3459" w:rsidRDefault="005448CC" w:rsidP="00F7554A">
            <w:pPr>
              <w:pStyle w:val="TableTextRight"/>
            </w:pPr>
            <w:r>
              <w:t>-4.0</w:t>
            </w:r>
          </w:p>
        </w:tc>
        <w:tc>
          <w:tcPr>
            <w:tcW w:w="721" w:type="pct"/>
          </w:tcPr>
          <w:p w:rsidR="005448CC" w:rsidRPr="003A3459" w:rsidRDefault="005448CC" w:rsidP="00F7554A">
            <w:pPr>
              <w:pStyle w:val="TableTextRight"/>
            </w:pPr>
            <w:r>
              <w:t>-4.0</w:t>
            </w:r>
          </w:p>
        </w:tc>
        <w:tc>
          <w:tcPr>
            <w:tcW w:w="722" w:type="pct"/>
          </w:tcPr>
          <w:p w:rsidR="005448CC" w:rsidRPr="003A3459" w:rsidRDefault="005448CC" w:rsidP="00F7554A">
            <w:pPr>
              <w:pStyle w:val="TableTextRight"/>
            </w:pPr>
            <w:r>
              <w:t>-4.0</w:t>
            </w:r>
          </w:p>
        </w:tc>
        <w:tc>
          <w:tcPr>
            <w:tcW w:w="721" w:type="pct"/>
          </w:tcPr>
          <w:p w:rsidR="005448CC" w:rsidRPr="003A3459" w:rsidRDefault="005448CC" w:rsidP="00F7554A">
            <w:pPr>
              <w:pStyle w:val="TableTextRight"/>
            </w:pPr>
            <w:r>
              <w:t>-4.0</w:t>
            </w:r>
          </w:p>
        </w:tc>
        <w:tc>
          <w:tcPr>
            <w:tcW w:w="722" w:type="pct"/>
          </w:tcPr>
          <w:p w:rsidR="005448CC" w:rsidRPr="00C363AE" w:rsidRDefault="005448CC" w:rsidP="00F7554A">
            <w:pPr>
              <w:pStyle w:val="TableTextRight"/>
              <w:rPr>
                <w:b/>
              </w:rPr>
            </w:pPr>
            <w:r>
              <w:rPr>
                <w:b/>
              </w:rPr>
              <w:t>-16.0</w:t>
            </w:r>
          </w:p>
        </w:tc>
      </w:tr>
      <w:tr w:rsidR="005448CC" w:rsidTr="00F7554A">
        <w:tc>
          <w:tcPr>
            <w:tcW w:w="1393" w:type="pct"/>
          </w:tcPr>
          <w:p w:rsidR="005448CC" w:rsidRDefault="005448CC" w:rsidP="00F7554A">
            <w:pPr>
              <w:pStyle w:val="TableText"/>
            </w:pPr>
            <w:r>
              <w:t>Underlying cash balance</w:t>
            </w:r>
          </w:p>
        </w:tc>
        <w:tc>
          <w:tcPr>
            <w:tcW w:w="721" w:type="pct"/>
          </w:tcPr>
          <w:p w:rsidR="005448CC" w:rsidRPr="003A3459" w:rsidRDefault="005448CC" w:rsidP="00F7554A">
            <w:pPr>
              <w:pStyle w:val="TableTextRight"/>
            </w:pPr>
            <w:r>
              <w:t>-4.0</w:t>
            </w:r>
          </w:p>
        </w:tc>
        <w:tc>
          <w:tcPr>
            <w:tcW w:w="721" w:type="pct"/>
          </w:tcPr>
          <w:p w:rsidR="005448CC" w:rsidRPr="003A3459" w:rsidRDefault="005448CC" w:rsidP="00F7554A">
            <w:pPr>
              <w:pStyle w:val="TableTextRight"/>
            </w:pPr>
            <w:r>
              <w:t>-4.0</w:t>
            </w:r>
          </w:p>
        </w:tc>
        <w:tc>
          <w:tcPr>
            <w:tcW w:w="722" w:type="pct"/>
          </w:tcPr>
          <w:p w:rsidR="005448CC" w:rsidRPr="003A3459" w:rsidRDefault="005448CC" w:rsidP="00F7554A">
            <w:pPr>
              <w:pStyle w:val="TableTextRight"/>
            </w:pPr>
            <w:r>
              <w:t>-4.0</w:t>
            </w:r>
          </w:p>
        </w:tc>
        <w:tc>
          <w:tcPr>
            <w:tcW w:w="721" w:type="pct"/>
          </w:tcPr>
          <w:p w:rsidR="005448CC" w:rsidRPr="003A3459" w:rsidRDefault="005448CC" w:rsidP="00F7554A">
            <w:pPr>
              <w:pStyle w:val="TableTextRight"/>
            </w:pPr>
            <w:r>
              <w:t>-4.0</w:t>
            </w:r>
          </w:p>
        </w:tc>
        <w:tc>
          <w:tcPr>
            <w:tcW w:w="722" w:type="pct"/>
          </w:tcPr>
          <w:p w:rsidR="005448CC" w:rsidRPr="00C363AE" w:rsidRDefault="005448CC" w:rsidP="00F7554A">
            <w:pPr>
              <w:pStyle w:val="TableTextRight"/>
              <w:rPr>
                <w:b/>
              </w:rPr>
            </w:pPr>
            <w:r>
              <w:rPr>
                <w:b/>
              </w:rPr>
              <w:t>-16.0</w:t>
            </w:r>
          </w:p>
        </w:tc>
      </w:tr>
    </w:tbl>
    <w:p w:rsidR="005448CC" w:rsidRDefault="005448CC" w:rsidP="00020177">
      <w:pPr>
        <w:pStyle w:val="Footnotes"/>
        <w:numPr>
          <w:ilvl w:val="0"/>
          <w:numId w:val="148"/>
        </w:numPr>
        <w:ind w:left="284" w:hanging="284"/>
      </w:pPr>
      <w:r>
        <w:t xml:space="preserve">A positive </w:t>
      </w:r>
      <w:r w:rsidRPr="00FC1F1C">
        <w:t>number indicates an increase in the relevant budget balance, a negative number a decrease.</w:t>
      </w:r>
    </w:p>
    <w:p w:rsidR="005448CC" w:rsidRDefault="005448CC" w:rsidP="00020177">
      <w:pPr>
        <w:pStyle w:val="Footnotes"/>
        <w:ind w:left="284" w:hanging="284"/>
      </w:pPr>
      <w:r w:rsidRPr="000E063A">
        <w:t>Figures may not sum to totals due to rounding.</w:t>
      </w:r>
    </w:p>
    <w:p w:rsidR="005448CC" w:rsidRDefault="005448CC" w:rsidP="005448CC">
      <w:pPr>
        <w:pStyle w:val="CostingsH7"/>
      </w:pPr>
      <w:r>
        <w:t>Methodology</w:t>
      </w:r>
    </w:p>
    <w:p w:rsidR="005448CC" w:rsidRPr="007423EE" w:rsidRDefault="005448CC" w:rsidP="005448CC">
      <w:pPr>
        <w:pStyle w:val="BodyText"/>
      </w:pPr>
      <w:r w:rsidRPr="007423EE">
        <w:t>The costing is based on the estimates published in the 2014-15 Budget measure to abolish the seafarer tax offset.</w:t>
      </w:r>
    </w:p>
    <w:p w:rsidR="005448CC" w:rsidRDefault="005448CC" w:rsidP="005448CC">
      <w:pPr>
        <w:pStyle w:val="CostingsH7"/>
      </w:pPr>
      <w:r>
        <w:t>Data sources</w:t>
      </w:r>
    </w:p>
    <w:p w:rsidR="00420CF4" w:rsidRPr="00951305" w:rsidRDefault="005448CC" w:rsidP="00420CF4">
      <w:pPr>
        <w:pStyle w:val="BodyText"/>
      </w:pPr>
      <w:r w:rsidRPr="007423EE">
        <w:t>2014-15 Budget Paper No. 2, page 212</w:t>
      </w: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5448CC" w:rsidRDefault="005448CC" w:rsidP="005448CC">
      <w:pPr>
        <w:pStyle w:val="Heading5"/>
        <w:ind w:left="1080" w:hanging="1080"/>
      </w:pPr>
      <w:bookmarkStart w:id="90" w:name="_Toc455655025"/>
      <w:bookmarkStart w:id="91" w:name="_Toc458081693"/>
      <w:r>
        <w:t>ALP0</w:t>
      </w:r>
      <w:r w:rsidR="009221D1">
        <w:t>69</w:t>
      </w:r>
      <w:r>
        <w:t>: Small Business Ombudsman - Access to Justice</w:t>
      </w:r>
      <w:bookmarkEnd w:id="90"/>
      <w:bookmarkEnd w:id="91"/>
    </w:p>
    <w:p w:rsidR="005448CC" w:rsidRDefault="005448CC" w:rsidP="00967B83">
      <w:pPr>
        <w:pStyle w:val="BodyText"/>
      </w:pPr>
      <w:r>
        <w:rPr>
          <w:noProof/>
          <w:lang w:eastAsia="en-AU"/>
        </w:rPr>
        <w:drawing>
          <wp:inline distT="0" distB="0" distL="0" distR="0" wp14:anchorId="11059027" wp14:editId="1D77EEFA">
            <wp:extent cx="2696845" cy="572135"/>
            <wp:effectExtent l="0" t="0" r="8255" b="0"/>
            <wp:docPr id="448" name="Picture 44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448CC" w:rsidRDefault="005448CC" w:rsidP="005448C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448CC"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448CC" w:rsidRPr="008379A4" w:rsidRDefault="005448CC" w:rsidP="00F7554A">
            <w:pPr>
              <w:pStyle w:val="PullOutBoxHeading"/>
              <w:rPr>
                <w:b/>
              </w:rPr>
            </w:pPr>
            <w:r w:rsidRPr="008379A4">
              <w:rPr>
                <w:b/>
              </w:rPr>
              <w:t>Name of proposal:</w:t>
            </w:r>
          </w:p>
        </w:tc>
        <w:tc>
          <w:tcPr>
            <w:tcW w:w="3191" w:type="pct"/>
          </w:tcPr>
          <w:p w:rsidR="005448CC" w:rsidRPr="008379A4" w:rsidRDefault="005448CC" w:rsidP="00F7554A">
            <w:pPr>
              <w:pStyle w:val="PullOutBoxHeading"/>
              <w:rPr>
                <w:b/>
              </w:rPr>
            </w:pPr>
            <w:r w:rsidRPr="008379A4">
              <w:rPr>
                <w:b/>
              </w:rPr>
              <w:t>Small Business Ombudsman – Access to Justice</w:t>
            </w:r>
          </w:p>
        </w:tc>
      </w:tr>
      <w:tr w:rsidR="005448CC" w:rsidRPr="00B45F94" w:rsidTr="00F7554A">
        <w:tc>
          <w:tcPr>
            <w:tcW w:w="1809" w:type="pct"/>
          </w:tcPr>
          <w:p w:rsidR="005448CC" w:rsidRPr="00B45F94" w:rsidRDefault="005448CC" w:rsidP="00F7554A">
            <w:pPr>
              <w:pStyle w:val="PullOutBoxBodyText"/>
            </w:pPr>
            <w:r w:rsidRPr="00B45F94">
              <w:t>Summary of proposal:</w:t>
            </w:r>
          </w:p>
        </w:tc>
        <w:tc>
          <w:tcPr>
            <w:tcW w:w="3191" w:type="pct"/>
          </w:tcPr>
          <w:p w:rsidR="005448CC" w:rsidRDefault="005448CC" w:rsidP="00F7554A">
            <w:pPr>
              <w:pStyle w:val="PullOutBoxBodyText"/>
            </w:pPr>
            <w:r>
              <w:t>The proposal would provide funding over the forward estimates for three Australian Public Service (APS) positions (one Executive Level 2, one Executive Level 1 and one Australian Public Service Level 6 employee) in the Office of the Australian Small Business and Family Enterprise Ombudsman.</w:t>
            </w:r>
          </w:p>
          <w:p w:rsidR="005448CC" w:rsidRDefault="005448CC" w:rsidP="00F7554A">
            <w:pPr>
              <w:pStyle w:val="PullOutBoxBodyText"/>
            </w:pPr>
            <w:r>
              <w:t xml:space="preserve">These officials would examine applications from small businesses who claim they are subject to grievances under the </w:t>
            </w:r>
            <w:r w:rsidRPr="008E1EE8">
              <w:rPr>
                <w:i/>
              </w:rPr>
              <w:t>Competition and Consumer Act 2010</w:t>
            </w:r>
            <w:r>
              <w:t>.</w:t>
            </w:r>
          </w:p>
          <w:p w:rsidR="005448CC" w:rsidRPr="00B45F94" w:rsidRDefault="005448CC" w:rsidP="00F7554A">
            <w:pPr>
              <w:pStyle w:val="PullOutBoxBodyText"/>
            </w:pPr>
            <w:r>
              <w:t>The proposal would have effect from 1 July 2017.</w:t>
            </w:r>
          </w:p>
        </w:tc>
      </w:tr>
      <w:tr w:rsidR="005448CC" w:rsidRPr="00B45F94" w:rsidTr="00F7554A">
        <w:tc>
          <w:tcPr>
            <w:tcW w:w="1809" w:type="pct"/>
          </w:tcPr>
          <w:p w:rsidR="005448CC" w:rsidRPr="00B45F94" w:rsidRDefault="005448CC" w:rsidP="00F7554A">
            <w:pPr>
              <w:pStyle w:val="PullOutBoxBodyText"/>
            </w:pPr>
            <w:r>
              <w:t>Party:</w:t>
            </w:r>
          </w:p>
        </w:tc>
        <w:tc>
          <w:tcPr>
            <w:tcW w:w="3191" w:type="pct"/>
          </w:tcPr>
          <w:p w:rsidR="005448CC" w:rsidRPr="00B45F94" w:rsidRDefault="005448CC" w:rsidP="00F7554A">
            <w:pPr>
              <w:pStyle w:val="PullOutBoxBodyText"/>
            </w:pPr>
            <w:r>
              <w:t>Australian Labor Party</w:t>
            </w:r>
          </w:p>
        </w:tc>
      </w:tr>
      <w:tr w:rsidR="005448CC" w:rsidRPr="00B45F94" w:rsidTr="00F7554A">
        <w:tc>
          <w:tcPr>
            <w:tcW w:w="1809" w:type="pct"/>
          </w:tcPr>
          <w:p w:rsidR="005448CC" w:rsidRPr="00B45F94" w:rsidRDefault="005448CC" w:rsidP="00F7554A">
            <w:pPr>
              <w:pStyle w:val="PullOutBoxBodyText"/>
            </w:pPr>
            <w:r w:rsidRPr="00B45F94">
              <w:t>Expiry date for the costing:</w:t>
            </w:r>
          </w:p>
        </w:tc>
        <w:tc>
          <w:tcPr>
            <w:tcW w:w="3191" w:type="pct"/>
          </w:tcPr>
          <w:p w:rsidR="005448CC" w:rsidRPr="00B45F94" w:rsidRDefault="005448CC" w:rsidP="00F7554A">
            <w:pPr>
              <w:pStyle w:val="PullOutBoxBodyText"/>
            </w:pPr>
            <w:r>
              <w:t>Release of the next economic and fiscal update</w:t>
            </w:r>
          </w:p>
        </w:tc>
      </w:tr>
    </w:tbl>
    <w:p w:rsidR="005448CC" w:rsidRDefault="005448CC" w:rsidP="005448CC">
      <w:pPr>
        <w:pStyle w:val="CostingsH7"/>
      </w:pPr>
      <w:r w:rsidRPr="00BF1EE6">
        <w:t>Costing overview</w:t>
      </w:r>
    </w:p>
    <w:p w:rsidR="005448CC" w:rsidRDefault="005448CC" w:rsidP="005448CC">
      <w:pPr>
        <w:pStyle w:val="BodyText"/>
      </w:pPr>
      <w:r>
        <w:t>This proposal would decrease the fiscal and underlying cash balances by $1.5 million over the 201</w:t>
      </w:r>
      <w:r w:rsidR="003E6244">
        <w:t>6</w:t>
      </w:r>
      <w:r>
        <w:noBreakHyphen/>
        <w:t>1</w:t>
      </w:r>
      <w:r w:rsidR="003E6244">
        <w:t>7</w:t>
      </w:r>
      <w:r>
        <w:t> Budget forward estimates.  This is entirely due to an increase in departmental expenditure.</w:t>
      </w:r>
    </w:p>
    <w:p w:rsidR="005448CC" w:rsidRDefault="005448CC" w:rsidP="005448CC">
      <w:pPr>
        <w:pStyle w:val="BodyText"/>
      </w:pPr>
      <w:r>
        <w:t>This proposal would have an ongoing impact beyond the 2016-17 Budget forward estimates period.</w:t>
      </w:r>
    </w:p>
    <w:p w:rsidR="005448CC" w:rsidRDefault="005448CC" w:rsidP="005448CC">
      <w:pPr>
        <w:pStyle w:val="BodyText"/>
      </w:pPr>
      <w:r>
        <w:t>This costing is considered to be of high reliability as it is based on applying standard average departmental costing rates to specified APS positions.</w:t>
      </w:r>
    </w:p>
    <w:p w:rsidR="005448CC" w:rsidRPr="00946ED8" w:rsidRDefault="005448CC" w:rsidP="005448CC">
      <w:pPr>
        <w:pStyle w:val="BodyText"/>
      </w:pPr>
      <w:r>
        <w:t>No analysis has been undertaken to determine the adequacy of the prescribed staffing levels to achieve the objective of the proposal.</w:t>
      </w:r>
    </w:p>
    <w:p w:rsidR="005448CC" w:rsidRDefault="005448CC" w:rsidP="005448CC">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448CC"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448CC" w:rsidRPr="00D264E1" w:rsidRDefault="005448CC" w:rsidP="00F7554A">
            <w:pPr>
              <w:pStyle w:val="TableHeading"/>
            </w:pPr>
            <w:r>
              <w:t>Impact on ($m)</w:t>
            </w:r>
          </w:p>
        </w:tc>
        <w:tc>
          <w:tcPr>
            <w:tcW w:w="721" w:type="pct"/>
          </w:tcPr>
          <w:p w:rsidR="005448CC" w:rsidRPr="00FC1F1C" w:rsidRDefault="005448CC" w:rsidP="00F7554A">
            <w:pPr>
              <w:pStyle w:val="TableHeadingRight"/>
            </w:pPr>
            <w:r>
              <w:t>2016–17</w:t>
            </w:r>
          </w:p>
        </w:tc>
        <w:tc>
          <w:tcPr>
            <w:tcW w:w="721" w:type="pct"/>
          </w:tcPr>
          <w:p w:rsidR="005448CC" w:rsidRPr="00FC1F1C" w:rsidRDefault="005448CC" w:rsidP="00F7554A">
            <w:pPr>
              <w:pStyle w:val="TableHeadingRight"/>
            </w:pPr>
            <w:r>
              <w:t>2017–18</w:t>
            </w:r>
          </w:p>
        </w:tc>
        <w:tc>
          <w:tcPr>
            <w:tcW w:w="722" w:type="pct"/>
          </w:tcPr>
          <w:p w:rsidR="005448CC" w:rsidRPr="00FC1F1C" w:rsidRDefault="005448CC" w:rsidP="00F7554A">
            <w:pPr>
              <w:pStyle w:val="TableHeadingRight"/>
            </w:pPr>
            <w:r>
              <w:t>2018–19</w:t>
            </w:r>
          </w:p>
        </w:tc>
        <w:tc>
          <w:tcPr>
            <w:tcW w:w="721" w:type="pct"/>
          </w:tcPr>
          <w:p w:rsidR="005448CC" w:rsidRPr="00FC1F1C" w:rsidRDefault="005448CC" w:rsidP="00F7554A">
            <w:pPr>
              <w:pStyle w:val="TableHeadingRight"/>
            </w:pPr>
            <w:r>
              <w:t>2019–20</w:t>
            </w:r>
          </w:p>
        </w:tc>
        <w:tc>
          <w:tcPr>
            <w:tcW w:w="722" w:type="pct"/>
          </w:tcPr>
          <w:p w:rsidR="005448CC" w:rsidRPr="00946ED8" w:rsidRDefault="005448CC" w:rsidP="00F7554A">
            <w:pPr>
              <w:pStyle w:val="TableHeadingRight"/>
              <w:rPr>
                <w:b/>
              </w:rPr>
            </w:pPr>
            <w:r w:rsidRPr="00946ED8">
              <w:t>Total</w:t>
            </w:r>
          </w:p>
        </w:tc>
      </w:tr>
      <w:tr w:rsidR="005448CC" w:rsidTr="00F7554A">
        <w:tc>
          <w:tcPr>
            <w:tcW w:w="1393" w:type="pct"/>
          </w:tcPr>
          <w:p w:rsidR="005448CC" w:rsidRDefault="005448CC" w:rsidP="00F7554A">
            <w:pPr>
              <w:pStyle w:val="TableText"/>
              <w:keepNext/>
              <w:keepLines/>
            </w:pPr>
            <w:r>
              <w:t>Fiscal balance</w:t>
            </w:r>
          </w:p>
        </w:tc>
        <w:tc>
          <w:tcPr>
            <w:tcW w:w="721" w:type="pct"/>
            <w:vAlign w:val="bottom"/>
          </w:tcPr>
          <w:p w:rsidR="005448CC" w:rsidRPr="002840A8" w:rsidRDefault="005448CC" w:rsidP="00F7554A">
            <w:pPr>
              <w:pStyle w:val="TableTextRight"/>
              <w:keepNext/>
              <w:keepLines/>
            </w:pPr>
            <w:r w:rsidRPr="002840A8">
              <w:t xml:space="preserve">  - </w:t>
            </w:r>
          </w:p>
        </w:tc>
        <w:tc>
          <w:tcPr>
            <w:tcW w:w="721" w:type="pct"/>
            <w:vAlign w:val="bottom"/>
          </w:tcPr>
          <w:p w:rsidR="005448CC" w:rsidRPr="002840A8" w:rsidRDefault="00BE6B1F" w:rsidP="00F7554A">
            <w:pPr>
              <w:pStyle w:val="TableTextRight"/>
              <w:keepNext/>
              <w:keepLines/>
            </w:pPr>
            <w:r>
              <w:t xml:space="preserve">  -</w:t>
            </w:r>
            <w:r w:rsidR="005448CC">
              <w:t>0.5</w:t>
            </w:r>
          </w:p>
        </w:tc>
        <w:tc>
          <w:tcPr>
            <w:tcW w:w="722" w:type="pct"/>
            <w:vAlign w:val="bottom"/>
          </w:tcPr>
          <w:p w:rsidR="005448CC" w:rsidRPr="002840A8" w:rsidRDefault="00BE6B1F" w:rsidP="00F7554A">
            <w:pPr>
              <w:pStyle w:val="TableTextRight"/>
              <w:keepNext/>
              <w:keepLines/>
            </w:pPr>
            <w:r>
              <w:t>-</w:t>
            </w:r>
            <w:r w:rsidR="005448CC" w:rsidRPr="002840A8">
              <w:t xml:space="preserve">0.5 </w:t>
            </w:r>
          </w:p>
        </w:tc>
        <w:tc>
          <w:tcPr>
            <w:tcW w:w="721" w:type="pct"/>
            <w:vAlign w:val="bottom"/>
          </w:tcPr>
          <w:p w:rsidR="005448CC" w:rsidRPr="002840A8" w:rsidRDefault="00BE6B1F" w:rsidP="00F7554A">
            <w:pPr>
              <w:pStyle w:val="TableTextRight"/>
              <w:keepNext/>
              <w:keepLines/>
            </w:pPr>
            <w:r>
              <w:t>-</w:t>
            </w:r>
            <w:r w:rsidR="005448CC" w:rsidRPr="002840A8">
              <w:t xml:space="preserve">0.5 </w:t>
            </w:r>
          </w:p>
        </w:tc>
        <w:tc>
          <w:tcPr>
            <w:tcW w:w="722" w:type="pct"/>
            <w:vAlign w:val="bottom"/>
          </w:tcPr>
          <w:p w:rsidR="005448CC" w:rsidRPr="00946ED8" w:rsidRDefault="005448CC" w:rsidP="00F7554A">
            <w:pPr>
              <w:pStyle w:val="TableTextRight"/>
              <w:keepNext/>
              <w:keepLines/>
              <w:rPr>
                <w:b/>
              </w:rPr>
            </w:pPr>
            <w:r w:rsidRPr="00946ED8">
              <w:rPr>
                <w:b/>
              </w:rPr>
              <w:t xml:space="preserve">-1.5 </w:t>
            </w:r>
          </w:p>
        </w:tc>
      </w:tr>
      <w:tr w:rsidR="005448CC" w:rsidTr="00F7554A">
        <w:tc>
          <w:tcPr>
            <w:tcW w:w="1393" w:type="pct"/>
          </w:tcPr>
          <w:p w:rsidR="005448CC" w:rsidRDefault="005448CC" w:rsidP="00F7554A">
            <w:pPr>
              <w:pStyle w:val="TableText"/>
              <w:keepNext/>
              <w:keepLines/>
            </w:pPr>
            <w:r>
              <w:t>Underlying cash balance</w:t>
            </w:r>
          </w:p>
        </w:tc>
        <w:tc>
          <w:tcPr>
            <w:tcW w:w="721" w:type="pct"/>
            <w:vAlign w:val="bottom"/>
          </w:tcPr>
          <w:p w:rsidR="005448CC" w:rsidRPr="002840A8" w:rsidRDefault="005448CC" w:rsidP="00F7554A">
            <w:pPr>
              <w:pStyle w:val="TableTextRight"/>
              <w:keepNext/>
              <w:keepLines/>
            </w:pPr>
            <w:r w:rsidRPr="002840A8">
              <w:t xml:space="preserve">  - </w:t>
            </w:r>
          </w:p>
        </w:tc>
        <w:tc>
          <w:tcPr>
            <w:tcW w:w="721" w:type="pct"/>
            <w:vAlign w:val="bottom"/>
          </w:tcPr>
          <w:p w:rsidR="005448CC" w:rsidRPr="002840A8" w:rsidRDefault="005448CC" w:rsidP="00F7554A">
            <w:pPr>
              <w:pStyle w:val="TableTextRight"/>
              <w:keepNext/>
              <w:keepLines/>
            </w:pPr>
            <w:r w:rsidRPr="002840A8">
              <w:t xml:space="preserve">  -</w:t>
            </w:r>
            <w:r>
              <w:t>0.5</w:t>
            </w:r>
            <w:r w:rsidRPr="002840A8">
              <w:t xml:space="preserve"> </w:t>
            </w:r>
          </w:p>
        </w:tc>
        <w:tc>
          <w:tcPr>
            <w:tcW w:w="722" w:type="pct"/>
            <w:vAlign w:val="bottom"/>
          </w:tcPr>
          <w:p w:rsidR="005448CC" w:rsidRPr="002840A8" w:rsidRDefault="00BE6B1F" w:rsidP="00F7554A">
            <w:pPr>
              <w:pStyle w:val="TableTextRight"/>
              <w:keepNext/>
              <w:keepLines/>
            </w:pPr>
            <w:r>
              <w:t>-</w:t>
            </w:r>
            <w:r w:rsidR="005448CC" w:rsidRPr="002840A8">
              <w:t xml:space="preserve">0.5 </w:t>
            </w:r>
          </w:p>
        </w:tc>
        <w:tc>
          <w:tcPr>
            <w:tcW w:w="721" w:type="pct"/>
            <w:vAlign w:val="bottom"/>
          </w:tcPr>
          <w:p w:rsidR="005448CC" w:rsidRPr="002840A8" w:rsidRDefault="00BE6B1F" w:rsidP="00F7554A">
            <w:pPr>
              <w:pStyle w:val="TableTextRight"/>
              <w:keepNext/>
              <w:keepLines/>
            </w:pPr>
            <w:r>
              <w:t>-</w:t>
            </w:r>
            <w:r w:rsidR="005448CC" w:rsidRPr="002840A8">
              <w:t xml:space="preserve">0.5 </w:t>
            </w:r>
          </w:p>
        </w:tc>
        <w:tc>
          <w:tcPr>
            <w:tcW w:w="722" w:type="pct"/>
            <w:vAlign w:val="bottom"/>
          </w:tcPr>
          <w:p w:rsidR="005448CC" w:rsidRPr="00946ED8" w:rsidRDefault="005448CC" w:rsidP="00F7554A">
            <w:pPr>
              <w:pStyle w:val="TableTextRight"/>
              <w:keepNext/>
              <w:keepLines/>
              <w:rPr>
                <w:b/>
              </w:rPr>
            </w:pPr>
            <w:r w:rsidRPr="00946ED8">
              <w:rPr>
                <w:b/>
              </w:rPr>
              <w:t>-1.5</w:t>
            </w:r>
          </w:p>
        </w:tc>
      </w:tr>
    </w:tbl>
    <w:p w:rsidR="005448CC" w:rsidRDefault="005448CC" w:rsidP="00020177">
      <w:pPr>
        <w:pStyle w:val="Footnotes"/>
        <w:keepNext/>
        <w:keepLines/>
        <w:numPr>
          <w:ilvl w:val="0"/>
          <w:numId w:val="149"/>
        </w:numPr>
        <w:ind w:left="284" w:hanging="284"/>
      </w:pPr>
      <w:r>
        <w:t xml:space="preserve">A positive </w:t>
      </w:r>
      <w:r w:rsidRPr="00FC1F1C">
        <w:t>number indicates an increase in the relevant budget balance, a negative number a decrease.</w:t>
      </w:r>
    </w:p>
    <w:p w:rsidR="005448CC" w:rsidRPr="000E063A" w:rsidRDefault="005448CC" w:rsidP="00020177">
      <w:pPr>
        <w:pStyle w:val="Footnotes"/>
        <w:ind w:left="284" w:hanging="284"/>
        <w:rPr>
          <w:rStyle w:val="FootnoteReference"/>
          <w:vertAlign w:val="baseline"/>
        </w:rPr>
      </w:pPr>
      <w:r w:rsidRPr="000E063A">
        <w:t>Figures may not sum to totals due to rounding.</w:t>
      </w:r>
    </w:p>
    <w:p w:rsidR="005448CC" w:rsidRDefault="005448CC" w:rsidP="005448CC">
      <w:pPr>
        <w:pStyle w:val="CostingsH7"/>
      </w:pPr>
      <w:r>
        <w:t>Methodology</w:t>
      </w:r>
    </w:p>
    <w:p w:rsidR="005448CC" w:rsidRPr="00F64795" w:rsidRDefault="005448CC" w:rsidP="005448CC">
      <w:pPr>
        <w:pStyle w:val="BodyText"/>
      </w:pPr>
      <w:r w:rsidRPr="00F64795">
        <w:t>The departmental expenditure estimates are based on the prescribed staffing levels and estimates account for the net effect of indexation parameters and the efficiency dividend, in accordance with the Department of Finance’s costing practices.</w:t>
      </w:r>
    </w:p>
    <w:p w:rsidR="005448CC" w:rsidRDefault="005448CC" w:rsidP="005448CC">
      <w:pPr>
        <w:pStyle w:val="CostingsH7"/>
      </w:pPr>
      <w:r>
        <w:t>Data sources</w:t>
      </w:r>
    </w:p>
    <w:p w:rsidR="005448CC" w:rsidRPr="00F64795" w:rsidRDefault="005448CC" w:rsidP="005448CC">
      <w:pPr>
        <w:pStyle w:val="BodyText"/>
      </w:pPr>
      <w:r w:rsidRPr="00F64795">
        <w:t>The Department of Finance provided indexation and efficiency dividend parameters.</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AD251C" w:rsidRDefault="00AD251C" w:rsidP="00AD251C">
      <w:pPr>
        <w:pStyle w:val="Heading5"/>
        <w:ind w:left="1080" w:hanging="1080"/>
      </w:pPr>
      <w:bookmarkStart w:id="92" w:name="_Toc455655027"/>
      <w:bookmarkStart w:id="93" w:name="_Toc458081694"/>
      <w:r>
        <w:t>ALP07</w:t>
      </w:r>
      <w:r w:rsidR="009221D1">
        <w:t>0</w:t>
      </w:r>
      <w:r>
        <w:t>: Maintaining the Fair Entitlements Guarantee</w:t>
      </w:r>
      <w:bookmarkEnd w:id="92"/>
      <w:bookmarkEnd w:id="93"/>
    </w:p>
    <w:p w:rsidR="00AD251C" w:rsidRDefault="00AD251C" w:rsidP="00275C35">
      <w:pPr>
        <w:pStyle w:val="BodyText"/>
      </w:pPr>
      <w:r>
        <w:rPr>
          <w:noProof/>
          <w:lang w:eastAsia="en-AU"/>
        </w:rPr>
        <w:drawing>
          <wp:inline distT="0" distB="0" distL="0" distR="0" wp14:anchorId="1D17B940" wp14:editId="322A8A38">
            <wp:extent cx="2696845" cy="572135"/>
            <wp:effectExtent l="0" t="0" r="8255" b="0"/>
            <wp:docPr id="30" name="Picture 30"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AD251C" w:rsidRDefault="00AD251C" w:rsidP="00AD251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AD251C" w:rsidRPr="00BE6B1F"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AD251C" w:rsidRPr="00BE6B1F" w:rsidRDefault="00AD251C" w:rsidP="00F7554A">
            <w:pPr>
              <w:pStyle w:val="PullOutBoxHeading"/>
              <w:rPr>
                <w:b/>
              </w:rPr>
            </w:pPr>
            <w:r w:rsidRPr="00BE6B1F">
              <w:rPr>
                <w:b/>
              </w:rPr>
              <w:t>Name of proposal:</w:t>
            </w:r>
          </w:p>
        </w:tc>
        <w:tc>
          <w:tcPr>
            <w:tcW w:w="3191" w:type="pct"/>
          </w:tcPr>
          <w:p w:rsidR="00AD251C" w:rsidRPr="00BE6B1F" w:rsidRDefault="00AD251C" w:rsidP="00F7554A">
            <w:pPr>
              <w:pStyle w:val="PullOutBoxHeading"/>
              <w:rPr>
                <w:b/>
              </w:rPr>
            </w:pPr>
            <w:r w:rsidRPr="00BE6B1F">
              <w:rPr>
                <w:b/>
              </w:rPr>
              <w:t>Maintaining the Fair Entitlements Guarantee</w:t>
            </w:r>
          </w:p>
        </w:tc>
      </w:tr>
      <w:tr w:rsidR="00AD251C" w:rsidRPr="00B45F94" w:rsidTr="00F7554A">
        <w:tc>
          <w:tcPr>
            <w:tcW w:w="1809" w:type="pct"/>
          </w:tcPr>
          <w:p w:rsidR="00AD251C" w:rsidRPr="00B45F94" w:rsidRDefault="00AD251C" w:rsidP="00F7554A">
            <w:pPr>
              <w:pStyle w:val="PullOutBoxBodyText"/>
            </w:pPr>
            <w:r w:rsidRPr="00B45F94">
              <w:t>Summary of proposal:</w:t>
            </w:r>
          </w:p>
        </w:tc>
        <w:tc>
          <w:tcPr>
            <w:tcW w:w="3191" w:type="pct"/>
          </w:tcPr>
          <w:p w:rsidR="00AD251C" w:rsidRDefault="00AD251C" w:rsidP="00F7554A">
            <w:pPr>
              <w:pStyle w:val="PullOutBoxBodyText"/>
            </w:pPr>
            <w:r>
              <w:t xml:space="preserve">The proposal would reverse the 16 week limit on redundancy pay under the Fair Entitlements Guarantee (FEG) scheme announced in the 2014 15 Budget measure, </w:t>
            </w:r>
            <w:r w:rsidRPr="00725D7C">
              <w:rPr>
                <w:i/>
              </w:rPr>
              <w:t>Fair Entitlements Guarantee—aligning redundancy payments to national employment standards</w:t>
            </w:r>
            <w:r>
              <w:t xml:space="preserve">.  </w:t>
            </w:r>
          </w:p>
          <w:p w:rsidR="00AD251C" w:rsidRPr="00B45F94" w:rsidRDefault="00AD251C" w:rsidP="00F7554A">
            <w:pPr>
              <w:pStyle w:val="PullOutBoxBodyText"/>
            </w:pPr>
            <w:r>
              <w:t>The proposal would have effect from 1 July 2016.</w:t>
            </w:r>
          </w:p>
        </w:tc>
      </w:tr>
      <w:tr w:rsidR="00AD251C" w:rsidRPr="00B45F94" w:rsidTr="00F7554A">
        <w:tc>
          <w:tcPr>
            <w:tcW w:w="1809" w:type="pct"/>
          </w:tcPr>
          <w:p w:rsidR="00AD251C" w:rsidRPr="00B45F94" w:rsidRDefault="00AD251C" w:rsidP="00F7554A">
            <w:pPr>
              <w:pStyle w:val="PullOutBoxBodyText"/>
            </w:pPr>
            <w:r>
              <w:t>Party:</w:t>
            </w:r>
          </w:p>
        </w:tc>
        <w:tc>
          <w:tcPr>
            <w:tcW w:w="3191" w:type="pct"/>
          </w:tcPr>
          <w:p w:rsidR="00AD251C" w:rsidRPr="00B45F94" w:rsidRDefault="00AD251C" w:rsidP="00F7554A">
            <w:pPr>
              <w:pStyle w:val="PullOutBoxBodyText"/>
            </w:pPr>
            <w:r>
              <w:t>Australian Labor Party</w:t>
            </w:r>
          </w:p>
        </w:tc>
      </w:tr>
      <w:tr w:rsidR="00AD251C" w:rsidRPr="00B45F94" w:rsidTr="00F7554A">
        <w:tc>
          <w:tcPr>
            <w:tcW w:w="1809" w:type="pct"/>
          </w:tcPr>
          <w:p w:rsidR="00AD251C" w:rsidRPr="00B45F94" w:rsidRDefault="00AD251C" w:rsidP="00F7554A">
            <w:pPr>
              <w:pStyle w:val="PullOutBoxBodyText"/>
            </w:pPr>
            <w:r w:rsidRPr="00B45F94">
              <w:t>Expiry date for the costing:</w:t>
            </w:r>
          </w:p>
        </w:tc>
        <w:tc>
          <w:tcPr>
            <w:tcW w:w="3191" w:type="pct"/>
          </w:tcPr>
          <w:p w:rsidR="00AD251C" w:rsidRPr="00B45F94" w:rsidRDefault="00AD251C" w:rsidP="00F7554A">
            <w:pPr>
              <w:pStyle w:val="PullOutBoxBodyText"/>
            </w:pPr>
            <w:r>
              <w:t>Release of the next economic and fiscal update</w:t>
            </w:r>
          </w:p>
        </w:tc>
      </w:tr>
    </w:tbl>
    <w:p w:rsidR="00AD251C" w:rsidRDefault="00AD251C" w:rsidP="00AD251C">
      <w:pPr>
        <w:pStyle w:val="CostingsH7"/>
      </w:pPr>
      <w:r w:rsidRPr="00BF1EE6">
        <w:t>Costing overview</w:t>
      </w:r>
    </w:p>
    <w:p w:rsidR="00AD251C" w:rsidRDefault="00AD251C" w:rsidP="00AD251C">
      <w:pPr>
        <w:pStyle w:val="BodyText"/>
      </w:pPr>
      <w:r>
        <w:t>This proposal would be expected to decrease the fiscal and underlying cash balances by $105.1 million over the 2016-17 Budget forward estimates period.  This impact is entirely due to an increase in administered expenses.</w:t>
      </w:r>
    </w:p>
    <w:p w:rsidR="00AD251C" w:rsidRDefault="00AD251C" w:rsidP="00AD251C">
      <w:pPr>
        <w:pStyle w:val="BodyText"/>
      </w:pPr>
      <w:r>
        <w:t>This proposal would have an ongoing financial impact beyond the 2016-17 Budget forward estimates period.  This proposal would not be expected to have any impact on departmental costs as no departmental funding was provided in the original 2014-15 Budget measure.</w:t>
      </w:r>
    </w:p>
    <w:p w:rsidR="00AD251C" w:rsidRPr="00E3588F" w:rsidRDefault="00AD251C" w:rsidP="00AD251C">
      <w:pPr>
        <w:pStyle w:val="BodyText"/>
      </w:pPr>
      <w:r>
        <w:t>This costing is considered to be of medium reliability as assumptions have been made about the redundancy pay of claimants.</w:t>
      </w:r>
    </w:p>
    <w:p w:rsidR="00AD251C" w:rsidRDefault="00AD251C" w:rsidP="00AD251C">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AD251C"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AD251C" w:rsidRPr="00D264E1" w:rsidRDefault="00AD251C" w:rsidP="00F7554A">
            <w:pPr>
              <w:pStyle w:val="TableHeading"/>
            </w:pPr>
            <w:r>
              <w:t>Impact on ($m)</w:t>
            </w:r>
          </w:p>
        </w:tc>
        <w:tc>
          <w:tcPr>
            <w:tcW w:w="721" w:type="pct"/>
          </w:tcPr>
          <w:p w:rsidR="00AD251C" w:rsidRPr="00FC1F1C" w:rsidRDefault="00AD251C" w:rsidP="00F7554A">
            <w:pPr>
              <w:pStyle w:val="TableHeadingRight"/>
            </w:pPr>
            <w:r>
              <w:t>2016–17</w:t>
            </w:r>
          </w:p>
        </w:tc>
        <w:tc>
          <w:tcPr>
            <w:tcW w:w="721" w:type="pct"/>
          </w:tcPr>
          <w:p w:rsidR="00AD251C" w:rsidRPr="00FC1F1C" w:rsidRDefault="00AD251C" w:rsidP="00F7554A">
            <w:pPr>
              <w:pStyle w:val="TableHeadingRight"/>
            </w:pPr>
            <w:r>
              <w:t>2017–18</w:t>
            </w:r>
          </w:p>
        </w:tc>
        <w:tc>
          <w:tcPr>
            <w:tcW w:w="722" w:type="pct"/>
          </w:tcPr>
          <w:p w:rsidR="00AD251C" w:rsidRPr="00FC1F1C" w:rsidRDefault="00AD251C" w:rsidP="00F7554A">
            <w:pPr>
              <w:pStyle w:val="TableHeadingRight"/>
            </w:pPr>
            <w:r>
              <w:t>2018–19</w:t>
            </w:r>
          </w:p>
        </w:tc>
        <w:tc>
          <w:tcPr>
            <w:tcW w:w="721" w:type="pct"/>
          </w:tcPr>
          <w:p w:rsidR="00AD251C" w:rsidRPr="00FC1F1C" w:rsidRDefault="00AD251C" w:rsidP="00F7554A">
            <w:pPr>
              <w:pStyle w:val="TableHeadingRight"/>
            </w:pPr>
            <w:r>
              <w:t>2019–20</w:t>
            </w:r>
          </w:p>
        </w:tc>
        <w:tc>
          <w:tcPr>
            <w:tcW w:w="722" w:type="pct"/>
          </w:tcPr>
          <w:p w:rsidR="00AD251C" w:rsidRPr="00FC1F1C" w:rsidRDefault="00AD251C" w:rsidP="00F7554A">
            <w:pPr>
              <w:pStyle w:val="TableHeadingRight"/>
              <w:rPr>
                <w:b/>
              </w:rPr>
            </w:pPr>
            <w:r w:rsidRPr="00FC1F1C">
              <w:t>Total</w:t>
            </w:r>
          </w:p>
        </w:tc>
      </w:tr>
      <w:tr w:rsidR="00AD251C" w:rsidTr="00F7554A">
        <w:tc>
          <w:tcPr>
            <w:tcW w:w="1393" w:type="pct"/>
          </w:tcPr>
          <w:p w:rsidR="00AD251C" w:rsidRDefault="00AD251C" w:rsidP="00F7554A">
            <w:pPr>
              <w:pStyle w:val="TableText"/>
            </w:pPr>
            <w:r>
              <w:t>Fiscal balance</w:t>
            </w:r>
          </w:p>
        </w:tc>
        <w:tc>
          <w:tcPr>
            <w:tcW w:w="721" w:type="pct"/>
          </w:tcPr>
          <w:p w:rsidR="00AD251C" w:rsidRPr="00E57B72" w:rsidRDefault="00AD251C" w:rsidP="00F7554A">
            <w:pPr>
              <w:pStyle w:val="TableTextRight"/>
            </w:pPr>
            <w:r w:rsidRPr="00E57B72">
              <w:t xml:space="preserve">-23.3 </w:t>
            </w:r>
          </w:p>
        </w:tc>
        <w:tc>
          <w:tcPr>
            <w:tcW w:w="721" w:type="pct"/>
          </w:tcPr>
          <w:p w:rsidR="00AD251C" w:rsidRPr="00E57B72" w:rsidRDefault="00AD251C" w:rsidP="00F7554A">
            <w:pPr>
              <w:pStyle w:val="TableTextRight"/>
            </w:pPr>
            <w:r w:rsidRPr="00E57B72">
              <w:t xml:space="preserve">-26.1 </w:t>
            </w:r>
          </w:p>
        </w:tc>
        <w:tc>
          <w:tcPr>
            <w:tcW w:w="722" w:type="pct"/>
          </w:tcPr>
          <w:p w:rsidR="00AD251C" w:rsidRPr="00E57B72" w:rsidRDefault="00AD251C" w:rsidP="00F7554A">
            <w:pPr>
              <w:pStyle w:val="TableTextRight"/>
            </w:pPr>
            <w:r w:rsidRPr="00E57B72">
              <w:t xml:space="preserve">-27.2 </w:t>
            </w:r>
          </w:p>
        </w:tc>
        <w:tc>
          <w:tcPr>
            <w:tcW w:w="721" w:type="pct"/>
          </w:tcPr>
          <w:p w:rsidR="00AD251C" w:rsidRPr="00E57B72" w:rsidRDefault="00AD251C" w:rsidP="00F7554A">
            <w:pPr>
              <w:pStyle w:val="TableTextRight"/>
            </w:pPr>
            <w:r w:rsidRPr="00E57B72">
              <w:t xml:space="preserve">-28.4 </w:t>
            </w:r>
          </w:p>
        </w:tc>
        <w:tc>
          <w:tcPr>
            <w:tcW w:w="722" w:type="pct"/>
          </w:tcPr>
          <w:p w:rsidR="00AD251C" w:rsidRPr="00E57B72" w:rsidRDefault="00AD251C" w:rsidP="00F7554A">
            <w:pPr>
              <w:pStyle w:val="TableTextRight"/>
              <w:rPr>
                <w:b/>
              </w:rPr>
            </w:pPr>
            <w:r w:rsidRPr="00E57B72">
              <w:rPr>
                <w:b/>
              </w:rPr>
              <w:t xml:space="preserve">-105.1 </w:t>
            </w:r>
          </w:p>
        </w:tc>
      </w:tr>
      <w:tr w:rsidR="00AD251C" w:rsidTr="00F7554A">
        <w:tc>
          <w:tcPr>
            <w:tcW w:w="1393" w:type="pct"/>
          </w:tcPr>
          <w:p w:rsidR="00AD251C" w:rsidRDefault="00AD251C" w:rsidP="00F7554A">
            <w:pPr>
              <w:pStyle w:val="TableText"/>
            </w:pPr>
            <w:r>
              <w:t>Underlying cash balance</w:t>
            </w:r>
          </w:p>
        </w:tc>
        <w:tc>
          <w:tcPr>
            <w:tcW w:w="721" w:type="pct"/>
          </w:tcPr>
          <w:p w:rsidR="00AD251C" w:rsidRPr="00E57B72" w:rsidRDefault="00AD251C" w:rsidP="00F7554A">
            <w:pPr>
              <w:pStyle w:val="TableTextRight"/>
            </w:pPr>
            <w:r w:rsidRPr="00E57B72">
              <w:t xml:space="preserve">-23.3 </w:t>
            </w:r>
          </w:p>
        </w:tc>
        <w:tc>
          <w:tcPr>
            <w:tcW w:w="721" w:type="pct"/>
          </w:tcPr>
          <w:p w:rsidR="00AD251C" w:rsidRPr="00E57B72" w:rsidRDefault="00AD251C" w:rsidP="00F7554A">
            <w:pPr>
              <w:pStyle w:val="TableTextRight"/>
            </w:pPr>
            <w:r w:rsidRPr="00E57B72">
              <w:t xml:space="preserve">-26.1 </w:t>
            </w:r>
          </w:p>
        </w:tc>
        <w:tc>
          <w:tcPr>
            <w:tcW w:w="722" w:type="pct"/>
          </w:tcPr>
          <w:p w:rsidR="00AD251C" w:rsidRPr="00E57B72" w:rsidRDefault="00AD251C" w:rsidP="00F7554A">
            <w:pPr>
              <w:pStyle w:val="TableTextRight"/>
            </w:pPr>
            <w:r w:rsidRPr="00E57B72">
              <w:t xml:space="preserve">-27.2 </w:t>
            </w:r>
          </w:p>
        </w:tc>
        <w:tc>
          <w:tcPr>
            <w:tcW w:w="721" w:type="pct"/>
          </w:tcPr>
          <w:p w:rsidR="00AD251C" w:rsidRPr="00E57B72" w:rsidRDefault="00AD251C" w:rsidP="00F7554A">
            <w:pPr>
              <w:pStyle w:val="TableTextRight"/>
            </w:pPr>
            <w:r w:rsidRPr="00E57B72">
              <w:t xml:space="preserve">-28.4 </w:t>
            </w:r>
          </w:p>
        </w:tc>
        <w:tc>
          <w:tcPr>
            <w:tcW w:w="722" w:type="pct"/>
          </w:tcPr>
          <w:p w:rsidR="00AD251C" w:rsidRPr="00E57B72" w:rsidRDefault="00AD251C" w:rsidP="00F7554A">
            <w:pPr>
              <w:pStyle w:val="TableTextRight"/>
              <w:rPr>
                <w:b/>
              </w:rPr>
            </w:pPr>
            <w:r w:rsidRPr="00E57B72">
              <w:rPr>
                <w:b/>
              </w:rPr>
              <w:t xml:space="preserve">-105.1 </w:t>
            </w:r>
          </w:p>
        </w:tc>
      </w:tr>
    </w:tbl>
    <w:p w:rsidR="00AD251C" w:rsidRDefault="00AD251C" w:rsidP="0034662A">
      <w:pPr>
        <w:pStyle w:val="Footnotes"/>
        <w:numPr>
          <w:ilvl w:val="0"/>
          <w:numId w:val="150"/>
        </w:numPr>
        <w:ind w:left="284" w:hanging="284"/>
      </w:pPr>
      <w:r>
        <w:t xml:space="preserve">A positive </w:t>
      </w:r>
      <w:r w:rsidRPr="00FC1F1C">
        <w:t>number indicates an increase in the relevant budget balance, a negative number a decrease.</w:t>
      </w:r>
    </w:p>
    <w:p w:rsidR="00AD251C" w:rsidRDefault="00AD251C" w:rsidP="0034662A">
      <w:pPr>
        <w:pStyle w:val="Footnotes"/>
        <w:ind w:left="284" w:hanging="284"/>
      </w:pPr>
      <w:r>
        <w:t>Figures may not sum to totals due to rounding.</w:t>
      </w:r>
    </w:p>
    <w:p w:rsidR="00AD251C" w:rsidRDefault="00AD251C" w:rsidP="00AD251C">
      <w:pPr>
        <w:pStyle w:val="CostingsH7"/>
      </w:pPr>
      <w:r>
        <w:t>Key assumptions</w:t>
      </w:r>
    </w:p>
    <w:p w:rsidR="00AD251C" w:rsidRDefault="00AD251C" w:rsidP="00AD251C">
      <w:pPr>
        <w:pStyle w:val="ListBullet"/>
      </w:pPr>
      <w:r>
        <w:t>The number of claimants receiving redundancy pay would continue to increase at the same average rate that occurred between 2011-12 and 2013-14.</w:t>
      </w:r>
    </w:p>
    <w:p w:rsidR="00AD251C" w:rsidRPr="00273947" w:rsidRDefault="00AD251C" w:rsidP="00AD251C">
      <w:pPr>
        <w:pStyle w:val="ListBullet"/>
      </w:pPr>
      <w:r>
        <w:t>The average proportion of claimants receiving redundancy pay in excess of the national employment standard between 2011-12 and 2013-14 would remain constant.</w:t>
      </w:r>
    </w:p>
    <w:p w:rsidR="00AD251C" w:rsidRDefault="00AD251C" w:rsidP="00AD251C">
      <w:pPr>
        <w:pStyle w:val="CostingsH7"/>
      </w:pPr>
      <w:r>
        <w:t>Methodology</w:t>
      </w:r>
    </w:p>
    <w:p w:rsidR="00AD251C" w:rsidRPr="00273947" w:rsidRDefault="00AD251C" w:rsidP="00AD251C">
      <w:pPr>
        <w:pStyle w:val="ListBullet"/>
      </w:pPr>
      <w:r w:rsidRPr="00273947">
        <w:t>The estimated level of payments to claimants who would be entitled to redundancy pay over 16 weeks in the absence of the FEG limit was compared with the estimated level of payments with the 16 week FEG limit.  The difference is the impact of the proposal.</w:t>
      </w:r>
    </w:p>
    <w:p w:rsidR="00AD251C" w:rsidRDefault="00AD251C" w:rsidP="00AD251C">
      <w:pPr>
        <w:pStyle w:val="CostingsH7"/>
      </w:pPr>
      <w:r>
        <w:t>Data sources</w:t>
      </w:r>
    </w:p>
    <w:p w:rsidR="00AD251C" w:rsidRDefault="00AD251C" w:rsidP="00AD251C">
      <w:pPr>
        <w:pStyle w:val="ListBullet"/>
      </w:pPr>
      <w:r>
        <w:t xml:space="preserve">2014-15 Budget model underlying the measure, </w:t>
      </w:r>
      <w:r w:rsidRPr="00273947">
        <w:rPr>
          <w:i/>
        </w:rPr>
        <w:t>Fair Entitlements Guarantee – aligning redundancy payments to national employment standards</w:t>
      </w:r>
      <w:r>
        <w:t xml:space="preserve"> provided by the Department of Employment.</w:t>
      </w:r>
    </w:p>
    <w:p w:rsidR="00AD251C" w:rsidRPr="00273947" w:rsidRDefault="00AD251C" w:rsidP="00AD251C">
      <w:pPr>
        <w:pStyle w:val="ListBullet"/>
      </w:pPr>
      <w:r>
        <w:t xml:space="preserve">Parliamentary Budget Office 2016, </w:t>
      </w:r>
      <w:r w:rsidRPr="00273947">
        <w:rPr>
          <w:i/>
        </w:rPr>
        <w:t>Unlegislated measures carried forward in the budget estimates — June 2016 update</w:t>
      </w:r>
      <w:r>
        <w:rPr>
          <w:i/>
        </w:rPr>
        <w:t>,</w:t>
      </w:r>
      <w:r>
        <w:t xml:space="preserve"> PBO, Canberra.</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F06ED1" w:rsidRDefault="00F06ED1" w:rsidP="00F06ED1">
      <w:pPr>
        <w:pStyle w:val="Heading5"/>
        <w:ind w:left="1080" w:hanging="1080"/>
      </w:pPr>
      <w:bookmarkStart w:id="94" w:name="_Toc455655028"/>
      <w:bookmarkStart w:id="95" w:name="_Toc458081695"/>
      <w:r>
        <w:t>ALP07</w:t>
      </w:r>
      <w:r w:rsidR="009221D1">
        <w:t>1</w:t>
      </w:r>
      <w:r>
        <w:t>: National Affordable Housing Strategy</w:t>
      </w:r>
      <w:bookmarkEnd w:id="94"/>
      <w:bookmarkEnd w:id="95"/>
    </w:p>
    <w:p w:rsidR="00F06ED1" w:rsidRDefault="00F06ED1" w:rsidP="00275C35">
      <w:pPr>
        <w:pStyle w:val="BodyText"/>
      </w:pPr>
      <w:r>
        <w:rPr>
          <w:noProof/>
          <w:lang w:eastAsia="en-AU"/>
        </w:rPr>
        <w:drawing>
          <wp:inline distT="0" distB="0" distL="0" distR="0" wp14:anchorId="25054223" wp14:editId="55C7109B">
            <wp:extent cx="2696845" cy="572135"/>
            <wp:effectExtent l="0" t="0" r="8255" b="0"/>
            <wp:docPr id="29" name="Picture 2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F06ED1" w:rsidRDefault="00F06ED1" w:rsidP="00F06E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F06ED1" w:rsidRPr="00BE6B1F"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F06ED1" w:rsidRPr="00BE6B1F" w:rsidRDefault="00F06ED1" w:rsidP="00F7554A">
            <w:pPr>
              <w:pStyle w:val="PullOutBoxHeading"/>
              <w:rPr>
                <w:b/>
              </w:rPr>
            </w:pPr>
            <w:r w:rsidRPr="00BE6B1F">
              <w:rPr>
                <w:b/>
              </w:rPr>
              <w:t>Name of proposal:</w:t>
            </w:r>
          </w:p>
        </w:tc>
        <w:tc>
          <w:tcPr>
            <w:tcW w:w="3191" w:type="pct"/>
          </w:tcPr>
          <w:p w:rsidR="00F06ED1" w:rsidRPr="00BE6B1F" w:rsidRDefault="00F06ED1" w:rsidP="00F7554A">
            <w:pPr>
              <w:pStyle w:val="PullOutBoxHeading"/>
              <w:rPr>
                <w:b/>
              </w:rPr>
            </w:pPr>
            <w:r w:rsidRPr="00BE6B1F">
              <w:rPr>
                <w:b/>
              </w:rPr>
              <w:t>National Affordable Housing Strategy</w:t>
            </w:r>
          </w:p>
        </w:tc>
      </w:tr>
      <w:tr w:rsidR="00F06ED1" w:rsidRPr="00B45F94" w:rsidTr="00F7554A">
        <w:tc>
          <w:tcPr>
            <w:tcW w:w="1809" w:type="pct"/>
          </w:tcPr>
          <w:p w:rsidR="00F06ED1" w:rsidRPr="00B45F94" w:rsidRDefault="00F06ED1" w:rsidP="00F7554A">
            <w:pPr>
              <w:pStyle w:val="PullOutBoxBodyText"/>
            </w:pPr>
            <w:r w:rsidRPr="00B45F94">
              <w:t>Summary of proposal:</w:t>
            </w:r>
          </w:p>
        </w:tc>
        <w:tc>
          <w:tcPr>
            <w:tcW w:w="3191" w:type="pct"/>
          </w:tcPr>
          <w:p w:rsidR="00F06ED1" w:rsidRDefault="00F06ED1" w:rsidP="00F7554A">
            <w:pPr>
              <w:pStyle w:val="PullOutBoxBodyText"/>
            </w:pPr>
            <w:r>
              <w:t>The proposal would:</w:t>
            </w:r>
          </w:p>
          <w:p w:rsidR="00F06ED1" w:rsidRDefault="00F06ED1" w:rsidP="00F7554A">
            <w:pPr>
              <w:pStyle w:val="PullOutBoxBullet"/>
            </w:pPr>
            <w:r>
              <w:t>re-establish the National Housing Supply Council (NHSC)</w:t>
            </w:r>
          </w:p>
          <w:p w:rsidR="00F06ED1" w:rsidRDefault="00F06ED1" w:rsidP="00F7554A">
            <w:pPr>
              <w:pStyle w:val="PullOutBoxBullet"/>
            </w:pPr>
            <w:r>
              <w:t>provide a one-off establishment grant of $3 million to Homes4homes.</w:t>
            </w:r>
          </w:p>
          <w:p w:rsidR="00F06ED1" w:rsidRPr="00B45F94" w:rsidRDefault="00F06ED1" w:rsidP="00F7554A">
            <w:pPr>
              <w:pStyle w:val="PullOutBoxBodyText"/>
            </w:pPr>
            <w:r>
              <w:t>The proposal would have effect from 1 July 2017.</w:t>
            </w:r>
          </w:p>
        </w:tc>
      </w:tr>
      <w:tr w:rsidR="00F06ED1" w:rsidRPr="00B45F94" w:rsidTr="00F7554A">
        <w:tc>
          <w:tcPr>
            <w:tcW w:w="1809" w:type="pct"/>
          </w:tcPr>
          <w:p w:rsidR="00F06ED1" w:rsidRPr="00B45F94" w:rsidRDefault="00F06ED1" w:rsidP="00F7554A">
            <w:pPr>
              <w:pStyle w:val="PullOutBoxBodyText"/>
            </w:pPr>
            <w:r>
              <w:t>Party:</w:t>
            </w:r>
          </w:p>
        </w:tc>
        <w:tc>
          <w:tcPr>
            <w:tcW w:w="3191" w:type="pct"/>
          </w:tcPr>
          <w:p w:rsidR="00F06ED1" w:rsidRPr="00B45F94" w:rsidRDefault="00F06ED1" w:rsidP="00F7554A">
            <w:pPr>
              <w:pStyle w:val="PullOutBoxBodyText"/>
            </w:pPr>
            <w:r>
              <w:t>Australian Labor Party</w:t>
            </w:r>
          </w:p>
        </w:tc>
      </w:tr>
      <w:tr w:rsidR="00F06ED1" w:rsidRPr="00B45F94" w:rsidTr="00F7554A">
        <w:tc>
          <w:tcPr>
            <w:tcW w:w="1809" w:type="pct"/>
          </w:tcPr>
          <w:p w:rsidR="00F06ED1" w:rsidRPr="00B45F94" w:rsidRDefault="00F06ED1" w:rsidP="00F7554A">
            <w:pPr>
              <w:pStyle w:val="PullOutBoxBodyText"/>
            </w:pPr>
            <w:r w:rsidRPr="00B45F94">
              <w:t>Expiry date for the costing:</w:t>
            </w:r>
          </w:p>
        </w:tc>
        <w:tc>
          <w:tcPr>
            <w:tcW w:w="3191" w:type="pct"/>
          </w:tcPr>
          <w:p w:rsidR="00F06ED1" w:rsidRPr="00B45F94" w:rsidRDefault="00F06ED1" w:rsidP="00F7554A">
            <w:pPr>
              <w:pStyle w:val="PullOutBoxBodyText"/>
            </w:pPr>
            <w:r>
              <w:t>Release of the next economic and fiscal update</w:t>
            </w:r>
          </w:p>
        </w:tc>
      </w:tr>
    </w:tbl>
    <w:p w:rsidR="00F06ED1" w:rsidRDefault="00F06ED1" w:rsidP="00F06ED1">
      <w:pPr>
        <w:pStyle w:val="CostingsH7"/>
      </w:pPr>
      <w:r w:rsidRPr="00BF1EE6">
        <w:t>Costing overview</w:t>
      </w:r>
    </w:p>
    <w:p w:rsidR="00F06ED1" w:rsidRDefault="00F06ED1" w:rsidP="00F06ED1">
      <w:pPr>
        <w:pStyle w:val="BodyText"/>
      </w:pPr>
      <w:r>
        <w:t>The proposal would be expected to decrease both the fiscal and underlying cash balances by $11.1 million over the 2016-17 Budget forward estimates period.  This impact reflects an increase in administered expenses of $3.0 million and an increase in departmental expenses of $8.1 million.</w:t>
      </w:r>
    </w:p>
    <w:p w:rsidR="00F06ED1" w:rsidRDefault="00F06ED1" w:rsidP="00F06ED1">
      <w:pPr>
        <w:pStyle w:val="BodyText"/>
      </w:pPr>
      <w:r>
        <w:t>The proposal would be expected to have an ongoing impact that extends beyond the 2016</w:t>
      </w:r>
      <w:r>
        <w:noBreakHyphen/>
        <w:t>17 Budget forward estimates period.</w:t>
      </w:r>
    </w:p>
    <w:p w:rsidR="00F06ED1" w:rsidRDefault="00F06ED1" w:rsidP="00F06ED1">
      <w:pPr>
        <w:pStyle w:val="BodyText"/>
      </w:pPr>
      <w:r>
        <w:t xml:space="preserve">Detailed financial implications are provided at </w:t>
      </w:r>
      <w:r w:rsidRPr="006713E1">
        <w:rPr>
          <w:u w:val="single"/>
        </w:rPr>
        <w:t>Attachment A</w:t>
      </w:r>
      <w:r>
        <w:t>.</w:t>
      </w:r>
    </w:p>
    <w:p w:rsidR="00F06ED1" w:rsidRPr="006713E1" w:rsidRDefault="00F06ED1" w:rsidP="00F06ED1">
      <w:pPr>
        <w:pStyle w:val="BodyText"/>
      </w:pPr>
      <w:r>
        <w:t>This costing is considered to be of high reliability as the estimates are based on the previous NHSC expenditure and a fixed amount of funding for Homes4homes.</w:t>
      </w:r>
    </w:p>
    <w:p w:rsidR="00F06ED1" w:rsidRDefault="00F06ED1" w:rsidP="00F06ED1">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F06ED1"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F06ED1" w:rsidRPr="00D264E1" w:rsidRDefault="00F06ED1" w:rsidP="00F7554A">
            <w:pPr>
              <w:pStyle w:val="TableHeading"/>
            </w:pPr>
            <w:r>
              <w:t>Impact on ($m)</w:t>
            </w:r>
          </w:p>
        </w:tc>
        <w:tc>
          <w:tcPr>
            <w:tcW w:w="721" w:type="pct"/>
          </w:tcPr>
          <w:p w:rsidR="00F06ED1" w:rsidRPr="00FC1F1C" w:rsidRDefault="00F06ED1" w:rsidP="00F7554A">
            <w:pPr>
              <w:pStyle w:val="TableHeadingRight"/>
            </w:pPr>
            <w:r>
              <w:t>2016–17</w:t>
            </w:r>
          </w:p>
        </w:tc>
        <w:tc>
          <w:tcPr>
            <w:tcW w:w="721" w:type="pct"/>
          </w:tcPr>
          <w:p w:rsidR="00F06ED1" w:rsidRPr="00FC1F1C" w:rsidRDefault="00F06ED1" w:rsidP="00F7554A">
            <w:pPr>
              <w:pStyle w:val="TableHeadingRight"/>
            </w:pPr>
            <w:r>
              <w:t>2017–18</w:t>
            </w:r>
          </w:p>
        </w:tc>
        <w:tc>
          <w:tcPr>
            <w:tcW w:w="722" w:type="pct"/>
          </w:tcPr>
          <w:p w:rsidR="00F06ED1" w:rsidRPr="00FC1F1C" w:rsidRDefault="00F06ED1" w:rsidP="00F7554A">
            <w:pPr>
              <w:pStyle w:val="TableHeadingRight"/>
            </w:pPr>
            <w:r>
              <w:t>2018–19</w:t>
            </w:r>
          </w:p>
        </w:tc>
        <w:tc>
          <w:tcPr>
            <w:tcW w:w="721" w:type="pct"/>
          </w:tcPr>
          <w:p w:rsidR="00F06ED1" w:rsidRPr="00FC1F1C" w:rsidRDefault="00F06ED1" w:rsidP="00F7554A">
            <w:pPr>
              <w:pStyle w:val="TableHeadingRight"/>
            </w:pPr>
            <w:r>
              <w:t>2019–20</w:t>
            </w:r>
          </w:p>
        </w:tc>
        <w:tc>
          <w:tcPr>
            <w:tcW w:w="722" w:type="pct"/>
          </w:tcPr>
          <w:p w:rsidR="00F06ED1" w:rsidRPr="00FC1F1C" w:rsidRDefault="00F06ED1" w:rsidP="00F7554A">
            <w:pPr>
              <w:pStyle w:val="TableHeadingRight"/>
              <w:rPr>
                <w:b/>
              </w:rPr>
            </w:pPr>
            <w:r w:rsidRPr="00FC1F1C">
              <w:t>Total</w:t>
            </w:r>
          </w:p>
        </w:tc>
      </w:tr>
      <w:tr w:rsidR="00F06ED1" w:rsidTr="00F7554A">
        <w:tc>
          <w:tcPr>
            <w:tcW w:w="1393" w:type="pct"/>
          </w:tcPr>
          <w:p w:rsidR="00F06ED1" w:rsidRDefault="00F06ED1" w:rsidP="00F7554A">
            <w:pPr>
              <w:pStyle w:val="TableText"/>
            </w:pPr>
            <w:r>
              <w:t>Fiscal balance</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-5.6</w:t>
            </w:r>
          </w:p>
        </w:tc>
        <w:tc>
          <w:tcPr>
            <w:tcW w:w="722" w:type="pct"/>
            <w:vAlign w:val="center"/>
          </w:tcPr>
          <w:p w:rsidR="00F06ED1" w:rsidRPr="003A3459" w:rsidRDefault="00F06ED1" w:rsidP="00F7554A">
            <w:pPr>
              <w:pStyle w:val="TableTextCentred"/>
              <w:keepNext/>
              <w:keepLines/>
              <w:spacing w:line="240" w:lineRule="auto"/>
              <w:jc w:val="right"/>
              <w:rPr>
                <w:szCs w:val="20"/>
              </w:rPr>
            </w:pPr>
            <w:r>
              <w:rPr>
                <w:szCs w:val="20"/>
              </w:rPr>
              <w:t>-2.7</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-2.7</w:t>
            </w:r>
          </w:p>
        </w:tc>
        <w:tc>
          <w:tcPr>
            <w:tcW w:w="722" w:type="pct"/>
            <w:vAlign w:val="center"/>
          </w:tcPr>
          <w:p w:rsidR="00F06ED1" w:rsidRPr="00C363AE" w:rsidRDefault="00F06ED1" w:rsidP="00F7554A">
            <w:pPr>
              <w:pStyle w:val="TableTextCentred"/>
              <w:keepNext/>
              <w:keepLines/>
              <w:spacing w:line="240" w:lineRule="auto"/>
              <w:jc w:val="right"/>
              <w:rPr>
                <w:b/>
                <w:szCs w:val="20"/>
              </w:rPr>
            </w:pPr>
            <w:r>
              <w:rPr>
                <w:b/>
                <w:szCs w:val="20"/>
              </w:rPr>
              <w:t>-11.1</w:t>
            </w:r>
          </w:p>
        </w:tc>
      </w:tr>
      <w:tr w:rsidR="00F06ED1" w:rsidTr="00F7554A">
        <w:tc>
          <w:tcPr>
            <w:tcW w:w="1393" w:type="pct"/>
          </w:tcPr>
          <w:p w:rsidR="00F06ED1" w:rsidRDefault="00F06ED1" w:rsidP="00F7554A">
            <w:pPr>
              <w:pStyle w:val="TableText"/>
            </w:pPr>
            <w:r>
              <w:t>Underlying cash balance</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-5.6</w:t>
            </w:r>
          </w:p>
        </w:tc>
        <w:tc>
          <w:tcPr>
            <w:tcW w:w="722" w:type="pct"/>
            <w:vAlign w:val="center"/>
          </w:tcPr>
          <w:p w:rsidR="00F06ED1" w:rsidRPr="003A3459" w:rsidRDefault="00F06ED1" w:rsidP="00F7554A">
            <w:pPr>
              <w:pStyle w:val="TableTextCentred"/>
              <w:keepNext/>
              <w:keepLines/>
              <w:spacing w:line="240" w:lineRule="auto"/>
              <w:jc w:val="right"/>
              <w:rPr>
                <w:szCs w:val="20"/>
              </w:rPr>
            </w:pPr>
            <w:r>
              <w:rPr>
                <w:szCs w:val="20"/>
              </w:rPr>
              <w:t>-2.7</w:t>
            </w:r>
          </w:p>
        </w:tc>
        <w:tc>
          <w:tcPr>
            <w:tcW w:w="721" w:type="pct"/>
            <w:vAlign w:val="center"/>
          </w:tcPr>
          <w:p w:rsidR="00F06ED1" w:rsidRPr="003A3459" w:rsidRDefault="00F06ED1" w:rsidP="00F7554A">
            <w:pPr>
              <w:pStyle w:val="TableTextCentred"/>
              <w:keepNext/>
              <w:keepLines/>
              <w:spacing w:line="240" w:lineRule="auto"/>
              <w:jc w:val="right"/>
              <w:rPr>
                <w:szCs w:val="20"/>
              </w:rPr>
            </w:pPr>
            <w:r>
              <w:rPr>
                <w:szCs w:val="20"/>
              </w:rPr>
              <w:t>-2.7</w:t>
            </w:r>
          </w:p>
        </w:tc>
        <w:tc>
          <w:tcPr>
            <w:tcW w:w="722" w:type="pct"/>
            <w:vAlign w:val="center"/>
          </w:tcPr>
          <w:p w:rsidR="00F06ED1" w:rsidRPr="00C363AE" w:rsidRDefault="00F06ED1" w:rsidP="00F7554A">
            <w:pPr>
              <w:pStyle w:val="TableTextCentred"/>
              <w:keepNext/>
              <w:keepLines/>
              <w:spacing w:line="240" w:lineRule="auto"/>
              <w:jc w:val="right"/>
              <w:rPr>
                <w:b/>
                <w:szCs w:val="20"/>
              </w:rPr>
            </w:pPr>
            <w:r>
              <w:rPr>
                <w:b/>
                <w:szCs w:val="20"/>
              </w:rPr>
              <w:t>-11.1</w:t>
            </w:r>
          </w:p>
        </w:tc>
      </w:tr>
    </w:tbl>
    <w:p w:rsidR="00F06ED1" w:rsidRDefault="00F06ED1" w:rsidP="0034662A">
      <w:pPr>
        <w:pStyle w:val="Footnotes"/>
        <w:numPr>
          <w:ilvl w:val="0"/>
          <w:numId w:val="151"/>
        </w:numPr>
        <w:ind w:left="284" w:hanging="284"/>
      </w:pPr>
      <w:r>
        <w:t xml:space="preserve">A positive </w:t>
      </w:r>
      <w:r w:rsidRPr="00FC1F1C">
        <w:t>number indicates an increase in the relevant budget balance, a negative number a decrease.</w:t>
      </w:r>
    </w:p>
    <w:p w:rsidR="00F06ED1" w:rsidRDefault="00F06ED1" w:rsidP="0034662A">
      <w:pPr>
        <w:pStyle w:val="Footnotes"/>
        <w:ind w:left="284" w:hanging="284"/>
      </w:pPr>
      <w:r w:rsidRPr="000E063A">
        <w:t>Figures may not sum to totals due to rounding.</w:t>
      </w:r>
    </w:p>
    <w:p w:rsidR="00F06ED1" w:rsidRPr="000E063A" w:rsidRDefault="00F06ED1" w:rsidP="0034662A">
      <w:pPr>
        <w:pStyle w:val="Footnotes"/>
        <w:numPr>
          <w:ilvl w:val="0"/>
          <w:numId w:val="33"/>
        </w:numPr>
        <w:ind w:left="284" w:hanging="284"/>
        <w:rPr>
          <w:rStyle w:val="FootnoteReference"/>
          <w:vertAlign w:val="baseline"/>
        </w:rPr>
      </w:pPr>
      <w:r>
        <w:t>Indicates nil.</w:t>
      </w:r>
    </w:p>
    <w:p w:rsidR="00F06ED1" w:rsidRDefault="00F06ED1" w:rsidP="00F06ED1">
      <w:pPr>
        <w:pStyle w:val="CostingsH7"/>
      </w:pPr>
      <w:r>
        <w:t>Methodology</w:t>
      </w:r>
    </w:p>
    <w:p w:rsidR="00F06ED1" w:rsidRDefault="00F06ED1" w:rsidP="00F06ED1">
      <w:pPr>
        <w:pStyle w:val="BodyText"/>
      </w:pPr>
      <w:r>
        <w:t>The impact of the proposal to re-establish the NHSC was calculated by growing the previous NHSC expenditure estimates by applying the net effect of indexation parameters and the efficiency dividend, in accordance with the Department of Finance’s costing practices.</w:t>
      </w:r>
    </w:p>
    <w:p w:rsidR="00F06ED1" w:rsidRPr="008B38B8" w:rsidRDefault="00F06ED1" w:rsidP="00F06ED1">
      <w:pPr>
        <w:pStyle w:val="BodyText"/>
      </w:pPr>
      <w:r>
        <w:t>Estimates have been rounded to the nearest $100,000.</w:t>
      </w:r>
    </w:p>
    <w:p w:rsidR="00F06ED1" w:rsidRDefault="00F06ED1" w:rsidP="00F06ED1">
      <w:pPr>
        <w:pStyle w:val="CostingsH7"/>
      </w:pPr>
      <w:r>
        <w:t>Data sources</w:t>
      </w:r>
    </w:p>
    <w:p w:rsidR="00F06ED1" w:rsidRDefault="00F06ED1" w:rsidP="00F06ED1">
      <w:pPr>
        <w:pStyle w:val="BodyText"/>
      </w:pPr>
      <w:r>
        <w:t>The Department of Finance provided parameters as at the 2016 Pre-election Economic and Fiscal Outlook.</w:t>
      </w:r>
    </w:p>
    <w:p w:rsidR="00F06ED1" w:rsidRDefault="00F06ED1" w:rsidP="00F06ED1">
      <w:pPr>
        <w:pStyle w:val="BodyText"/>
      </w:pPr>
      <w:r>
        <w:t xml:space="preserve">2008-09 Budget measure, </w:t>
      </w:r>
      <w:r w:rsidRPr="00725D7C">
        <w:rPr>
          <w:i/>
        </w:rPr>
        <w:t>National Housing Supply Council</w:t>
      </w:r>
      <w:r>
        <w:t>.</w:t>
      </w:r>
    </w:p>
    <w:p w:rsidR="00F06ED1" w:rsidRDefault="00F06ED1" w:rsidP="00F06ED1">
      <w:pPr>
        <w:pStyle w:val="BodyText"/>
      </w:pPr>
      <w:r>
        <w:t xml:space="preserve">Department of Families, Housing, Community Services and Indigenous Affairs 2008, </w:t>
      </w:r>
      <w:r w:rsidRPr="000D71E5">
        <w:rPr>
          <w:i/>
        </w:rPr>
        <w:t>Portfolio Additional Estimates Statements 2007-08: Families, Housing, Community Services and Indigenous Affairs Portfolio</w:t>
      </w:r>
      <w:r>
        <w:t>, FaHCSIA, Canberra.</w:t>
      </w:r>
    </w:p>
    <w:p w:rsidR="0034662A" w:rsidRDefault="0034662A" w:rsidP="00F06ED1">
      <w:pPr>
        <w:pStyle w:val="BodyText"/>
      </w:pPr>
    </w:p>
    <w:p w:rsidR="0034662A" w:rsidRDefault="0034662A" w:rsidP="00F06ED1">
      <w:pPr>
        <w:pStyle w:val="BodyText"/>
        <w:sectPr w:rsidR="0034662A" w:rsidSect="00967BCD">
          <w:footnotePr>
            <w:numRestart w:val="eachSect"/>
          </w:footnotePr>
          <w:pgSz w:w="11906" w:h="16838" w:code="9"/>
          <w:pgMar w:top="1361" w:right="1797" w:bottom="1474" w:left="1797" w:header="283" w:footer="454" w:gutter="0"/>
          <w:cols w:space="708"/>
          <w:docGrid w:linePitch="360"/>
        </w:sectPr>
      </w:pPr>
    </w:p>
    <w:p w:rsidR="00F06ED1" w:rsidRDefault="00F06ED1" w:rsidP="00F06ED1">
      <w:pPr>
        <w:pStyle w:val="Heading6"/>
        <w:numPr>
          <w:ilvl w:val="0"/>
          <w:numId w:val="10"/>
        </w:numPr>
        <w:tabs>
          <w:tab w:val="right" w:pos="1418"/>
          <w:tab w:val="right" w:pos="1701"/>
          <w:tab w:val="right" w:pos="1985"/>
        </w:tabs>
        <w:spacing w:before="480"/>
      </w:pPr>
      <w:r>
        <w:t>Attachment A: National Affordable Housing Strategy—</w:t>
      </w:r>
      <w:r w:rsidR="0080154C">
        <w:t>financial implications</w:t>
      </w:r>
    </w:p>
    <w:p w:rsidR="00F06ED1" w:rsidRDefault="00F06ED1" w:rsidP="00F06ED1">
      <w:pPr>
        <w:pStyle w:val="Caption"/>
      </w:pPr>
      <w:r w:rsidRPr="002B36F1">
        <w:t xml:space="preserve">Table </w:t>
      </w:r>
      <w:r>
        <w:t>A1</w:t>
      </w:r>
      <w:r w:rsidRPr="002B36F1">
        <w:t>:</w:t>
      </w:r>
      <w:r>
        <w:t xml:space="preserve"> National Affordable Housing Strategy—</w:t>
      </w:r>
      <w:r w:rsidR="0080154C">
        <w:t>Financial implications</w:t>
      </w:r>
      <w:r>
        <w:t xml:space="preserve">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F06ED1"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F06ED1" w:rsidRPr="007C2713" w:rsidRDefault="00F06ED1" w:rsidP="00F7554A">
            <w:pPr>
              <w:pStyle w:val="TableText"/>
              <w:rPr>
                <w:b w:val="0"/>
              </w:rPr>
            </w:pPr>
            <w:r>
              <w:t>($)</w:t>
            </w:r>
          </w:p>
        </w:tc>
        <w:tc>
          <w:tcPr>
            <w:tcW w:w="689" w:type="pct"/>
            <w:vAlign w:val="center"/>
          </w:tcPr>
          <w:p w:rsidR="00F06ED1" w:rsidRDefault="00F06ED1" w:rsidP="00F7554A">
            <w:pPr>
              <w:pStyle w:val="TableTextRight"/>
              <w:rPr>
                <w:b w:val="0"/>
              </w:rPr>
            </w:pPr>
            <w:r>
              <w:t>2016–17</w:t>
            </w:r>
          </w:p>
        </w:tc>
        <w:tc>
          <w:tcPr>
            <w:tcW w:w="689" w:type="pct"/>
            <w:vAlign w:val="center"/>
          </w:tcPr>
          <w:p w:rsidR="00F06ED1" w:rsidRDefault="00F06ED1" w:rsidP="00F7554A">
            <w:pPr>
              <w:pStyle w:val="TableTextRight"/>
              <w:rPr>
                <w:b w:val="0"/>
              </w:rPr>
            </w:pPr>
            <w:r>
              <w:t>2017–18</w:t>
            </w:r>
          </w:p>
        </w:tc>
        <w:tc>
          <w:tcPr>
            <w:tcW w:w="689" w:type="pct"/>
            <w:vAlign w:val="center"/>
          </w:tcPr>
          <w:p w:rsidR="00F06ED1" w:rsidRDefault="00F06ED1" w:rsidP="00F7554A">
            <w:pPr>
              <w:pStyle w:val="TableTextRight"/>
              <w:rPr>
                <w:b w:val="0"/>
              </w:rPr>
            </w:pPr>
            <w:r>
              <w:t>2018–19</w:t>
            </w:r>
          </w:p>
        </w:tc>
        <w:tc>
          <w:tcPr>
            <w:tcW w:w="689" w:type="pct"/>
            <w:vAlign w:val="center"/>
          </w:tcPr>
          <w:p w:rsidR="00F06ED1" w:rsidRDefault="00F06ED1" w:rsidP="00F7554A">
            <w:pPr>
              <w:pStyle w:val="TableTextRight"/>
              <w:rPr>
                <w:b w:val="0"/>
              </w:rPr>
            </w:pPr>
            <w:r>
              <w:t>2019–20</w:t>
            </w:r>
          </w:p>
        </w:tc>
        <w:tc>
          <w:tcPr>
            <w:tcW w:w="690" w:type="pct"/>
            <w:vAlign w:val="center"/>
          </w:tcPr>
          <w:p w:rsidR="00F06ED1" w:rsidRDefault="00F06ED1" w:rsidP="00F7554A">
            <w:pPr>
              <w:pStyle w:val="TableTextRight"/>
            </w:pPr>
            <w:r>
              <w:t>Total to 2019–20</w:t>
            </w:r>
          </w:p>
        </w:tc>
      </w:tr>
      <w:tr w:rsidR="00F06ED1" w:rsidTr="00725D7C">
        <w:tc>
          <w:tcPr>
            <w:tcW w:w="5000" w:type="pct"/>
            <w:gridSpan w:val="6"/>
            <w:shd w:val="clear" w:color="auto" w:fill="E9ECF3" w:themeFill="accent2" w:themeFillTint="33"/>
            <w:vAlign w:val="center"/>
          </w:tcPr>
          <w:p w:rsidR="00F06ED1" w:rsidRDefault="00F06ED1" w:rsidP="00F7554A">
            <w:pPr>
              <w:pStyle w:val="TableHeading"/>
            </w:pPr>
            <w:r>
              <w:t>Fiscal and underlying cash balances</w:t>
            </w:r>
          </w:p>
        </w:tc>
      </w:tr>
      <w:tr w:rsidR="00F06ED1" w:rsidTr="00F7554A">
        <w:tc>
          <w:tcPr>
            <w:tcW w:w="5000" w:type="pct"/>
            <w:gridSpan w:val="6"/>
            <w:vAlign w:val="center"/>
          </w:tcPr>
          <w:p w:rsidR="00F06ED1" w:rsidRDefault="00F06ED1" w:rsidP="00F7554A">
            <w:pPr>
              <w:pStyle w:val="TableHeading"/>
            </w:pPr>
            <w:r>
              <w:t>Administered</w:t>
            </w:r>
          </w:p>
        </w:tc>
      </w:tr>
      <w:tr w:rsidR="00F06ED1" w:rsidTr="00F7554A">
        <w:tc>
          <w:tcPr>
            <w:tcW w:w="1554" w:type="pct"/>
            <w:vAlign w:val="center"/>
          </w:tcPr>
          <w:p w:rsidR="00F06ED1" w:rsidRPr="007C2713" w:rsidRDefault="00F06ED1" w:rsidP="00F7554A">
            <w:pPr>
              <w:pStyle w:val="TableText"/>
            </w:pPr>
            <w:r>
              <w:t>Homes4homes grant</w:t>
            </w:r>
          </w:p>
        </w:tc>
        <w:tc>
          <w:tcPr>
            <w:tcW w:w="689" w:type="pct"/>
            <w:vAlign w:val="center"/>
          </w:tcPr>
          <w:p w:rsidR="00F06ED1" w:rsidRPr="007D646A" w:rsidRDefault="00F06ED1" w:rsidP="00F7554A">
            <w:pPr>
              <w:pStyle w:val="TableTextRight"/>
              <w:rPr>
                <w:i/>
              </w:rPr>
            </w:pPr>
            <w:r w:rsidRPr="007D646A">
              <w:rPr>
                <w:i/>
              </w:rPr>
              <w:t>-</w:t>
            </w:r>
          </w:p>
        </w:tc>
        <w:tc>
          <w:tcPr>
            <w:tcW w:w="689" w:type="pct"/>
            <w:vAlign w:val="center"/>
          </w:tcPr>
          <w:p w:rsidR="00F06ED1" w:rsidRPr="007D646A" w:rsidRDefault="00F06ED1" w:rsidP="00F7554A">
            <w:pPr>
              <w:pStyle w:val="TableTextRight"/>
              <w:rPr>
                <w:i/>
              </w:rPr>
            </w:pPr>
            <w:r w:rsidRPr="007D646A">
              <w:rPr>
                <w:i/>
              </w:rPr>
              <w:t>-3.0</w:t>
            </w:r>
          </w:p>
        </w:tc>
        <w:tc>
          <w:tcPr>
            <w:tcW w:w="689" w:type="pct"/>
            <w:vAlign w:val="center"/>
          </w:tcPr>
          <w:p w:rsidR="00F06ED1" w:rsidRPr="007D646A" w:rsidRDefault="00F06ED1" w:rsidP="00F7554A">
            <w:pPr>
              <w:pStyle w:val="TableTextRight"/>
              <w:rPr>
                <w:i/>
                <w:szCs w:val="20"/>
              </w:rPr>
            </w:pPr>
            <w:r w:rsidRPr="007D646A">
              <w:rPr>
                <w:i/>
              </w:rPr>
              <w:t>-</w:t>
            </w:r>
          </w:p>
        </w:tc>
        <w:tc>
          <w:tcPr>
            <w:tcW w:w="689" w:type="pct"/>
            <w:vAlign w:val="center"/>
          </w:tcPr>
          <w:p w:rsidR="00F06ED1" w:rsidRPr="007D646A" w:rsidRDefault="00F06ED1" w:rsidP="00F7554A">
            <w:pPr>
              <w:pStyle w:val="TableTextRight"/>
              <w:rPr>
                <w:i/>
                <w:szCs w:val="20"/>
              </w:rPr>
            </w:pPr>
            <w:r w:rsidRPr="007D646A">
              <w:rPr>
                <w:i/>
              </w:rPr>
              <w:t>-</w:t>
            </w:r>
          </w:p>
        </w:tc>
        <w:tc>
          <w:tcPr>
            <w:tcW w:w="690" w:type="pct"/>
            <w:vAlign w:val="center"/>
          </w:tcPr>
          <w:p w:rsidR="00F06ED1" w:rsidRPr="007D646A" w:rsidRDefault="00F06ED1" w:rsidP="00F7554A">
            <w:pPr>
              <w:pStyle w:val="TableTextRight"/>
              <w:rPr>
                <w:b/>
                <w:i/>
                <w:szCs w:val="20"/>
              </w:rPr>
            </w:pPr>
            <w:r w:rsidRPr="007D646A">
              <w:rPr>
                <w:b/>
                <w:i/>
              </w:rPr>
              <w:t>-3.0</w:t>
            </w:r>
          </w:p>
        </w:tc>
      </w:tr>
      <w:tr w:rsidR="00F06ED1" w:rsidTr="00F7554A">
        <w:tc>
          <w:tcPr>
            <w:tcW w:w="5000" w:type="pct"/>
            <w:gridSpan w:val="6"/>
            <w:vAlign w:val="center"/>
          </w:tcPr>
          <w:p w:rsidR="00F06ED1" w:rsidRDefault="00F06ED1" w:rsidP="00F7554A">
            <w:pPr>
              <w:pStyle w:val="TableHeading"/>
            </w:pPr>
            <w:r>
              <w:t>Departmental</w:t>
            </w:r>
          </w:p>
        </w:tc>
      </w:tr>
      <w:tr w:rsidR="00F06ED1" w:rsidTr="00F7554A">
        <w:tc>
          <w:tcPr>
            <w:tcW w:w="1554" w:type="pct"/>
            <w:vAlign w:val="center"/>
          </w:tcPr>
          <w:p w:rsidR="00F06ED1" w:rsidRPr="007C2713" w:rsidRDefault="00F06ED1" w:rsidP="00F7554A">
            <w:pPr>
              <w:pStyle w:val="TableText"/>
            </w:pPr>
            <w:r>
              <w:t>Re-establish the NHSC</w:t>
            </w:r>
          </w:p>
        </w:tc>
        <w:tc>
          <w:tcPr>
            <w:tcW w:w="689" w:type="pct"/>
            <w:vAlign w:val="center"/>
          </w:tcPr>
          <w:p w:rsidR="00F06ED1" w:rsidRPr="007D646A" w:rsidRDefault="00F06ED1" w:rsidP="00F7554A">
            <w:pPr>
              <w:pStyle w:val="TableTextRight"/>
              <w:rPr>
                <w:i/>
              </w:rPr>
            </w:pPr>
            <w:r w:rsidRPr="007D646A">
              <w:rPr>
                <w:i/>
              </w:rPr>
              <w:t>-</w:t>
            </w:r>
          </w:p>
        </w:tc>
        <w:tc>
          <w:tcPr>
            <w:tcW w:w="689" w:type="pct"/>
            <w:vAlign w:val="center"/>
          </w:tcPr>
          <w:p w:rsidR="00F06ED1" w:rsidRPr="007D646A" w:rsidRDefault="00F06ED1" w:rsidP="00F7554A">
            <w:pPr>
              <w:pStyle w:val="TableTextRight"/>
              <w:rPr>
                <w:i/>
              </w:rPr>
            </w:pPr>
            <w:r w:rsidRPr="007D646A">
              <w:rPr>
                <w:i/>
              </w:rPr>
              <w:t>-2.6</w:t>
            </w:r>
          </w:p>
        </w:tc>
        <w:tc>
          <w:tcPr>
            <w:tcW w:w="689" w:type="pct"/>
            <w:vAlign w:val="center"/>
          </w:tcPr>
          <w:p w:rsidR="00F06ED1" w:rsidRPr="007D646A" w:rsidRDefault="00F06ED1" w:rsidP="00F7554A">
            <w:pPr>
              <w:pStyle w:val="TableTextRight"/>
              <w:rPr>
                <w:i/>
              </w:rPr>
            </w:pPr>
            <w:r w:rsidRPr="007D646A">
              <w:rPr>
                <w:i/>
                <w:szCs w:val="20"/>
              </w:rPr>
              <w:t>-2.7</w:t>
            </w:r>
          </w:p>
        </w:tc>
        <w:tc>
          <w:tcPr>
            <w:tcW w:w="689" w:type="pct"/>
            <w:vAlign w:val="center"/>
          </w:tcPr>
          <w:p w:rsidR="00F06ED1" w:rsidRPr="007D646A" w:rsidRDefault="00F06ED1" w:rsidP="00F7554A">
            <w:pPr>
              <w:pStyle w:val="TableTextRight"/>
              <w:rPr>
                <w:i/>
              </w:rPr>
            </w:pPr>
            <w:r w:rsidRPr="007D646A">
              <w:rPr>
                <w:i/>
                <w:szCs w:val="20"/>
              </w:rPr>
              <w:t>-2.7</w:t>
            </w:r>
          </w:p>
        </w:tc>
        <w:tc>
          <w:tcPr>
            <w:tcW w:w="690" w:type="pct"/>
            <w:vAlign w:val="center"/>
          </w:tcPr>
          <w:p w:rsidR="00F06ED1" w:rsidRPr="007D646A" w:rsidRDefault="00F06ED1" w:rsidP="00F7554A">
            <w:pPr>
              <w:pStyle w:val="TableTextRight"/>
              <w:rPr>
                <w:b/>
                <w:i/>
              </w:rPr>
            </w:pPr>
            <w:r w:rsidRPr="007D646A">
              <w:rPr>
                <w:b/>
                <w:i/>
                <w:szCs w:val="20"/>
              </w:rPr>
              <w:t>-8.1</w:t>
            </w:r>
          </w:p>
        </w:tc>
      </w:tr>
      <w:tr w:rsidR="00F06ED1" w:rsidRPr="007C2713" w:rsidTr="00F7554A">
        <w:tc>
          <w:tcPr>
            <w:tcW w:w="1554" w:type="pct"/>
            <w:shd w:val="clear" w:color="auto" w:fill="D7DDE9" w:themeFill="accent3"/>
            <w:vAlign w:val="center"/>
          </w:tcPr>
          <w:p w:rsidR="00F06ED1" w:rsidRPr="007C2713" w:rsidRDefault="00F06ED1" w:rsidP="00F7554A">
            <w:pPr>
              <w:pStyle w:val="TableText"/>
              <w:rPr>
                <w:b/>
              </w:rPr>
            </w:pPr>
            <w:r w:rsidRPr="007C2713">
              <w:rPr>
                <w:b/>
              </w:rPr>
              <w:t>Total</w:t>
            </w:r>
          </w:p>
        </w:tc>
        <w:tc>
          <w:tcPr>
            <w:tcW w:w="689" w:type="pct"/>
            <w:shd w:val="clear" w:color="auto" w:fill="D7DDE9" w:themeFill="accent3"/>
            <w:vAlign w:val="center"/>
          </w:tcPr>
          <w:p w:rsidR="00F06ED1" w:rsidRPr="0055406D" w:rsidRDefault="00F06ED1" w:rsidP="00F7554A">
            <w:pPr>
              <w:pStyle w:val="TableTextRight"/>
              <w:rPr>
                <w:b/>
              </w:rPr>
            </w:pPr>
            <w:r>
              <w:rPr>
                <w:b/>
              </w:rPr>
              <w:t>-</w:t>
            </w:r>
          </w:p>
        </w:tc>
        <w:tc>
          <w:tcPr>
            <w:tcW w:w="689" w:type="pct"/>
            <w:shd w:val="clear" w:color="auto" w:fill="D7DDE9" w:themeFill="accent3"/>
            <w:vAlign w:val="center"/>
          </w:tcPr>
          <w:p w:rsidR="00F06ED1" w:rsidRPr="00584B27" w:rsidRDefault="00F06ED1" w:rsidP="00F7554A">
            <w:pPr>
              <w:pStyle w:val="TableTextRight"/>
              <w:rPr>
                <w:b/>
                <w:szCs w:val="20"/>
              </w:rPr>
            </w:pPr>
            <w:r w:rsidRPr="00584B27">
              <w:rPr>
                <w:b/>
                <w:szCs w:val="20"/>
              </w:rPr>
              <w:t>-5.6</w:t>
            </w:r>
          </w:p>
        </w:tc>
        <w:tc>
          <w:tcPr>
            <w:tcW w:w="689" w:type="pct"/>
            <w:shd w:val="clear" w:color="auto" w:fill="D7DDE9" w:themeFill="accent3"/>
            <w:vAlign w:val="center"/>
          </w:tcPr>
          <w:p w:rsidR="00F06ED1" w:rsidRPr="00584B27" w:rsidRDefault="00F06ED1" w:rsidP="00F7554A">
            <w:pPr>
              <w:pStyle w:val="TableTextRight"/>
              <w:rPr>
                <w:b/>
                <w:szCs w:val="20"/>
              </w:rPr>
            </w:pPr>
            <w:r w:rsidRPr="00584B27">
              <w:rPr>
                <w:b/>
                <w:szCs w:val="20"/>
              </w:rPr>
              <w:t>-2.7</w:t>
            </w:r>
          </w:p>
        </w:tc>
        <w:tc>
          <w:tcPr>
            <w:tcW w:w="689" w:type="pct"/>
            <w:shd w:val="clear" w:color="auto" w:fill="D7DDE9" w:themeFill="accent3"/>
            <w:vAlign w:val="center"/>
          </w:tcPr>
          <w:p w:rsidR="00F06ED1" w:rsidRPr="00584B27" w:rsidRDefault="00F06ED1" w:rsidP="00F7554A">
            <w:pPr>
              <w:pStyle w:val="TableTextRight"/>
              <w:rPr>
                <w:b/>
                <w:szCs w:val="20"/>
              </w:rPr>
            </w:pPr>
            <w:r w:rsidRPr="00584B27">
              <w:rPr>
                <w:b/>
                <w:szCs w:val="20"/>
              </w:rPr>
              <w:t>-2.7</w:t>
            </w:r>
          </w:p>
        </w:tc>
        <w:tc>
          <w:tcPr>
            <w:tcW w:w="690" w:type="pct"/>
            <w:shd w:val="clear" w:color="auto" w:fill="D7DDE9" w:themeFill="accent3"/>
            <w:vAlign w:val="center"/>
          </w:tcPr>
          <w:p w:rsidR="00F06ED1" w:rsidRPr="00C363AE" w:rsidRDefault="00F06ED1" w:rsidP="00F7554A">
            <w:pPr>
              <w:pStyle w:val="TableTextRight"/>
              <w:rPr>
                <w:b/>
                <w:szCs w:val="20"/>
              </w:rPr>
            </w:pPr>
            <w:r>
              <w:rPr>
                <w:b/>
                <w:szCs w:val="20"/>
              </w:rPr>
              <w:t>-11.1</w:t>
            </w:r>
          </w:p>
        </w:tc>
      </w:tr>
    </w:tbl>
    <w:p w:rsidR="00F06ED1" w:rsidRPr="007D646A" w:rsidRDefault="00F06ED1" w:rsidP="0034662A">
      <w:pPr>
        <w:pStyle w:val="Footnotes"/>
        <w:numPr>
          <w:ilvl w:val="0"/>
          <w:numId w:val="152"/>
        </w:numPr>
        <w:ind w:left="284" w:hanging="284"/>
      </w:pPr>
      <w:r w:rsidRPr="007D646A">
        <w:t>A positive number indicates an increase in revenue or decrease in expenses or net capital investment in accrual and cash terms.  A negative number indicates a decrease in revenue or an increase in expenses or net capital investment in accrual and cash terms.</w:t>
      </w:r>
    </w:p>
    <w:p w:rsidR="00F06ED1" w:rsidRPr="005F544A" w:rsidRDefault="00F06ED1" w:rsidP="0034662A">
      <w:pPr>
        <w:pStyle w:val="Footnotes"/>
        <w:spacing w:after="120"/>
        <w:ind w:left="284" w:hanging="284"/>
      </w:pPr>
      <w:r w:rsidRPr="005F544A">
        <w:t>Figures may not sum to totals due to rounding.</w:t>
      </w:r>
    </w:p>
    <w:p w:rsidR="00F06ED1" w:rsidRDefault="00F06ED1" w:rsidP="0034662A">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3F2AA5" w:rsidRDefault="003F2AA5" w:rsidP="003F2AA5">
      <w:pPr>
        <w:pStyle w:val="Heading5"/>
        <w:ind w:left="1080" w:hanging="1080"/>
      </w:pPr>
      <w:bookmarkStart w:id="96" w:name="_Toc455655029"/>
      <w:bookmarkStart w:id="97" w:name="_Toc458081696"/>
      <w:r>
        <w:t>ALP07</w:t>
      </w:r>
      <w:r w:rsidR="009221D1">
        <w:t>2</w:t>
      </w:r>
      <w:r>
        <w:t>: Not proceeding with applying the One-Week Ordinary Waiting Period to all Working Age Payments</w:t>
      </w:r>
      <w:bookmarkEnd w:id="96"/>
      <w:bookmarkEnd w:id="97"/>
    </w:p>
    <w:p w:rsidR="003F2AA5" w:rsidRDefault="003F2AA5" w:rsidP="00275C35">
      <w:pPr>
        <w:pStyle w:val="BodyText"/>
      </w:pPr>
      <w:r>
        <w:rPr>
          <w:noProof/>
          <w:lang w:eastAsia="en-AU"/>
        </w:rPr>
        <w:drawing>
          <wp:inline distT="0" distB="0" distL="0" distR="0" wp14:anchorId="50D4E69F" wp14:editId="12A03336">
            <wp:extent cx="2696845" cy="572135"/>
            <wp:effectExtent l="0" t="0" r="8255" b="0"/>
            <wp:docPr id="28" name="Picture 28"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3F2AA5" w:rsidRDefault="003F2AA5" w:rsidP="003F2AA5">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3F2AA5" w:rsidRPr="008379A4"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3F2AA5" w:rsidRPr="008379A4" w:rsidRDefault="003F2AA5" w:rsidP="00F7554A">
            <w:pPr>
              <w:pStyle w:val="PullOutBoxHeading"/>
              <w:rPr>
                <w:b/>
              </w:rPr>
            </w:pPr>
            <w:r w:rsidRPr="008379A4">
              <w:rPr>
                <w:b/>
              </w:rPr>
              <w:t>Name of proposal:</w:t>
            </w:r>
          </w:p>
        </w:tc>
        <w:tc>
          <w:tcPr>
            <w:tcW w:w="3191" w:type="pct"/>
          </w:tcPr>
          <w:p w:rsidR="003F2AA5" w:rsidRPr="008379A4" w:rsidRDefault="003F2AA5" w:rsidP="00F7554A">
            <w:pPr>
              <w:pStyle w:val="PullOutBoxHeading"/>
              <w:rPr>
                <w:b/>
              </w:rPr>
            </w:pPr>
            <w:r w:rsidRPr="008379A4">
              <w:rPr>
                <w:b/>
              </w:rPr>
              <w:t>Not proceeding with applying the One-Week Ordinary Waiting Period to all Working Age Payments</w:t>
            </w:r>
          </w:p>
        </w:tc>
      </w:tr>
      <w:tr w:rsidR="003F2AA5" w:rsidRPr="00B45F94" w:rsidTr="00F7554A">
        <w:tc>
          <w:tcPr>
            <w:tcW w:w="1809" w:type="pct"/>
          </w:tcPr>
          <w:p w:rsidR="003F2AA5" w:rsidRPr="00B45F94" w:rsidRDefault="003F2AA5" w:rsidP="00F7554A">
            <w:pPr>
              <w:pStyle w:val="PullOutBoxBodyText"/>
            </w:pPr>
            <w:r w:rsidRPr="00B45F94">
              <w:t>Summary of proposal:</w:t>
            </w:r>
          </w:p>
        </w:tc>
        <w:tc>
          <w:tcPr>
            <w:tcW w:w="3191" w:type="pct"/>
          </w:tcPr>
          <w:p w:rsidR="003F2AA5" w:rsidRDefault="003F2AA5" w:rsidP="00F7554A">
            <w:pPr>
              <w:pStyle w:val="PullOutBoxBodyText"/>
            </w:pPr>
            <w:r>
              <w:t>The proposal would not proceed with the 2014</w:t>
            </w:r>
            <w:r>
              <w:noBreakHyphen/>
              <w:t xml:space="preserve">15 Budget measure, </w:t>
            </w:r>
            <w:r w:rsidRPr="00052045">
              <w:rPr>
                <w:i/>
              </w:rPr>
              <w:t>Apply the One-Week Ordinary Waiting Period to all Working Age Payments</w:t>
            </w:r>
            <w:r>
              <w:t>.</w:t>
            </w:r>
          </w:p>
          <w:p w:rsidR="003F2AA5" w:rsidRPr="00B45F94" w:rsidRDefault="003F2AA5" w:rsidP="00F7554A">
            <w:pPr>
              <w:pStyle w:val="PullOutBoxBodyText"/>
            </w:pPr>
            <w:r>
              <w:t>The proposal would have effect from 1 October 2016.</w:t>
            </w:r>
          </w:p>
        </w:tc>
      </w:tr>
      <w:tr w:rsidR="003F2AA5" w:rsidRPr="00B45F94" w:rsidTr="00F7554A">
        <w:tc>
          <w:tcPr>
            <w:tcW w:w="1809" w:type="pct"/>
          </w:tcPr>
          <w:p w:rsidR="003F2AA5" w:rsidRPr="00B45F94" w:rsidRDefault="003F2AA5" w:rsidP="00F7554A">
            <w:pPr>
              <w:pStyle w:val="PullOutBoxBodyText"/>
            </w:pPr>
            <w:r>
              <w:t>Party:</w:t>
            </w:r>
          </w:p>
        </w:tc>
        <w:tc>
          <w:tcPr>
            <w:tcW w:w="3191" w:type="pct"/>
          </w:tcPr>
          <w:p w:rsidR="003F2AA5" w:rsidRPr="00B45F94" w:rsidRDefault="003F2AA5" w:rsidP="00F7554A">
            <w:pPr>
              <w:pStyle w:val="PullOutBoxBodyText"/>
            </w:pPr>
            <w:r>
              <w:t>Australian Labor Party</w:t>
            </w:r>
          </w:p>
        </w:tc>
      </w:tr>
      <w:tr w:rsidR="003F2AA5" w:rsidRPr="00B45F94" w:rsidTr="00F7554A">
        <w:tc>
          <w:tcPr>
            <w:tcW w:w="1809" w:type="pct"/>
          </w:tcPr>
          <w:p w:rsidR="003F2AA5" w:rsidRPr="00B45F94" w:rsidRDefault="003F2AA5" w:rsidP="00F7554A">
            <w:pPr>
              <w:pStyle w:val="PullOutBoxBodyText"/>
            </w:pPr>
            <w:r w:rsidRPr="00B45F94">
              <w:t>Expiry date for the costing:</w:t>
            </w:r>
          </w:p>
        </w:tc>
        <w:tc>
          <w:tcPr>
            <w:tcW w:w="3191" w:type="pct"/>
          </w:tcPr>
          <w:p w:rsidR="003F2AA5" w:rsidRPr="00B45F94" w:rsidRDefault="003F2AA5" w:rsidP="00F7554A">
            <w:pPr>
              <w:pStyle w:val="PullOutBoxBodyText"/>
            </w:pPr>
            <w:r>
              <w:t>Release of the next economic and fiscal update</w:t>
            </w:r>
          </w:p>
        </w:tc>
      </w:tr>
    </w:tbl>
    <w:p w:rsidR="003F2AA5" w:rsidRDefault="003F2AA5" w:rsidP="003F2AA5">
      <w:pPr>
        <w:pStyle w:val="CostingsH7"/>
        <w:tabs>
          <w:tab w:val="left" w:pos="2670"/>
        </w:tabs>
      </w:pPr>
      <w:r w:rsidRPr="00BF1EE6">
        <w:t>Costing overview</w:t>
      </w:r>
    </w:p>
    <w:p w:rsidR="003F2AA5" w:rsidRDefault="003F2AA5" w:rsidP="003F2AA5">
      <w:pPr>
        <w:pStyle w:val="BodyText"/>
      </w:pPr>
      <w:r>
        <w:t xml:space="preserve">This proposal would be expected to decrease both the fiscal and underlying cash balances by $247.0 million over the 2016-17 Budget forward estimates period.  This impact reflects an increase in administered expenses of $256 million and a decrease in departmental expenses of $9 million over the forward estimates period.  A breakdown of the financial implications over the 2016-17 Budget forward estimates period is provided at </w:t>
      </w:r>
      <w:r w:rsidRPr="00052045">
        <w:rPr>
          <w:u w:val="single"/>
        </w:rPr>
        <w:t>Attachment A</w:t>
      </w:r>
      <w:r>
        <w:t>.</w:t>
      </w:r>
    </w:p>
    <w:p w:rsidR="003F2AA5" w:rsidRDefault="003F2AA5" w:rsidP="003F2AA5">
      <w:pPr>
        <w:pStyle w:val="BodyText"/>
      </w:pPr>
      <w:r>
        <w:t>This proposal would have an ongoing impact beyond the 2016-17 Budget forward estimates period.</w:t>
      </w:r>
    </w:p>
    <w:p w:rsidR="003F2AA5" w:rsidRPr="00052045" w:rsidRDefault="003F2AA5" w:rsidP="003F2AA5">
      <w:pPr>
        <w:pStyle w:val="BodyText"/>
      </w:pPr>
      <w:r>
        <w:t>The estimates of the financial implications are considered to be of low reliability as the estimates and projections of the number of recipients affected by the measure are somewhat uncertain.</w:t>
      </w:r>
    </w:p>
    <w:p w:rsidR="003F2AA5" w:rsidRDefault="003F2AA5" w:rsidP="0034662A">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3F2AA5"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3F2AA5" w:rsidRPr="00D264E1" w:rsidRDefault="003F2AA5" w:rsidP="0034662A">
            <w:pPr>
              <w:pStyle w:val="TableHeading"/>
            </w:pPr>
            <w:r>
              <w:t>Impact on ($m)</w:t>
            </w:r>
          </w:p>
        </w:tc>
        <w:tc>
          <w:tcPr>
            <w:tcW w:w="721" w:type="pct"/>
          </w:tcPr>
          <w:p w:rsidR="003F2AA5" w:rsidRPr="00FC1F1C" w:rsidRDefault="003F2AA5" w:rsidP="0034662A">
            <w:pPr>
              <w:pStyle w:val="TableHeadingRight"/>
            </w:pPr>
            <w:r>
              <w:t>2016–17</w:t>
            </w:r>
          </w:p>
        </w:tc>
        <w:tc>
          <w:tcPr>
            <w:tcW w:w="721" w:type="pct"/>
          </w:tcPr>
          <w:p w:rsidR="003F2AA5" w:rsidRPr="00FC1F1C" w:rsidRDefault="003F2AA5" w:rsidP="0034662A">
            <w:pPr>
              <w:pStyle w:val="TableHeadingRight"/>
            </w:pPr>
            <w:r>
              <w:t>2017–18</w:t>
            </w:r>
          </w:p>
        </w:tc>
        <w:tc>
          <w:tcPr>
            <w:tcW w:w="722" w:type="pct"/>
          </w:tcPr>
          <w:p w:rsidR="003F2AA5" w:rsidRPr="00FC1F1C" w:rsidRDefault="003F2AA5" w:rsidP="0034662A">
            <w:pPr>
              <w:pStyle w:val="TableHeadingRight"/>
            </w:pPr>
            <w:r>
              <w:t>2018–19</w:t>
            </w:r>
          </w:p>
        </w:tc>
        <w:tc>
          <w:tcPr>
            <w:tcW w:w="721" w:type="pct"/>
          </w:tcPr>
          <w:p w:rsidR="003F2AA5" w:rsidRPr="00FC1F1C" w:rsidRDefault="003F2AA5" w:rsidP="0034662A">
            <w:pPr>
              <w:pStyle w:val="TableHeadingRight"/>
            </w:pPr>
            <w:r>
              <w:t>2019–20</w:t>
            </w:r>
          </w:p>
        </w:tc>
        <w:tc>
          <w:tcPr>
            <w:tcW w:w="722" w:type="pct"/>
          </w:tcPr>
          <w:p w:rsidR="003F2AA5" w:rsidRPr="00FC1F1C" w:rsidRDefault="003F2AA5" w:rsidP="0034662A">
            <w:pPr>
              <w:pStyle w:val="TableHeadingRight"/>
              <w:rPr>
                <w:b/>
              </w:rPr>
            </w:pPr>
            <w:r w:rsidRPr="00FC1F1C">
              <w:t>Total</w:t>
            </w:r>
          </w:p>
        </w:tc>
      </w:tr>
      <w:tr w:rsidR="003F2AA5" w:rsidTr="00F7554A">
        <w:tc>
          <w:tcPr>
            <w:tcW w:w="1393" w:type="pct"/>
          </w:tcPr>
          <w:p w:rsidR="003F2AA5" w:rsidRDefault="003F2AA5" w:rsidP="0034662A">
            <w:pPr>
              <w:pStyle w:val="TableText"/>
              <w:keepNext/>
              <w:keepLines/>
            </w:pPr>
            <w:r>
              <w:t>Fiscal balance</w:t>
            </w:r>
          </w:p>
        </w:tc>
        <w:tc>
          <w:tcPr>
            <w:tcW w:w="721" w:type="pct"/>
            <w:vAlign w:val="center"/>
          </w:tcPr>
          <w:p w:rsidR="003F2AA5" w:rsidRPr="003A3459" w:rsidRDefault="003F2AA5" w:rsidP="0034662A">
            <w:pPr>
              <w:pStyle w:val="TableTextRight"/>
              <w:keepNext/>
              <w:keepLines/>
            </w:pPr>
            <w:r>
              <w:t>-46.0</w:t>
            </w:r>
          </w:p>
        </w:tc>
        <w:tc>
          <w:tcPr>
            <w:tcW w:w="721" w:type="pct"/>
            <w:vAlign w:val="center"/>
          </w:tcPr>
          <w:p w:rsidR="003F2AA5" w:rsidRPr="003A3459" w:rsidRDefault="003F2AA5" w:rsidP="0034662A">
            <w:pPr>
              <w:pStyle w:val="TableTextRight"/>
              <w:keepNext/>
              <w:keepLines/>
            </w:pPr>
            <w:r>
              <w:t>-64.0</w:t>
            </w:r>
          </w:p>
        </w:tc>
        <w:tc>
          <w:tcPr>
            <w:tcW w:w="722" w:type="pct"/>
            <w:vAlign w:val="center"/>
          </w:tcPr>
          <w:p w:rsidR="003F2AA5" w:rsidRPr="003A3459" w:rsidRDefault="003F2AA5" w:rsidP="0034662A">
            <w:pPr>
              <w:pStyle w:val="TableTextRight"/>
              <w:keepNext/>
              <w:keepLines/>
            </w:pPr>
            <w:r>
              <w:t>-67.0</w:t>
            </w:r>
          </w:p>
        </w:tc>
        <w:tc>
          <w:tcPr>
            <w:tcW w:w="721" w:type="pct"/>
            <w:vAlign w:val="center"/>
          </w:tcPr>
          <w:p w:rsidR="003F2AA5" w:rsidRPr="003A3459" w:rsidRDefault="003F2AA5" w:rsidP="0034662A">
            <w:pPr>
              <w:pStyle w:val="TableTextRight"/>
              <w:keepNext/>
              <w:keepLines/>
            </w:pPr>
            <w:r>
              <w:t>-69.0</w:t>
            </w:r>
          </w:p>
        </w:tc>
        <w:tc>
          <w:tcPr>
            <w:tcW w:w="722" w:type="pct"/>
            <w:vAlign w:val="center"/>
          </w:tcPr>
          <w:p w:rsidR="003F2AA5" w:rsidRPr="00C363AE" w:rsidRDefault="003F2AA5" w:rsidP="0034662A">
            <w:pPr>
              <w:pStyle w:val="TableTextRight"/>
              <w:keepNext/>
              <w:keepLines/>
              <w:rPr>
                <w:b/>
              </w:rPr>
            </w:pPr>
            <w:r>
              <w:rPr>
                <w:b/>
              </w:rPr>
              <w:t>-247.0</w:t>
            </w:r>
          </w:p>
        </w:tc>
      </w:tr>
      <w:tr w:rsidR="003F2AA5" w:rsidTr="00F7554A">
        <w:tc>
          <w:tcPr>
            <w:tcW w:w="1393" w:type="pct"/>
          </w:tcPr>
          <w:p w:rsidR="003F2AA5" w:rsidRDefault="003F2AA5" w:rsidP="0034662A">
            <w:pPr>
              <w:pStyle w:val="TableText"/>
              <w:keepNext/>
              <w:keepLines/>
            </w:pPr>
            <w:r>
              <w:t>Underlying cash balance</w:t>
            </w:r>
          </w:p>
        </w:tc>
        <w:tc>
          <w:tcPr>
            <w:tcW w:w="721" w:type="pct"/>
            <w:vAlign w:val="center"/>
          </w:tcPr>
          <w:p w:rsidR="003F2AA5" w:rsidRPr="003A3459" w:rsidRDefault="003F2AA5" w:rsidP="0034662A">
            <w:pPr>
              <w:pStyle w:val="TableTextRight"/>
              <w:keepNext/>
              <w:keepLines/>
            </w:pPr>
            <w:r>
              <w:t>-46.0</w:t>
            </w:r>
          </w:p>
        </w:tc>
        <w:tc>
          <w:tcPr>
            <w:tcW w:w="721" w:type="pct"/>
            <w:vAlign w:val="center"/>
          </w:tcPr>
          <w:p w:rsidR="003F2AA5" w:rsidRPr="003A3459" w:rsidRDefault="003F2AA5" w:rsidP="0034662A">
            <w:pPr>
              <w:pStyle w:val="TableTextRight"/>
              <w:keepNext/>
              <w:keepLines/>
            </w:pPr>
            <w:r>
              <w:t>-64.0</w:t>
            </w:r>
          </w:p>
        </w:tc>
        <w:tc>
          <w:tcPr>
            <w:tcW w:w="722" w:type="pct"/>
            <w:vAlign w:val="center"/>
          </w:tcPr>
          <w:p w:rsidR="003F2AA5" w:rsidRPr="003A3459" w:rsidRDefault="003F2AA5" w:rsidP="0034662A">
            <w:pPr>
              <w:pStyle w:val="TableTextRight"/>
              <w:keepNext/>
              <w:keepLines/>
            </w:pPr>
            <w:r>
              <w:t>-67.0</w:t>
            </w:r>
          </w:p>
        </w:tc>
        <w:tc>
          <w:tcPr>
            <w:tcW w:w="721" w:type="pct"/>
            <w:vAlign w:val="center"/>
          </w:tcPr>
          <w:p w:rsidR="003F2AA5" w:rsidRPr="003A3459" w:rsidRDefault="003F2AA5" w:rsidP="0034662A">
            <w:pPr>
              <w:pStyle w:val="TableTextRight"/>
              <w:keepNext/>
              <w:keepLines/>
            </w:pPr>
            <w:r>
              <w:t>-69.0</w:t>
            </w:r>
          </w:p>
        </w:tc>
        <w:tc>
          <w:tcPr>
            <w:tcW w:w="722" w:type="pct"/>
            <w:vAlign w:val="center"/>
          </w:tcPr>
          <w:p w:rsidR="003F2AA5" w:rsidRPr="00C363AE" w:rsidRDefault="003F2AA5" w:rsidP="0034662A">
            <w:pPr>
              <w:pStyle w:val="TableTextRight"/>
              <w:keepNext/>
              <w:keepLines/>
              <w:rPr>
                <w:b/>
              </w:rPr>
            </w:pPr>
            <w:r>
              <w:rPr>
                <w:b/>
              </w:rPr>
              <w:t>-247.0</w:t>
            </w:r>
          </w:p>
        </w:tc>
      </w:tr>
    </w:tbl>
    <w:p w:rsidR="003F2AA5" w:rsidRDefault="003F2AA5" w:rsidP="0034662A">
      <w:pPr>
        <w:pStyle w:val="Footnotes"/>
        <w:keepNext/>
        <w:keepLines/>
        <w:numPr>
          <w:ilvl w:val="0"/>
          <w:numId w:val="153"/>
        </w:numPr>
        <w:ind w:left="284" w:hanging="284"/>
      </w:pPr>
      <w:r>
        <w:t xml:space="preserve">A positive </w:t>
      </w:r>
      <w:r w:rsidRPr="00FC1F1C">
        <w:t>number indicates an increase in the relevant budget balance, a negative number a decrease.</w:t>
      </w:r>
    </w:p>
    <w:p w:rsidR="003F2AA5" w:rsidRPr="000E063A" w:rsidRDefault="003F2AA5" w:rsidP="0034662A">
      <w:pPr>
        <w:pStyle w:val="Footnotes"/>
        <w:ind w:left="284" w:hanging="284"/>
        <w:rPr>
          <w:rStyle w:val="FootnoteReference"/>
          <w:vertAlign w:val="baseline"/>
        </w:rPr>
      </w:pPr>
      <w:r w:rsidRPr="000E063A">
        <w:t>Figures may not sum to totals due to rounding.</w:t>
      </w:r>
    </w:p>
    <w:p w:rsidR="003F2AA5" w:rsidRDefault="003F2AA5" w:rsidP="003F2AA5">
      <w:pPr>
        <w:pStyle w:val="CostingsH7"/>
      </w:pPr>
      <w:r>
        <w:t>Methodology</w:t>
      </w:r>
    </w:p>
    <w:p w:rsidR="003F2AA5" w:rsidRDefault="003F2AA5" w:rsidP="003F2AA5">
      <w:pPr>
        <w:pStyle w:val="BodyText"/>
      </w:pPr>
      <w:r w:rsidRPr="00052045">
        <w:t>Financial implications reflect a reversal of the 2014-15 Budget measure, adjusted to reflect indexation and demographic parameters as at the 2016-17 Budget and an assumed implemen</w:t>
      </w:r>
      <w:r>
        <w:t>tation date of 1 October 2016.</w:t>
      </w:r>
    </w:p>
    <w:p w:rsidR="003F2AA5" w:rsidRDefault="003F2AA5" w:rsidP="003F2AA5">
      <w:pPr>
        <w:pStyle w:val="CostingsH7"/>
      </w:pPr>
      <w:r>
        <w:t>Data sources</w:t>
      </w:r>
    </w:p>
    <w:p w:rsidR="003F2AA5" w:rsidRDefault="003F2AA5" w:rsidP="003F2AA5">
      <w:pPr>
        <w:pStyle w:val="BodyText"/>
      </w:pPr>
      <w:r w:rsidRPr="00052045">
        <w:t>The Department of Social Services provided the expenditure breakdown of the 2014</w:t>
      </w:r>
      <w:r>
        <w:noBreakHyphen/>
        <w:t>15 </w:t>
      </w:r>
      <w:r w:rsidRPr="00052045">
        <w:t>Budget measure,</w:t>
      </w:r>
      <w:r w:rsidRPr="00052045">
        <w:rPr>
          <w:i/>
        </w:rPr>
        <w:t xml:space="preserve"> Apply the One-Week Ordinary Waiting Period to all Working Age Payments</w:t>
      </w:r>
      <w:r w:rsidRPr="00052045">
        <w:t xml:space="preserve"> as at the 2016-17 Budget.</w:t>
      </w:r>
    </w:p>
    <w:p w:rsidR="0034662A" w:rsidRDefault="0034662A" w:rsidP="003F2AA5">
      <w:pPr>
        <w:pStyle w:val="BodyText"/>
      </w:pPr>
    </w:p>
    <w:p w:rsidR="0034662A" w:rsidRDefault="0034662A" w:rsidP="003F2AA5">
      <w:pPr>
        <w:pStyle w:val="BodyText"/>
        <w:sectPr w:rsidR="0034662A" w:rsidSect="00967BCD">
          <w:footnotePr>
            <w:numRestart w:val="eachSect"/>
          </w:footnotePr>
          <w:pgSz w:w="11906" w:h="16838" w:code="9"/>
          <w:pgMar w:top="1361" w:right="1797" w:bottom="1474" w:left="1797" w:header="283" w:footer="454" w:gutter="0"/>
          <w:cols w:space="708"/>
          <w:docGrid w:linePitch="360"/>
        </w:sectPr>
      </w:pPr>
    </w:p>
    <w:p w:rsidR="003F2AA5" w:rsidRDefault="003F2AA5" w:rsidP="003F2AA5">
      <w:pPr>
        <w:pStyle w:val="Heading6"/>
        <w:numPr>
          <w:ilvl w:val="0"/>
          <w:numId w:val="10"/>
        </w:numPr>
        <w:tabs>
          <w:tab w:val="right" w:pos="1418"/>
          <w:tab w:val="right" w:pos="1701"/>
          <w:tab w:val="right" w:pos="1985"/>
        </w:tabs>
        <w:spacing w:before="480"/>
      </w:pPr>
      <w:r>
        <w:t>Attachment A: Not proceeding with applying the One-Week Period to all Working Age Payments—</w:t>
      </w:r>
      <w:r w:rsidR="0080154C">
        <w:t>financial implications</w:t>
      </w:r>
    </w:p>
    <w:p w:rsidR="003F2AA5" w:rsidRDefault="003F2AA5" w:rsidP="003F2AA5">
      <w:pPr>
        <w:pStyle w:val="Caption"/>
      </w:pPr>
      <w:r w:rsidRPr="002B36F1">
        <w:t xml:space="preserve">Table </w:t>
      </w:r>
      <w:r>
        <w:t>A1</w:t>
      </w:r>
      <w:r w:rsidRPr="002B36F1">
        <w:t>:</w:t>
      </w:r>
      <w:r>
        <w:t xml:space="preserve"> Not proceeding with applying the One-Week Ordinary Waiting Period to all Working Age Payments—</w:t>
      </w:r>
      <w:r w:rsidR="0080154C">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3F2AA5"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3F2AA5" w:rsidRPr="007C2713" w:rsidRDefault="003F2AA5" w:rsidP="00F7554A">
            <w:pPr>
              <w:pStyle w:val="TableText"/>
              <w:rPr>
                <w:b w:val="0"/>
              </w:rPr>
            </w:pPr>
            <w:r>
              <w:t>($)</w:t>
            </w:r>
          </w:p>
        </w:tc>
        <w:tc>
          <w:tcPr>
            <w:tcW w:w="689" w:type="pct"/>
            <w:vAlign w:val="center"/>
          </w:tcPr>
          <w:p w:rsidR="003F2AA5" w:rsidRDefault="003F2AA5" w:rsidP="00F7554A">
            <w:pPr>
              <w:pStyle w:val="TableTextRight"/>
              <w:rPr>
                <w:b w:val="0"/>
              </w:rPr>
            </w:pPr>
            <w:r>
              <w:t>2016–17</w:t>
            </w:r>
          </w:p>
        </w:tc>
        <w:tc>
          <w:tcPr>
            <w:tcW w:w="689" w:type="pct"/>
            <w:vAlign w:val="center"/>
          </w:tcPr>
          <w:p w:rsidR="003F2AA5" w:rsidRDefault="003F2AA5" w:rsidP="00F7554A">
            <w:pPr>
              <w:pStyle w:val="TableTextRight"/>
              <w:rPr>
                <w:b w:val="0"/>
              </w:rPr>
            </w:pPr>
            <w:r>
              <w:t>2017–18</w:t>
            </w:r>
          </w:p>
        </w:tc>
        <w:tc>
          <w:tcPr>
            <w:tcW w:w="689" w:type="pct"/>
            <w:vAlign w:val="center"/>
          </w:tcPr>
          <w:p w:rsidR="003F2AA5" w:rsidRDefault="003F2AA5" w:rsidP="00F7554A">
            <w:pPr>
              <w:pStyle w:val="TableTextRight"/>
              <w:rPr>
                <w:b w:val="0"/>
              </w:rPr>
            </w:pPr>
            <w:r>
              <w:t>2018–19</w:t>
            </w:r>
          </w:p>
        </w:tc>
        <w:tc>
          <w:tcPr>
            <w:tcW w:w="689" w:type="pct"/>
            <w:vAlign w:val="center"/>
          </w:tcPr>
          <w:p w:rsidR="003F2AA5" w:rsidRDefault="003F2AA5" w:rsidP="00F7554A">
            <w:pPr>
              <w:pStyle w:val="TableTextRight"/>
              <w:rPr>
                <w:b w:val="0"/>
              </w:rPr>
            </w:pPr>
            <w:r>
              <w:t>2019–20</w:t>
            </w:r>
          </w:p>
        </w:tc>
        <w:tc>
          <w:tcPr>
            <w:tcW w:w="690" w:type="pct"/>
            <w:vAlign w:val="center"/>
          </w:tcPr>
          <w:p w:rsidR="003F2AA5" w:rsidRDefault="003F2AA5" w:rsidP="00F7554A">
            <w:pPr>
              <w:pStyle w:val="TableTextRight"/>
            </w:pPr>
            <w:r>
              <w:t>Total to 2019–20</w:t>
            </w:r>
          </w:p>
        </w:tc>
      </w:tr>
      <w:tr w:rsidR="003F2AA5" w:rsidTr="00F7554A">
        <w:tc>
          <w:tcPr>
            <w:tcW w:w="5000" w:type="pct"/>
            <w:gridSpan w:val="6"/>
            <w:vAlign w:val="center"/>
          </w:tcPr>
          <w:p w:rsidR="003F2AA5" w:rsidRDefault="003F2AA5" w:rsidP="00F7554A">
            <w:pPr>
              <w:pStyle w:val="TableHeading"/>
            </w:pPr>
            <w:r>
              <w:t>Impact on fiscal and underlying cash balances</w:t>
            </w:r>
          </w:p>
        </w:tc>
      </w:tr>
      <w:tr w:rsidR="003F2AA5" w:rsidTr="00F7554A">
        <w:tc>
          <w:tcPr>
            <w:tcW w:w="1554" w:type="pct"/>
          </w:tcPr>
          <w:p w:rsidR="003F2AA5" w:rsidRPr="00052045" w:rsidRDefault="003F2AA5" w:rsidP="00F7554A">
            <w:pPr>
              <w:pStyle w:val="TableText"/>
              <w:rPr>
                <w:i/>
              </w:rPr>
            </w:pPr>
            <w:r w:rsidRPr="00052045">
              <w:rPr>
                <w:i/>
              </w:rPr>
              <w:t>Administered</w:t>
            </w:r>
          </w:p>
        </w:tc>
        <w:tc>
          <w:tcPr>
            <w:tcW w:w="689" w:type="pct"/>
            <w:vAlign w:val="bottom"/>
          </w:tcPr>
          <w:p w:rsidR="003F2AA5" w:rsidRPr="00052045" w:rsidRDefault="003F2AA5" w:rsidP="00F7554A">
            <w:pPr>
              <w:pStyle w:val="TableTextRight"/>
              <w:rPr>
                <w:i/>
              </w:rPr>
            </w:pPr>
            <w:r w:rsidRPr="00052045">
              <w:rPr>
                <w:i/>
              </w:rPr>
              <w:t>-50.0</w:t>
            </w:r>
          </w:p>
        </w:tc>
        <w:tc>
          <w:tcPr>
            <w:tcW w:w="689" w:type="pct"/>
            <w:vAlign w:val="bottom"/>
          </w:tcPr>
          <w:p w:rsidR="003F2AA5" w:rsidRPr="00052045" w:rsidRDefault="003F2AA5" w:rsidP="00F7554A">
            <w:pPr>
              <w:pStyle w:val="TableTextRight"/>
              <w:rPr>
                <w:i/>
              </w:rPr>
            </w:pPr>
            <w:r w:rsidRPr="00052045">
              <w:rPr>
                <w:i/>
              </w:rPr>
              <w:t>-66.0</w:t>
            </w:r>
          </w:p>
        </w:tc>
        <w:tc>
          <w:tcPr>
            <w:tcW w:w="689" w:type="pct"/>
            <w:vAlign w:val="bottom"/>
          </w:tcPr>
          <w:p w:rsidR="003F2AA5" w:rsidRPr="00052045" w:rsidRDefault="003F2AA5" w:rsidP="00F7554A">
            <w:pPr>
              <w:pStyle w:val="TableTextRight"/>
              <w:rPr>
                <w:i/>
              </w:rPr>
            </w:pPr>
            <w:r w:rsidRPr="00052045">
              <w:rPr>
                <w:i/>
              </w:rPr>
              <w:t>-69.0</w:t>
            </w:r>
          </w:p>
        </w:tc>
        <w:tc>
          <w:tcPr>
            <w:tcW w:w="689" w:type="pct"/>
            <w:vAlign w:val="bottom"/>
          </w:tcPr>
          <w:p w:rsidR="003F2AA5" w:rsidRPr="00052045" w:rsidRDefault="003F2AA5" w:rsidP="00F7554A">
            <w:pPr>
              <w:pStyle w:val="TableTextRight"/>
              <w:rPr>
                <w:i/>
              </w:rPr>
            </w:pPr>
            <w:r w:rsidRPr="00052045">
              <w:rPr>
                <w:i/>
              </w:rPr>
              <w:t>-71.0</w:t>
            </w:r>
          </w:p>
        </w:tc>
        <w:tc>
          <w:tcPr>
            <w:tcW w:w="690" w:type="pct"/>
            <w:vAlign w:val="bottom"/>
          </w:tcPr>
          <w:p w:rsidR="003F2AA5" w:rsidRPr="00052045" w:rsidRDefault="003F2AA5" w:rsidP="00F7554A">
            <w:pPr>
              <w:pStyle w:val="TableTextRight"/>
              <w:rPr>
                <w:b/>
                <w:i/>
              </w:rPr>
            </w:pPr>
            <w:r w:rsidRPr="00052045">
              <w:rPr>
                <w:b/>
                <w:i/>
              </w:rPr>
              <w:t>-256.0</w:t>
            </w:r>
          </w:p>
        </w:tc>
      </w:tr>
      <w:tr w:rsidR="003F2AA5" w:rsidTr="00F7554A">
        <w:tc>
          <w:tcPr>
            <w:tcW w:w="1554" w:type="pct"/>
          </w:tcPr>
          <w:p w:rsidR="003F2AA5" w:rsidRPr="00052045" w:rsidRDefault="003F2AA5" w:rsidP="00F7554A">
            <w:pPr>
              <w:pStyle w:val="TableText"/>
              <w:rPr>
                <w:i/>
              </w:rPr>
            </w:pPr>
            <w:r w:rsidRPr="00052045">
              <w:rPr>
                <w:i/>
              </w:rPr>
              <w:t>Departmental</w:t>
            </w:r>
          </w:p>
        </w:tc>
        <w:tc>
          <w:tcPr>
            <w:tcW w:w="689" w:type="pct"/>
            <w:vAlign w:val="bottom"/>
          </w:tcPr>
          <w:p w:rsidR="003F2AA5" w:rsidRPr="00052045" w:rsidRDefault="003F2AA5" w:rsidP="00F7554A">
            <w:pPr>
              <w:pStyle w:val="TableTextRight"/>
              <w:rPr>
                <w:i/>
              </w:rPr>
            </w:pPr>
            <w:r w:rsidRPr="00052045">
              <w:rPr>
                <w:i/>
              </w:rPr>
              <w:t>4.0</w:t>
            </w:r>
          </w:p>
        </w:tc>
        <w:tc>
          <w:tcPr>
            <w:tcW w:w="689" w:type="pct"/>
            <w:vAlign w:val="bottom"/>
          </w:tcPr>
          <w:p w:rsidR="003F2AA5" w:rsidRPr="00052045" w:rsidRDefault="003F2AA5" w:rsidP="00F7554A">
            <w:pPr>
              <w:pStyle w:val="TableTextRight"/>
              <w:rPr>
                <w:i/>
              </w:rPr>
            </w:pPr>
            <w:r w:rsidRPr="00052045">
              <w:rPr>
                <w:i/>
              </w:rPr>
              <w:t>2.0</w:t>
            </w:r>
          </w:p>
        </w:tc>
        <w:tc>
          <w:tcPr>
            <w:tcW w:w="689" w:type="pct"/>
            <w:vAlign w:val="bottom"/>
          </w:tcPr>
          <w:p w:rsidR="003F2AA5" w:rsidRPr="00052045" w:rsidRDefault="003F2AA5" w:rsidP="00F7554A">
            <w:pPr>
              <w:pStyle w:val="TableTextRight"/>
              <w:rPr>
                <w:i/>
              </w:rPr>
            </w:pPr>
            <w:r w:rsidRPr="00052045">
              <w:rPr>
                <w:i/>
              </w:rPr>
              <w:t>2.0</w:t>
            </w:r>
          </w:p>
        </w:tc>
        <w:tc>
          <w:tcPr>
            <w:tcW w:w="689" w:type="pct"/>
            <w:vAlign w:val="bottom"/>
          </w:tcPr>
          <w:p w:rsidR="003F2AA5" w:rsidRPr="00052045" w:rsidRDefault="003F2AA5" w:rsidP="00F7554A">
            <w:pPr>
              <w:pStyle w:val="TableTextRight"/>
              <w:rPr>
                <w:i/>
              </w:rPr>
            </w:pPr>
            <w:r w:rsidRPr="00052045">
              <w:rPr>
                <w:i/>
              </w:rPr>
              <w:t>2.0</w:t>
            </w:r>
          </w:p>
        </w:tc>
        <w:tc>
          <w:tcPr>
            <w:tcW w:w="690" w:type="pct"/>
            <w:vAlign w:val="bottom"/>
          </w:tcPr>
          <w:p w:rsidR="003F2AA5" w:rsidRPr="00052045" w:rsidRDefault="003F2AA5" w:rsidP="00F7554A">
            <w:pPr>
              <w:pStyle w:val="TableTextRight"/>
              <w:rPr>
                <w:b/>
                <w:i/>
              </w:rPr>
            </w:pPr>
            <w:r w:rsidRPr="00052045">
              <w:rPr>
                <w:b/>
                <w:i/>
              </w:rPr>
              <w:t>9.0</w:t>
            </w:r>
          </w:p>
        </w:tc>
      </w:tr>
      <w:tr w:rsidR="003F2AA5" w:rsidRPr="00052045" w:rsidTr="00F7554A">
        <w:tc>
          <w:tcPr>
            <w:tcW w:w="1554" w:type="pct"/>
            <w:shd w:val="clear" w:color="auto" w:fill="D7DDE9" w:themeFill="accent3"/>
          </w:tcPr>
          <w:p w:rsidR="003F2AA5" w:rsidRPr="00052045" w:rsidRDefault="003F2AA5" w:rsidP="00F7554A">
            <w:pPr>
              <w:pStyle w:val="TableText"/>
              <w:rPr>
                <w:b/>
              </w:rPr>
            </w:pPr>
            <w:r w:rsidRPr="00052045">
              <w:rPr>
                <w:b/>
              </w:rPr>
              <w:t>Total</w:t>
            </w:r>
          </w:p>
        </w:tc>
        <w:tc>
          <w:tcPr>
            <w:tcW w:w="689" w:type="pct"/>
            <w:shd w:val="clear" w:color="auto" w:fill="D7DDE9" w:themeFill="accent3"/>
            <w:vAlign w:val="bottom"/>
          </w:tcPr>
          <w:p w:rsidR="003F2AA5" w:rsidRPr="00052045" w:rsidRDefault="003F2AA5" w:rsidP="00F7554A">
            <w:pPr>
              <w:pStyle w:val="TableTextRight"/>
              <w:rPr>
                <w:b/>
              </w:rPr>
            </w:pPr>
            <w:r w:rsidRPr="00052045">
              <w:rPr>
                <w:b/>
              </w:rPr>
              <w:t>-46.0</w:t>
            </w:r>
          </w:p>
        </w:tc>
        <w:tc>
          <w:tcPr>
            <w:tcW w:w="689" w:type="pct"/>
            <w:shd w:val="clear" w:color="auto" w:fill="D7DDE9" w:themeFill="accent3"/>
            <w:vAlign w:val="bottom"/>
          </w:tcPr>
          <w:p w:rsidR="003F2AA5" w:rsidRPr="00052045" w:rsidRDefault="003F2AA5" w:rsidP="00F7554A">
            <w:pPr>
              <w:pStyle w:val="TableTextRight"/>
              <w:rPr>
                <w:b/>
              </w:rPr>
            </w:pPr>
            <w:r w:rsidRPr="00052045">
              <w:rPr>
                <w:b/>
              </w:rPr>
              <w:t>-64.0</w:t>
            </w:r>
          </w:p>
        </w:tc>
        <w:tc>
          <w:tcPr>
            <w:tcW w:w="689" w:type="pct"/>
            <w:shd w:val="clear" w:color="auto" w:fill="D7DDE9" w:themeFill="accent3"/>
            <w:vAlign w:val="bottom"/>
          </w:tcPr>
          <w:p w:rsidR="003F2AA5" w:rsidRPr="00052045" w:rsidRDefault="003F2AA5" w:rsidP="00F7554A">
            <w:pPr>
              <w:pStyle w:val="TableTextRight"/>
              <w:rPr>
                <w:b/>
              </w:rPr>
            </w:pPr>
            <w:r w:rsidRPr="00052045">
              <w:rPr>
                <w:b/>
              </w:rPr>
              <w:t>-67.0</w:t>
            </w:r>
          </w:p>
        </w:tc>
        <w:tc>
          <w:tcPr>
            <w:tcW w:w="689" w:type="pct"/>
            <w:shd w:val="clear" w:color="auto" w:fill="D7DDE9" w:themeFill="accent3"/>
            <w:vAlign w:val="bottom"/>
          </w:tcPr>
          <w:p w:rsidR="003F2AA5" w:rsidRPr="00052045" w:rsidRDefault="003F2AA5" w:rsidP="00F7554A">
            <w:pPr>
              <w:pStyle w:val="TableTextRight"/>
              <w:rPr>
                <w:b/>
              </w:rPr>
            </w:pPr>
            <w:r w:rsidRPr="00052045">
              <w:rPr>
                <w:b/>
              </w:rPr>
              <w:t>-69.0</w:t>
            </w:r>
          </w:p>
        </w:tc>
        <w:tc>
          <w:tcPr>
            <w:tcW w:w="690" w:type="pct"/>
            <w:shd w:val="clear" w:color="auto" w:fill="D7DDE9" w:themeFill="accent3"/>
            <w:vAlign w:val="bottom"/>
          </w:tcPr>
          <w:p w:rsidR="003F2AA5" w:rsidRPr="00052045" w:rsidRDefault="003F2AA5" w:rsidP="00F7554A">
            <w:pPr>
              <w:pStyle w:val="TableTextRight"/>
              <w:rPr>
                <w:b/>
              </w:rPr>
            </w:pPr>
            <w:r w:rsidRPr="00052045">
              <w:rPr>
                <w:b/>
              </w:rPr>
              <w:t>-247.0</w:t>
            </w:r>
          </w:p>
        </w:tc>
      </w:tr>
    </w:tbl>
    <w:p w:rsidR="003F2AA5" w:rsidRPr="009A4806" w:rsidRDefault="003F2AA5" w:rsidP="00E87381">
      <w:pPr>
        <w:pStyle w:val="Footnotes"/>
        <w:numPr>
          <w:ilvl w:val="0"/>
          <w:numId w:val="154"/>
        </w:numPr>
        <w:ind w:left="284" w:hanging="284"/>
      </w:pPr>
      <w:r w:rsidRPr="009A4806">
        <w:t>A positive number indicates an increase in revenue or decrease in expenses or net capital investment in accrual and cash terms.  A negative number indicates a decrease in revenue or an increase in expenses or net capital investment in accrual and cash terms.</w:t>
      </w:r>
    </w:p>
    <w:p w:rsidR="003F2AA5" w:rsidRPr="005F544A" w:rsidRDefault="003F2AA5" w:rsidP="00E87381">
      <w:pPr>
        <w:pStyle w:val="Footnotes"/>
        <w:spacing w:after="120"/>
        <w:ind w:left="284" w:hanging="284"/>
      </w:pPr>
      <w:r w:rsidRPr="005F544A">
        <w:t>Figures may not sum to totals due to rounding.</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5"/>
        <w:ind w:left="1080" w:hanging="1080"/>
      </w:pPr>
      <w:bookmarkStart w:id="98" w:name="_Toc458081697"/>
      <w:bookmarkStart w:id="99" w:name="_Toc455655030"/>
      <w:r>
        <w:t>ALP073: Not proceeding with changes to pension portability</w:t>
      </w:r>
      <w:bookmarkEnd w:id="98"/>
    </w:p>
    <w:p w:rsidR="009221D1" w:rsidRDefault="009221D1" w:rsidP="009221D1">
      <w:pPr>
        <w:pStyle w:val="BodyText"/>
      </w:pPr>
      <w:r>
        <w:rPr>
          <w:noProof/>
          <w:lang w:eastAsia="en-AU"/>
        </w:rPr>
        <w:drawing>
          <wp:inline distT="0" distB="0" distL="0" distR="0" wp14:anchorId="26D9631A" wp14:editId="7CBBB708">
            <wp:extent cx="2696845" cy="572135"/>
            <wp:effectExtent l="0" t="0" r="8255" b="0"/>
            <wp:docPr id="27" name="Picture 2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8379A4"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8379A4" w:rsidRDefault="009221D1" w:rsidP="0073534F">
            <w:pPr>
              <w:pStyle w:val="PullOutBoxHeading"/>
              <w:rPr>
                <w:b/>
              </w:rPr>
            </w:pPr>
            <w:r w:rsidRPr="008379A4">
              <w:rPr>
                <w:b/>
              </w:rPr>
              <w:t>Name of proposal:</w:t>
            </w:r>
          </w:p>
        </w:tc>
        <w:tc>
          <w:tcPr>
            <w:tcW w:w="3191" w:type="pct"/>
          </w:tcPr>
          <w:p w:rsidR="009221D1" w:rsidRPr="008379A4" w:rsidRDefault="009221D1" w:rsidP="0073534F">
            <w:pPr>
              <w:pStyle w:val="PullOutBoxHeading"/>
              <w:rPr>
                <w:b/>
              </w:rPr>
            </w:pPr>
            <w:r w:rsidRPr="008379A4">
              <w:rPr>
                <w:b/>
              </w:rPr>
              <w:t>Not proceeding with changes to pension portability</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The proposal would not proceed with the 2015</w:t>
            </w:r>
            <w:r>
              <w:noBreakHyphen/>
              <w:t xml:space="preserve">16 Budget measure, </w:t>
            </w:r>
            <w:r w:rsidRPr="00425277">
              <w:rPr>
                <w:i/>
              </w:rPr>
              <w:t>Australian Working Life Residence – tightening proportionality requirements</w:t>
            </w:r>
            <w:r>
              <w:t>.</w:t>
            </w:r>
          </w:p>
          <w:p w:rsidR="009221D1" w:rsidRPr="00B45F94" w:rsidRDefault="009221D1" w:rsidP="0073534F">
            <w:pPr>
              <w:pStyle w:val="PullOutBoxBodyText"/>
            </w:pPr>
            <w:r>
              <w:t>The proposal would have effect from 1 July 2017.</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pPr>
      <w:r w:rsidRPr="00BF1EE6">
        <w:t>Costing overview</w:t>
      </w:r>
    </w:p>
    <w:p w:rsidR="009221D1" w:rsidRDefault="009221D1" w:rsidP="009221D1">
      <w:pPr>
        <w:pStyle w:val="BodyText"/>
      </w:pPr>
      <w:r>
        <w:t>This proposal would be expected to decrease both the fiscal and underlying cash balances by $207.6 million over the 2016-17 Budget forward estimates period.  This reflects an increase in administered expenses of $219.6 million and a decrease in departmental expenses of $12.0 million over this period.  A breakdown of the financial implications over the 2016</w:t>
      </w:r>
      <w:r>
        <w:noBreakHyphen/>
        <w:t xml:space="preserve">17 Budget forward estimates period is provided at </w:t>
      </w:r>
      <w:r w:rsidRPr="000659CD">
        <w:rPr>
          <w:u w:val="single"/>
        </w:rPr>
        <w:t>Attachment A</w:t>
      </w:r>
      <w:r>
        <w:t>.</w:t>
      </w:r>
    </w:p>
    <w:p w:rsidR="009221D1" w:rsidRDefault="009221D1" w:rsidP="009221D1">
      <w:pPr>
        <w:pStyle w:val="BodyText"/>
      </w:pPr>
      <w:r>
        <w:t>This proposal would be expected to have ongoing financial implications beyond the 2016</w:t>
      </w:r>
      <w:r>
        <w:noBreakHyphen/>
        <w:t>17 Budget forward estimates period.</w:t>
      </w:r>
    </w:p>
    <w:p w:rsidR="009221D1" w:rsidRPr="000659CD" w:rsidRDefault="009221D1" w:rsidP="009221D1">
      <w:pPr>
        <w:pStyle w:val="BodyText"/>
      </w:pPr>
      <w:r>
        <w:t>This costing is considered to be of medium reliability as the number of recipients affected by the measure is uncertain.</w:t>
      </w:r>
    </w:p>
    <w:p w:rsidR="009221D1" w:rsidRDefault="009221D1" w:rsidP="009221D1">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73534F">
            <w:pPr>
              <w:pStyle w:val="TableHeading"/>
            </w:pPr>
            <w:r>
              <w:t>Impact on ($m)</w:t>
            </w:r>
          </w:p>
        </w:tc>
        <w:tc>
          <w:tcPr>
            <w:tcW w:w="721" w:type="pct"/>
          </w:tcPr>
          <w:p w:rsidR="009221D1" w:rsidRPr="00FC1F1C" w:rsidRDefault="009221D1" w:rsidP="0073534F">
            <w:pPr>
              <w:pStyle w:val="TableHeadingRight"/>
            </w:pPr>
            <w:r>
              <w:t>2016–17</w:t>
            </w:r>
          </w:p>
        </w:tc>
        <w:tc>
          <w:tcPr>
            <w:tcW w:w="721" w:type="pct"/>
          </w:tcPr>
          <w:p w:rsidR="009221D1" w:rsidRPr="00FC1F1C" w:rsidRDefault="009221D1" w:rsidP="0073534F">
            <w:pPr>
              <w:pStyle w:val="TableHeadingRight"/>
            </w:pPr>
            <w:r>
              <w:t>2017–18</w:t>
            </w:r>
          </w:p>
        </w:tc>
        <w:tc>
          <w:tcPr>
            <w:tcW w:w="722" w:type="pct"/>
          </w:tcPr>
          <w:p w:rsidR="009221D1" w:rsidRPr="00FC1F1C" w:rsidRDefault="009221D1" w:rsidP="0073534F">
            <w:pPr>
              <w:pStyle w:val="TableHeadingRight"/>
            </w:pPr>
            <w:r>
              <w:t>2018–19</w:t>
            </w:r>
          </w:p>
        </w:tc>
        <w:tc>
          <w:tcPr>
            <w:tcW w:w="721" w:type="pct"/>
          </w:tcPr>
          <w:p w:rsidR="009221D1" w:rsidRPr="00FC1F1C" w:rsidRDefault="009221D1" w:rsidP="0073534F">
            <w:pPr>
              <w:pStyle w:val="TableHeadingRight"/>
            </w:pPr>
            <w:r>
              <w:t>2019–20</w:t>
            </w:r>
          </w:p>
        </w:tc>
        <w:tc>
          <w:tcPr>
            <w:tcW w:w="722" w:type="pct"/>
          </w:tcPr>
          <w:p w:rsidR="009221D1" w:rsidRPr="00B727D9" w:rsidRDefault="009221D1" w:rsidP="0073534F">
            <w:pPr>
              <w:pStyle w:val="TableHeadingRight"/>
              <w:rPr>
                <w:b/>
              </w:rPr>
            </w:pPr>
            <w:r w:rsidRPr="00B727D9">
              <w:t>Total</w:t>
            </w:r>
          </w:p>
        </w:tc>
      </w:tr>
      <w:tr w:rsidR="009221D1" w:rsidTr="0073534F">
        <w:tc>
          <w:tcPr>
            <w:tcW w:w="1393" w:type="pct"/>
          </w:tcPr>
          <w:p w:rsidR="009221D1" w:rsidRDefault="009221D1" w:rsidP="00E87381">
            <w:pPr>
              <w:pStyle w:val="TableText"/>
              <w:keepNext/>
              <w:keepLines/>
            </w:pPr>
            <w:r>
              <w:t>Fiscal balance</w:t>
            </w:r>
          </w:p>
        </w:tc>
        <w:tc>
          <w:tcPr>
            <w:tcW w:w="721" w:type="pct"/>
            <w:vAlign w:val="center"/>
          </w:tcPr>
          <w:p w:rsidR="009221D1" w:rsidRPr="00DA32BC" w:rsidRDefault="009221D1" w:rsidP="00E87381">
            <w:pPr>
              <w:pStyle w:val="TableTextRight"/>
              <w:keepNext/>
              <w:keepLines/>
            </w:pPr>
            <w:r w:rsidRPr="00DA32BC">
              <w:t>0.6</w:t>
            </w:r>
          </w:p>
        </w:tc>
        <w:tc>
          <w:tcPr>
            <w:tcW w:w="721" w:type="pct"/>
            <w:vAlign w:val="center"/>
          </w:tcPr>
          <w:p w:rsidR="009221D1" w:rsidRPr="00DA32BC" w:rsidRDefault="009221D1" w:rsidP="00E87381">
            <w:pPr>
              <w:pStyle w:val="TableTextRight"/>
              <w:keepNext/>
              <w:keepLines/>
            </w:pPr>
            <w:r>
              <w:t>-</w:t>
            </w:r>
            <w:r w:rsidRPr="00DA32BC">
              <w:t>64.9</w:t>
            </w:r>
          </w:p>
        </w:tc>
        <w:tc>
          <w:tcPr>
            <w:tcW w:w="722" w:type="pct"/>
            <w:vAlign w:val="center"/>
          </w:tcPr>
          <w:p w:rsidR="009221D1" w:rsidRPr="00DA32BC" w:rsidRDefault="009221D1" w:rsidP="00E87381">
            <w:pPr>
              <w:pStyle w:val="TableTextRight"/>
              <w:keepNext/>
              <w:keepLines/>
            </w:pPr>
            <w:r>
              <w:t>-</w:t>
            </w:r>
            <w:r w:rsidRPr="00DA32BC">
              <w:t>69.3</w:t>
            </w:r>
          </w:p>
        </w:tc>
        <w:tc>
          <w:tcPr>
            <w:tcW w:w="721" w:type="pct"/>
            <w:vAlign w:val="center"/>
          </w:tcPr>
          <w:p w:rsidR="009221D1" w:rsidRPr="00DA32BC" w:rsidRDefault="009221D1" w:rsidP="00E87381">
            <w:pPr>
              <w:pStyle w:val="TableTextRight"/>
              <w:keepNext/>
              <w:keepLines/>
            </w:pPr>
            <w:r>
              <w:t>-</w:t>
            </w:r>
            <w:r w:rsidRPr="00DA32BC">
              <w:t>73.9</w:t>
            </w:r>
          </w:p>
        </w:tc>
        <w:tc>
          <w:tcPr>
            <w:tcW w:w="722" w:type="pct"/>
            <w:vAlign w:val="center"/>
          </w:tcPr>
          <w:p w:rsidR="009221D1" w:rsidRPr="00DA32BC" w:rsidRDefault="009221D1" w:rsidP="00E87381">
            <w:pPr>
              <w:pStyle w:val="TableTextRight"/>
              <w:keepNext/>
              <w:keepLines/>
              <w:rPr>
                <w:b/>
              </w:rPr>
            </w:pPr>
            <w:r>
              <w:rPr>
                <w:b/>
              </w:rPr>
              <w:t>-</w:t>
            </w:r>
            <w:r w:rsidRPr="00DA32BC">
              <w:rPr>
                <w:b/>
              </w:rPr>
              <w:t>207.6</w:t>
            </w:r>
          </w:p>
        </w:tc>
      </w:tr>
      <w:tr w:rsidR="009221D1" w:rsidTr="0073534F">
        <w:tc>
          <w:tcPr>
            <w:tcW w:w="1393" w:type="pct"/>
          </w:tcPr>
          <w:p w:rsidR="009221D1" w:rsidRDefault="009221D1" w:rsidP="00E87381">
            <w:pPr>
              <w:pStyle w:val="TableText"/>
              <w:keepNext/>
              <w:keepLines/>
            </w:pPr>
            <w:r>
              <w:t>Underlying cash balance</w:t>
            </w:r>
          </w:p>
        </w:tc>
        <w:tc>
          <w:tcPr>
            <w:tcW w:w="721" w:type="pct"/>
            <w:vAlign w:val="center"/>
          </w:tcPr>
          <w:p w:rsidR="009221D1" w:rsidRPr="00DA32BC" w:rsidRDefault="009221D1" w:rsidP="00E87381">
            <w:pPr>
              <w:pStyle w:val="TableTextRight"/>
              <w:keepNext/>
              <w:keepLines/>
            </w:pPr>
            <w:r w:rsidRPr="00DA32BC">
              <w:t>0.6</w:t>
            </w:r>
          </w:p>
        </w:tc>
        <w:tc>
          <w:tcPr>
            <w:tcW w:w="721" w:type="pct"/>
            <w:vAlign w:val="center"/>
          </w:tcPr>
          <w:p w:rsidR="009221D1" w:rsidRPr="00DA32BC" w:rsidRDefault="009221D1" w:rsidP="00E87381">
            <w:pPr>
              <w:pStyle w:val="TableTextRight"/>
              <w:keepNext/>
              <w:keepLines/>
            </w:pPr>
            <w:r>
              <w:t>-</w:t>
            </w:r>
            <w:r w:rsidRPr="00DA32BC">
              <w:t>64.9</w:t>
            </w:r>
          </w:p>
        </w:tc>
        <w:tc>
          <w:tcPr>
            <w:tcW w:w="722" w:type="pct"/>
            <w:vAlign w:val="center"/>
          </w:tcPr>
          <w:p w:rsidR="009221D1" w:rsidRPr="00DA32BC" w:rsidRDefault="009221D1" w:rsidP="00E87381">
            <w:pPr>
              <w:pStyle w:val="TableTextRight"/>
              <w:keepNext/>
              <w:keepLines/>
            </w:pPr>
            <w:r>
              <w:t>-</w:t>
            </w:r>
            <w:r w:rsidRPr="00DA32BC">
              <w:t>69.3</w:t>
            </w:r>
          </w:p>
        </w:tc>
        <w:tc>
          <w:tcPr>
            <w:tcW w:w="721" w:type="pct"/>
            <w:vAlign w:val="center"/>
          </w:tcPr>
          <w:p w:rsidR="009221D1" w:rsidRPr="00DA32BC" w:rsidRDefault="009221D1" w:rsidP="00E87381">
            <w:pPr>
              <w:pStyle w:val="TableTextRight"/>
              <w:keepNext/>
              <w:keepLines/>
            </w:pPr>
            <w:r>
              <w:t>-</w:t>
            </w:r>
            <w:r w:rsidRPr="00DA32BC">
              <w:t>73.9</w:t>
            </w:r>
          </w:p>
        </w:tc>
        <w:tc>
          <w:tcPr>
            <w:tcW w:w="722" w:type="pct"/>
            <w:vAlign w:val="center"/>
          </w:tcPr>
          <w:p w:rsidR="009221D1" w:rsidRPr="00DA32BC" w:rsidRDefault="009221D1" w:rsidP="00E87381">
            <w:pPr>
              <w:pStyle w:val="TableTextRight"/>
              <w:keepNext/>
              <w:keepLines/>
              <w:rPr>
                <w:b/>
              </w:rPr>
            </w:pPr>
            <w:r>
              <w:rPr>
                <w:b/>
              </w:rPr>
              <w:t>-</w:t>
            </w:r>
            <w:r w:rsidRPr="00DA32BC">
              <w:rPr>
                <w:b/>
              </w:rPr>
              <w:t>207.6</w:t>
            </w:r>
          </w:p>
        </w:tc>
      </w:tr>
    </w:tbl>
    <w:p w:rsidR="009221D1" w:rsidRDefault="009221D1" w:rsidP="00E87381">
      <w:pPr>
        <w:pStyle w:val="Footnotes"/>
        <w:keepNext/>
        <w:keepLines/>
        <w:numPr>
          <w:ilvl w:val="0"/>
          <w:numId w:val="155"/>
        </w:numPr>
        <w:ind w:left="284" w:hanging="284"/>
      </w:pPr>
      <w:r>
        <w:t xml:space="preserve">A positive </w:t>
      </w:r>
      <w:r w:rsidRPr="00FC1F1C">
        <w:t>number indicates an increase in the relevant budget balance, a negative number a decrease.</w:t>
      </w:r>
    </w:p>
    <w:p w:rsidR="009221D1" w:rsidRDefault="009221D1" w:rsidP="00E87381">
      <w:pPr>
        <w:pStyle w:val="Footnotes"/>
        <w:ind w:left="284" w:hanging="284"/>
      </w:pPr>
      <w:r>
        <w:t>Figures may not sum to totals due to rounding.</w:t>
      </w:r>
    </w:p>
    <w:p w:rsidR="009221D1" w:rsidRDefault="009221D1" w:rsidP="00765441">
      <w:pPr>
        <w:pStyle w:val="CostingsH7"/>
      </w:pPr>
      <w:r>
        <w:t>Methodology</w:t>
      </w:r>
    </w:p>
    <w:p w:rsidR="009221D1" w:rsidRDefault="009221D1" w:rsidP="00765441">
      <w:pPr>
        <w:pStyle w:val="BodyText"/>
        <w:keepNext/>
        <w:keepLines/>
      </w:pPr>
      <w:r>
        <w:t>The financial implications are based on the 2015-16 Budget measure estimates, adjusted for changes in recipient population and pension payment rates from that time.</w:t>
      </w:r>
    </w:p>
    <w:p w:rsidR="009221D1" w:rsidRPr="00F009EE" w:rsidRDefault="009221D1" w:rsidP="009221D1">
      <w:pPr>
        <w:pStyle w:val="BodyText"/>
      </w:pPr>
      <w:r>
        <w:t>The number of pension recipients travelling overseas for different lengths of time was assumed to decrease under this proposal, reflecting a one-off behavioural change from the start of the proposal.</w:t>
      </w:r>
    </w:p>
    <w:p w:rsidR="009221D1" w:rsidRDefault="009221D1" w:rsidP="009221D1">
      <w:pPr>
        <w:pStyle w:val="CostingsH7"/>
      </w:pPr>
      <w:r>
        <w:t>Data sources</w:t>
      </w:r>
    </w:p>
    <w:p w:rsidR="009221D1" w:rsidRDefault="009221D1" w:rsidP="009221D1">
      <w:pPr>
        <w:pStyle w:val="BodyText"/>
      </w:pPr>
      <w:r w:rsidRPr="00412767">
        <w:t>2015-16 Budget Paper No</w:t>
      </w:r>
      <w:r w:rsidR="00412767">
        <w:t xml:space="preserve">. </w:t>
      </w:r>
      <w:r w:rsidRPr="00412767">
        <w:t>2., p150.</w:t>
      </w:r>
    </w:p>
    <w:p w:rsidR="009221D1" w:rsidRDefault="009221D1" w:rsidP="009221D1">
      <w:pPr>
        <w:pStyle w:val="BodyText"/>
      </w:pPr>
      <w:r>
        <w:t>The Department of Social Services provided payment recipient population growth parameters.</w:t>
      </w:r>
    </w:p>
    <w:p w:rsidR="00765441" w:rsidRDefault="00765441" w:rsidP="009221D1">
      <w:pPr>
        <w:pStyle w:val="BodyText"/>
      </w:pPr>
    </w:p>
    <w:p w:rsidR="00765441" w:rsidRDefault="00765441" w:rsidP="009221D1">
      <w:pPr>
        <w:pStyle w:val="BodyText"/>
        <w:sectPr w:rsidR="0076544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6"/>
        <w:numPr>
          <w:ilvl w:val="0"/>
          <w:numId w:val="10"/>
        </w:numPr>
        <w:tabs>
          <w:tab w:val="right" w:pos="1418"/>
          <w:tab w:val="right" w:pos="1701"/>
          <w:tab w:val="right" w:pos="1985"/>
        </w:tabs>
        <w:spacing w:before="480"/>
      </w:pPr>
      <w:r>
        <w:t>Attachment A: Not proceeding with changes to pension portability—</w:t>
      </w:r>
      <w:r w:rsidR="0080154C">
        <w:t>financial implications</w:t>
      </w:r>
    </w:p>
    <w:p w:rsidR="009221D1" w:rsidRDefault="009221D1" w:rsidP="009221D1">
      <w:pPr>
        <w:pStyle w:val="Caption"/>
      </w:pPr>
      <w:r w:rsidRPr="002B36F1">
        <w:t xml:space="preserve">Table </w:t>
      </w:r>
      <w:r>
        <w:t>A1</w:t>
      </w:r>
      <w:r w:rsidRPr="002B36F1">
        <w:t>:</w:t>
      </w:r>
      <w:r>
        <w:t xml:space="preserve"> Not proceeding with changes to pension portability—</w:t>
      </w:r>
      <w:r w:rsidR="0080154C">
        <w:t>Financial implications</w:t>
      </w:r>
      <w:r>
        <w:t xml:space="preserve">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rPr>
                <w:b w:val="0"/>
              </w:rPr>
            </w:pPr>
            <w:r>
              <w:t>($)</w:t>
            </w:r>
          </w:p>
        </w:tc>
        <w:tc>
          <w:tcPr>
            <w:tcW w:w="689" w:type="pct"/>
            <w:vAlign w:val="center"/>
          </w:tcPr>
          <w:p w:rsidR="009221D1" w:rsidRDefault="009221D1" w:rsidP="0073534F">
            <w:pPr>
              <w:pStyle w:val="TableTextRight"/>
              <w:rPr>
                <w:b w:val="0"/>
              </w:rPr>
            </w:pPr>
            <w:r>
              <w:t>2016–17</w:t>
            </w:r>
          </w:p>
        </w:tc>
        <w:tc>
          <w:tcPr>
            <w:tcW w:w="689" w:type="pct"/>
            <w:vAlign w:val="center"/>
          </w:tcPr>
          <w:p w:rsidR="009221D1" w:rsidRDefault="009221D1" w:rsidP="0073534F">
            <w:pPr>
              <w:pStyle w:val="TableTextRight"/>
              <w:rPr>
                <w:b w:val="0"/>
              </w:rPr>
            </w:pPr>
            <w:r>
              <w:t>2017–18</w:t>
            </w:r>
          </w:p>
        </w:tc>
        <w:tc>
          <w:tcPr>
            <w:tcW w:w="689" w:type="pct"/>
            <w:vAlign w:val="center"/>
          </w:tcPr>
          <w:p w:rsidR="009221D1" w:rsidRDefault="009221D1" w:rsidP="0073534F">
            <w:pPr>
              <w:pStyle w:val="TableTextRight"/>
              <w:rPr>
                <w:b w:val="0"/>
              </w:rPr>
            </w:pPr>
            <w:r>
              <w:t>2018–19</w:t>
            </w:r>
          </w:p>
        </w:tc>
        <w:tc>
          <w:tcPr>
            <w:tcW w:w="689" w:type="pct"/>
            <w:vAlign w:val="center"/>
          </w:tcPr>
          <w:p w:rsidR="009221D1" w:rsidRDefault="009221D1" w:rsidP="0073534F">
            <w:pPr>
              <w:pStyle w:val="TableTextRight"/>
              <w:rPr>
                <w:b w:val="0"/>
              </w:rPr>
            </w:pPr>
            <w:r>
              <w:t>2019–20</w:t>
            </w:r>
          </w:p>
        </w:tc>
        <w:tc>
          <w:tcPr>
            <w:tcW w:w="690" w:type="pct"/>
            <w:vAlign w:val="center"/>
          </w:tcPr>
          <w:p w:rsidR="009221D1" w:rsidRDefault="009221D1" w:rsidP="0073534F">
            <w:pPr>
              <w:pStyle w:val="TableTextRight"/>
            </w:pPr>
            <w:r>
              <w:t>Total to 2019–20</w:t>
            </w:r>
          </w:p>
        </w:tc>
      </w:tr>
      <w:tr w:rsidR="009221D1" w:rsidTr="0073534F">
        <w:tc>
          <w:tcPr>
            <w:tcW w:w="5000" w:type="pct"/>
            <w:gridSpan w:val="6"/>
            <w:shd w:val="clear" w:color="auto" w:fill="D7DDE9" w:themeFill="accent3"/>
            <w:vAlign w:val="center"/>
          </w:tcPr>
          <w:p w:rsidR="009221D1" w:rsidRDefault="009221D1" w:rsidP="0073534F">
            <w:pPr>
              <w:pStyle w:val="TableHeading"/>
            </w:pPr>
            <w:r>
              <w:t>Impact on fiscal and underlying cash balances</w:t>
            </w:r>
          </w:p>
        </w:tc>
      </w:tr>
      <w:tr w:rsidR="009221D1" w:rsidTr="0073534F">
        <w:tc>
          <w:tcPr>
            <w:tcW w:w="1554" w:type="pct"/>
            <w:vAlign w:val="center"/>
          </w:tcPr>
          <w:p w:rsidR="009221D1" w:rsidRPr="007C2713" w:rsidRDefault="009221D1" w:rsidP="0073534F">
            <w:pPr>
              <w:pStyle w:val="TableText"/>
            </w:pPr>
            <w:r>
              <w:t>Administered</w:t>
            </w:r>
          </w:p>
        </w:tc>
        <w:tc>
          <w:tcPr>
            <w:tcW w:w="689" w:type="pct"/>
            <w:vAlign w:val="bottom"/>
          </w:tcPr>
          <w:p w:rsidR="009221D1" w:rsidRPr="00F009EE" w:rsidRDefault="009221D1" w:rsidP="0073534F">
            <w:pPr>
              <w:pStyle w:val="TableTextRight"/>
              <w:rPr>
                <w:i/>
              </w:rPr>
            </w:pPr>
            <w:r w:rsidRPr="00F009EE">
              <w:rPr>
                <w:i/>
              </w:rPr>
              <w:t>-</w:t>
            </w:r>
          </w:p>
        </w:tc>
        <w:tc>
          <w:tcPr>
            <w:tcW w:w="689" w:type="pct"/>
            <w:vAlign w:val="bottom"/>
          </w:tcPr>
          <w:p w:rsidR="009221D1" w:rsidRPr="00F009EE" w:rsidRDefault="009221D1" w:rsidP="0073534F">
            <w:pPr>
              <w:pStyle w:val="TableTextRight"/>
              <w:rPr>
                <w:i/>
              </w:rPr>
            </w:pPr>
            <w:r w:rsidRPr="00F009EE">
              <w:rPr>
                <w:i/>
              </w:rPr>
              <w:t>-69.6</w:t>
            </w:r>
          </w:p>
        </w:tc>
        <w:tc>
          <w:tcPr>
            <w:tcW w:w="689" w:type="pct"/>
            <w:vAlign w:val="bottom"/>
          </w:tcPr>
          <w:p w:rsidR="009221D1" w:rsidRPr="00F009EE" w:rsidRDefault="009221D1" w:rsidP="0073534F">
            <w:pPr>
              <w:pStyle w:val="TableTextRight"/>
              <w:rPr>
                <w:i/>
              </w:rPr>
            </w:pPr>
            <w:r w:rsidRPr="00F009EE">
              <w:rPr>
                <w:i/>
              </w:rPr>
              <w:t>-73.0</w:t>
            </w:r>
          </w:p>
        </w:tc>
        <w:tc>
          <w:tcPr>
            <w:tcW w:w="689" w:type="pct"/>
            <w:vAlign w:val="bottom"/>
          </w:tcPr>
          <w:p w:rsidR="009221D1" w:rsidRPr="00F009EE" w:rsidRDefault="009221D1" w:rsidP="0073534F">
            <w:pPr>
              <w:pStyle w:val="TableTextRight"/>
              <w:rPr>
                <w:i/>
              </w:rPr>
            </w:pPr>
            <w:r w:rsidRPr="00F009EE">
              <w:rPr>
                <w:i/>
              </w:rPr>
              <w:t>-77.0</w:t>
            </w:r>
          </w:p>
        </w:tc>
        <w:tc>
          <w:tcPr>
            <w:tcW w:w="690" w:type="pct"/>
            <w:vAlign w:val="bottom"/>
          </w:tcPr>
          <w:p w:rsidR="009221D1" w:rsidRPr="00F009EE" w:rsidRDefault="009221D1" w:rsidP="0073534F">
            <w:pPr>
              <w:pStyle w:val="TableTextRight"/>
              <w:rPr>
                <w:b/>
                <w:i/>
              </w:rPr>
            </w:pPr>
            <w:r w:rsidRPr="00F009EE">
              <w:rPr>
                <w:b/>
                <w:i/>
              </w:rPr>
              <w:t>-219.6</w:t>
            </w:r>
          </w:p>
        </w:tc>
      </w:tr>
      <w:tr w:rsidR="009221D1" w:rsidTr="0073534F">
        <w:tc>
          <w:tcPr>
            <w:tcW w:w="1554" w:type="pct"/>
            <w:vAlign w:val="center"/>
          </w:tcPr>
          <w:p w:rsidR="009221D1" w:rsidRPr="007C2713" w:rsidRDefault="009221D1" w:rsidP="0073534F">
            <w:pPr>
              <w:pStyle w:val="TableText"/>
            </w:pPr>
            <w:r>
              <w:t>Departmental</w:t>
            </w:r>
          </w:p>
        </w:tc>
        <w:tc>
          <w:tcPr>
            <w:tcW w:w="689" w:type="pct"/>
            <w:vAlign w:val="bottom"/>
          </w:tcPr>
          <w:p w:rsidR="009221D1" w:rsidRPr="00F009EE" w:rsidRDefault="009221D1" w:rsidP="0073534F">
            <w:pPr>
              <w:pStyle w:val="TableTextRight"/>
              <w:rPr>
                <w:i/>
              </w:rPr>
            </w:pPr>
            <w:r w:rsidRPr="00F009EE">
              <w:rPr>
                <w:i/>
              </w:rPr>
              <w:t>0.6</w:t>
            </w:r>
          </w:p>
        </w:tc>
        <w:tc>
          <w:tcPr>
            <w:tcW w:w="689" w:type="pct"/>
            <w:vAlign w:val="bottom"/>
          </w:tcPr>
          <w:p w:rsidR="009221D1" w:rsidRPr="00F009EE" w:rsidRDefault="009221D1" w:rsidP="0073534F">
            <w:pPr>
              <w:pStyle w:val="TableTextRight"/>
              <w:rPr>
                <w:i/>
              </w:rPr>
            </w:pPr>
            <w:r w:rsidRPr="00F009EE">
              <w:rPr>
                <w:i/>
              </w:rPr>
              <w:t>4.7</w:t>
            </w:r>
          </w:p>
        </w:tc>
        <w:tc>
          <w:tcPr>
            <w:tcW w:w="689" w:type="pct"/>
            <w:vAlign w:val="bottom"/>
          </w:tcPr>
          <w:p w:rsidR="009221D1" w:rsidRPr="00F009EE" w:rsidRDefault="009221D1" w:rsidP="0073534F">
            <w:pPr>
              <w:pStyle w:val="TableTextRight"/>
              <w:rPr>
                <w:i/>
              </w:rPr>
            </w:pPr>
            <w:r w:rsidRPr="00F009EE">
              <w:rPr>
                <w:i/>
              </w:rPr>
              <w:t>3.7</w:t>
            </w:r>
          </w:p>
        </w:tc>
        <w:tc>
          <w:tcPr>
            <w:tcW w:w="689" w:type="pct"/>
            <w:vAlign w:val="bottom"/>
          </w:tcPr>
          <w:p w:rsidR="009221D1" w:rsidRPr="00F009EE" w:rsidRDefault="009221D1" w:rsidP="0073534F">
            <w:pPr>
              <w:pStyle w:val="TableTextRight"/>
              <w:rPr>
                <w:i/>
              </w:rPr>
            </w:pPr>
            <w:r w:rsidRPr="00F009EE">
              <w:rPr>
                <w:i/>
              </w:rPr>
              <w:t>3.1</w:t>
            </w:r>
          </w:p>
        </w:tc>
        <w:tc>
          <w:tcPr>
            <w:tcW w:w="690" w:type="pct"/>
            <w:vAlign w:val="bottom"/>
          </w:tcPr>
          <w:p w:rsidR="009221D1" w:rsidRPr="00F009EE" w:rsidRDefault="009221D1" w:rsidP="0073534F">
            <w:pPr>
              <w:pStyle w:val="TableTextRight"/>
              <w:rPr>
                <w:b/>
                <w:i/>
              </w:rPr>
            </w:pPr>
            <w:r w:rsidRPr="00F009EE">
              <w:rPr>
                <w:b/>
                <w:i/>
              </w:rPr>
              <w:t>12.0</w:t>
            </w:r>
          </w:p>
        </w:tc>
      </w:tr>
      <w:tr w:rsidR="009221D1" w:rsidRPr="007C2713" w:rsidTr="0073534F">
        <w:tc>
          <w:tcPr>
            <w:tcW w:w="1554" w:type="pct"/>
            <w:shd w:val="clear" w:color="auto" w:fill="D7DDE9" w:themeFill="accent3"/>
            <w:vAlign w:val="center"/>
          </w:tcPr>
          <w:p w:rsidR="009221D1" w:rsidRPr="007C2713" w:rsidRDefault="009221D1" w:rsidP="0073534F">
            <w:pPr>
              <w:pStyle w:val="TableText"/>
              <w:rPr>
                <w:b/>
              </w:rPr>
            </w:pPr>
            <w:r w:rsidRPr="007C2713">
              <w:rPr>
                <w:b/>
              </w:rPr>
              <w:t>Total</w:t>
            </w:r>
          </w:p>
        </w:tc>
        <w:tc>
          <w:tcPr>
            <w:tcW w:w="689" w:type="pct"/>
            <w:shd w:val="clear" w:color="auto" w:fill="D7DDE9" w:themeFill="accent3"/>
            <w:vAlign w:val="bottom"/>
          </w:tcPr>
          <w:p w:rsidR="009221D1" w:rsidRPr="0061772B" w:rsidRDefault="009221D1" w:rsidP="0073534F">
            <w:pPr>
              <w:pStyle w:val="TableTextRight"/>
              <w:rPr>
                <w:b/>
              </w:rPr>
            </w:pPr>
            <w:r w:rsidRPr="0061772B">
              <w:rPr>
                <w:b/>
              </w:rPr>
              <w:t>0.6</w:t>
            </w:r>
          </w:p>
        </w:tc>
        <w:tc>
          <w:tcPr>
            <w:tcW w:w="689" w:type="pct"/>
            <w:shd w:val="clear" w:color="auto" w:fill="D7DDE9" w:themeFill="accent3"/>
            <w:vAlign w:val="bottom"/>
          </w:tcPr>
          <w:p w:rsidR="009221D1" w:rsidRPr="0061772B" w:rsidRDefault="009221D1" w:rsidP="0073534F">
            <w:pPr>
              <w:pStyle w:val="TableTextRight"/>
              <w:rPr>
                <w:b/>
              </w:rPr>
            </w:pPr>
            <w:r>
              <w:rPr>
                <w:b/>
              </w:rPr>
              <w:t>-</w:t>
            </w:r>
            <w:r w:rsidRPr="0061772B">
              <w:rPr>
                <w:b/>
              </w:rPr>
              <w:t>64.9</w:t>
            </w:r>
          </w:p>
        </w:tc>
        <w:tc>
          <w:tcPr>
            <w:tcW w:w="689" w:type="pct"/>
            <w:shd w:val="clear" w:color="auto" w:fill="D7DDE9" w:themeFill="accent3"/>
            <w:vAlign w:val="bottom"/>
          </w:tcPr>
          <w:p w:rsidR="009221D1" w:rsidRPr="0061772B" w:rsidRDefault="009221D1" w:rsidP="0073534F">
            <w:pPr>
              <w:pStyle w:val="TableTextRight"/>
              <w:rPr>
                <w:b/>
              </w:rPr>
            </w:pPr>
            <w:r>
              <w:rPr>
                <w:b/>
              </w:rPr>
              <w:t>-</w:t>
            </w:r>
            <w:r w:rsidRPr="0061772B">
              <w:rPr>
                <w:b/>
              </w:rPr>
              <w:t>69.3</w:t>
            </w:r>
          </w:p>
        </w:tc>
        <w:tc>
          <w:tcPr>
            <w:tcW w:w="689" w:type="pct"/>
            <w:shd w:val="clear" w:color="auto" w:fill="D7DDE9" w:themeFill="accent3"/>
            <w:vAlign w:val="bottom"/>
          </w:tcPr>
          <w:p w:rsidR="009221D1" w:rsidRPr="0061772B" w:rsidRDefault="009221D1" w:rsidP="0073534F">
            <w:pPr>
              <w:pStyle w:val="TableTextRight"/>
              <w:rPr>
                <w:b/>
              </w:rPr>
            </w:pPr>
            <w:r>
              <w:rPr>
                <w:b/>
              </w:rPr>
              <w:t>-</w:t>
            </w:r>
            <w:r w:rsidRPr="0061772B">
              <w:rPr>
                <w:b/>
              </w:rPr>
              <w:t>73.9</w:t>
            </w:r>
          </w:p>
        </w:tc>
        <w:tc>
          <w:tcPr>
            <w:tcW w:w="690" w:type="pct"/>
            <w:shd w:val="clear" w:color="auto" w:fill="D7DDE9" w:themeFill="accent3"/>
            <w:vAlign w:val="bottom"/>
          </w:tcPr>
          <w:p w:rsidR="009221D1" w:rsidRPr="0061772B" w:rsidRDefault="009221D1" w:rsidP="0073534F">
            <w:pPr>
              <w:pStyle w:val="TableTextRight"/>
              <w:rPr>
                <w:b/>
              </w:rPr>
            </w:pPr>
            <w:r>
              <w:rPr>
                <w:b/>
              </w:rPr>
              <w:t>-</w:t>
            </w:r>
            <w:r w:rsidRPr="0061772B">
              <w:rPr>
                <w:b/>
              </w:rPr>
              <w:t>207.6</w:t>
            </w:r>
          </w:p>
        </w:tc>
      </w:tr>
    </w:tbl>
    <w:p w:rsidR="009221D1" w:rsidRDefault="009221D1" w:rsidP="002C43F8">
      <w:pPr>
        <w:pStyle w:val="Footnotes"/>
        <w:numPr>
          <w:ilvl w:val="0"/>
          <w:numId w:val="156"/>
        </w:numPr>
        <w:spacing w:before="113"/>
        <w:ind w:left="284" w:hanging="284"/>
      </w:pPr>
      <w:r w:rsidRPr="00F009EE">
        <w:t>A positive number indicates an increase in revenue or decrease in expenses or net capital investment in accrual and cash terms.  A negative number indicates a decrease in revenue or an increase in expenses or net capital investment in accrual and cash terms.</w:t>
      </w:r>
    </w:p>
    <w:p w:rsidR="009221D1" w:rsidRPr="005F544A" w:rsidRDefault="009221D1" w:rsidP="009221D1">
      <w:pPr>
        <w:pStyle w:val="Footnotes"/>
        <w:spacing w:after="120"/>
        <w:ind w:left="284" w:hanging="284"/>
      </w:pPr>
      <w:r w:rsidRPr="005F544A">
        <w:t>Figures may not sum to totals due to rounding.</w:t>
      </w:r>
    </w:p>
    <w:p w:rsidR="009221D1" w:rsidRDefault="009221D1" w:rsidP="009221D1">
      <w:pPr>
        <w:pStyle w:val="Footnotes"/>
        <w:numPr>
          <w:ilvl w:val="0"/>
          <w:numId w:val="0"/>
        </w:numPr>
        <w:ind w:left="284" w:hanging="284"/>
      </w:pPr>
      <w:r w:rsidRPr="005F544A">
        <w:t>-</w:t>
      </w:r>
      <w:r w:rsidRPr="005F544A">
        <w:tab/>
        <w:t>Indicates nil.</w:t>
      </w:r>
    </w:p>
    <w:p w:rsidR="009221D1" w:rsidRPr="00951305" w:rsidRDefault="009221D1" w:rsidP="009221D1">
      <w:pPr>
        <w:pStyle w:val="BodyText"/>
      </w:pPr>
    </w:p>
    <w:p w:rsidR="009221D1" w:rsidRDefault="009221D1" w:rsidP="009221D1">
      <w:pPr>
        <w:pStyle w:val="BodyText"/>
        <w:sectPr w:rsidR="009221D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5"/>
        <w:ind w:left="1080" w:hanging="1080"/>
      </w:pPr>
      <w:bookmarkStart w:id="100" w:name="_Toc455655031"/>
      <w:bookmarkStart w:id="101" w:name="_Toc458081698"/>
      <w:r>
        <w:t>ALP074: Not proceeding with the Divorce Tax</w:t>
      </w:r>
      <w:bookmarkEnd w:id="100"/>
      <w:bookmarkEnd w:id="101"/>
    </w:p>
    <w:p w:rsidR="009221D1" w:rsidRDefault="009221D1" w:rsidP="009221D1">
      <w:pPr>
        <w:pStyle w:val="BodyText"/>
      </w:pPr>
      <w:r>
        <w:rPr>
          <w:noProof/>
          <w:lang w:eastAsia="en-AU"/>
        </w:rPr>
        <w:drawing>
          <wp:inline distT="0" distB="0" distL="0" distR="0" wp14:anchorId="48699EE6" wp14:editId="1701B41A">
            <wp:extent cx="2696845" cy="572135"/>
            <wp:effectExtent l="0" t="0" r="8255" b="0"/>
            <wp:docPr id="26" name="Picture 26"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8379A4"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8379A4" w:rsidRDefault="009221D1" w:rsidP="0073534F">
            <w:pPr>
              <w:pStyle w:val="PullOutBoxHeading"/>
              <w:rPr>
                <w:b/>
              </w:rPr>
            </w:pPr>
            <w:r w:rsidRPr="008379A4">
              <w:rPr>
                <w:b/>
              </w:rPr>
              <w:t>Name of proposal:</w:t>
            </w:r>
          </w:p>
        </w:tc>
        <w:tc>
          <w:tcPr>
            <w:tcW w:w="3191" w:type="pct"/>
          </w:tcPr>
          <w:p w:rsidR="009221D1" w:rsidRPr="008379A4" w:rsidRDefault="009221D1" w:rsidP="0073534F">
            <w:pPr>
              <w:pStyle w:val="PullOutBoxHeading"/>
              <w:rPr>
                <w:b/>
              </w:rPr>
            </w:pPr>
            <w:r w:rsidRPr="008379A4">
              <w:rPr>
                <w:b/>
              </w:rPr>
              <w:t>Not proceeding with the Divorce Tax</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 xml:space="preserve">The proposal would reverse the </w:t>
            </w:r>
            <w:r w:rsidRPr="00B300D4">
              <w:rPr>
                <w:i/>
              </w:rPr>
              <w:t>Family Law (Fees) Amendment (2015 Measures No. 1) Regulation 2015</w:t>
            </w:r>
            <w:r>
              <w:t xml:space="preserve"> (the Regulation) which increased court fees with effect from 13 July 2015, as follows:</w:t>
            </w:r>
          </w:p>
          <w:p w:rsidR="009221D1" w:rsidRDefault="009221D1" w:rsidP="0073534F">
            <w:pPr>
              <w:pStyle w:val="PullOutBoxBullet"/>
            </w:pPr>
            <w:r>
              <w:t>the full divorce fee in the Federal Circuit Court of Australia from $845 to $1,200</w:t>
            </w:r>
          </w:p>
          <w:p w:rsidR="009221D1" w:rsidRDefault="009221D1" w:rsidP="0073534F">
            <w:pPr>
              <w:pStyle w:val="PullOutBoxBullet"/>
            </w:pPr>
            <w:r>
              <w:t>the full divorce fee in the Family Court of Australia from $1,195 to $1,200</w:t>
            </w:r>
          </w:p>
          <w:p w:rsidR="009221D1" w:rsidRDefault="009221D1" w:rsidP="0073534F">
            <w:pPr>
              <w:pStyle w:val="PullOutBoxBullet"/>
            </w:pPr>
            <w:r>
              <w:t>the fees for consent orders from $155 to $240</w:t>
            </w:r>
          </w:p>
          <w:p w:rsidR="009221D1" w:rsidRDefault="009221D1" w:rsidP="0073534F">
            <w:pPr>
              <w:pStyle w:val="PullOutBoxBullet"/>
            </w:pPr>
            <w:r>
              <w:t>the fees for issuing subpoenas from $55 to $125</w:t>
            </w:r>
          </w:p>
          <w:p w:rsidR="009221D1" w:rsidRDefault="009221D1" w:rsidP="0073534F">
            <w:pPr>
              <w:pStyle w:val="PullOutBoxBullet"/>
            </w:pPr>
            <w:r>
              <w:t>all other existing family law fee categories to the amounts specified in the Regulation.</w:t>
            </w:r>
          </w:p>
          <w:p w:rsidR="009221D1" w:rsidRDefault="009221D1" w:rsidP="0073534F">
            <w:pPr>
              <w:pStyle w:val="PullOutBoxBodyText"/>
            </w:pPr>
            <w:r>
              <w:t>The Regulation also established a new fee category for the filing of amended applications of $125.</w:t>
            </w:r>
          </w:p>
          <w:p w:rsidR="009221D1" w:rsidRPr="00B45F94" w:rsidRDefault="009221D1" w:rsidP="0073534F">
            <w:pPr>
              <w:pStyle w:val="PullOutBoxBodyText"/>
            </w:pPr>
            <w:r>
              <w:t>The proposal would have effect from 1 July 2016.</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pPr>
      <w:r w:rsidRPr="00BF1EE6">
        <w:t>Costing overview</w:t>
      </w:r>
    </w:p>
    <w:p w:rsidR="009221D1" w:rsidRDefault="009221D1" w:rsidP="009221D1">
      <w:pPr>
        <w:pStyle w:val="BodyText"/>
      </w:pPr>
      <w:r>
        <w:t>This proposal would be expected to decrease both the fiscal and underlying cash balances by $69 million over the 2016-17 Budget forward estimates period.  This impact entirely reflects a decrease in revenue.</w:t>
      </w:r>
    </w:p>
    <w:p w:rsidR="009221D1" w:rsidRDefault="009221D1" w:rsidP="009221D1">
      <w:pPr>
        <w:pStyle w:val="BodyText"/>
      </w:pPr>
      <w:r>
        <w:t>This proposal would be expected to have an ongoing impact that extends beyond the 2016</w:t>
      </w:r>
      <w:r>
        <w:noBreakHyphen/>
        <w:t>17 Budget forward estimates period.</w:t>
      </w:r>
    </w:p>
    <w:p w:rsidR="009221D1" w:rsidRDefault="009221D1" w:rsidP="009221D1">
      <w:pPr>
        <w:pStyle w:val="BodyText"/>
      </w:pPr>
      <w:r>
        <w:t xml:space="preserve">Detailed financial implications of this proposal are provided at </w:t>
      </w:r>
      <w:r w:rsidRPr="00FA0992">
        <w:rPr>
          <w:u w:val="single"/>
        </w:rPr>
        <w:t>Attachment A</w:t>
      </w:r>
      <w:r>
        <w:t>.</w:t>
      </w:r>
    </w:p>
    <w:p w:rsidR="009221D1" w:rsidRDefault="009221D1" w:rsidP="009221D1">
      <w:pPr>
        <w:pStyle w:val="BodyText"/>
      </w:pPr>
      <w:r>
        <w:t>Departmental expenses are not expected to be significant and have not been included in this costing.</w:t>
      </w:r>
    </w:p>
    <w:p w:rsidR="009221D1" w:rsidRPr="00FA0992" w:rsidRDefault="009221D1" w:rsidP="009221D1">
      <w:pPr>
        <w:pStyle w:val="BodyText"/>
      </w:pPr>
      <w:r>
        <w:t>This costing is considered to be of high reliability as the revenue impact of the Regulation over the 2016-17 Budget forward estimates period reflects the estimates associated with the 2015</w:t>
      </w:r>
      <w:r>
        <w:noBreakHyphen/>
        <w:t xml:space="preserve">16 Budget measure, </w:t>
      </w:r>
      <w:r w:rsidRPr="00D84451">
        <w:rPr>
          <w:i/>
        </w:rPr>
        <w:t>Streamlining and improving the sustainability of Courts</w:t>
      </w:r>
      <w:r>
        <w:t>.</w:t>
      </w:r>
    </w:p>
    <w:p w:rsidR="009221D1" w:rsidRDefault="009221D1" w:rsidP="009221D1">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73534F">
            <w:pPr>
              <w:pStyle w:val="TableHeading"/>
            </w:pPr>
            <w:r>
              <w:t>Impact on ($m)</w:t>
            </w:r>
          </w:p>
        </w:tc>
        <w:tc>
          <w:tcPr>
            <w:tcW w:w="721" w:type="pct"/>
          </w:tcPr>
          <w:p w:rsidR="009221D1" w:rsidRPr="00FC1F1C" w:rsidRDefault="009221D1" w:rsidP="0073534F">
            <w:pPr>
              <w:pStyle w:val="TableHeadingRight"/>
            </w:pPr>
            <w:r>
              <w:t>2016–17</w:t>
            </w:r>
          </w:p>
        </w:tc>
        <w:tc>
          <w:tcPr>
            <w:tcW w:w="721" w:type="pct"/>
          </w:tcPr>
          <w:p w:rsidR="009221D1" w:rsidRPr="00FC1F1C" w:rsidRDefault="009221D1" w:rsidP="0073534F">
            <w:pPr>
              <w:pStyle w:val="TableHeadingRight"/>
            </w:pPr>
            <w:r>
              <w:t>2017–18</w:t>
            </w:r>
          </w:p>
        </w:tc>
        <w:tc>
          <w:tcPr>
            <w:tcW w:w="722" w:type="pct"/>
          </w:tcPr>
          <w:p w:rsidR="009221D1" w:rsidRPr="00FC1F1C" w:rsidRDefault="009221D1" w:rsidP="0073534F">
            <w:pPr>
              <w:pStyle w:val="TableHeadingRight"/>
            </w:pPr>
            <w:r>
              <w:t>2018–19</w:t>
            </w:r>
          </w:p>
        </w:tc>
        <w:tc>
          <w:tcPr>
            <w:tcW w:w="721" w:type="pct"/>
          </w:tcPr>
          <w:p w:rsidR="009221D1" w:rsidRPr="00FC1F1C" w:rsidRDefault="009221D1" w:rsidP="0073534F">
            <w:pPr>
              <w:pStyle w:val="TableHeadingRight"/>
            </w:pPr>
            <w:r>
              <w:t>2019–20</w:t>
            </w:r>
          </w:p>
        </w:tc>
        <w:tc>
          <w:tcPr>
            <w:tcW w:w="722" w:type="pct"/>
          </w:tcPr>
          <w:p w:rsidR="009221D1" w:rsidRPr="00FC1F1C" w:rsidRDefault="009221D1" w:rsidP="0073534F">
            <w:pPr>
              <w:pStyle w:val="TableHeadingRight"/>
              <w:rPr>
                <w:b/>
              </w:rPr>
            </w:pPr>
            <w:r w:rsidRPr="00FC1F1C">
              <w:t>Total</w:t>
            </w:r>
          </w:p>
        </w:tc>
      </w:tr>
      <w:tr w:rsidR="009221D1" w:rsidTr="0073534F">
        <w:tc>
          <w:tcPr>
            <w:tcW w:w="1393" w:type="pct"/>
          </w:tcPr>
          <w:p w:rsidR="009221D1" w:rsidRDefault="009221D1" w:rsidP="00765441">
            <w:pPr>
              <w:pStyle w:val="TableText"/>
              <w:keepNext/>
              <w:keepLines/>
            </w:pPr>
            <w:r>
              <w:t>Fiscal balance</w:t>
            </w:r>
          </w:p>
        </w:tc>
        <w:tc>
          <w:tcPr>
            <w:tcW w:w="721" w:type="pct"/>
          </w:tcPr>
          <w:p w:rsidR="009221D1" w:rsidRPr="003A3459" w:rsidRDefault="009221D1" w:rsidP="00765441">
            <w:pPr>
              <w:pStyle w:val="TableTextRight"/>
              <w:keepNext/>
              <w:keepLines/>
              <w:rPr>
                <w:szCs w:val="20"/>
              </w:rPr>
            </w:pPr>
            <w:r w:rsidRPr="007F0151">
              <w:t>-16.4</w:t>
            </w:r>
          </w:p>
        </w:tc>
        <w:tc>
          <w:tcPr>
            <w:tcW w:w="721" w:type="pct"/>
          </w:tcPr>
          <w:p w:rsidR="009221D1" w:rsidRPr="003A3459" w:rsidRDefault="009221D1" w:rsidP="00765441">
            <w:pPr>
              <w:pStyle w:val="TableTextRight"/>
              <w:keepNext/>
              <w:keepLines/>
              <w:rPr>
                <w:szCs w:val="20"/>
              </w:rPr>
            </w:pPr>
            <w:r w:rsidRPr="007F0151">
              <w:t>-16.6</w:t>
            </w:r>
          </w:p>
        </w:tc>
        <w:tc>
          <w:tcPr>
            <w:tcW w:w="722" w:type="pct"/>
          </w:tcPr>
          <w:p w:rsidR="009221D1" w:rsidRPr="003A3459" w:rsidRDefault="009221D1" w:rsidP="00765441">
            <w:pPr>
              <w:pStyle w:val="TableTextRight"/>
              <w:keepNext/>
              <w:keepLines/>
              <w:rPr>
                <w:szCs w:val="20"/>
              </w:rPr>
            </w:pPr>
            <w:r w:rsidRPr="007F0151">
              <w:t>-17.9</w:t>
            </w:r>
          </w:p>
        </w:tc>
        <w:tc>
          <w:tcPr>
            <w:tcW w:w="721" w:type="pct"/>
          </w:tcPr>
          <w:p w:rsidR="009221D1" w:rsidRPr="003A3459" w:rsidRDefault="009221D1" w:rsidP="00765441">
            <w:pPr>
              <w:pStyle w:val="TableTextRight"/>
              <w:keepNext/>
              <w:keepLines/>
              <w:rPr>
                <w:szCs w:val="20"/>
              </w:rPr>
            </w:pPr>
            <w:r w:rsidRPr="007F0151">
              <w:t>-18.1</w:t>
            </w:r>
          </w:p>
        </w:tc>
        <w:tc>
          <w:tcPr>
            <w:tcW w:w="722" w:type="pct"/>
          </w:tcPr>
          <w:p w:rsidR="009221D1" w:rsidRPr="00504A3E" w:rsidRDefault="009221D1" w:rsidP="00765441">
            <w:pPr>
              <w:pStyle w:val="TableTextRight"/>
              <w:keepNext/>
              <w:keepLines/>
              <w:rPr>
                <w:b/>
                <w:szCs w:val="20"/>
              </w:rPr>
            </w:pPr>
            <w:r>
              <w:rPr>
                <w:b/>
              </w:rPr>
              <w:t>-</w:t>
            </w:r>
            <w:r w:rsidRPr="00504A3E">
              <w:rPr>
                <w:b/>
              </w:rPr>
              <w:t>69.0</w:t>
            </w:r>
          </w:p>
        </w:tc>
      </w:tr>
      <w:tr w:rsidR="009221D1" w:rsidTr="0073534F">
        <w:tc>
          <w:tcPr>
            <w:tcW w:w="1393" w:type="pct"/>
          </w:tcPr>
          <w:p w:rsidR="009221D1" w:rsidRDefault="009221D1" w:rsidP="00765441">
            <w:pPr>
              <w:pStyle w:val="TableText"/>
              <w:keepNext/>
              <w:keepLines/>
            </w:pPr>
            <w:r>
              <w:t>Underlying cash balance</w:t>
            </w:r>
          </w:p>
        </w:tc>
        <w:tc>
          <w:tcPr>
            <w:tcW w:w="721" w:type="pct"/>
          </w:tcPr>
          <w:p w:rsidR="009221D1" w:rsidRPr="003A3459" w:rsidRDefault="009221D1" w:rsidP="00765441">
            <w:pPr>
              <w:pStyle w:val="TableTextRight"/>
              <w:keepNext/>
              <w:keepLines/>
              <w:rPr>
                <w:szCs w:val="20"/>
              </w:rPr>
            </w:pPr>
            <w:r w:rsidRPr="00A72090">
              <w:t>-16.4</w:t>
            </w:r>
          </w:p>
        </w:tc>
        <w:tc>
          <w:tcPr>
            <w:tcW w:w="721" w:type="pct"/>
          </w:tcPr>
          <w:p w:rsidR="009221D1" w:rsidRPr="003A3459" w:rsidRDefault="009221D1" w:rsidP="00765441">
            <w:pPr>
              <w:pStyle w:val="TableTextRight"/>
              <w:keepNext/>
              <w:keepLines/>
              <w:rPr>
                <w:szCs w:val="20"/>
              </w:rPr>
            </w:pPr>
            <w:r w:rsidRPr="00A72090">
              <w:t>-16.6</w:t>
            </w:r>
          </w:p>
        </w:tc>
        <w:tc>
          <w:tcPr>
            <w:tcW w:w="722" w:type="pct"/>
          </w:tcPr>
          <w:p w:rsidR="009221D1" w:rsidRPr="003A3459" w:rsidRDefault="009221D1" w:rsidP="00765441">
            <w:pPr>
              <w:pStyle w:val="TableTextRight"/>
              <w:keepNext/>
              <w:keepLines/>
              <w:rPr>
                <w:szCs w:val="20"/>
              </w:rPr>
            </w:pPr>
            <w:r w:rsidRPr="00A72090">
              <w:t>-17.9</w:t>
            </w:r>
          </w:p>
        </w:tc>
        <w:tc>
          <w:tcPr>
            <w:tcW w:w="721" w:type="pct"/>
          </w:tcPr>
          <w:p w:rsidR="009221D1" w:rsidRPr="003A3459" w:rsidRDefault="009221D1" w:rsidP="00765441">
            <w:pPr>
              <w:pStyle w:val="TableTextRight"/>
              <w:keepNext/>
              <w:keepLines/>
              <w:rPr>
                <w:szCs w:val="20"/>
              </w:rPr>
            </w:pPr>
            <w:r w:rsidRPr="00A72090">
              <w:t>-18.1</w:t>
            </w:r>
          </w:p>
        </w:tc>
        <w:tc>
          <w:tcPr>
            <w:tcW w:w="722" w:type="pct"/>
          </w:tcPr>
          <w:p w:rsidR="009221D1" w:rsidRPr="00504A3E" w:rsidRDefault="009221D1" w:rsidP="00765441">
            <w:pPr>
              <w:pStyle w:val="TableTextRight"/>
              <w:keepNext/>
              <w:keepLines/>
              <w:rPr>
                <w:b/>
                <w:szCs w:val="20"/>
              </w:rPr>
            </w:pPr>
            <w:r>
              <w:rPr>
                <w:b/>
              </w:rPr>
              <w:t>-</w:t>
            </w:r>
            <w:r w:rsidRPr="00504A3E">
              <w:rPr>
                <w:b/>
              </w:rPr>
              <w:t>69.0</w:t>
            </w:r>
          </w:p>
        </w:tc>
      </w:tr>
    </w:tbl>
    <w:p w:rsidR="009221D1" w:rsidRDefault="009221D1" w:rsidP="00765441">
      <w:pPr>
        <w:pStyle w:val="Footnotes"/>
        <w:keepNext/>
        <w:keepLines/>
        <w:numPr>
          <w:ilvl w:val="0"/>
          <w:numId w:val="157"/>
        </w:numPr>
        <w:ind w:left="284" w:hanging="284"/>
      </w:pPr>
      <w:r>
        <w:t xml:space="preserve">A positive </w:t>
      </w:r>
      <w:r w:rsidRPr="00FC1F1C">
        <w:t>number indicates an increase in the relevant budget balance, a negative number a decrease.</w:t>
      </w:r>
    </w:p>
    <w:p w:rsidR="009221D1" w:rsidRPr="000E063A" w:rsidRDefault="009221D1" w:rsidP="00765441">
      <w:pPr>
        <w:pStyle w:val="Footnotes"/>
        <w:ind w:left="284" w:hanging="284"/>
        <w:rPr>
          <w:rStyle w:val="FootnoteReference"/>
          <w:vertAlign w:val="baseline"/>
        </w:rPr>
      </w:pPr>
      <w:r w:rsidRPr="000E063A">
        <w:t>Figures may not sum to totals due to rounding.</w:t>
      </w:r>
    </w:p>
    <w:p w:rsidR="009221D1" w:rsidRDefault="009221D1" w:rsidP="009221D1">
      <w:pPr>
        <w:pStyle w:val="CostingsH7"/>
      </w:pPr>
      <w:r>
        <w:t>Key assumptions</w:t>
      </w:r>
    </w:p>
    <w:p w:rsidR="009221D1" w:rsidRPr="00D84451" w:rsidRDefault="009221D1" w:rsidP="009221D1">
      <w:pPr>
        <w:pStyle w:val="BodyText"/>
      </w:pPr>
      <w:r w:rsidRPr="00D84451">
        <w:t>The Parliamentary Budget Office has assumed that there would be no behavioural response to the proposal.</w:t>
      </w:r>
    </w:p>
    <w:p w:rsidR="009221D1" w:rsidRDefault="009221D1" w:rsidP="009221D1">
      <w:pPr>
        <w:pStyle w:val="CostingsH7"/>
      </w:pPr>
      <w:r>
        <w:t>Methodology</w:t>
      </w:r>
    </w:p>
    <w:p w:rsidR="009221D1" w:rsidRDefault="009221D1" w:rsidP="009221D1">
      <w:pPr>
        <w:pStyle w:val="BodyText"/>
      </w:pPr>
      <w:r>
        <w:t>The revenue impact of the Regulation was estimated by multiplying the number of estimated filings over the estimation period by the increase in court fees over the same period.</w:t>
      </w:r>
    </w:p>
    <w:p w:rsidR="009221D1" w:rsidRPr="00D84451" w:rsidRDefault="009221D1" w:rsidP="009221D1">
      <w:pPr>
        <w:pStyle w:val="BodyText"/>
      </w:pPr>
      <w:r>
        <w:t>Estimates of court fees are rounded to the nearest $100,000.</w:t>
      </w:r>
    </w:p>
    <w:p w:rsidR="009221D1" w:rsidRDefault="009221D1" w:rsidP="009221D1">
      <w:pPr>
        <w:pStyle w:val="CostingsH7"/>
      </w:pPr>
      <w:r>
        <w:t>Data sources</w:t>
      </w:r>
    </w:p>
    <w:p w:rsidR="009221D1" w:rsidRDefault="009221D1" w:rsidP="009221D1">
      <w:pPr>
        <w:pStyle w:val="BodyText"/>
      </w:pPr>
      <w:r w:rsidRPr="00425C1B">
        <w:t>The Attorney-General’s Department provided</w:t>
      </w:r>
      <w:r>
        <w:t xml:space="preserve"> the costing model for the 2015</w:t>
      </w:r>
      <w:r>
        <w:noBreakHyphen/>
      </w:r>
      <w:r w:rsidRPr="00425C1B">
        <w:t>16</w:t>
      </w:r>
      <w:r>
        <w:t> </w:t>
      </w:r>
      <w:r w:rsidRPr="00425C1B">
        <w:t xml:space="preserve">Budget measure, </w:t>
      </w:r>
      <w:r w:rsidRPr="00425C1B">
        <w:rPr>
          <w:i/>
        </w:rPr>
        <w:t>Streamlining and improving the sustainability of Courts</w:t>
      </w:r>
      <w:r w:rsidRPr="00425C1B">
        <w:t>.</w:t>
      </w:r>
    </w:p>
    <w:p w:rsidR="00765441" w:rsidRDefault="00765441" w:rsidP="009221D1">
      <w:pPr>
        <w:pStyle w:val="BodyText"/>
      </w:pPr>
    </w:p>
    <w:p w:rsidR="00765441" w:rsidRDefault="00765441" w:rsidP="009221D1">
      <w:pPr>
        <w:pStyle w:val="BodyText"/>
        <w:sectPr w:rsidR="0076544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6"/>
        <w:numPr>
          <w:ilvl w:val="0"/>
          <w:numId w:val="10"/>
        </w:numPr>
        <w:tabs>
          <w:tab w:val="right" w:pos="1418"/>
          <w:tab w:val="right" w:pos="1701"/>
          <w:tab w:val="right" w:pos="1985"/>
        </w:tabs>
      </w:pPr>
      <w:r>
        <w:t>Attachment A: Not proceeding with the Divorce Tax—</w:t>
      </w:r>
      <w:r w:rsidR="0080154C">
        <w:t>financial implications</w:t>
      </w:r>
    </w:p>
    <w:p w:rsidR="009221D1" w:rsidRDefault="009221D1" w:rsidP="009221D1">
      <w:pPr>
        <w:pStyle w:val="Caption"/>
        <w:keepLines/>
      </w:pPr>
      <w:r w:rsidRPr="002B36F1">
        <w:t xml:space="preserve">Table </w:t>
      </w:r>
      <w:r>
        <w:t>A1</w:t>
      </w:r>
      <w:r w:rsidRPr="002B36F1">
        <w:t>:</w:t>
      </w:r>
      <w:r>
        <w:t xml:space="preserve"> Not proceeding with the Divorce Tax—Fiscal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keepNext/>
              <w:keepLines/>
              <w:rPr>
                <w:b w:val="0"/>
              </w:rPr>
            </w:pPr>
            <w:r>
              <w:t>($)</w:t>
            </w:r>
          </w:p>
        </w:tc>
        <w:tc>
          <w:tcPr>
            <w:tcW w:w="689" w:type="pct"/>
            <w:vAlign w:val="center"/>
          </w:tcPr>
          <w:p w:rsidR="009221D1" w:rsidRDefault="009221D1" w:rsidP="0073534F">
            <w:pPr>
              <w:pStyle w:val="TableTextRight"/>
              <w:keepNext/>
              <w:keepLines/>
              <w:rPr>
                <w:b w:val="0"/>
              </w:rPr>
            </w:pPr>
            <w:r>
              <w:t>2016–17</w:t>
            </w:r>
          </w:p>
        </w:tc>
        <w:tc>
          <w:tcPr>
            <w:tcW w:w="689" w:type="pct"/>
            <w:vAlign w:val="center"/>
          </w:tcPr>
          <w:p w:rsidR="009221D1" w:rsidRDefault="009221D1" w:rsidP="0073534F">
            <w:pPr>
              <w:pStyle w:val="TableTextRight"/>
              <w:keepNext/>
              <w:keepLines/>
              <w:rPr>
                <w:b w:val="0"/>
              </w:rPr>
            </w:pPr>
            <w:r>
              <w:t>2017–18</w:t>
            </w:r>
          </w:p>
        </w:tc>
        <w:tc>
          <w:tcPr>
            <w:tcW w:w="689" w:type="pct"/>
            <w:vAlign w:val="center"/>
          </w:tcPr>
          <w:p w:rsidR="009221D1" w:rsidRDefault="009221D1" w:rsidP="0073534F">
            <w:pPr>
              <w:pStyle w:val="TableTextRight"/>
              <w:keepNext/>
              <w:keepLines/>
              <w:rPr>
                <w:b w:val="0"/>
              </w:rPr>
            </w:pPr>
            <w:r>
              <w:t>2018–19</w:t>
            </w:r>
          </w:p>
        </w:tc>
        <w:tc>
          <w:tcPr>
            <w:tcW w:w="689" w:type="pct"/>
            <w:vAlign w:val="center"/>
          </w:tcPr>
          <w:p w:rsidR="009221D1" w:rsidRDefault="009221D1" w:rsidP="0073534F">
            <w:pPr>
              <w:pStyle w:val="TableTextRight"/>
              <w:keepNext/>
              <w:keepLines/>
              <w:rPr>
                <w:b w:val="0"/>
              </w:rPr>
            </w:pPr>
            <w:r>
              <w:t>2019–20</w:t>
            </w:r>
          </w:p>
        </w:tc>
        <w:tc>
          <w:tcPr>
            <w:tcW w:w="690" w:type="pct"/>
            <w:vAlign w:val="center"/>
          </w:tcPr>
          <w:p w:rsidR="009221D1" w:rsidRDefault="009221D1" w:rsidP="0073534F">
            <w:pPr>
              <w:pStyle w:val="TableTextRight"/>
              <w:keepNext/>
              <w:keepLines/>
            </w:pPr>
            <w:r>
              <w:t>Total to 2019–20</w:t>
            </w:r>
          </w:p>
        </w:tc>
      </w:tr>
      <w:tr w:rsidR="009221D1" w:rsidTr="0073534F">
        <w:tc>
          <w:tcPr>
            <w:tcW w:w="5000" w:type="pct"/>
            <w:gridSpan w:val="6"/>
            <w:shd w:val="clear" w:color="auto" w:fill="E9ECF3" w:themeFill="accent2" w:themeFillTint="33"/>
            <w:vAlign w:val="center"/>
          </w:tcPr>
          <w:p w:rsidR="009221D1" w:rsidRDefault="009221D1" w:rsidP="0073534F">
            <w:pPr>
              <w:pStyle w:val="TableHeading"/>
            </w:pPr>
            <w:r>
              <w:t>Fiscal and underlying cash balances</w:t>
            </w:r>
          </w:p>
        </w:tc>
      </w:tr>
      <w:tr w:rsidR="009221D1" w:rsidTr="0073534F">
        <w:tc>
          <w:tcPr>
            <w:tcW w:w="1554" w:type="pct"/>
            <w:vAlign w:val="center"/>
          </w:tcPr>
          <w:p w:rsidR="009221D1" w:rsidRPr="00027340" w:rsidRDefault="009221D1" w:rsidP="0073534F">
            <w:pPr>
              <w:pStyle w:val="TableText"/>
              <w:keepNext/>
              <w:keepLines/>
              <w:rPr>
                <w:szCs w:val="20"/>
              </w:rPr>
            </w:pPr>
            <w:r>
              <w:t xml:space="preserve">Reverse increase in full divorce fee – </w:t>
            </w:r>
            <w:r w:rsidRPr="0032166E">
              <w:t xml:space="preserve">Federal Circuit Court </w:t>
            </w:r>
          </w:p>
        </w:tc>
        <w:tc>
          <w:tcPr>
            <w:tcW w:w="689" w:type="pct"/>
            <w:vAlign w:val="center"/>
          </w:tcPr>
          <w:p w:rsidR="009221D1" w:rsidRPr="00425C1B" w:rsidRDefault="009221D1" w:rsidP="0073534F">
            <w:pPr>
              <w:pStyle w:val="TableTextRight"/>
              <w:keepNext/>
              <w:keepLines/>
              <w:rPr>
                <w:i/>
              </w:rPr>
            </w:pPr>
            <w:r w:rsidRPr="00425C1B">
              <w:rPr>
                <w:i/>
              </w:rPr>
              <w:t>-11.9</w:t>
            </w:r>
          </w:p>
        </w:tc>
        <w:tc>
          <w:tcPr>
            <w:tcW w:w="689" w:type="pct"/>
            <w:vAlign w:val="center"/>
          </w:tcPr>
          <w:p w:rsidR="009221D1" w:rsidRPr="00425C1B" w:rsidRDefault="009221D1" w:rsidP="0073534F">
            <w:pPr>
              <w:pStyle w:val="TableTextRight"/>
              <w:keepNext/>
              <w:keepLines/>
              <w:rPr>
                <w:i/>
              </w:rPr>
            </w:pPr>
            <w:r w:rsidRPr="00425C1B">
              <w:rPr>
                <w:i/>
              </w:rPr>
              <w:t>-12.1</w:t>
            </w:r>
          </w:p>
        </w:tc>
        <w:tc>
          <w:tcPr>
            <w:tcW w:w="689" w:type="pct"/>
            <w:vAlign w:val="center"/>
          </w:tcPr>
          <w:p w:rsidR="009221D1" w:rsidRPr="00425C1B" w:rsidRDefault="009221D1" w:rsidP="0073534F">
            <w:pPr>
              <w:pStyle w:val="TableTextRight"/>
              <w:keepNext/>
              <w:keepLines/>
              <w:rPr>
                <w:i/>
              </w:rPr>
            </w:pPr>
            <w:r w:rsidRPr="00425C1B">
              <w:rPr>
                <w:i/>
              </w:rPr>
              <w:t>-13.0</w:t>
            </w:r>
          </w:p>
        </w:tc>
        <w:tc>
          <w:tcPr>
            <w:tcW w:w="689" w:type="pct"/>
            <w:vAlign w:val="center"/>
          </w:tcPr>
          <w:p w:rsidR="009221D1" w:rsidRPr="00425C1B" w:rsidRDefault="009221D1" w:rsidP="0073534F">
            <w:pPr>
              <w:pStyle w:val="TableTextRight"/>
              <w:keepNext/>
              <w:keepLines/>
              <w:rPr>
                <w:i/>
              </w:rPr>
            </w:pPr>
            <w:r w:rsidRPr="00425C1B">
              <w:rPr>
                <w:i/>
              </w:rPr>
              <w:t>-13.2</w:t>
            </w:r>
          </w:p>
        </w:tc>
        <w:tc>
          <w:tcPr>
            <w:tcW w:w="690" w:type="pct"/>
            <w:vAlign w:val="center"/>
          </w:tcPr>
          <w:p w:rsidR="009221D1" w:rsidRPr="007C7606" w:rsidRDefault="009221D1" w:rsidP="0073534F">
            <w:pPr>
              <w:pStyle w:val="TableTextRight"/>
              <w:keepNext/>
              <w:keepLines/>
              <w:rPr>
                <w:b/>
                <w:i/>
              </w:rPr>
            </w:pPr>
            <w:r w:rsidRPr="007C7606">
              <w:rPr>
                <w:b/>
                <w:i/>
              </w:rPr>
              <w:t>-50.2</w:t>
            </w:r>
          </w:p>
        </w:tc>
      </w:tr>
      <w:tr w:rsidR="009221D1" w:rsidTr="0073534F">
        <w:tc>
          <w:tcPr>
            <w:tcW w:w="1554" w:type="pct"/>
            <w:vAlign w:val="center"/>
          </w:tcPr>
          <w:p w:rsidR="009221D1" w:rsidRPr="00027340" w:rsidRDefault="009221D1" w:rsidP="0073534F">
            <w:pPr>
              <w:pStyle w:val="TableText"/>
              <w:keepNext/>
              <w:keepLines/>
              <w:rPr>
                <w:szCs w:val="20"/>
              </w:rPr>
            </w:pPr>
            <w:r>
              <w:t xml:space="preserve">Reverse increase in full divorce fee – </w:t>
            </w:r>
            <w:r w:rsidRPr="0032166E">
              <w:t xml:space="preserve">Family Court of Australia </w:t>
            </w:r>
          </w:p>
        </w:tc>
        <w:tc>
          <w:tcPr>
            <w:tcW w:w="689" w:type="pct"/>
            <w:vAlign w:val="center"/>
          </w:tcPr>
          <w:p w:rsidR="009221D1" w:rsidRPr="00425C1B" w:rsidRDefault="009221D1" w:rsidP="0073534F">
            <w:pPr>
              <w:pStyle w:val="TableTextRight"/>
              <w:keepNext/>
              <w:keepLines/>
              <w:rPr>
                <w:i/>
              </w:rPr>
            </w:pPr>
            <w:r w:rsidRPr="00425C1B">
              <w:rPr>
                <w:i/>
              </w:rPr>
              <w:t>..</w:t>
            </w:r>
          </w:p>
        </w:tc>
        <w:tc>
          <w:tcPr>
            <w:tcW w:w="689" w:type="pct"/>
            <w:vAlign w:val="center"/>
          </w:tcPr>
          <w:p w:rsidR="009221D1" w:rsidRPr="00425C1B" w:rsidRDefault="009221D1" w:rsidP="0073534F">
            <w:pPr>
              <w:pStyle w:val="TableTextRight"/>
              <w:keepNext/>
              <w:keepLines/>
              <w:rPr>
                <w:i/>
              </w:rPr>
            </w:pPr>
            <w:r w:rsidRPr="00425C1B">
              <w:rPr>
                <w:i/>
              </w:rPr>
              <w:t>..</w:t>
            </w:r>
          </w:p>
        </w:tc>
        <w:tc>
          <w:tcPr>
            <w:tcW w:w="689" w:type="pct"/>
            <w:vAlign w:val="center"/>
          </w:tcPr>
          <w:p w:rsidR="009221D1" w:rsidRPr="00425C1B" w:rsidRDefault="009221D1" w:rsidP="0073534F">
            <w:pPr>
              <w:pStyle w:val="TableTextRight"/>
              <w:keepNext/>
              <w:keepLines/>
              <w:rPr>
                <w:i/>
              </w:rPr>
            </w:pPr>
            <w:r w:rsidRPr="00425C1B">
              <w:rPr>
                <w:i/>
              </w:rPr>
              <w:t>..</w:t>
            </w:r>
          </w:p>
        </w:tc>
        <w:tc>
          <w:tcPr>
            <w:tcW w:w="689" w:type="pct"/>
            <w:vAlign w:val="center"/>
          </w:tcPr>
          <w:p w:rsidR="009221D1" w:rsidRPr="00425C1B" w:rsidRDefault="009221D1" w:rsidP="0073534F">
            <w:pPr>
              <w:pStyle w:val="TableTextRight"/>
              <w:keepNext/>
              <w:keepLines/>
              <w:rPr>
                <w:i/>
              </w:rPr>
            </w:pPr>
            <w:r w:rsidRPr="00425C1B">
              <w:rPr>
                <w:i/>
              </w:rPr>
              <w:t>..</w:t>
            </w:r>
          </w:p>
        </w:tc>
        <w:tc>
          <w:tcPr>
            <w:tcW w:w="690" w:type="pct"/>
            <w:vAlign w:val="center"/>
          </w:tcPr>
          <w:p w:rsidR="009221D1" w:rsidRPr="007C7606" w:rsidRDefault="009221D1" w:rsidP="0073534F">
            <w:pPr>
              <w:pStyle w:val="TableTextRight"/>
              <w:keepNext/>
              <w:keepLines/>
              <w:rPr>
                <w:b/>
                <w:i/>
              </w:rPr>
            </w:pPr>
            <w:r w:rsidRPr="007C7606">
              <w:rPr>
                <w:b/>
                <w:i/>
              </w:rPr>
              <w:t>..</w:t>
            </w:r>
          </w:p>
        </w:tc>
      </w:tr>
      <w:tr w:rsidR="009221D1" w:rsidTr="0073534F">
        <w:tc>
          <w:tcPr>
            <w:tcW w:w="1554" w:type="pct"/>
            <w:vAlign w:val="center"/>
          </w:tcPr>
          <w:p w:rsidR="009221D1" w:rsidRPr="00027340" w:rsidRDefault="009221D1" w:rsidP="0073534F">
            <w:pPr>
              <w:pStyle w:val="TableText"/>
              <w:keepNext/>
              <w:keepLines/>
              <w:rPr>
                <w:szCs w:val="20"/>
              </w:rPr>
            </w:pPr>
            <w:r>
              <w:t>Reverse increase in fee for issuing c</w:t>
            </w:r>
            <w:r w:rsidRPr="0032166E">
              <w:t xml:space="preserve">onsent orders </w:t>
            </w:r>
          </w:p>
        </w:tc>
        <w:tc>
          <w:tcPr>
            <w:tcW w:w="689" w:type="pct"/>
            <w:vAlign w:val="center"/>
          </w:tcPr>
          <w:p w:rsidR="009221D1" w:rsidRPr="00425C1B" w:rsidRDefault="009221D1" w:rsidP="0073534F">
            <w:pPr>
              <w:pStyle w:val="TableTextRight"/>
              <w:keepNext/>
              <w:keepLines/>
              <w:rPr>
                <w:i/>
              </w:rPr>
            </w:pPr>
            <w:r w:rsidRPr="00425C1B">
              <w:rPr>
                <w:i/>
              </w:rPr>
              <w:t>-1.1</w:t>
            </w:r>
          </w:p>
        </w:tc>
        <w:tc>
          <w:tcPr>
            <w:tcW w:w="689" w:type="pct"/>
            <w:vAlign w:val="center"/>
          </w:tcPr>
          <w:p w:rsidR="009221D1" w:rsidRPr="00425C1B" w:rsidRDefault="009221D1" w:rsidP="0073534F">
            <w:pPr>
              <w:pStyle w:val="TableTextRight"/>
              <w:keepNext/>
              <w:keepLines/>
              <w:rPr>
                <w:i/>
              </w:rPr>
            </w:pPr>
            <w:r w:rsidRPr="00425C1B">
              <w:rPr>
                <w:i/>
              </w:rPr>
              <w:t>-1.1</w:t>
            </w:r>
          </w:p>
        </w:tc>
        <w:tc>
          <w:tcPr>
            <w:tcW w:w="689" w:type="pct"/>
            <w:vAlign w:val="center"/>
          </w:tcPr>
          <w:p w:rsidR="009221D1" w:rsidRPr="00425C1B" w:rsidRDefault="009221D1" w:rsidP="0073534F">
            <w:pPr>
              <w:pStyle w:val="TableTextRight"/>
              <w:keepNext/>
              <w:keepLines/>
              <w:rPr>
                <w:i/>
              </w:rPr>
            </w:pPr>
            <w:r w:rsidRPr="00425C1B">
              <w:rPr>
                <w:i/>
              </w:rPr>
              <w:t>-1.2</w:t>
            </w:r>
          </w:p>
        </w:tc>
        <w:tc>
          <w:tcPr>
            <w:tcW w:w="689" w:type="pct"/>
            <w:vAlign w:val="center"/>
          </w:tcPr>
          <w:p w:rsidR="009221D1" w:rsidRPr="00425C1B" w:rsidRDefault="009221D1" w:rsidP="0073534F">
            <w:pPr>
              <w:pStyle w:val="TableTextRight"/>
              <w:keepNext/>
              <w:keepLines/>
              <w:rPr>
                <w:i/>
              </w:rPr>
            </w:pPr>
            <w:r w:rsidRPr="00425C1B">
              <w:rPr>
                <w:i/>
              </w:rPr>
              <w:t>-1.2</w:t>
            </w:r>
          </w:p>
        </w:tc>
        <w:tc>
          <w:tcPr>
            <w:tcW w:w="690" w:type="pct"/>
            <w:vAlign w:val="center"/>
          </w:tcPr>
          <w:p w:rsidR="009221D1" w:rsidRPr="007C7606" w:rsidRDefault="009221D1" w:rsidP="0073534F">
            <w:pPr>
              <w:pStyle w:val="TableTextRight"/>
              <w:keepNext/>
              <w:keepLines/>
              <w:rPr>
                <w:b/>
                <w:i/>
              </w:rPr>
            </w:pPr>
            <w:r w:rsidRPr="007C7606">
              <w:rPr>
                <w:b/>
                <w:i/>
              </w:rPr>
              <w:t>-4.6</w:t>
            </w:r>
          </w:p>
        </w:tc>
      </w:tr>
      <w:tr w:rsidR="009221D1" w:rsidTr="0073534F">
        <w:tc>
          <w:tcPr>
            <w:tcW w:w="1554" w:type="pct"/>
            <w:vAlign w:val="center"/>
          </w:tcPr>
          <w:p w:rsidR="009221D1" w:rsidRPr="00027340" w:rsidRDefault="009221D1" w:rsidP="0073534F">
            <w:pPr>
              <w:pStyle w:val="TableText"/>
              <w:keepNext/>
              <w:keepLines/>
              <w:rPr>
                <w:szCs w:val="20"/>
              </w:rPr>
            </w:pPr>
            <w:r>
              <w:t>Reverse increase in fee for i</w:t>
            </w:r>
            <w:r w:rsidRPr="0032166E">
              <w:t xml:space="preserve">ssuing subpoenas </w:t>
            </w:r>
          </w:p>
        </w:tc>
        <w:tc>
          <w:tcPr>
            <w:tcW w:w="689" w:type="pct"/>
            <w:vAlign w:val="center"/>
          </w:tcPr>
          <w:p w:rsidR="009221D1" w:rsidRPr="00425C1B" w:rsidRDefault="009221D1" w:rsidP="0073534F">
            <w:pPr>
              <w:pStyle w:val="TableTextRight"/>
              <w:keepNext/>
              <w:keepLines/>
              <w:rPr>
                <w:i/>
              </w:rPr>
            </w:pPr>
            <w:r w:rsidRPr="00425C1B">
              <w:rPr>
                <w:i/>
              </w:rPr>
              <w:t>-1.2</w:t>
            </w:r>
          </w:p>
        </w:tc>
        <w:tc>
          <w:tcPr>
            <w:tcW w:w="689" w:type="pct"/>
            <w:vAlign w:val="center"/>
          </w:tcPr>
          <w:p w:rsidR="009221D1" w:rsidRPr="00425C1B" w:rsidRDefault="009221D1" w:rsidP="0073534F">
            <w:pPr>
              <w:pStyle w:val="TableTextRight"/>
              <w:keepNext/>
              <w:keepLines/>
              <w:rPr>
                <w:i/>
              </w:rPr>
            </w:pPr>
            <w:r w:rsidRPr="00425C1B">
              <w:rPr>
                <w:i/>
              </w:rPr>
              <w:t>-1.2</w:t>
            </w:r>
          </w:p>
        </w:tc>
        <w:tc>
          <w:tcPr>
            <w:tcW w:w="689" w:type="pct"/>
            <w:vAlign w:val="center"/>
          </w:tcPr>
          <w:p w:rsidR="009221D1" w:rsidRPr="00425C1B" w:rsidRDefault="009221D1" w:rsidP="0073534F">
            <w:pPr>
              <w:pStyle w:val="TableTextRight"/>
              <w:keepNext/>
              <w:keepLines/>
              <w:rPr>
                <w:i/>
              </w:rPr>
            </w:pPr>
            <w:r w:rsidRPr="00425C1B">
              <w:rPr>
                <w:i/>
              </w:rPr>
              <w:t>-1.3</w:t>
            </w:r>
          </w:p>
        </w:tc>
        <w:tc>
          <w:tcPr>
            <w:tcW w:w="689" w:type="pct"/>
            <w:vAlign w:val="center"/>
          </w:tcPr>
          <w:p w:rsidR="009221D1" w:rsidRPr="00425C1B" w:rsidRDefault="009221D1" w:rsidP="0073534F">
            <w:pPr>
              <w:pStyle w:val="TableTextRight"/>
              <w:keepNext/>
              <w:keepLines/>
              <w:rPr>
                <w:i/>
              </w:rPr>
            </w:pPr>
            <w:r w:rsidRPr="00425C1B">
              <w:rPr>
                <w:i/>
              </w:rPr>
              <w:t>-1.3</w:t>
            </w:r>
          </w:p>
        </w:tc>
        <w:tc>
          <w:tcPr>
            <w:tcW w:w="690" w:type="pct"/>
            <w:vAlign w:val="center"/>
          </w:tcPr>
          <w:p w:rsidR="009221D1" w:rsidRPr="007C7606" w:rsidRDefault="009221D1" w:rsidP="0073534F">
            <w:pPr>
              <w:pStyle w:val="TableTextRight"/>
              <w:keepNext/>
              <w:keepLines/>
              <w:rPr>
                <w:b/>
                <w:i/>
              </w:rPr>
            </w:pPr>
            <w:r w:rsidRPr="007C7606">
              <w:rPr>
                <w:b/>
                <w:i/>
              </w:rPr>
              <w:t>-5.0</w:t>
            </w:r>
          </w:p>
        </w:tc>
      </w:tr>
      <w:tr w:rsidR="009221D1" w:rsidTr="0073534F">
        <w:tc>
          <w:tcPr>
            <w:tcW w:w="1554" w:type="pct"/>
            <w:vAlign w:val="center"/>
          </w:tcPr>
          <w:p w:rsidR="009221D1" w:rsidRPr="00027340" w:rsidRDefault="009221D1" w:rsidP="0073534F">
            <w:pPr>
              <w:pStyle w:val="TableText"/>
              <w:keepNext/>
              <w:keepLines/>
              <w:rPr>
                <w:szCs w:val="20"/>
              </w:rPr>
            </w:pPr>
            <w:r>
              <w:t>Reverse increase in all o</w:t>
            </w:r>
            <w:r w:rsidRPr="0032166E">
              <w:t>ther family law fee</w:t>
            </w:r>
            <w:r>
              <w:t>s</w:t>
            </w:r>
          </w:p>
        </w:tc>
        <w:tc>
          <w:tcPr>
            <w:tcW w:w="689" w:type="pct"/>
            <w:vAlign w:val="center"/>
          </w:tcPr>
          <w:p w:rsidR="009221D1" w:rsidRPr="00425C1B" w:rsidRDefault="009221D1" w:rsidP="0073534F">
            <w:pPr>
              <w:pStyle w:val="TableTextRight"/>
              <w:keepNext/>
              <w:keepLines/>
              <w:rPr>
                <w:i/>
              </w:rPr>
            </w:pPr>
            <w:r w:rsidRPr="00425C1B">
              <w:rPr>
                <w:i/>
              </w:rPr>
              <w:t>-1.3</w:t>
            </w:r>
          </w:p>
        </w:tc>
        <w:tc>
          <w:tcPr>
            <w:tcW w:w="689" w:type="pct"/>
            <w:vAlign w:val="center"/>
          </w:tcPr>
          <w:p w:rsidR="009221D1" w:rsidRPr="00425C1B" w:rsidRDefault="009221D1" w:rsidP="0073534F">
            <w:pPr>
              <w:pStyle w:val="TableTextRight"/>
              <w:keepNext/>
              <w:keepLines/>
              <w:rPr>
                <w:i/>
              </w:rPr>
            </w:pPr>
            <w:r w:rsidRPr="00425C1B">
              <w:rPr>
                <w:i/>
              </w:rPr>
              <w:t>-1.3</w:t>
            </w:r>
          </w:p>
        </w:tc>
        <w:tc>
          <w:tcPr>
            <w:tcW w:w="689" w:type="pct"/>
            <w:vAlign w:val="center"/>
          </w:tcPr>
          <w:p w:rsidR="009221D1" w:rsidRPr="00425C1B" w:rsidRDefault="009221D1" w:rsidP="0073534F">
            <w:pPr>
              <w:pStyle w:val="TableTextRight"/>
              <w:keepNext/>
              <w:keepLines/>
              <w:rPr>
                <w:i/>
              </w:rPr>
            </w:pPr>
            <w:r w:rsidRPr="00425C1B">
              <w:rPr>
                <w:i/>
              </w:rPr>
              <w:t>-1.4</w:t>
            </w:r>
          </w:p>
        </w:tc>
        <w:tc>
          <w:tcPr>
            <w:tcW w:w="689" w:type="pct"/>
            <w:vAlign w:val="center"/>
          </w:tcPr>
          <w:p w:rsidR="009221D1" w:rsidRPr="00425C1B" w:rsidRDefault="009221D1" w:rsidP="0073534F">
            <w:pPr>
              <w:pStyle w:val="TableTextRight"/>
              <w:keepNext/>
              <w:keepLines/>
              <w:rPr>
                <w:i/>
              </w:rPr>
            </w:pPr>
            <w:r w:rsidRPr="00425C1B">
              <w:rPr>
                <w:i/>
              </w:rPr>
              <w:t>-1.4</w:t>
            </w:r>
          </w:p>
        </w:tc>
        <w:tc>
          <w:tcPr>
            <w:tcW w:w="690" w:type="pct"/>
            <w:vAlign w:val="center"/>
          </w:tcPr>
          <w:p w:rsidR="009221D1" w:rsidRPr="007C7606" w:rsidRDefault="009221D1" w:rsidP="0073534F">
            <w:pPr>
              <w:pStyle w:val="TableTextRight"/>
              <w:keepNext/>
              <w:keepLines/>
              <w:rPr>
                <w:b/>
                <w:i/>
              </w:rPr>
            </w:pPr>
            <w:r w:rsidRPr="007C7606">
              <w:rPr>
                <w:b/>
                <w:i/>
              </w:rPr>
              <w:t>-5.4</w:t>
            </w:r>
          </w:p>
        </w:tc>
      </w:tr>
      <w:tr w:rsidR="009221D1" w:rsidTr="0073534F">
        <w:tc>
          <w:tcPr>
            <w:tcW w:w="1554" w:type="pct"/>
            <w:vAlign w:val="center"/>
          </w:tcPr>
          <w:p w:rsidR="009221D1" w:rsidRPr="00027340" w:rsidRDefault="009221D1" w:rsidP="0073534F">
            <w:pPr>
              <w:pStyle w:val="TableText"/>
              <w:keepNext/>
              <w:keepLines/>
              <w:rPr>
                <w:szCs w:val="20"/>
              </w:rPr>
            </w:pPr>
            <w:r>
              <w:t>Abolish new fee category for a</w:t>
            </w:r>
            <w:r w:rsidRPr="0032166E">
              <w:t xml:space="preserve">mended applications </w:t>
            </w:r>
          </w:p>
        </w:tc>
        <w:tc>
          <w:tcPr>
            <w:tcW w:w="689" w:type="pct"/>
            <w:vAlign w:val="center"/>
          </w:tcPr>
          <w:p w:rsidR="009221D1" w:rsidRPr="00425C1B" w:rsidRDefault="009221D1" w:rsidP="0073534F">
            <w:pPr>
              <w:pStyle w:val="TableTextRight"/>
              <w:keepNext/>
              <w:keepLines/>
              <w:rPr>
                <w:i/>
              </w:rPr>
            </w:pPr>
            <w:r w:rsidRPr="00425C1B">
              <w:rPr>
                <w:i/>
              </w:rPr>
              <w:t>-0.9</w:t>
            </w:r>
          </w:p>
        </w:tc>
        <w:tc>
          <w:tcPr>
            <w:tcW w:w="689" w:type="pct"/>
            <w:vAlign w:val="center"/>
          </w:tcPr>
          <w:p w:rsidR="009221D1" w:rsidRPr="00425C1B" w:rsidRDefault="009221D1" w:rsidP="0073534F">
            <w:pPr>
              <w:pStyle w:val="TableTextRight"/>
              <w:keepNext/>
              <w:keepLines/>
              <w:rPr>
                <w:i/>
              </w:rPr>
            </w:pPr>
            <w:r w:rsidRPr="00425C1B">
              <w:rPr>
                <w:i/>
              </w:rPr>
              <w:t>-0.9</w:t>
            </w:r>
          </w:p>
        </w:tc>
        <w:tc>
          <w:tcPr>
            <w:tcW w:w="689" w:type="pct"/>
            <w:vAlign w:val="center"/>
          </w:tcPr>
          <w:p w:rsidR="009221D1" w:rsidRPr="00425C1B" w:rsidRDefault="009221D1" w:rsidP="0073534F">
            <w:pPr>
              <w:pStyle w:val="TableTextRight"/>
              <w:keepNext/>
              <w:keepLines/>
              <w:rPr>
                <w:i/>
              </w:rPr>
            </w:pPr>
            <w:r w:rsidRPr="00425C1B">
              <w:rPr>
                <w:i/>
              </w:rPr>
              <w:t>-1.0</w:t>
            </w:r>
          </w:p>
        </w:tc>
        <w:tc>
          <w:tcPr>
            <w:tcW w:w="689" w:type="pct"/>
            <w:vAlign w:val="center"/>
          </w:tcPr>
          <w:p w:rsidR="009221D1" w:rsidRPr="00425C1B" w:rsidRDefault="009221D1" w:rsidP="0073534F">
            <w:pPr>
              <w:pStyle w:val="TableTextRight"/>
              <w:keepNext/>
              <w:keepLines/>
              <w:rPr>
                <w:i/>
              </w:rPr>
            </w:pPr>
            <w:r w:rsidRPr="00425C1B">
              <w:rPr>
                <w:i/>
              </w:rPr>
              <w:t>-1.0</w:t>
            </w:r>
          </w:p>
        </w:tc>
        <w:tc>
          <w:tcPr>
            <w:tcW w:w="690" w:type="pct"/>
            <w:vAlign w:val="center"/>
          </w:tcPr>
          <w:p w:rsidR="009221D1" w:rsidRPr="007C7606" w:rsidRDefault="009221D1" w:rsidP="0073534F">
            <w:pPr>
              <w:pStyle w:val="TableTextRight"/>
              <w:keepNext/>
              <w:keepLines/>
              <w:rPr>
                <w:b/>
                <w:i/>
              </w:rPr>
            </w:pPr>
            <w:r w:rsidRPr="007C7606">
              <w:rPr>
                <w:b/>
                <w:i/>
              </w:rPr>
              <w:t>-3.8</w:t>
            </w:r>
          </w:p>
        </w:tc>
      </w:tr>
      <w:tr w:rsidR="009221D1" w:rsidRPr="007C7606" w:rsidTr="0073534F">
        <w:tc>
          <w:tcPr>
            <w:tcW w:w="1554" w:type="pct"/>
            <w:shd w:val="clear" w:color="auto" w:fill="D7DDE9" w:themeFill="accent3"/>
            <w:vAlign w:val="center"/>
          </w:tcPr>
          <w:p w:rsidR="009221D1" w:rsidRPr="007C7606" w:rsidRDefault="009221D1" w:rsidP="0073534F">
            <w:pPr>
              <w:pStyle w:val="TableText"/>
              <w:keepNext/>
              <w:keepLines/>
              <w:rPr>
                <w:b/>
                <w:szCs w:val="20"/>
              </w:rPr>
            </w:pPr>
            <w:r w:rsidRPr="007C7606">
              <w:rPr>
                <w:b/>
              </w:rPr>
              <w:t>Total</w:t>
            </w:r>
          </w:p>
        </w:tc>
        <w:tc>
          <w:tcPr>
            <w:tcW w:w="689" w:type="pct"/>
            <w:shd w:val="clear" w:color="auto" w:fill="D7DDE9" w:themeFill="accent3"/>
            <w:vAlign w:val="center"/>
          </w:tcPr>
          <w:p w:rsidR="009221D1" w:rsidRPr="007C7606" w:rsidRDefault="009221D1" w:rsidP="0073534F">
            <w:pPr>
              <w:pStyle w:val="TableTextRight"/>
              <w:keepNext/>
              <w:keepLines/>
              <w:rPr>
                <w:b/>
              </w:rPr>
            </w:pPr>
            <w:r w:rsidRPr="007C7606">
              <w:rPr>
                <w:b/>
              </w:rPr>
              <w:t>-16.4</w:t>
            </w:r>
          </w:p>
        </w:tc>
        <w:tc>
          <w:tcPr>
            <w:tcW w:w="689" w:type="pct"/>
            <w:shd w:val="clear" w:color="auto" w:fill="D7DDE9" w:themeFill="accent3"/>
            <w:vAlign w:val="center"/>
          </w:tcPr>
          <w:p w:rsidR="009221D1" w:rsidRPr="007C7606" w:rsidRDefault="009221D1" w:rsidP="0073534F">
            <w:pPr>
              <w:pStyle w:val="TableTextRight"/>
              <w:keepNext/>
              <w:keepLines/>
              <w:rPr>
                <w:b/>
              </w:rPr>
            </w:pPr>
            <w:r w:rsidRPr="007C7606">
              <w:rPr>
                <w:b/>
              </w:rPr>
              <w:t>-16.6</w:t>
            </w:r>
          </w:p>
        </w:tc>
        <w:tc>
          <w:tcPr>
            <w:tcW w:w="689" w:type="pct"/>
            <w:shd w:val="clear" w:color="auto" w:fill="D7DDE9" w:themeFill="accent3"/>
            <w:vAlign w:val="center"/>
          </w:tcPr>
          <w:p w:rsidR="009221D1" w:rsidRPr="007C7606" w:rsidRDefault="009221D1" w:rsidP="0073534F">
            <w:pPr>
              <w:pStyle w:val="TableTextRight"/>
              <w:keepNext/>
              <w:keepLines/>
              <w:rPr>
                <w:b/>
              </w:rPr>
            </w:pPr>
            <w:r w:rsidRPr="007C7606">
              <w:rPr>
                <w:b/>
              </w:rPr>
              <w:t>-17.9</w:t>
            </w:r>
          </w:p>
        </w:tc>
        <w:tc>
          <w:tcPr>
            <w:tcW w:w="689" w:type="pct"/>
            <w:shd w:val="clear" w:color="auto" w:fill="D7DDE9" w:themeFill="accent3"/>
            <w:vAlign w:val="center"/>
          </w:tcPr>
          <w:p w:rsidR="009221D1" w:rsidRPr="007C7606" w:rsidRDefault="009221D1" w:rsidP="0073534F">
            <w:pPr>
              <w:pStyle w:val="TableTextRight"/>
              <w:keepNext/>
              <w:keepLines/>
              <w:rPr>
                <w:b/>
              </w:rPr>
            </w:pPr>
            <w:r w:rsidRPr="007C7606">
              <w:rPr>
                <w:b/>
              </w:rPr>
              <w:t>-18.1</w:t>
            </w:r>
          </w:p>
        </w:tc>
        <w:tc>
          <w:tcPr>
            <w:tcW w:w="690" w:type="pct"/>
            <w:shd w:val="clear" w:color="auto" w:fill="D7DDE9" w:themeFill="accent3"/>
            <w:vAlign w:val="center"/>
          </w:tcPr>
          <w:p w:rsidR="009221D1" w:rsidRPr="007C7606" w:rsidRDefault="009221D1" w:rsidP="0073534F">
            <w:pPr>
              <w:pStyle w:val="TableTextRight"/>
              <w:keepNext/>
              <w:keepLines/>
              <w:rPr>
                <w:b/>
              </w:rPr>
            </w:pPr>
            <w:r w:rsidRPr="007C7606">
              <w:rPr>
                <w:b/>
              </w:rPr>
              <w:t>-69.0</w:t>
            </w:r>
          </w:p>
        </w:tc>
      </w:tr>
    </w:tbl>
    <w:p w:rsidR="009221D1" w:rsidRDefault="009221D1" w:rsidP="002C43F8">
      <w:pPr>
        <w:pStyle w:val="Footnotes"/>
        <w:keepNext/>
        <w:keepLines/>
        <w:numPr>
          <w:ilvl w:val="0"/>
          <w:numId w:val="158"/>
        </w:numPr>
        <w:spacing w:before="113"/>
        <w:ind w:left="284" w:hanging="284"/>
      </w:pPr>
      <w:r w:rsidRPr="00425C1B">
        <w:t>A positive number indicates an increase in revenue or decrease in expenses or net capital investment in accrual and cash terms.  A negative number indicates a decrease in revenue or an increase in expenses or net capital investment in accrual and cash terms.</w:t>
      </w:r>
    </w:p>
    <w:p w:rsidR="009221D1" w:rsidRPr="005F544A" w:rsidRDefault="009221D1" w:rsidP="009221D1">
      <w:pPr>
        <w:pStyle w:val="Footnotes"/>
        <w:spacing w:after="120"/>
        <w:ind w:left="284" w:hanging="284"/>
      </w:pPr>
      <w:r w:rsidRPr="005F544A">
        <w:t>Figures may not sum to totals due to rounding.</w:t>
      </w:r>
    </w:p>
    <w:p w:rsidR="009221D1" w:rsidRPr="005F544A" w:rsidRDefault="009221D1" w:rsidP="009221D1">
      <w:pPr>
        <w:pStyle w:val="Footnotes"/>
        <w:numPr>
          <w:ilvl w:val="0"/>
          <w:numId w:val="0"/>
        </w:numPr>
        <w:ind w:left="284" w:hanging="284"/>
      </w:pPr>
      <w:r w:rsidRPr="005F544A">
        <w:t>..</w:t>
      </w:r>
      <w:r w:rsidRPr="005F544A">
        <w:tab/>
        <w:t>Not zero but rounded to zero.</w:t>
      </w:r>
    </w:p>
    <w:p w:rsidR="009221D1" w:rsidRDefault="009221D1" w:rsidP="009221D1">
      <w:pPr>
        <w:pStyle w:val="Footnotes"/>
        <w:numPr>
          <w:ilvl w:val="0"/>
          <w:numId w:val="0"/>
        </w:numPr>
        <w:ind w:left="284" w:hanging="284"/>
      </w:pPr>
      <w:r w:rsidRPr="005F544A">
        <w:t>-</w:t>
      </w:r>
      <w:r w:rsidRPr="005F544A">
        <w:tab/>
        <w:t>Indicates nil.</w:t>
      </w:r>
    </w:p>
    <w:p w:rsidR="009221D1" w:rsidRPr="00951305" w:rsidRDefault="009221D1" w:rsidP="009221D1">
      <w:pPr>
        <w:pStyle w:val="BodyText"/>
      </w:pPr>
    </w:p>
    <w:p w:rsidR="009221D1" w:rsidRDefault="009221D1" w:rsidP="009221D1">
      <w:pPr>
        <w:pStyle w:val="BodyText"/>
        <w:sectPr w:rsidR="009221D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5"/>
        <w:ind w:left="1080" w:hanging="1080"/>
      </w:pPr>
      <w:bookmarkStart w:id="102" w:name="_Toc455655032"/>
      <w:bookmarkStart w:id="103" w:name="_Toc458081699"/>
      <w:r>
        <w:t>ALP075: Not proceeding with the four week waiting period for income support for young people</w:t>
      </w:r>
      <w:bookmarkEnd w:id="102"/>
      <w:bookmarkEnd w:id="103"/>
    </w:p>
    <w:p w:rsidR="009221D1" w:rsidRDefault="009221D1" w:rsidP="009221D1">
      <w:pPr>
        <w:pStyle w:val="BodyText"/>
      </w:pPr>
      <w:r>
        <w:rPr>
          <w:noProof/>
          <w:lang w:eastAsia="en-AU"/>
        </w:rPr>
        <w:drawing>
          <wp:inline distT="0" distB="0" distL="0" distR="0" wp14:anchorId="3766F50E" wp14:editId="03D3E8FD">
            <wp:extent cx="2696845" cy="572135"/>
            <wp:effectExtent l="0" t="0" r="8255" b="0"/>
            <wp:docPr id="25" name="Picture 2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8379A4"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8379A4" w:rsidRDefault="009221D1" w:rsidP="0073534F">
            <w:pPr>
              <w:pStyle w:val="PullOutBoxHeading"/>
              <w:rPr>
                <w:b/>
              </w:rPr>
            </w:pPr>
            <w:r w:rsidRPr="008379A4">
              <w:rPr>
                <w:b/>
              </w:rPr>
              <w:t>Name of proposal:</w:t>
            </w:r>
          </w:p>
        </w:tc>
        <w:tc>
          <w:tcPr>
            <w:tcW w:w="3191" w:type="pct"/>
          </w:tcPr>
          <w:p w:rsidR="009221D1" w:rsidRPr="008379A4" w:rsidRDefault="009221D1" w:rsidP="0073534F">
            <w:pPr>
              <w:pStyle w:val="PullOutBoxHeading"/>
              <w:rPr>
                <w:b/>
              </w:rPr>
            </w:pPr>
            <w:r w:rsidRPr="008379A4">
              <w:rPr>
                <w:b/>
              </w:rPr>
              <w:t>Not proceeding with the four week waiting period for income support for young people</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 xml:space="preserve">The proposal would abolish the four-week waiting period component of the 2015-16 Budget measure, </w:t>
            </w:r>
            <w:r w:rsidRPr="00BB5064">
              <w:rPr>
                <w:i/>
              </w:rPr>
              <w:t>Growing Jobs and Small Business – Youth Employment Strategy – revised waiting period for youth income support</w:t>
            </w:r>
            <w:r>
              <w:t>.</w:t>
            </w:r>
          </w:p>
          <w:p w:rsidR="009221D1" w:rsidRPr="00B45F94" w:rsidRDefault="009221D1" w:rsidP="0073534F">
            <w:pPr>
              <w:pStyle w:val="PullOutBoxBodyText"/>
            </w:pPr>
            <w:r>
              <w:t>The proposal would have effect from 1 July 2016.</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pPr>
      <w:r w:rsidRPr="00BF1EE6">
        <w:t>Costing overview</w:t>
      </w:r>
    </w:p>
    <w:p w:rsidR="009221D1" w:rsidRDefault="009221D1" w:rsidP="009221D1">
      <w:pPr>
        <w:pStyle w:val="BodyText"/>
      </w:pPr>
      <w:r>
        <w:t xml:space="preserve">This proposal would be expected to decrease both the fiscal and underlying cash balances by $233.3 million over the 2016-17 Budget forward estimates period.  This impact reflects an increase in administered expenses of $243.0 million and a decrease in departmental expenses of $9.7 million over this period.  A breakdown of the costing over the 2016-17 Budget forward estimates period is provided at </w:t>
      </w:r>
      <w:r w:rsidRPr="00BB5064">
        <w:rPr>
          <w:u w:val="single"/>
        </w:rPr>
        <w:t>Attachment A</w:t>
      </w:r>
      <w:r>
        <w:t>.</w:t>
      </w:r>
    </w:p>
    <w:p w:rsidR="009221D1" w:rsidRDefault="009221D1" w:rsidP="009221D1">
      <w:pPr>
        <w:pStyle w:val="BodyText"/>
      </w:pPr>
      <w:r>
        <w:t>This proposal would have an ongoing impact beyond the 2016-17 Budget forward estimates period.  The annual ongoing impact would be consistent with the trend exhibited across the forward estimates.</w:t>
      </w:r>
    </w:p>
    <w:p w:rsidR="009221D1" w:rsidRPr="00BB5064" w:rsidRDefault="009221D1" w:rsidP="009221D1">
      <w:pPr>
        <w:pStyle w:val="BodyText"/>
      </w:pPr>
      <w:r>
        <w:t>This costing is considered to be of high reliability as estimates are based on the financial implications of the measure updated for relevant indexation and demographic parameters.</w:t>
      </w:r>
    </w:p>
    <w:p w:rsidR="009221D1" w:rsidRDefault="009221D1" w:rsidP="009221D1">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73534F">
            <w:pPr>
              <w:pStyle w:val="TableHeading"/>
            </w:pPr>
            <w:r>
              <w:t>Impact on ($m)</w:t>
            </w:r>
          </w:p>
        </w:tc>
        <w:tc>
          <w:tcPr>
            <w:tcW w:w="721" w:type="pct"/>
          </w:tcPr>
          <w:p w:rsidR="009221D1" w:rsidRPr="00FC1F1C" w:rsidRDefault="009221D1" w:rsidP="0073534F">
            <w:pPr>
              <w:pStyle w:val="TableHeadingRight"/>
            </w:pPr>
            <w:r>
              <w:t>2016–17</w:t>
            </w:r>
          </w:p>
        </w:tc>
        <w:tc>
          <w:tcPr>
            <w:tcW w:w="721" w:type="pct"/>
          </w:tcPr>
          <w:p w:rsidR="009221D1" w:rsidRPr="00FC1F1C" w:rsidRDefault="009221D1" w:rsidP="0073534F">
            <w:pPr>
              <w:pStyle w:val="TableHeadingRight"/>
            </w:pPr>
            <w:r>
              <w:t>2017–18</w:t>
            </w:r>
          </w:p>
        </w:tc>
        <w:tc>
          <w:tcPr>
            <w:tcW w:w="722" w:type="pct"/>
          </w:tcPr>
          <w:p w:rsidR="009221D1" w:rsidRPr="00FC1F1C" w:rsidRDefault="009221D1" w:rsidP="0073534F">
            <w:pPr>
              <w:pStyle w:val="TableHeadingRight"/>
            </w:pPr>
            <w:r>
              <w:t>2018–19</w:t>
            </w:r>
          </w:p>
        </w:tc>
        <w:tc>
          <w:tcPr>
            <w:tcW w:w="721" w:type="pct"/>
          </w:tcPr>
          <w:p w:rsidR="009221D1" w:rsidRPr="00FC1F1C" w:rsidRDefault="009221D1" w:rsidP="0073534F">
            <w:pPr>
              <w:pStyle w:val="TableHeadingRight"/>
            </w:pPr>
            <w:r>
              <w:t>2019–20</w:t>
            </w:r>
          </w:p>
        </w:tc>
        <w:tc>
          <w:tcPr>
            <w:tcW w:w="722" w:type="pct"/>
          </w:tcPr>
          <w:p w:rsidR="009221D1" w:rsidRPr="00FC1F1C" w:rsidRDefault="009221D1" w:rsidP="0073534F">
            <w:pPr>
              <w:pStyle w:val="TableHeadingRight"/>
              <w:rPr>
                <w:b/>
              </w:rPr>
            </w:pPr>
            <w:r w:rsidRPr="00FC1F1C">
              <w:t>Total</w:t>
            </w:r>
          </w:p>
        </w:tc>
      </w:tr>
      <w:tr w:rsidR="009221D1" w:rsidTr="0073534F">
        <w:tc>
          <w:tcPr>
            <w:tcW w:w="1393" w:type="pct"/>
          </w:tcPr>
          <w:p w:rsidR="009221D1" w:rsidRDefault="009221D1" w:rsidP="0073534F">
            <w:pPr>
              <w:pStyle w:val="TableText"/>
            </w:pPr>
            <w:r>
              <w:t>Fiscal balance</w:t>
            </w:r>
          </w:p>
        </w:tc>
        <w:tc>
          <w:tcPr>
            <w:tcW w:w="721" w:type="pct"/>
            <w:vAlign w:val="center"/>
          </w:tcPr>
          <w:p w:rsidR="009221D1" w:rsidRPr="00E73237" w:rsidRDefault="009221D1" w:rsidP="0073534F">
            <w:pPr>
              <w:pStyle w:val="TableTextRight"/>
              <w:rPr>
                <w:noProof/>
              </w:rPr>
            </w:pPr>
            <w:r>
              <w:rPr>
                <w:noProof/>
              </w:rPr>
              <w:t>-</w:t>
            </w:r>
            <w:r w:rsidRPr="00E73237">
              <w:rPr>
                <w:noProof/>
              </w:rPr>
              <w:t>42.7</w:t>
            </w:r>
          </w:p>
        </w:tc>
        <w:tc>
          <w:tcPr>
            <w:tcW w:w="721" w:type="pct"/>
            <w:vAlign w:val="center"/>
          </w:tcPr>
          <w:p w:rsidR="009221D1" w:rsidRPr="00E73237" w:rsidRDefault="009221D1" w:rsidP="0073534F">
            <w:pPr>
              <w:pStyle w:val="TableTextRight"/>
              <w:rPr>
                <w:noProof/>
              </w:rPr>
            </w:pPr>
            <w:r>
              <w:rPr>
                <w:noProof/>
              </w:rPr>
              <w:t>-</w:t>
            </w:r>
            <w:r w:rsidRPr="00E73237">
              <w:rPr>
                <w:noProof/>
              </w:rPr>
              <w:t>60.9</w:t>
            </w:r>
          </w:p>
        </w:tc>
        <w:tc>
          <w:tcPr>
            <w:tcW w:w="722" w:type="pct"/>
            <w:vAlign w:val="center"/>
          </w:tcPr>
          <w:p w:rsidR="009221D1" w:rsidRPr="00E73237" w:rsidRDefault="009221D1" w:rsidP="0073534F">
            <w:pPr>
              <w:pStyle w:val="TableTextRight"/>
              <w:rPr>
                <w:noProof/>
              </w:rPr>
            </w:pPr>
            <w:r>
              <w:rPr>
                <w:noProof/>
              </w:rPr>
              <w:t>-</w:t>
            </w:r>
            <w:r w:rsidRPr="00E73237">
              <w:rPr>
                <w:noProof/>
              </w:rPr>
              <w:t>64.0</w:t>
            </w:r>
          </w:p>
        </w:tc>
        <w:tc>
          <w:tcPr>
            <w:tcW w:w="721" w:type="pct"/>
            <w:vAlign w:val="center"/>
          </w:tcPr>
          <w:p w:rsidR="009221D1" w:rsidRPr="00E73237" w:rsidRDefault="009221D1" w:rsidP="0073534F">
            <w:pPr>
              <w:pStyle w:val="TableTextRight"/>
              <w:rPr>
                <w:noProof/>
              </w:rPr>
            </w:pPr>
            <w:r>
              <w:rPr>
                <w:noProof/>
              </w:rPr>
              <w:t>-</w:t>
            </w:r>
            <w:r w:rsidRPr="00E73237">
              <w:rPr>
                <w:noProof/>
              </w:rPr>
              <w:t>65.7</w:t>
            </w:r>
          </w:p>
        </w:tc>
        <w:tc>
          <w:tcPr>
            <w:tcW w:w="722" w:type="pct"/>
            <w:vAlign w:val="center"/>
          </w:tcPr>
          <w:p w:rsidR="009221D1" w:rsidRPr="00E73237" w:rsidRDefault="009221D1" w:rsidP="0073534F">
            <w:pPr>
              <w:pStyle w:val="TableTextRight"/>
              <w:rPr>
                <w:b/>
                <w:noProof/>
              </w:rPr>
            </w:pPr>
            <w:r>
              <w:rPr>
                <w:b/>
                <w:noProof/>
              </w:rPr>
              <w:t>-</w:t>
            </w:r>
            <w:r w:rsidRPr="00E73237">
              <w:rPr>
                <w:b/>
                <w:noProof/>
              </w:rPr>
              <w:t>233.3</w:t>
            </w:r>
          </w:p>
        </w:tc>
      </w:tr>
      <w:tr w:rsidR="009221D1" w:rsidTr="0073534F">
        <w:tc>
          <w:tcPr>
            <w:tcW w:w="1393" w:type="pct"/>
          </w:tcPr>
          <w:p w:rsidR="009221D1" w:rsidRDefault="009221D1" w:rsidP="0073534F">
            <w:pPr>
              <w:pStyle w:val="TableText"/>
            </w:pPr>
            <w:r>
              <w:t>Underlying cash balance</w:t>
            </w:r>
          </w:p>
        </w:tc>
        <w:tc>
          <w:tcPr>
            <w:tcW w:w="721" w:type="pct"/>
            <w:vAlign w:val="center"/>
          </w:tcPr>
          <w:p w:rsidR="009221D1" w:rsidRPr="00E73237" w:rsidRDefault="009221D1" w:rsidP="0073534F">
            <w:pPr>
              <w:pStyle w:val="TableTextRight"/>
              <w:rPr>
                <w:noProof/>
              </w:rPr>
            </w:pPr>
            <w:r>
              <w:rPr>
                <w:noProof/>
              </w:rPr>
              <w:t>-</w:t>
            </w:r>
            <w:r w:rsidRPr="00E73237">
              <w:rPr>
                <w:noProof/>
              </w:rPr>
              <w:t>42.7</w:t>
            </w:r>
          </w:p>
        </w:tc>
        <w:tc>
          <w:tcPr>
            <w:tcW w:w="721" w:type="pct"/>
            <w:vAlign w:val="center"/>
          </w:tcPr>
          <w:p w:rsidR="009221D1" w:rsidRPr="00E73237" w:rsidRDefault="009221D1" w:rsidP="0073534F">
            <w:pPr>
              <w:pStyle w:val="TableTextRight"/>
              <w:rPr>
                <w:noProof/>
              </w:rPr>
            </w:pPr>
            <w:r>
              <w:rPr>
                <w:noProof/>
              </w:rPr>
              <w:t>-</w:t>
            </w:r>
            <w:r w:rsidRPr="00E73237">
              <w:rPr>
                <w:noProof/>
              </w:rPr>
              <w:t>60.9</w:t>
            </w:r>
          </w:p>
        </w:tc>
        <w:tc>
          <w:tcPr>
            <w:tcW w:w="722" w:type="pct"/>
            <w:vAlign w:val="center"/>
          </w:tcPr>
          <w:p w:rsidR="009221D1" w:rsidRPr="00E73237" w:rsidRDefault="009221D1" w:rsidP="0073534F">
            <w:pPr>
              <w:pStyle w:val="TableTextRight"/>
              <w:rPr>
                <w:noProof/>
              </w:rPr>
            </w:pPr>
            <w:r>
              <w:rPr>
                <w:noProof/>
              </w:rPr>
              <w:t>-</w:t>
            </w:r>
            <w:r w:rsidRPr="00E73237">
              <w:rPr>
                <w:noProof/>
              </w:rPr>
              <w:t>64.0</w:t>
            </w:r>
          </w:p>
        </w:tc>
        <w:tc>
          <w:tcPr>
            <w:tcW w:w="721" w:type="pct"/>
            <w:vAlign w:val="center"/>
          </w:tcPr>
          <w:p w:rsidR="009221D1" w:rsidRPr="00E73237" w:rsidRDefault="009221D1" w:rsidP="0073534F">
            <w:pPr>
              <w:pStyle w:val="TableTextRight"/>
              <w:rPr>
                <w:noProof/>
              </w:rPr>
            </w:pPr>
            <w:r>
              <w:rPr>
                <w:noProof/>
              </w:rPr>
              <w:t>-</w:t>
            </w:r>
            <w:r w:rsidRPr="00E73237">
              <w:rPr>
                <w:noProof/>
              </w:rPr>
              <w:t>65.7</w:t>
            </w:r>
          </w:p>
        </w:tc>
        <w:tc>
          <w:tcPr>
            <w:tcW w:w="722" w:type="pct"/>
            <w:vAlign w:val="center"/>
          </w:tcPr>
          <w:p w:rsidR="009221D1" w:rsidRPr="00E73237" w:rsidRDefault="009221D1" w:rsidP="0073534F">
            <w:pPr>
              <w:pStyle w:val="TableTextRight"/>
              <w:rPr>
                <w:b/>
                <w:noProof/>
              </w:rPr>
            </w:pPr>
            <w:r>
              <w:rPr>
                <w:b/>
                <w:noProof/>
              </w:rPr>
              <w:t>-</w:t>
            </w:r>
            <w:r w:rsidRPr="00E73237">
              <w:rPr>
                <w:b/>
                <w:noProof/>
              </w:rPr>
              <w:t>233.3</w:t>
            </w:r>
          </w:p>
        </w:tc>
      </w:tr>
    </w:tbl>
    <w:p w:rsidR="009221D1" w:rsidRDefault="009221D1" w:rsidP="00B45091">
      <w:pPr>
        <w:pStyle w:val="Footnotes"/>
        <w:numPr>
          <w:ilvl w:val="0"/>
          <w:numId w:val="159"/>
        </w:numPr>
        <w:ind w:left="284" w:hanging="284"/>
      </w:pPr>
      <w:r>
        <w:t xml:space="preserve">A positive </w:t>
      </w:r>
      <w:r w:rsidRPr="00FC1F1C">
        <w:t>number indicates an increase in the relevant budget balance, a negative number a decrease.</w:t>
      </w:r>
    </w:p>
    <w:p w:rsidR="009221D1" w:rsidRPr="000E063A" w:rsidRDefault="009221D1" w:rsidP="00B45091">
      <w:pPr>
        <w:pStyle w:val="Footnotes"/>
        <w:ind w:left="284" w:hanging="284"/>
        <w:rPr>
          <w:rStyle w:val="FootnoteReference"/>
          <w:vertAlign w:val="baseline"/>
        </w:rPr>
      </w:pPr>
      <w:r w:rsidRPr="000E063A">
        <w:t>Figures may not sum to totals due to rounding.</w:t>
      </w:r>
    </w:p>
    <w:p w:rsidR="009221D1" w:rsidRDefault="009221D1" w:rsidP="009221D1">
      <w:pPr>
        <w:pStyle w:val="CostingsH7"/>
      </w:pPr>
      <w:r>
        <w:t>Methodology</w:t>
      </w:r>
    </w:p>
    <w:p w:rsidR="009221D1" w:rsidRPr="00BB5064" w:rsidRDefault="009221D1" w:rsidP="009221D1">
      <w:pPr>
        <w:pStyle w:val="BodyText"/>
      </w:pPr>
      <w:r w:rsidRPr="00BB5064">
        <w:t>The financial implications were derived by reversing the estimated financial implications of the 2015-16 Budget measure updated for growth in underlying parameters.</w:t>
      </w:r>
    </w:p>
    <w:p w:rsidR="009221D1" w:rsidRDefault="009221D1" w:rsidP="009221D1">
      <w:pPr>
        <w:pStyle w:val="CostingsH7"/>
      </w:pPr>
      <w:r>
        <w:t>Data sources</w:t>
      </w:r>
    </w:p>
    <w:p w:rsidR="009221D1" w:rsidRDefault="009221D1" w:rsidP="009221D1">
      <w:pPr>
        <w:pStyle w:val="BodyText"/>
      </w:pPr>
      <w:r>
        <w:t>Department of Finance provided</w:t>
      </w:r>
    </w:p>
    <w:p w:rsidR="009221D1" w:rsidRDefault="009221D1" w:rsidP="009221D1">
      <w:pPr>
        <w:pStyle w:val="ListBullet"/>
      </w:pPr>
      <w:r>
        <w:t>2015-16 Budget data</w:t>
      </w:r>
    </w:p>
    <w:p w:rsidR="009221D1" w:rsidRDefault="009221D1" w:rsidP="009221D1">
      <w:pPr>
        <w:pStyle w:val="ListBullet"/>
      </w:pPr>
      <w:r>
        <w:t>2016-17 Budget data</w:t>
      </w:r>
    </w:p>
    <w:p w:rsidR="009221D1" w:rsidRDefault="009221D1" w:rsidP="009221D1">
      <w:pPr>
        <w:pStyle w:val="ListBullet"/>
      </w:pPr>
      <w:r>
        <w:t>indexation and efficiency dividend parameters.</w:t>
      </w:r>
    </w:p>
    <w:p w:rsidR="009221D1" w:rsidRDefault="009221D1" w:rsidP="009221D1">
      <w:pPr>
        <w:pStyle w:val="BodyText"/>
      </w:pPr>
      <w:r>
        <w:t xml:space="preserve">Department of Social Services provided costing models underpinning the 2015-16 Budget measure, </w:t>
      </w:r>
      <w:r w:rsidRPr="00BB5064">
        <w:rPr>
          <w:i/>
        </w:rPr>
        <w:t>Growing Jobs and Small Business – Youth Employment Strategy – revised waiting period for youth income support</w:t>
      </w:r>
      <w:r>
        <w:t>.</w:t>
      </w:r>
    </w:p>
    <w:p w:rsidR="00B45091" w:rsidRDefault="00B45091" w:rsidP="009221D1">
      <w:pPr>
        <w:pStyle w:val="BodyText"/>
      </w:pPr>
    </w:p>
    <w:p w:rsidR="00B45091" w:rsidRDefault="00B45091" w:rsidP="009221D1">
      <w:pPr>
        <w:pStyle w:val="BodyText"/>
        <w:sectPr w:rsidR="00B4509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6"/>
        <w:numPr>
          <w:ilvl w:val="0"/>
          <w:numId w:val="10"/>
        </w:numPr>
        <w:tabs>
          <w:tab w:val="right" w:pos="1418"/>
          <w:tab w:val="right" w:pos="1701"/>
          <w:tab w:val="right" w:pos="1985"/>
        </w:tabs>
        <w:spacing w:before="480"/>
      </w:pPr>
      <w:r>
        <w:t>Attachment A: Not proceeding with the four week waiting period for income support for young people—</w:t>
      </w:r>
      <w:r w:rsidR="0080154C">
        <w:t>financial implications</w:t>
      </w:r>
    </w:p>
    <w:p w:rsidR="009221D1" w:rsidRDefault="009221D1" w:rsidP="009221D1">
      <w:pPr>
        <w:pStyle w:val="Caption"/>
      </w:pPr>
      <w:r w:rsidRPr="002B36F1">
        <w:t xml:space="preserve">Table </w:t>
      </w:r>
      <w:r>
        <w:t>A1</w:t>
      </w:r>
      <w:r w:rsidRPr="002B36F1">
        <w:t>:</w:t>
      </w:r>
      <w:r>
        <w:t xml:space="preserve"> Not proceeding with the four week waiting period for income support for young people—</w:t>
      </w:r>
      <w:r w:rsidR="0080154C">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rPr>
                <w:b w:val="0"/>
              </w:rPr>
            </w:pPr>
            <w:r>
              <w:t>($)</w:t>
            </w:r>
          </w:p>
        </w:tc>
        <w:tc>
          <w:tcPr>
            <w:tcW w:w="689" w:type="pct"/>
            <w:vAlign w:val="center"/>
          </w:tcPr>
          <w:p w:rsidR="009221D1" w:rsidRDefault="009221D1" w:rsidP="0073534F">
            <w:pPr>
              <w:pStyle w:val="TableTextRight"/>
              <w:rPr>
                <w:b w:val="0"/>
              </w:rPr>
            </w:pPr>
            <w:r>
              <w:t>2016–17</w:t>
            </w:r>
          </w:p>
        </w:tc>
        <w:tc>
          <w:tcPr>
            <w:tcW w:w="689" w:type="pct"/>
            <w:vAlign w:val="center"/>
          </w:tcPr>
          <w:p w:rsidR="009221D1" w:rsidRDefault="009221D1" w:rsidP="0073534F">
            <w:pPr>
              <w:pStyle w:val="TableTextRight"/>
              <w:rPr>
                <w:b w:val="0"/>
              </w:rPr>
            </w:pPr>
            <w:r>
              <w:t>2017–18</w:t>
            </w:r>
          </w:p>
        </w:tc>
        <w:tc>
          <w:tcPr>
            <w:tcW w:w="689" w:type="pct"/>
            <w:vAlign w:val="center"/>
          </w:tcPr>
          <w:p w:rsidR="009221D1" w:rsidRDefault="009221D1" w:rsidP="0073534F">
            <w:pPr>
              <w:pStyle w:val="TableTextRight"/>
              <w:rPr>
                <w:b w:val="0"/>
              </w:rPr>
            </w:pPr>
            <w:r>
              <w:t>2018–19</w:t>
            </w:r>
          </w:p>
        </w:tc>
        <w:tc>
          <w:tcPr>
            <w:tcW w:w="689" w:type="pct"/>
            <w:vAlign w:val="center"/>
          </w:tcPr>
          <w:p w:rsidR="009221D1" w:rsidRDefault="009221D1" w:rsidP="0073534F">
            <w:pPr>
              <w:pStyle w:val="TableTextRight"/>
              <w:rPr>
                <w:b w:val="0"/>
              </w:rPr>
            </w:pPr>
            <w:r>
              <w:t>2019–20</w:t>
            </w:r>
          </w:p>
        </w:tc>
        <w:tc>
          <w:tcPr>
            <w:tcW w:w="690" w:type="pct"/>
            <w:vAlign w:val="center"/>
          </w:tcPr>
          <w:p w:rsidR="009221D1" w:rsidRDefault="009221D1" w:rsidP="0073534F">
            <w:pPr>
              <w:pStyle w:val="TableTextRight"/>
            </w:pPr>
            <w:r>
              <w:t>Total to 2019–20</w:t>
            </w:r>
          </w:p>
        </w:tc>
      </w:tr>
      <w:tr w:rsidR="009221D1" w:rsidTr="0073534F">
        <w:tc>
          <w:tcPr>
            <w:tcW w:w="5000" w:type="pct"/>
            <w:gridSpan w:val="6"/>
            <w:vAlign w:val="center"/>
          </w:tcPr>
          <w:p w:rsidR="009221D1" w:rsidRDefault="009221D1" w:rsidP="0073534F">
            <w:pPr>
              <w:pStyle w:val="TableHeading"/>
            </w:pPr>
            <w:r>
              <w:t>Impact on fiscal and underlying cash balances</w:t>
            </w:r>
          </w:p>
        </w:tc>
      </w:tr>
      <w:tr w:rsidR="009221D1" w:rsidTr="0073534F">
        <w:tc>
          <w:tcPr>
            <w:tcW w:w="1554" w:type="pct"/>
          </w:tcPr>
          <w:p w:rsidR="009221D1" w:rsidRPr="0007264D" w:rsidRDefault="009221D1" w:rsidP="0073534F">
            <w:pPr>
              <w:pStyle w:val="TableText"/>
            </w:pPr>
            <w:r>
              <w:t>Administered</w:t>
            </w:r>
          </w:p>
        </w:tc>
        <w:tc>
          <w:tcPr>
            <w:tcW w:w="689" w:type="pct"/>
            <w:vAlign w:val="bottom"/>
          </w:tcPr>
          <w:p w:rsidR="009221D1" w:rsidRPr="007C7606" w:rsidRDefault="009221D1" w:rsidP="0073534F">
            <w:pPr>
              <w:pStyle w:val="TableTextRight"/>
              <w:rPr>
                <w:i/>
              </w:rPr>
            </w:pPr>
            <w:r w:rsidRPr="007C7606">
              <w:rPr>
                <w:i/>
              </w:rPr>
              <w:t xml:space="preserve">-45.9 </w:t>
            </w:r>
          </w:p>
        </w:tc>
        <w:tc>
          <w:tcPr>
            <w:tcW w:w="689" w:type="pct"/>
            <w:vAlign w:val="bottom"/>
          </w:tcPr>
          <w:p w:rsidR="009221D1" w:rsidRPr="007C7606" w:rsidRDefault="009221D1" w:rsidP="0073534F">
            <w:pPr>
              <w:pStyle w:val="TableTextRight"/>
              <w:rPr>
                <w:i/>
              </w:rPr>
            </w:pPr>
            <w:r w:rsidRPr="007C7606">
              <w:rPr>
                <w:i/>
              </w:rPr>
              <w:t xml:space="preserve">-63.6 </w:t>
            </w:r>
          </w:p>
        </w:tc>
        <w:tc>
          <w:tcPr>
            <w:tcW w:w="689" w:type="pct"/>
            <w:vAlign w:val="bottom"/>
          </w:tcPr>
          <w:p w:rsidR="009221D1" w:rsidRPr="007C7606" w:rsidRDefault="009221D1" w:rsidP="0073534F">
            <w:pPr>
              <w:pStyle w:val="TableTextRight"/>
              <w:rPr>
                <w:i/>
              </w:rPr>
            </w:pPr>
            <w:r w:rsidRPr="007C7606">
              <w:rPr>
                <w:i/>
              </w:rPr>
              <w:t xml:space="preserve">-65.9 </w:t>
            </w:r>
          </w:p>
        </w:tc>
        <w:tc>
          <w:tcPr>
            <w:tcW w:w="689" w:type="pct"/>
            <w:vAlign w:val="bottom"/>
          </w:tcPr>
          <w:p w:rsidR="009221D1" w:rsidRPr="007C7606" w:rsidRDefault="009221D1" w:rsidP="0073534F">
            <w:pPr>
              <w:pStyle w:val="TableTextRight"/>
              <w:rPr>
                <w:i/>
              </w:rPr>
            </w:pPr>
            <w:r w:rsidRPr="007C7606">
              <w:rPr>
                <w:i/>
              </w:rPr>
              <w:t xml:space="preserve">-67.6 </w:t>
            </w:r>
          </w:p>
        </w:tc>
        <w:tc>
          <w:tcPr>
            <w:tcW w:w="690" w:type="pct"/>
            <w:vAlign w:val="bottom"/>
          </w:tcPr>
          <w:p w:rsidR="009221D1" w:rsidRPr="007C7606" w:rsidRDefault="009221D1" w:rsidP="0073534F">
            <w:pPr>
              <w:pStyle w:val="TableTextRight"/>
              <w:rPr>
                <w:b/>
                <w:i/>
              </w:rPr>
            </w:pPr>
            <w:r w:rsidRPr="007C7606">
              <w:rPr>
                <w:b/>
                <w:i/>
              </w:rPr>
              <w:t xml:space="preserve">-243.0 </w:t>
            </w:r>
          </w:p>
        </w:tc>
      </w:tr>
      <w:tr w:rsidR="009221D1" w:rsidTr="0073534F">
        <w:tc>
          <w:tcPr>
            <w:tcW w:w="1554" w:type="pct"/>
          </w:tcPr>
          <w:p w:rsidR="009221D1" w:rsidRPr="0007264D" w:rsidRDefault="009221D1" w:rsidP="0073534F">
            <w:pPr>
              <w:pStyle w:val="TableText"/>
            </w:pPr>
            <w:r>
              <w:t>Departmental</w:t>
            </w:r>
          </w:p>
        </w:tc>
        <w:tc>
          <w:tcPr>
            <w:tcW w:w="689" w:type="pct"/>
            <w:vAlign w:val="bottom"/>
          </w:tcPr>
          <w:p w:rsidR="009221D1" w:rsidRPr="007C7606" w:rsidRDefault="009221D1" w:rsidP="0073534F">
            <w:pPr>
              <w:pStyle w:val="TableTextRight"/>
              <w:rPr>
                <w:i/>
              </w:rPr>
            </w:pPr>
            <w:r w:rsidRPr="007C7606">
              <w:rPr>
                <w:i/>
              </w:rPr>
              <w:t xml:space="preserve"> 3.1 </w:t>
            </w:r>
          </w:p>
        </w:tc>
        <w:tc>
          <w:tcPr>
            <w:tcW w:w="689" w:type="pct"/>
            <w:vAlign w:val="bottom"/>
          </w:tcPr>
          <w:p w:rsidR="009221D1" w:rsidRPr="007C7606" w:rsidRDefault="009221D1" w:rsidP="0073534F">
            <w:pPr>
              <w:pStyle w:val="TableTextRight"/>
              <w:rPr>
                <w:i/>
              </w:rPr>
            </w:pPr>
            <w:r w:rsidRPr="007C7606">
              <w:rPr>
                <w:i/>
              </w:rPr>
              <w:t xml:space="preserve"> 2.7 </w:t>
            </w:r>
          </w:p>
        </w:tc>
        <w:tc>
          <w:tcPr>
            <w:tcW w:w="689" w:type="pct"/>
            <w:vAlign w:val="bottom"/>
          </w:tcPr>
          <w:p w:rsidR="009221D1" w:rsidRPr="007C7606" w:rsidRDefault="009221D1" w:rsidP="0073534F">
            <w:pPr>
              <w:pStyle w:val="TableTextRight"/>
              <w:rPr>
                <w:i/>
              </w:rPr>
            </w:pPr>
            <w:r w:rsidRPr="007C7606">
              <w:rPr>
                <w:i/>
              </w:rPr>
              <w:t xml:space="preserve"> 1.9 </w:t>
            </w:r>
          </w:p>
        </w:tc>
        <w:tc>
          <w:tcPr>
            <w:tcW w:w="689" w:type="pct"/>
            <w:vAlign w:val="bottom"/>
          </w:tcPr>
          <w:p w:rsidR="009221D1" w:rsidRPr="007C7606" w:rsidRDefault="009221D1" w:rsidP="0073534F">
            <w:pPr>
              <w:pStyle w:val="TableTextRight"/>
              <w:rPr>
                <w:i/>
              </w:rPr>
            </w:pPr>
            <w:r w:rsidRPr="007C7606">
              <w:rPr>
                <w:i/>
              </w:rPr>
              <w:t xml:space="preserve"> 1.9 </w:t>
            </w:r>
          </w:p>
        </w:tc>
        <w:tc>
          <w:tcPr>
            <w:tcW w:w="690" w:type="pct"/>
            <w:vAlign w:val="bottom"/>
          </w:tcPr>
          <w:p w:rsidR="009221D1" w:rsidRPr="007C7606" w:rsidRDefault="009221D1" w:rsidP="0073534F">
            <w:pPr>
              <w:pStyle w:val="TableTextRight"/>
              <w:rPr>
                <w:b/>
                <w:i/>
              </w:rPr>
            </w:pPr>
            <w:r w:rsidRPr="007C7606">
              <w:rPr>
                <w:b/>
                <w:i/>
              </w:rPr>
              <w:t xml:space="preserve"> 9.7 </w:t>
            </w:r>
          </w:p>
        </w:tc>
      </w:tr>
      <w:tr w:rsidR="009221D1" w:rsidRPr="007C7606" w:rsidTr="0073534F">
        <w:tc>
          <w:tcPr>
            <w:tcW w:w="1554" w:type="pct"/>
            <w:shd w:val="clear" w:color="auto" w:fill="D7DDE9" w:themeFill="accent3"/>
          </w:tcPr>
          <w:p w:rsidR="009221D1" w:rsidRPr="007C7606" w:rsidRDefault="009221D1" w:rsidP="0073534F">
            <w:pPr>
              <w:pStyle w:val="TableText"/>
              <w:rPr>
                <w:b/>
              </w:rPr>
            </w:pPr>
            <w:r w:rsidRPr="007C7606">
              <w:rPr>
                <w:b/>
              </w:rPr>
              <w:t>Total</w:t>
            </w:r>
          </w:p>
        </w:tc>
        <w:tc>
          <w:tcPr>
            <w:tcW w:w="689" w:type="pct"/>
            <w:shd w:val="clear" w:color="auto" w:fill="D7DDE9" w:themeFill="accent3"/>
            <w:vAlign w:val="bottom"/>
          </w:tcPr>
          <w:p w:rsidR="009221D1" w:rsidRPr="007C7606" w:rsidRDefault="009221D1" w:rsidP="0073534F">
            <w:pPr>
              <w:pStyle w:val="TableTextRight"/>
              <w:rPr>
                <w:b/>
              </w:rPr>
            </w:pPr>
            <w:r w:rsidRPr="007C7606">
              <w:rPr>
                <w:b/>
              </w:rPr>
              <w:t xml:space="preserve">-42.7 </w:t>
            </w:r>
          </w:p>
        </w:tc>
        <w:tc>
          <w:tcPr>
            <w:tcW w:w="689" w:type="pct"/>
            <w:shd w:val="clear" w:color="auto" w:fill="D7DDE9" w:themeFill="accent3"/>
            <w:vAlign w:val="bottom"/>
          </w:tcPr>
          <w:p w:rsidR="009221D1" w:rsidRPr="007C7606" w:rsidRDefault="009221D1" w:rsidP="0073534F">
            <w:pPr>
              <w:pStyle w:val="TableTextRight"/>
              <w:rPr>
                <w:b/>
              </w:rPr>
            </w:pPr>
            <w:r w:rsidRPr="007C7606">
              <w:rPr>
                <w:b/>
              </w:rPr>
              <w:t xml:space="preserve">-60.9 </w:t>
            </w:r>
          </w:p>
        </w:tc>
        <w:tc>
          <w:tcPr>
            <w:tcW w:w="689" w:type="pct"/>
            <w:shd w:val="clear" w:color="auto" w:fill="D7DDE9" w:themeFill="accent3"/>
            <w:vAlign w:val="bottom"/>
          </w:tcPr>
          <w:p w:rsidR="009221D1" w:rsidRPr="007C7606" w:rsidRDefault="009221D1" w:rsidP="0073534F">
            <w:pPr>
              <w:pStyle w:val="TableTextRight"/>
              <w:rPr>
                <w:b/>
              </w:rPr>
            </w:pPr>
            <w:r w:rsidRPr="007C7606">
              <w:rPr>
                <w:b/>
              </w:rPr>
              <w:t xml:space="preserve">-64.0 </w:t>
            </w:r>
          </w:p>
        </w:tc>
        <w:tc>
          <w:tcPr>
            <w:tcW w:w="689" w:type="pct"/>
            <w:shd w:val="clear" w:color="auto" w:fill="D7DDE9" w:themeFill="accent3"/>
            <w:vAlign w:val="bottom"/>
          </w:tcPr>
          <w:p w:rsidR="009221D1" w:rsidRPr="007C7606" w:rsidRDefault="009221D1" w:rsidP="0073534F">
            <w:pPr>
              <w:pStyle w:val="TableTextRight"/>
              <w:rPr>
                <w:b/>
              </w:rPr>
            </w:pPr>
            <w:r w:rsidRPr="007C7606">
              <w:rPr>
                <w:b/>
              </w:rPr>
              <w:t xml:space="preserve">-65.7 </w:t>
            </w:r>
          </w:p>
        </w:tc>
        <w:tc>
          <w:tcPr>
            <w:tcW w:w="690" w:type="pct"/>
            <w:shd w:val="clear" w:color="auto" w:fill="D7DDE9" w:themeFill="accent3"/>
            <w:vAlign w:val="bottom"/>
          </w:tcPr>
          <w:p w:rsidR="009221D1" w:rsidRPr="007C7606" w:rsidRDefault="009221D1" w:rsidP="0073534F">
            <w:pPr>
              <w:pStyle w:val="TableTextRight"/>
              <w:rPr>
                <w:b/>
              </w:rPr>
            </w:pPr>
            <w:r w:rsidRPr="007C7606">
              <w:rPr>
                <w:b/>
              </w:rPr>
              <w:t xml:space="preserve">-233.3 </w:t>
            </w:r>
          </w:p>
        </w:tc>
      </w:tr>
    </w:tbl>
    <w:p w:rsidR="009221D1" w:rsidRPr="001E0268" w:rsidRDefault="009221D1" w:rsidP="002C43F8">
      <w:pPr>
        <w:pStyle w:val="Footnotes"/>
        <w:numPr>
          <w:ilvl w:val="0"/>
          <w:numId w:val="160"/>
        </w:numPr>
        <w:ind w:left="284" w:hanging="284"/>
      </w:pPr>
      <w:r w:rsidRPr="001E0268">
        <w:t>A positive number indicates an increase in revenue or decrease in expenses or net capital investment in accrual and cash terms.  A negative number indicates a decrease in revenue or an increase in expenses or net capital investment in accrual and cash terms.</w:t>
      </w:r>
    </w:p>
    <w:p w:rsidR="009221D1" w:rsidRPr="005F544A" w:rsidRDefault="009221D1" w:rsidP="009221D1">
      <w:pPr>
        <w:pStyle w:val="Footnotes"/>
        <w:spacing w:after="120"/>
        <w:ind w:left="284" w:hanging="284"/>
      </w:pPr>
      <w:r w:rsidRPr="005F544A">
        <w:t>Figures may not sum to totals due to rounding.</w:t>
      </w:r>
    </w:p>
    <w:p w:rsidR="009221D1" w:rsidRPr="00951305" w:rsidRDefault="009221D1" w:rsidP="009221D1">
      <w:pPr>
        <w:pStyle w:val="BodyText"/>
      </w:pPr>
    </w:p>
    <w:p w:rsidR="009221D1" w:rsidRDefault="009221D1" w:rsidP="009221D1">
      <w:pPr>
        <w:pStyle w:val="BodyText"/>
        <w:sectPr w:rsidR="009221D1" w:rsidSect="00967BCD">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5"/>
        <w:ind w:left="1080" w:hanging="1080"/>
      </w:pPr>
      <w:bookmarkStart w:id="104" w:name="_Toc455655033"/>
      <w:bookmarkStart w:id="105" w:name="_Toc458081700"/>
      <w:r>
        <w:t>ALP076: Not proceeding with the Government's changes to Paid Parental Leave</w:t>
      </w:r>
      <w:bookmarkEnd w:id="104"/>
      <w:bookmarkEnd w:id="105"/>
    </w:p>
    <w:p w:rsidR="009221D1" w:rsidRDefault="009221D1" w:rsidP="009221D1">
      <w:pPr>
        <w:pStyle w:val="BodyText"/>
      </w:pPr>
      <w:r>
        <w:rPr>
          <w:noProof/>
          <w:lang w:eastAsia="en-AU"/>
        </w:rPr>
        <w:drawing>
          <wp:inline distT="0" distB="0" distL="0" distR="0" wp14:anchorId="739DEFA6" wp14:editId="0CFFA6EC">
            <wp:extent cx="2696845" cy="572135"/>
            <wp:effectExtent l="0" t="0" r="8255" b="0"/>
            <wp:docPr id="24" name="Picture 2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8379A4"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8379A4" w:rsidRDefault="009221D1" w:rsidP="0073534F">
            <w:pPr>
              <w:pStyle w:val="PullOutBoxHeading"/>
              <w:rPr>
                <w:b/>
              </w:rPr>
            </w:pPr>
            <w:r w:rsidRPr="008379A4">
              <w:rPr>
                <w:b/>
              </w:rPr>
              <w:t>Name of proposal:</w:t>
            </w:r>
          </w:p>
        </w:tc>
        <w:tc>
          <w:tcPr>
            <w:tcW w:w="3191" w:type="pct"/>
          </w:tcPr>
          <w:p w:rsidR="009221D1" w:rsidRPr="008379A4" w:rsidRDefault="009221D1" w:rsidP="0073534F">
            <w:pPr>
              <w:pStyle w:val="PullOutBoxHeading"/>
              <w:rPr>
                <w:b/>
              </w:rPr>
            </w:pPr>
            <w:r w:rsidRPr="008379A4">
              <w:rPr>
                <w:b/>
              </w:rPr>
              <w:t>Not proceeding with the Government’s changes to Paid Parental Leave</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 xml:space="preserve">The proposal would reverse the </w:t>
            </w:r>
            <w:r w:rsidRPr="001A37B9">
              <w:rPr>
                <w:i/>
              </w:rPr>
              <w:t>Removing Double Dipping from Parental Leave Pay</w:t>
            </w:r>
            <w:r>
              <w:t xml:space="preserve"> measure as first outlined in the 2015-16 Budget and modified in the 2015</w:t>
            </w:r>
            <w:r>
              <w:noBreakHyphen/>
              <w:t>16 Mid-Year Economic and Fiscal Outlook (MYEFO).</w:t>
            </w:r>
          </w:p>
          <w:p w:rsidR="009221D1" w:rsidRPr="00B45F94" w:rsidRDefault="009221D1" w:rsidP="0073534F">
            <w:pPr>
              <w:pStyle w:val="PullOutBoxBodyText"/>
            </w:pPr>
            <w:r>
              <w:t>The proposal would have effect from 1 July 2016.</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pPr>
      <w:r w:rsidRPr="00BF1EE6">
        <w:t>Costing overview</w:t>
      </w:r>
    </w:p>
    <w:p w:rsidR="009221D1" w:rsidRDefault="009221D1" w:rsidP="009221D1">
      <w:pPr>
        <w:pStyle w:val="BodyText"/>
      </w:pPr>
      <w:r>
        <w:t>This proposal would be expected to decrease the fiscal balance by $1,249 million and decrease the underlying cash balance by $1,238 million over the 2016</w:t>
      </w:r>
      <w:r w:rsidR="00BE6B1F">
        <w:t>-</w:t>
      </w:r>
      <w:r>
        <w:t>17 Budget forward estimates period.  The fiscal balance implications reflect an increase in expenses of $2,049 million and an increase in revenue of $800 million over this period.</w:t>
      </w:r>
    </w:p>
    <w:p w:rsidR="009221D1" w:rsidRDefault="009221D1" w:rsidP="009221D1">
      <w:pPr>
        <w:pStyle w:val="BodyText"/>
      </w:pPr>
      <w:r>
        <w:t>This proposal would have ongoing financial impacts that extend beyond the 2016-17 Budget forward estimates period.  A breakdown of the financial implications for the period 2016</w:t>
      </w:r>
      <w:r>
        <w:noBreakHyphen/>
        <w:t>17 to 2026</w:t>
      </w:r>
      <w:r w:rsidR="00BE6B1F">
        <w:t>-</w:t>
      </w:r>
      <w:r>
        <w:t xml:space="preserve">27 is at </w:t>
      </w:r>
      <w:r w:rsidRPr="001A37B9">
        <w:rPr>
          <w:u w:val="single"/>
        </w:rPr>
        <w:t>Attachment A</w:t>
      </w:r>
      <w:r>
        <w:t>.</w:t>
      </w:r>
    </w:p>
    <w:p w:rsidR="009221D1" w:rsidRDefault="009221D1" w:rsidP="009221D1">
      <w:pPr>
        <w:pStyle w:val="BodyText"/>
      </w:pPr>
      <w:r>
        <w:t>The underlying cash balance implications of this proposal differs from the fiscal balance implications because there would be a delay between the recognition of expenses incurred by the Department of Social Services and the payment of these expenses.</w:t>
      </w:r>
    </w:p>
    <w:p w:rsidR="009221D1" w:rsidRPr="001A37B9" w:rsidRDefault="009221D1" w:rsidP="009221D1">
      <w:pPr>
        <w:pStyle w:val="BodyText"/>
      </w:pPr>
      <w:r>
        <w:t>This costing is considered to be of medium reliability.  Estimates are sensitive to changes in economic and demographic factors.</w:t>
      </w:r>
    </w:p>
    <w:p w:rsidR="009221D1" w:rsidRDefault="009221D1" w:rsidP="009221D1">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73534F">
            <w:pPr>
              <w:pStyle w:val="TableHeading"/>
            </w:pPr>
            <w:r>
              <w:t>Impact on ($m)</w:t>
            </w:r>
          </w:p>
        </w:tc>
        <w:tc>
          <w:tcPr>
            <w:tcW w:w="721" w:type="pct"/>
          </w:tcPr>
          <w:p w:rsidR="009221D1" w:rsidRPr="00FC1F1C" w:rsidRDefault="009221D1" w:rsidP="0073534F">
            <w:pPr>
              <w:pStyle w:val="TableHeadingRight"/>
            </w:pPr>
            <w:r>
              <w:t>2016–17</w:t>
            </w:r>
          </w:p>
        </w:tc>
        <w:tc>
          <w:tcPr>
            <w:tcW w:w="721" w:type="pct"/>
          </w:tcPr>
          <w:p w:rsidR="009221D1" w:rsidRPr="00FC1F1C" w:rsidRDefault="009221D1" w:rsidP="0073534F">
            <w:pPr>
              <w:pStyle w:val="TableHeadingRight"/>
            </w:pPr>
            <w:r>
              <w:t>2017–18</w:t>
            </w:r>
          </w:p>
        </w:tc>
        <w:tc>
          <w:tcPr>
            <w:tcW w:w="722" w:type="pct"/>
          </w:tcPr>
          <w:p w:rsidR="009221D1" w:rsidRPr="00FC1F1C" w:rsidRDefault="009221D1" w:rsidP="0073534F">
            <w:pPr>
              <w:pStyle w:val="TableHeadingRight"/>
            </w:pPr>
            <w:r>
              <w:t>2018–19</w:t>
            </w:r>
          </w:p>
        </w:tc>
        <w:tc>
          <w:tcPr>
            <w:tcW w:w="721" w:type="pct"/>
          </w:tcPr>
          <w:p w:rsidR="009221D1" w:rsidRPr="00FC1F1C" w:rsidRDefault="009221D1" w:rsidP="0073534F">
            <w:pPr>
              <w:pStyle w:val="TableHeadingRight"/>
            </w:pPr>
            <w:r>
              <w:t>2019–20</w:t>
            </w:r>
          </w:p>
        </w:tc>
        <w:tc>
          <w:tcPr>
            <w:tcW w:w="722" w:type="pct"/>
          </w:tcPr>
          <w:p w:rsidR="009221D1" w:rsidRPr="00FC1F1C" w:rsidRDefault="009221D1" w:rsidP="0073534F">
            <w:pPr>
              <w:pStyle w:val="TableHeadingRight"/>
              <w:rPr>
                <w:b/>
              </w:rPr>
            </w:pPr>
            <w:r w:rsidRPr="00FC1F1C">
              <w:t>Total</w:t>
            </w:r>
          </w:p>
        </w:tc>
      </w:tr>
      <w:tr w:rsidR="009221D1" w:rsidTr="0073534F">
        <w:tc>
          <w:tcPr>
            <w:tcW w:w="1393" w:type="pct"/>
          </w:tcPr>
          <w:p w:rsidR="009221D1" w:rsidRDefault="009221D1" w:rsidP="0073534F">
            <w:pPr>
              <w:pStyle w:val="TableText"/>
              <w:keepNext/>
              <w:keepLines/>
            </w:pPr>
            <w:r>
              <w:t>Fiscal balance</w:t>
            </w:r>
          </w:p>
        </w:tc>
        <w:tc>
          <w:tcPr>
            <w:tcW w:w="721" w:type="pct"/>
            <w:vAlign w:val="center"/>
          </w:tcPr>
          <w:p w:rsidR="009221D1" w:rsidRPr="003A3459" w:rsidRDefault="009221D1" w:rsidP="0073534F">
            <w:pPr>
              <w:pStyle w:val="TableTextRight"/>
              <w:keepNext/>
              <w:keepLines/>
            </w:pPr>
            <w:r>
              <w:t>-206.0</w:t>
            </w:r>
          </w:p>
        </w:tc>
        <w:tc>
          <w:tcPr>
            <w:tcW w:w="721" w:type="pct"/>
            <w:vAlign w:val="center"/>
          </w:tcPr>
          <w:p w:rsidR="009221D1" w:rsidRPr="003A3459" w:rsidRDefault="009221D1" w:rsidP="0073534F">
            <w:pPr>
              <w:pStyle w:val="TableTextRight"/>
              <w:keepNext/>
              <w:keepLines/>
            </w:pPr>
            <w:r>
              <w:t>-344.0</w:t>
            </w:r>
          </w:p>
        </w:tc>
        <w:tc>
          <w:tcPr>
            <w:tcW w:w="722" w:type="pct"/>
            <w:vAlign w:val="center"/>
          </w:tcPr>
          <w:p w:rsidR="009221D1" w:rsidRPr="003A3459" w:rsidRDefault="009221D1" w:rsidP="0073534F">
            <w:pPr>
              <w:pStyle w:val="TableTextRight"/>
              <w:keepNext/>
              <w:keepLines/>
            </w:pPr>
            <w:r>
              <w:t>-364.0</w:t>
            </w:r>
          </w:p>
        </w:tc>
        <w:tc>
          <w:tcPr>
            <w:tcW w:w="721" w:type="pct"/>
            <w:vAlign w:val="center"/>
          </w:tcPr>
          <w:p w:rsidR="009221D1" w:rsidRPr="003A3459" w:rsidRDefault="009221D1" w:rsidP="0073534F">
            <w:pPr>
              <w:pStyle w:val="TableTextRight"/>
              <w:keepNext/>
              <w:keepLines/>
            </w:pPr>
            <w:r>
              <w:t>-344.0</w:t>
            </w:r>
          </w:p>
        </w:tc>
        <w:tc>
          <w:tcPr>
            <w:tcW w:w="722" w:type="pct"/>
            <w:vAlign w:val="center"/>
          </w:tcPr>
          <w:p w:rsidR="009221D1" w:rsidRPr="00C363AE" w:rsidRDefault="009221D1" w:rsidP="0073534F">
            <w:pPr>
              <w:pStyle w:val="TableTextRight"/>
              <w:keepNext/>
              <w:keepLines/>
              <w:rPr>
                <w:b/>
              </w:rPr>
            </w:pPr>
            <w:r>
              <w:rPr>
                <w:b/>
              </w:rPr>
              <w:t>-1,249.0</w:t>
            </w:r>
          </w:p>
        </w:tc>
      </w:tr>
      <w:tr w:rsidR="009221D1" w:rsidTr="0073534F">
        <w:tc>
          <w:tcPr>
            <w:tcW w:w="1393" w:type="pct"/>
          </w:tcPr>
          <w:p w:rsidR="009221D1" w:rsidRDefault="009221D1" w:rsidP="0073534F">
            <w:pPr>
              <w:pStyle w:val="TableText"/>
              <w:keepNext/>
              <w:keepLines/>
            </w:pPr>
            <w:r>
              <w:t>Underlying cash balance</w:t>
            </w:r>
          </w:p>
        </w:tc>
        <w:tc>
          <w:tcPr>
            <w:tcW w:w="721" w:type="pct"/>
            <w:vAlign w:val="center"/>
          </w:tcPr>
          <w:p w:rsidR="009221D1" w:rsidRPr="003A3459" w:rsidRDefault="009221D1" w:rsidP="0073534F">
            <w:pPr>
              <w:pStyle w:val="TableTextRight"/>
              <w:keepNext/>
              <w:keepLines/>
            </w:pPr>
            <w:r>
              <w:t>-196.0</w:t>
            </w:r>
          </w:p>
        </w:tc>
        <w:tc>
          <w:tcPr>
            <w:tcW w:w="721" w:type="pct"/>
            <w:vAlign w:val="center"/>
          </w:tcPr>
          <w:p w:rsidR="009221D1" w:rsidRPr="003A3459" w:rsidRDefault="009221D1" w:rsidP="0073534F">
            <w:pPr>
              <w:pStyle w:val="TableTextRight"/>
              <w:keepNext/>
              <w:keepLines/>
            </w:pPr>
            <w:r>
              <w:t>-344.0</w:t>
            </w:r>
          </w:p>
        </w:tc>
        <w:tc>
          <w:tcPr>
            <w:tcW w:w="722" w:type="pct"/>
            <w:vAlign w:val="center"/>
          </w:tcPr>
          <w:p w:rsidR="009221D1" w:rsidRPr="003A3459" w:rsidRDefault="009221D1" w:rsidP="0073534F">
            <w:pPr>
              <w:pStyle w:val="TableTextRight"/>
              <w:keepNext/>
              <w:keepLines/>
            </w:pPr>
            <w:r>
              <w:t>-364.0</w:t>
            </w:r>
          </w:p>
        </w:tc>
        <w:tc>
          <w:tcPr>
            <w:tcW w:w="721" w:type="pct"/>
            <w:vAlign w:val="center"/>
          </w:tcPr>
          <w:p w:rsidR="009221D1" w:rsidRPr="003A3459" w:rsidRDefault="009221D1" w:rsidP="0073534F">
            <w:pPr>
              <w:pStyle w:val="TableTextRight"/>
              <w:keepNext/>
              <w:keepLines/>
            </w:pPr>
            <w:r>
              <w:t>-344.0</w:t>
            </w:r>
          </w:p>
        </w:tc>
        <w:tc>
          <w:tcPr>
            <w:tcW w:w="722" w:type="pct"/>
            <w:vAlign w:val="center"/>
          </w:tcPr>
          <w:p w:rsidR="009221D1" w:rsidRPr="00C363AE" w:rsidRDefault="009221D1" w:rsidP="0073534F">
            <w:pPr>
              <w:pStyle w:val="TableTextRight"/>
              <w:keepNext/>
              <w:keepLines/>
              <w:rPr>
                <w:b/>
              </w:rPr>
            </w:pPr>
            <w:r>
              <w:rPr>
                <w:b/>
              </w:rPr>
              <w:t>-1,238.0</w:t>
            </w:r>
          </w:p>
        </w:tc>
      </w:tr>
    </w:tbl>
    <w:p w:rsidR="009221D1" w:rsidRDefault="009221D1" w:rsidP="0017449E">
      <w:pPr>
        <w:pStyle w:val="Footnotes"/>
        <w:keepNext/>
        <w:keepLines/>
        <w:numPr>
          <w:ilvl w:val="0"/>
          <w:numId w:val="161"/>
        </w:numPr>
        <w:ind w:left="284" w:hanging="284"/>
      </w:pPr>
      <w:r>
        <w:t xml:space="preserve">A positive </w:t>
      </w:r>
      <w:r w:rsidRPr="00FC1F1C">
        <w:t>number indicates an increase in the relevant budget balance, a negative number a decrease.</w:t>
      </w:r>
    </w:p>
    <w:p w:rsidR="009221D1" w:rsidRPr="001A37B9" w:rsidRDefault="009221D1" w:rsidP="0017449E">
      <w:pPr>
        <w:pStyle w:val="Footnotes"/>
        <w:ind w:left="284" w:hanging="284"/>
        <w:rPr>
          <w:rStyle w:val="FootnoteReference"/>
          <w:vertAlign w:val="baseline"/>
        </w:rPr>
      </w:pPr>
      <w:r w:rsidRPr="000E063A">
        <w:t>Figures may not sum to totals due to rounding.</w:t>
      </w:r>
    </w:p>
    <w:p w:rsidR="009221D1" w:rsidRDefault="009221D1" w:rsidP="009221D1">
      <w:pPr>
        <w:pStyle w:val="CostingsH7"/>
      </w:pPr>
      <w:r>
        <w:t>Methodology</w:t>
      </w:r>
    </w:p>
    <w:p w:rsidR="009221D1" w:rsidRDefault="009221D1" w:rsidP="009221D1">
      <w:pPr>
        <w:pStyle w:val="BodyText"/>
      </w:pPr>
      <w:r>
        <w:t>The financial implications are based on the 2015-16 Budget measure, the 2015-16 MYEFO measure and estimates variations included in the 2016-17 Budget that affected the measure.</w:t>
      </w:r>
    </w:p>
    <w:p w:rsidR="009221D1" w:rsidRPr="001C326A" w:rsidRDefault="009221D1" w:rsidP="009221D1">
      <w:pPr>
        <w:pStyle w:val="BodyText"/>
      </w:pPr>
      <w:r>
        <w:t>Administered financial implications have been round</w:t>
      </w:r>
      <w:r w:rsidR="008741C6">
        <w:t xml:space="preserve">ed to the nearest $10 million.  </w:t>
      </w:r>
      <w:r>
        <w:t>Departmental financial implications have been rounded to the nearest $1 million.</w:t>
      </w:r>
    </w:p>
    <w:p w:rsidR="009221D1" w:rsidRDefault="009221D1" w:rsidP="009221D1">
      <w:pPr>
        <w:pStyle w:val="CostingsH7"/>
      </w:pPr>
      <w:r>
        <w:t>Data sources</w:t>
      </w:r>
    </w:p>
    <w:p w:rsidR="00412767" w:rsidRDefault="00412767" w:rsidP="0017449E">
      <w:pPr>
        <w:pStyle w:val="BodyText"/>
      </w:pPr>
      <w:r>
        <w:t>Commonwealth of Australia 2015</w:t>
      </w:r>
      <w:r w:rsidRPr="00412767">
        <w:t xml:space="preserve">, </w:t>
      </w:r>
      <w:r>
        <w:rPr>
          <w:i/>
          <w:iCs/>
        </w:rPr>
        <w:t>2015-16</w:t>
      </w:r>
      <w:r w:rsidRPr="00412767">
        <w:rPr>
          <w:i/>
          <w:iCs/>
        </w:rPr>
        <w:t xml:space="preserve"> Budget</w:t>
      </w:r>
      <w:r>
        <w:rPr>
          <w:i/>
          <w:iCs/>
        </w:rPr>
        <w:t xml:space="preserve"> Paper No. 2</w:t>
      </w:r>
      <w:r w:rsidRPr="00412767">
        <w:t>, Commonwealth of Australia, Canberra</w:t>
      </w:r>
      <w:r>
        <w:t>, p. 168</w:t>
      </w:r>
      <w:r w:rsidRPr="00412767">
        <w:t>.</w:t>
      </w:r>
    </w:p>
    <w:p w:rsidR="00412767" w:rsidRPr="00412767" w:rsidRDefault="00412767" w:rsidP="0017449E">
      <w:pPr>
        <w:pStyle w:val="BodyText"/>
      </w:pPr>
      <w:r>
        <w:t>Commonwealth of Australia 2015</w:t>
      </w:r>
      <w:r w:rsidRPr="00412767">
        <w:t xml:space="preserve">, </w:t>
      </w:r>
      <w:r>
        <w:rPr>
          <w:i/>
          <w:iCs/>
        </w:rPr>
        <w:t>2015-16</w:t>
      </w:r>
      <w:r w:rsidRPr="00412767">
        <w:rPr>
          <w:i/>
          <w:iCs/>
        </w:rPr>
        <w:t xml:space="preserve"> </w:t>
      </w:r>
      <w:r>
        <w:rPr>
          <w:i/>
          <w:iCs/>
        </w:rPr>
        <w:t>Mid-Year Economic and Fiscal Outlook</w:t>
      </w:r>
      <w:r w:rsidRPr="00412767">
        <w:t>, Commonwealth of Australia, Canberra</w:t>
      </w:r>
      <w:r>
        <w:t>, p. 216</w:t>
      </w:r>
      <w:r w:rsidRPr="00412767">
        <w:t>.</w:t>
      </w:r>
    </w:p>
    <w:p w:rsidR="00412767" w:rsidRPr="00412767" w:rsidRDefault="00412767" w:rsidP="00412767">
      <w:pPr>
        <w:pStyle w:val="ListParagraph"/>
        <w:spacing w:after="60"/>
        <w:ind w:left="0"/>
      </w:pPr>
    </w:p>
    <w:p w:rsidR="009221D1" w:rsidRPr="00412767" w:rsidRDefault="009221D1" w:rsidP="009221D1">
      <w:pPr>
        <w:pStyle w:val="BodyText"/>
        <w:sectPr w:rsidR="009221D1" w:rsidRPr="00412767" w:rsidSect="00967BCD">
          <w:footnotePr>
            <w:numRestart w:val="eachSect"/>
          </w:footnotePr>
          <w:pgSz w:w="11906" w:h="16838" w:code="9"/>
          <w:pgMar w:top="1361" w:right="1797" w:bottom="1474" w:left="1797" w:header="283" w:footer="454" w:gutter="0"/>
          <w:cols w:space="708"/>
          <w:docGrid w:linePitch="360"/>
        </w:sectPr>
      </w:pPr>
    </w:p>
    <w:p w:rsidR="003D0352" w:rsidRPr="00FC6579" w:rsidRDefault="003D0352" w:rsidP="003D0352">
      <w:pPr>
        <w:pStyle w:val="Heading6"/>
      </w:pPr>
      <w:r w:rsidRPr="00FC6579">
        <w:t>Attachment A:</w:t>
      </w:r>
      <w:r>
        <w:t xml:space="preserve"> Not proceeding with the Government’s changes to Paid Parental Leave—financial implications</w:t>
      </w:r>
    </w:p>
    <w:p w:rsidR="003D0352" w:rsidRPr="004A703E" w:rsidRDefault="003D0352" w:rsidP="003D0352">
      <w:pPr>
        <w:pStyle w:val="Captionheading"/>
        <w:rPr>
          <w:vertAlign w:val="superscript"/>
        </w:rPr>
      </w:pPr>
      <w:r w:rsidRPr="00FC6579">
        <w:t xml:space="preserve">Table </w:t>
      </w:r>
      <w:r>
        <w:t>A1</w:t>
      </w:r>
      <w:r w:rsidRPr="00FC6579">
        <w:t>:</w:t>
      </w:r>
      <w:r>
        <w:t xml:space="preserve"> Not proceeding with the Government’s changes to Paid Parental Leave—Fiscal balance</w:t>
      </w:r>
      <w:r>
        <w:rPr>
          <w:vertAlign w:val="superscript"/>
        </w:rPr>
        <w:t>(a)(b)</w:t>
      </w:r>
    </w:p>
    <w:tbl>
      <w:tblPr>
        <w:tblStyle w:val="TableGrid"/>
        <w:tblW w:w="5034"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1626"/>
        <w:gridCol w:w="903"/>
        <w:gridCol w:w="902"/>
        <w:gridCol w:w="902"/>
        <w:gridCol w:w="902"/>
        <w:gridCol w:w="1070"/>
        <w:gridCol w:w="734"/>
        <w:gridCol w:w="902"/>
        <w:gridCol w:w="902"/>
        <w:gridCol w:w="902"/>
        <w:gridCol w:w="902"/>
        <w:gridCol w:w="902"/>
        <w:gridCol w:w="902"/>
        <w:gridCol w:w="894"/>
      </w:tblGrid>
      <w:tr w:rsidR="00ED1D90" w:rsidRPr="00B31810" w:rsidTr="002D0A5A">
        <w:trPr>
          <w:cantSplit/>
          <w:trHeight w:val="621"/>
        </w:trPr>
        <w:tc>
          <w:tcPr>
            <w:cnfStyle w:val="001000000000" w:firstRow="0" w:lastRow="0" w:firstColumn="1" w:lastColumn="0" w:oddVBand="0" w:evenVBand="0" w:oddHBand="0" w:evenHBand="0" w:firstRowFirstColumn="0" w:firstRowLastColumn="0" w:lastRowFirstColumn="0" w:lastRowLastColumn="0"/>
            <w:tcW w:w="609" w:type="pct"/>
            <w:shd w:val="clear" w:color="auto" w:fill="D7DDE9"/>
          </w:tcPr>
          <w:p w:rsidR="003D0352" w:rsidRPr="00B31810" w:rsidRDefault="003D0352" w:rsidP="00655EB5">
            <w:pPr>
              <w:keepNext/>
              <w:keepLines/>
              <w:spacing w:line="240" w:lineRule="auto"/>
              <w:ind w:left="57" w:right="57"/>
            </w:pPr>
            <w:r w:rsidRPr="00B31810">
              <w:t>($m)</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2016–17</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2017–18</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2018–19</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2019–20</w:t>
            </w:r>
          </w:p>
        </w:tc>
        <w:tc>
          <w:tcPr>
            <w:tcW w:w="401" w:type="pct"/>
            <w:shd w:val="clear" w:color="auto" w:fill="D7DDE9"/>
          </w:tcPr>
          <w:p w:rsidR="003D0352" w:rsidRPr="00C363AE"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2019–20</w:t>
            </w:r>
          </w:p>
        </w:tc>
        <w:tc>
          <w:tcPr>
            <w:tcW w:w="275"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2020–21</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2021–22</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2022–23</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2023–24</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2024–25</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2025–26</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2026–27</w:t>
            </w:r>
          </w:p>
        </w:tc>
        <w:tc>
          <w:tcPr>
            <w:tcW w:w="335" w:type="pct"/>
            <w:shd w:val="clear" w:color="auto" w:fill="D7DDE9"/>
          </w:tcPr>
          <w:p w:rsidR="003D0352" w:rsidRPr="00C363AE"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2026–27</w:t>
            </w:r>
          </w:p>
        </w:tc>
      </w:tr>
      <w:tr w:rsidR="003D0352" w:rsidRPr="00B31810" w:rsidTr="00725D7C">
        <w:trPr>
          <w:cantSplit/>
          <w:trHeight w:val="370"/>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3D0352" w:rsidRPr="00C363AE" w:rsidRDefault="003D0352" w:rsidP="00725D7C">
            <w:pPr>
              <w:pStyle w:val="TableHeadingCentred"/>
              <w:spacing w:line="240" w:lineRule="auto"/>
              <w:jc w:val="left"/>
              <w:rPr>
                <w:b w:val="0"/>
              </w:rPr>
            </w:pPr>
            <w:r>
              <w:t>Revenue</w:t>
            </w:r>
          </w:p>
        </w:tc>
      </w:tr>
      <w:tr w:rsidR="002D0A5A" w:rsidTr="00725D7C">
        <w:trPr>
          <w:cantSplit/>
          <w:trHeight w:val="384"/>
        </w:trPr>
        <w:tc>
          <w:tcPr>
            <w:cnfStyle w:val="001000000000" w:firstRow="0" w:lastRow="0" w:firstColumn="1" w:lastColumn="0" w:oddVBand="0" w:evenVBand="0" w:oddHBand="0" w:evenHBand="0" w:firstRowFirstColumn="0" w:firstRowLastColumn="0" w:lastRowFirstColumn="0" w:lastRowLastColumn="0"/>
            <w:tcW w:w="609" w:type="pct"/>
          </w:tcPr>
          <w:p w:rsidR="003D0352" w:rsidRPr="0007264D" w:rsidRDefault="003D0352" w:rsidP="00655EB5">
            <w:pPr>
              <w:keepNext/>
              <w:keepLines/>
              <w:spacing w:line="240" w:lineRule="auto"/>
              <w:ind w:left="57" w:right="57"/>
            </w:pPr>
            <w:r>
              <w:t>Administered</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150.0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200.0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200.0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250.0 </w:t>
            </w:r>
          </w:p>
        </w:tc>
        <w:tc>
          <w:tcPr>
            <w:tcW w:w="401" w:type="pct"/>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iCs/>
                <w:color w:val="000000"/>
                <w:sz w:val="24"/>
                <w:szCs w:val="24"/>
              </w:rPr>
            </w:pPr>
            <w:r>
              <w:rPr>
                <w:i/>
                <w:iCs/>
                <w:color w:val="000000"/>
              </w:rPr>
              <w:t xml:space="preserve"> </w:t>
            </w:r>
            <w:r w:rsidRPr="00C168D1">
              <w:rPr>
                <w:b/>
                <w:i/>
                <w:iCs/>
                <w:color w:val="000000"/>
              </w:rPr>
              <w:t xml:space="preserve">800.0 </w:t>
            </w:r>
          </w:p>
        </w:tc>
        <w:tc>
          <w:tcPr>
            <w:tcW w:w="275"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5"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t>2,700.0</w:t>
            </w:r>
          </w:p>
        </w:tc>
      </w:tr>
      <w:tr w:rsidR="00ED1D90" w:rsidTr="002D0A5A">
        <w:trPr>
          <w:cantSplit/>
          <w:trHeight w:val="370"/>
        </w:trPr>
        <w:tc>
          <w:tcPr>
            <w:cnfStyle w:val="001000000000" w:firstRow="0" w:lastRow="0" w:firstColumn="1" w:lastColumn="0" w:oddVBand="0" w:evenVBand="0" w:oddHBand="0" w:evenHBand="0" w:firstRowFirstColumn="0" w:firstRowLastColumn="0" w:lastRowFirstColumn="0" w:lastRowLastColumn="0"/>
            <w:tcW w:w="609" w:type="pct"/>
            <w:shd w:val="clear" w:color="auto" w:fill="D7DDE9"/>
          </w:tcPr>
          <w:p w:rsidR="003D0352" w:rsidRPr="003E4315" w:rsidRDefault="003D0352" w:rsidP="00655EB5">
            <w:pPr>
              <w:keepNext/>
              <w:keepLines/>
              <w:spacing w:line="240" w:lineRule="auto"/>
              <w:ind w:left="57" w:right="57"/>
            </w:pPr>
            <w:r w:rsidRPr="003E4315">
              <w:t>Total – revenue</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 150.0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 200.0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 200.0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 250.0 </w:t>
            </w:r>
          </w:p>
        </w:tc>
        <w:tc>
          <w:tcPr>
            <w:tcW w:w="401" w:type="pct"/>
            <w:shd w:val="clear" w:color="auto" w:fill="D7DDE9"/>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Cs/>
                <w:color w:val="000000"/>
                <w:sz w:val="24"/>
                <w:szCs w:val="24"/>
              </w:rPr>
            </w:pPr>
            <w:r w:rsidRPr="00C168D1">
              <w:rPr>
                <w:b/>
                <w:iCs/>
                <w:color w:val="000000"/>
              </w:rPr>
              <w:t xml:space="preserve"> 800.0 </w:t>
            </w:r>
          </w:p>
        </w:tc>
        <w:tc>
          <w:tcPr>
            <w:tcW w:w="275"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5" w:type="pct"/>
            <w:shd w:val="clear" w:color="auto" w:fill="D7DDE9"/>
          </w:tcPr>
          <w:p w:rsidR="003D0352" w:rsidRPr="00284BE0"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84BE0">
              <w:rPr>
                <w:b/>
              </w:rPr>
              <w:t>2,700.0</w:t>
            </w:r>
          </w:p>
        </w:tc>
      </w:tr>
      <w:tr w:rsidR="003D0352" w:rsidRPr="00B31810" w:rsidTr="00725D7C">
        <w:trPr>
          <w:cantSplit/>
          <w:trHeight w:val="384"/>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3D0352" w:rsidRPr="00C363AE" w:rsidRDefault="003D0352" w:rsidP="00725D7C">
            <w:pPr>
              <w:pStyle w:val="TableHeadingCentred"/>
              <w:spacing w:line="240" w:lineRule="auto"/>
              <w:jc w:val="left"/>
              <w:rPr>
                <w:b w:val="0"/>
              </w:rPr>
            </w:pPr>
            <w:r>
              <w:t>Expenses</w:t>
            </w:r>
          </w:p>
        </w:tc>
      </w:tr>
      <w:tr w:rsidR="002D0A5A" w:rsidTr="00725D7C">
        <w:trPr>
          <w:cantSplit/>
          <w:trHeight w:val="621"/>
        </w:trPr>
        <w:tc>
          <w:tcPr>
            <w:cnfStyle w:val="001000000000" w:firstRow="0" w:lastRow="0" w:firstColumn="1" w:lastColumn="0" w:oddVBand="0" w:evenVBand="0" w:oddHBand="0" w:evenHBand="0" w:firstRowFirstColumn="0" w:firstRowLastColumn="0" w:lastRowFirstColumn="0" w:lastRowLastColumn="0"/>
            <w:tcW w:w="609" w:type="pct"/>
          </w:tcPr>
          <w:p w:rsidR="003D0352" w:rsidRPr="0007264D" w:rsidRDefault="003D0352" w:rsidP="00655EB5">
            <w:pPr>
              <w:keepNext/>
              <w:keepLines/>
              <w:spacing w:line="240" w:lineRule="auto"/>
              <w:ind w:left="57" w:right="57"/>
            </w:pPr>
            <w:r>
              <w:t>Administered</w:t>
            </w:r>
          </w:p>
        </w:tc>
        <w:tc>
          <w:tcPr>
            <w:tcW w:w="338" w:type="pct"/>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C168D1">
              <w:rPr>
                <w:i/>
              </w:rPr>
              <w:t xml:space="preserve">-340.0 </w:t>
            </w:r>
          </w:p>
        </w:tc>
        <w:tc>
          <w:tcPr>
            <w:tcW w:w="338" w:type="pct"/>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C168D1">
              <w:rPr>
                <w:i/>
              </w:rPr>
              <w:t xml:space="preserve">-540.0 </w:t>
            </w:r>
          </w:p>
        </w:tc>
        <w:tc>
          <w:tcPr>
            <w:tcW w:w="338" w:type="pct"/>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C168D1">
              <w:rPr>
                <w:i/>
              </w:rPr>
              <w:t xml:space="preserve">-560.0 </w:t>
            </w:r>
          </w:p>
        </w:tc>
        <w:tc>
          <w:tcPr>
            <w:tcW w:w="338" w:type="pct"/>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rPr>
            </w:pPr>
            <w:r w:rsidRPr="00C168D1">
              <w:rPr>
                <w:i/>
              </w:rPr>
              <w:t xml:space="preserve">-590.0 </w:t>
            </w:r>
          </w:p>
        </w:tc>
        <w:tc>
          <w:tcPr>
            <w:tcW w:w="401" w:type="pct"/>
          </w:tcPr>
          <w:p w:rsidR="003D0352" w:rsidRPr="00C257AF"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rPr>
            </w:pPr>
            <w:r w:rsidRPr="00C257AF">
              <w:rPr>
                <w:b/>
                <w:i/>
              </w:rPr>
              <w:t xml:space="preserve">-2,020.0 </w:t>
            </w:r>
          </w:p>
        </w:tc>
        <w:tc>
          <w:tcPr>
            <w:tcW w:w="275"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-630.0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-680.0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-730.0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-780.0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-840.0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-900.0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-960.0</w:t>
            </w:r>
          </w:p>
        </w:tc>
        <w:tc>
          <w:tcPr>
            <w:tcW w:w="335"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noBreakHyphen/>
              <w:t>7,540.0</w:t>
            </w:r>
          </w:p>
        </w:tc>
      </w:tr>
      <w:tr w:rsidR="002D0A5A" w:rsidTr="00725D7C">
        <w:trPr>
          <w:cantSplit/>
          <w:trHeight w:val="370"/>
        </w:trPr>
        <w:tc>
          <w:tcPr>
            <w:cnfStyle w:val="001000000000" w:firstRow="0" w:lastRow="0" w:firstColumn="1" w:lastColumn="0" w:oddVBand="0" w:evenVBand="0" w:oddHBand="0" w:evenHBand="0" w:firstRowFirstColumn="0" w:firstRowLastColumn="0" w:lastRowFirstColumn="0" w:lastRowLastColumn="0"/>
            <w:tcW w:w="609" w:type="pct"/>
          </w:tcPr>
          <w:p w:rsidR="003D0352" w:rsidRPr="0007264D" w:rsidRDefault="003D0352" w:rsidP="00655EB5">
            <w:pPr>
              <w:keepNext/>
              <w:keepLines/>
              <w:spacing w:line="240" w:lineRule="auto"/>
              <w:ind w:left="57" w:right="57"/>
            </w:pPr>
            <w:r>
              <w:t>Departmental</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-16.0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-4.0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-4.0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-4.0 </w:t>
            </w:r>
          </w:p>
        </w:tc>
        <w:tc>
          <w:tcPr>
            <w:tcW w:w="401" w:type="pct"/>
          </w:tcPr>
          <w:p w:rsidR="003D0352" w:rsidRPr="00C257AF"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iCs/>
                <w:color w:val="000000"/>
                <w:sz w:val="24"/>
                <w:szCs w:val="24"/>
              </w:rPr>
            </w:pPr>
            <w:r w:rsidRPr="00C257AF">
              <w:rPr>
                <w:b/>
                <w:i/>
                <w:iCs/>
                <w:color w:val="000000"/>
              </w:rPr>
              <w:t xml:space="preserve">-29.0 </w:t>
            </w:r>
          </w:p>
        </w:tc>
        <w:tc>
          <w:tcPr>
            <w:tcW w:w="275"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-4.0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-4.0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5"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t>-52.0</w:t>
            </w:r>
          </w:p>
        </w:tc>
      </w:tr>
      <w:tr w:rsidR="00ED1D90" w:rsidTr="002D0A5A">
        <w:trPr>
          <w:cantSplit/>
          <w:trHeight w:val="621"/>
        </w:trPr>
        <w:tc>
          <w:tcPr>
            <w:cnfStyle w:val="001000000000" w:firstRow="0" w:lastRow="0" w:firstColumn="1" w:lastColumn="0" w:oddVBand="0" w:evenVBand="0" w:oddHBand="0" w:evenHBand="0" w:firstRowFirstColumn="0" w:firstRowLastColumn="0" w:lastRowFirstColumn="0" w:lastRowLastColumn="0"/>
            <w:tcW w:w="609" w:type="pct"/>
            <w:shd w:val="clear" w:color="auto" w:fill="D7DDE9"/>
          </w:tcPr>
          <w:p w:rsidR="003D0352" w:rsidRPr="003E4315" w:rsidRDefault="003D0352" w:rsidP="00655EB5">
            <w:pPr>
              <w:keepNext/>
              <w:keepLines/>
              <w:spacing w:line="240" w:lineRule="auto"/>
              <w:ind w:left="57" w:right="57"/>
            </w:pPr>
            <w:r w:rsidRPr="003E4315">
              <w:t>Total – expenses</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-356.0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-544.0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-564.0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-594.0 </w:t>
            </w:r>
          </w:p>
        </w:tc>
        <w:tc>
          <w:tcPr>
            <w:tcW w:w="401" w:type="pct"/>
            <w:shd w:val="clear" w:color="auto" w:fill="D7DDE9"/>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C168D1">
              <w:rPr>
                <w:b/>
                <w:color w:val="000000"/>
              </w:rPr>
              <w:t xml:space="preserve">-2,049.0 </w:t>
            </w:r>
          </w:p>
        </w:tc>
        <w:tc>
          <w:tcPr>
            <w:tcW w:w="275"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-634.0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-684.0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-733.0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-783.0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-843.0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-903.0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-963.0</w:t>
            </w:r>
          </w:p>
        </w:tc>
        <w:tc>
          <w:tcPr>
            <w:tcW w:w="335" w:type="pct"/>
            <w:shd w:val="clear" w:color="auto" w:fill="D7DDE9"/>
          </w:tcPr>
          <w:p w:rsidR="003D0352" w:rsidRPr="00284BE0"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noBreakHyphen/>
              <w:t>7,592.0</w:t>
            </w:r>
          </w:p>
        </w:tc>
      </w:tr>
      <w:tr w:rsidR="00ED1D90" w:rsidRPr="00C55DDE" w:rsidTr="002D0A5A">
        <w:trPr>
          <w:cantSplit/>
          <w:trHeight w:val="634"/>
        </w:trPr>
        <w:tc>
          <w:tcPr>
            <w:cnfStyle w:val="001000000000" w:firstRow="0" w:lastRow="0" w:firstColumn="1" w:lastColumn="0" w:oddVBand="0" w:evenVBand="0" w:oddHBand="0" w:evenHBand="0" w:firstRowFirstColumn="0" w:firstRowLastColumn="0" w:lastRowFirstColumn="0" w:lastRowLastColumn="0"/>
            <w:tcW w:w="609" w:type="pct"/>
            <w:shd w:val="clear" w:color="auto" w:fill="D7DDE9"/>
          </w:tcPr>
          <w:p w:rsidR="003D0352" w:rsidRPr="00C55DDE" w:rsidRDefault="003D0352" w:rsidP="00655EB5">
            <w:pPr>
              <w:keepNext/>
              <w:keepLines/>
              <w:spacing w:line="240" w:lineRule="auto"/>
              <w:ind w:left="57" w:right="57"/>
              <w:rPr>
                <w:b/>
              </w:rPr>
            </w:pPr>
            <w:r w:rsidRPr="00C55DDE">
              <w:rPr>
                <w:b/>
              </w:rPr>
              <w:t>Total</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3E4315">
              <w:rPr>
                <w:b/>
              </w:rPr>
              <w:t xml:space="preserve">-206.0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3E4315">
              <w:rPr>
                <w:b/>
              </w:rPr>
              <w:t xml:space="preserve">-344.0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3E4315">
              <w:rPr>
                <w:b/>
              </w:rPr>
              <w:t xml:space="preserve">-364.0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3E4315">
              <w:rPr>
                <w:b/>
              </w:rPr>
              <w:t xml:space="preserve">-344.0 </w:t>
            </w:r>
          </w:p>
        </w:tc>
        <w:tc>
          <w:tcPr>
            <w:tcW w:w="401" w:type="pct"/>
            <w:shd w:val="clear" w:color="auto" w:fill="D7DDE9"/>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rPr>
              <w:t xml:space="preserve">-1,249.0 </w:t>
            </w:r>
          </w:p>
        </w:tc>
        <w:tc>
          <w:tcPr>
            <w:tcW w:w="275"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-384.0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-434.0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-483.0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-533.0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-543.0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-603.0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-663.0</w:t>
            </w:r>
          </w:p>
        </w:tc>
        <w:tc>
          <w:tcPr>
            <w:tcW w:w="335" w:type="pct"/>
            <w:shd w:val="clear" w:color="auto" w:fill="D7DDE9"/>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noBreakHyphen/>
              <w:t>4,892.0</w:t>
            </w:r>
          </w:p>
        </w:tc>
      </w:tr>
    </w:tbl>
    <w:p w:rsidR="003D0352" w:rsidRPr="0099164B" w:rsidRDefault="003D0352" w:rsidP="005C0932">
      <w:pPr>
        <w:pStyle w:val="Footnotes"/>
        <w:numPr>
          <w:ilvl w:val="0"/>
          <w:numId w:val="207"/>
        </w:numPr>
        <w:spacing w:before="113" w:after="113"/>
        <w:ind w:left="284" w:hanging="284"/>
      </w:pPr>
      <w:r w:rsidRPr="0099164B">
        <w:t xml:space="preserve">A positive number indicates an increase in revenue or decrease in expenses or net capital investment in accrual terms. A negative number indicates a decrease in revenue or an increase in expenses or net capital investment in accrual terms.  </w:t>
      </w:r>
    </w:p>
    <w:p w:rsidR="003D0352" w:rsidRDefault="003D0352" w:rsidP="005C0932">
      <w:pPr>
        <w:pStyle w:val="Footnotes"/>
        <w:spacing w:before="113" w:after="113"/>
        <w:ind w:left="284" w:hanging="284"/>
      </w:pPr>
      <w:r>
        <w:t>Figures may not sum to totals due to rounding.</w:t>
      </w:r>
    </w:p>
    <w:p w:rsidR="003D0352" w:rsidRPr="004A703E" w:rsidRDefault="003D0352" w:rsidP="003D0352">
      <w:pPr>
        <w:pStyle w:val="Captionheading"/>
        <w:rPr>
          <w:vertAlign w:val="superscript"/>
        </w:rPr>
      </w:pPr>
      <w:r w:rsidRPr="00FC6579">
        <w:t xml:space="preserve">Table </w:t>
      </w:r>
      <w:r>
        <w:t>A2</w:t>
      </w:r>
      <w:r w:rsidRPr="00FC6579">
        <w:t>:</w:t>
      </w:r>
      <w:r>
        <w:t xml:space="preserve"> Not proceeding with the Government’s changes to Paid Parental Leave—Underlying cash balance</w:t>
      </w:r>
      <w:r>
        <w:rPr>
          <w:vertAlign w:val="superscript"/>
        </w:rPr>
        <w:t>(a)(b)</w:t>
      </w:r>
    </w:p>
    <w:tbl>
      <w:tblPr>
        <w:tblStyle w:val="TableGrid"/>
        <w:tblW w:w="5104"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1623"/>
        <w:gridCol w:w="914"/>
        <w:gridCol w:w="914"/>
        <w:gridCol w:w="914"/>
        <w:gridCol w:w="915"/>
        <w:gridCol w:w="915"/>
        <w:gridCol w:w="915"/>
        <w:gridCol w:w="915"/>
        <w:gridCol w:w="915"/>
        <w:gridCol w:w="915"/>
        <w:gridCol w:w="915"/>
        <w:gridCol w:w="915"/>
        <w:gridCol w:w="915"/>
        <w:gridCol w:w="931"/>
      </w:tblGrid>
      <w:tr w:rsidR="00ED1D90" w:rsidRPr="00B31810" w:rsidTr="00EC6443">
        <w:trPr>
          <w:cantSplit/>
          <w:trHeight w:val="644"/>
        </w:trPr>
        <w:tc>
          <w:tcPr>
            <w:cnfStyle w:val="001000000000" w:firstRow="0" w:lastRow="0" w:firstColumn="1" w:lastColumn="0" w:oddVBand="0" w:evenVBand="0" w:oddHBand="0" w:evenHBand="0" w:firstRowFirstColumn="0" w:firstRowLastColumn="0" w:lastRowFirstColumn="0" w:lastRowLastColumn="0"/>
            <w:tcW w:w="600" w:type="pct"/>
            <w:shd w:val="clear" w:color="auto" w:fill="D7DDE9"/>
          </w:tcPr>
          <w:p w:rsidR="003D0352" w:rsidRPr="00B31810" w:rsidRDefault="003D0352" w:rsidP="00655EB5">
            <w:pPr>
              <w:keepNext/>
              <w:keepLines/>
              <w:spacing w:line="240" w:lineRule="auto"/>
              <w:ind w:left="57" w:right="57"/>
            </w:pPr>
            <w:r w:rsidRPr="00B31810">
              <w:t>($m)</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2016–17</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2017–18</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2018–19</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2019–20</w:t>
            </w:r>
          </w:p>
        </w:tc>
        <w:tc>
          <w:tcPr>
            <w:tcW w:w="338" w:type="pct"/>
            <w:shd w:val="clear" w:color="auto" w:fill="D7DDE9"/>
          </w:tcPr>
          <w:p w:rsidR="003D0352" w:rsidRPr="00C363AE"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2019–20</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2020–21</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2021–22</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2022–23</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2023–24</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2024–25</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2025–26</w:t>
            </w:r>
          </w:p>
        </w:tc>
        <w:tc>
          <w:tcPr>
            <w:tcW w:w="338" w:type="pct"/>
            <w:shd w:val="clear" w:color="auto" w:fill="D7DDE9"/>
          </w:tcPr>
          <w:p w:rsidR="003D0352" w:rsidRPr="00C24267"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pPr>
            <w:r w:rsidRPr="00C24267">
              <w:t>2026–27</w:t>
            </w:r>
          </w:p>
        </w:tc>
        <w:tc>
          <w:tcPr>
            <w:tcW w:w="338" w:type="pct"/>
            <w:shd w:val="clear" w:color="auto" w:fill="D7DDE9"/>
          </w:tcPr>
          <w:p w:rsidR="003D0352" w:rsidRPr="00C363AE" w:rsidRDefault="003D0352" w:rsidP="00655EB5">
            <w:pPr>
              <w:pStyle w:val="TableHeadingCentred"/>
              <w:spacing w:line="240" w:lineRule="auto"/>
              <w:cnfStyle w:val="000000000000" w:firstRow="0" w:lastRow="0" w:firstColumn="0" w:lastColumn="0" w:oddVBand="0" w:evenVBand="0" w:oddHBand="0" w:evenHBand="0" w:firstRowFirstColumn="0" w:firstRowLastColumn="0" w:lastRowFirstColumn="0" w:lastRowLastColumn="0"/>
              <w:rPr>
                <w:b w:val="0"/>
              </w:rPr>
            </w:pPr>
            <w:r w:rsidRPr="00C363AE">
              <w:t>Total to 2026–27</w:t>
            </w:r>
          </w:p>
        </w:tc>
      </w:tr>
      <w:tr w:rsidR="003D0352" w:rsidRPr="00B31810" w:rsidTr="00725D7C">
        <w:trPr>
          <w:cantSplit/>
          <w:trHeight w:val="397"/>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3D0352" w:rsidRPr="00C363AE" w:rsidRDefault="003D0352" w:rsidP="00461663">
            <w:pPr>
              <w:pStyle w:val="TableHeadingCentred"/>
              <w:spacing w:line="240" w:lineRule="auto"/>
              <w:jc w:val="left"/>
              <w:rPr>
                <w:b w:val="0"/>
              </w:rPr>
            </w:pPr>
            <w:r>
              <w:t>Receipts</w:t>
            </w:r>
          </w:p>
        </w:tc>
      </w:tr>
      <w:tr w:rsidR="00EC6443" w:rsidTr="00725D7C">
        <w:trPr>
          <w:cantSplit/>
          <w:trHeight w:val="383"/>
        </w:trPr>
        <w:tc>
          <w:tcPr>
            <w:cnfStyle w:val="001000000000" w:firstRow="0" w:lastRow="0" w:firstColumn="1" w:lastColumn="0" w:oddVBand="0" w:evenVBand="0" w:oddHBand="0" w:evenHBand="0" w:firstRowFirstColumn="0" w:firstRowLastColumn="0" w:lastRowFirstColumn="0" w:lastRowLastColumn="0"/>
            <w:tcW w:w="600" w:type="pct"/>
          </w:tcPr>
          <w:p w:rsidR="003D0352" w:rsidRPr="0007264D" w:rsidRDefault="003D0352" w:rsidP="00655EB5">
            <w:pPr>
              <w:keepNext/>
              <w:keepLines/>
              <w:spacing w:line="240" w:lineRule="auto"/>
              <w:ind w:left="57" w:right="57"/>
            </w:pPr>
            <w:r>
              <w:t>Administered</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150.0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200.0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200.0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 250.0 </w:t>
            </w:r>
          </w:p>
        </w:tc>
        <w:tc>
          <w:tcPr>
            <w:tcW w:w="338" w:type="pct"/>
          </w:tcPr>
          <w:p w:rsidR="003D0352" w:rsidRPr="00C257AF"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iCs/>
                <w:color w:val="000000"/>
                <w:sz w:val="24"/>
                <w:szCs w:val="24"/>
              </w:rPr>
            </w:pPr>
            <w:r w:rsidRPr="00C257AF">
              <w:rPr>
                <w:b/>
                <w:i/>
                <w:iCs/>
                <w:color w:val="000000"/>
              </w:rPr>
              <w:t xml:space="preserve"> 800.0 </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250.0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300.0</w:t>
            </w:r>
          </w:p>
        </w:tc>
        <w:tc>
          <w:tcPr>
            <w:tcW w:w="338"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t>2,700.0</w:t>
            </w:r>
          </w:p>
        </w:tc>
      </w:tr>
      <w:tr w:rsidR="00ED1D90" w:rsidTr="00EC6443">
        <w:trPr>
          <w:cantSplit/>
          <w:trHeight w:val="397"/>
        </w:trPr>
        <w:tc>
          <w:tcPr>
            <w:cnfStyle w:val="001000000000" w:firstRow="0" w:lastRow="0" w:firstColumn="1" w:lastColumn="0" w:oddVBand="0" w:evenVBand="0" w:oddHBand="0" w:evenHBand="0" w:firstRowFirstColumn="0" w:firstRowLastColumn="0" w:lastRowFirstColumn="0" w:lastRowLastColumn="0"/>
            <w:tcW w:w="600" w:type="pct"/>
            <w:shd w:val="clear" w:color="auto" w:fill="D7DDE9"/>
          </w:tcPr>
          <w:p w:rsidR="003D0352" w:rsidRPr="003E4315" w:rsidRDefault="003D0352" w:rsidP="00655EB5">
            <w:pPr>
              <w:keepNext/>
              <w:keepLines/>
              <w:spacing w:line="240" w:lineRule="auto"/>
              <w:ind w:left="57" w:right="57"/>
            </w:pPr>
            <w:r>
              <w:t xml:space="preserve">Total – receipts </w:t>
            </w:r>
          </w:p>
        </w:tc>
        <w:tc>
          <w:tcPr>
            <w:tcW w:w="338" w:type="pct"/>
            <w:shd w:val="clear" w:color="auto" w:fill="D7DDE9"/>
          </w:tcPr>
          <w:p w:rsidR="003D0352" w:rsidRPr="003E4315"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3E4315">
              <w:rPr>
                <w:color w:val="000000"/>
              </w:rPr>
              <w:t xml:space="preserve"> 150.0 </w:t>
            </w:r>
          </w:p>
        </w:tc>
        <w:tc>
          <w:tcPr>
            <w:tcW w:w="338" w:type="pct"/>
            <w:shd w:val="clear" w:color="auto" w:fill="D7DDE9"/>
          </w:tcPr>
          <w:p w:rsidR="003D0352" w:rsidRPr="003E4315"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3E4315">
              <w:rPr>
                <w:color w:val="000000"/>
              </w:rPr>
              <w:t xml:space="preserve"> 200.0 </w:t>
            </w:r>
          </w:p>
        </w:tc>
        <w:tc>
          <w:tcPr>
            <w:tcW w:w="338" w:type="pct"/>
            <w:shd w:val="clear" w:color="auto" w:fill="D7DDE9"/>
          </w:tcPr>
          <w:p w:rsidR="003D0352" w:rsidRPr="003E4315"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3E4315">
              <w:rPr>
                <w:color w:val="000000"/>
              </w:rPr>
              <w:t xml:space="preserve"> 200.0 </w:t>
            </w:r>
          </w:p>
        </w:tc>
        <w:tc>
          <w:tcPr>
            <w:tcW w:w="338" w:type="pct"/>
            <w:shd w:val="clear" w:color="auto" w:fill="D7DDE9"/>
          </w:tcPr>
          <w:p w:rsidR="003D0352" w:rsidRPr="003E4315"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24"/>
                <w:szCs w:val="24"/>
              </w:rPr>
            </w:pPr>
            <w:r w:rsidRPr="003E4315">
              <w:rPr>
                <w:color w:val="000000"/>
              </w:rPr>
              <w:t xml:space="preserve"> 250.0 </w:t>
            </w:r>
          </w:p>
        </w:tc>
        <w:tc>
          <w:tcPr>
            <w:tcW w:w="338" w:type="pct"/>
            <w:shd w:val="clear" w:color="auto" w:fill="D7DDE9"/>
          </w:tcPr>
          <w:p w:rsidR="003D0352" w:rsidRPr="00C168D1"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C168D1">
              <w:rPr>
                <w:b/>
                <w:color w:val="000000"/>
              </w:rPr>
              <w:t xml:space="preserve"> 800.0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250.0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300.0</w:t>
            </w:r>
          </w:p>
        </w:tc>
        <w:tc>
          <w:tcPr>
            <w:tcW w:w="338" w:type="pct"/>
            <w:shd w:val="clear" w:color="auto" w:fill="D7DDE9"/>
          </w:tcPr>
          <w:p w:rsidR="003D0352" w:rsidRPr="00284BE0"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284BE0">
              <w:rPr>
                <w:b/>
              </w:rPr>
              <w:t>2,700.0</w:t>
            </w:r>
          </w:p>
        </w:tc>
      </w:tr>
      <w:tr w:rsidR="003D0352" w:rsidRPr="00B31810" w:rsidTr="00725D7C">
        <w:trPr>
          <w:cantSplit/>
          <w:trHeight w:val="383"/>
        </w:trPr>
        <w:tc>
          <w:tcPr>
            <w:cnfStyle w:val="001000000000" w:firstRow="0" w:lastRow="0" w:firstColumn="1" w:lastColumn="0" w:oddVBand="0" w:evenVBand="0" w:oddHBand="0" w:evenHBand="0" w:firstRowFirstColumn="0" w:firstRowLastColumn="0" w:lastRowFirstColumn="0" w:lastRowLastColumn="0"/>
            <w:tcW w:w="5000" w:type="pct"/>
            <w:gridSpan w:val="14"/>
            <w:shd w:val="clear" w:color="auto" w:fill="E9ECF3"/>
          </w:tcPr>
          <w:p w:rsidR="003D0352" w:rsidRPr="00C363AE" w:rsidRDefault="00461663" w:rsidP="00461663">
            <w:pPr>
              <w:pStyle w:val="TableHeadingCentred"/>
              <w:spacing w:line="240" w:lineRule="auto"/>
              <w:jc w:val="left"/>
              <w:rPr>
                <w:b w:val="0"/>
              </w:rPr>
            </w:pPr>
            <w:r>
              <w:t>Payments</w:t>
            </w:r>
          </w:p>
        </w:tc>
      </w:tr>
      <w:tr w:rsidR="00EC6443" w:rsidTr="00725D7C">
        <w:trPr>
          <w:cantSplit/>
          <w:trHeight w:val="644"/>
        </w:trPr>
        <w:tc>
          <w:tcPr>
            <w:cnfStyle w:val="001000000000" w:firstRow="0" w:lastRow="0" w:firstColumn="1" w:lastColumn="0" w:oddVBand="0" w:evenVBand="0" w:oddHBand="0" w:evenHBand="0" w:firstRowFirstColumn="0" w:firstRowLastColumn="0" w:lastRowFirstColumn="0" w:lastRowLastColumn="0"/>
            <w:tcW w:w="600" w:type="pct"/>
          </w:tcPr>
          <w:p w:rsidR="003D0352" w:rsidRPr="0007264D" w:rsidRDefault="003D0352" w:rsidP="00655EB5">
            <w:pPr>
              <w:keepNext/>
              <w:keepLines/>
              <w:spacing w:line="240" w:lineRule="auto"/>
              <w:ind w:left="57" w:right="57"/>
            </w:pPr>
            <w:r>
              <w:t>Administered</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-330.0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-540.0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-560.0 </w:t>
            </w:r>
          </w:p>
        </w:tc>
        <w:tc>
          <w:tcPr>
            <w:tcW w:w="338" w:type="pct"/>
          </w:tcPr>
          <w:p w:rsidR="003D0352"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 w:val="24"/>
                <w:szCs w:val="24"/>
              </w:rPr>
            </w:pPr>
            <w:r>
              <w:rPr>
                <w:i/>
                <w:iCs/>
                <w:color w:val="000000"/>
              </w:rPr>
              <w:t xml:space="preserve">-590.0 </w:t>
            </w:r>
          </w:p>
        </w:tc>
        <w:tc>
          <w:tcPr>
            <w:tcW w:w="338" w:type="pct"/>
          </w:tcPr>
          <w:p w:rsidR="003D0352" w:rsidRPr="00C257AF"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iCs/>
                <w:color w:val="000000"/>
                <w:sz w:val="24"/>
                <w:szCs w:val="24"/>
              </w:rPr>
            </w:pPr>
            <w:r w:rsidRPr="00C257AF">
              <w:rPr>
                <w:b/>
                <w:i/>
                <w:iCs/>
                <w:color w:val="000000"/>
              </w:rPr>
              <w:t xml:space="preserve">-2,010.0 </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-630.0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-680.0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-730.0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-780.0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-840.0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-900.0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-960.0</w:t>
            </w:r>
          </w:p>
        </w:tc>
        <w:tc>
          <w:tcPr>
            <w:tcW w:w="338"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noBreakHyphen/>
              <w:t>7,530.0</w:t>
            </w:r>
          </w:p>
        </w:tc>
      </w:tr>
      <w:tr w:rsidR="00EC6443" w:rsidTr="00725D7C">
        <w:trPr>
          <w:cantSplit/>
          <w:trHeight w:val="397"/>
        </w:trPr>
        <w:tc>
          <w:tcPr>
            <w:cnfStyle w:val="001000000000" w:firstRow="0" w:lastRow="0" w:firstColumn="1" w:lastColumn="0" w:oddVBand="0" w:evenVBand="0" w:oddHBand="0" w:evenHBand="0" w:firstRowFirstColumn="0" w:firstRowLastColumn="0" w:lastRowFirstColumn="0" w:lastRowLastColumn="0"/>
            <w:tcW w:w="600" w:type="pct"/>
          </w:tcPr>
          <w:p w:rsidR="003D0352" w:rsidRPr="0007264D" w:rsidRDefault="003D0352" w:rsidP="00655EB5">
            <w:pPr>
              <w:keepNext/>
              <w:keepLines/>
              <w:spacing w:line="240" w:lineRule="auto"/>
              <w:ind w:left="57" w:right="57"/>
            </w:pPr>
            <w:r>
              <w:t>Departmental</w:t>
            </w:r>
          </w:p>
        </w:tc>
        <w:tc>
          <w:tcPr>
            <w:tcW w:w="338" w:type="pct"/>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3E4315">
              <w:rPr>
                <w:i/>
              </w:rPr>
              <w:t xml:space="preserve">-16.0 </w:t>
            </w:r>
          </w:p>
        </w:tc>
        <w:tc>
          <w:tcPr>
            <w:tcW w:w="338" w:type="pct"/>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3E4315">
              <w:rPr>
                <w:i/>
              </w:rPr>
              <w:t xml:space="preserve">-4.0 </w:t>
            </w:r>
          </w:p>
        </w:tc>
        <w:tc>
          <w:tcPr>
            <w:tcW w:w="338" w:type="pct"/>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3E4315">
              <w:rPr>
                <w:i/>
              </w:rPr>
              <w:t xml:space="preserve">-4.0 </w:t>
            </w:r>
          </w:p>
        </w:tc>
        <w:tc>
          <w:tcPr>
            <w:tcW w:w="338" w:type="pct"/>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sidRPr="003E4315">
              <w:rPr>
                <w:i/>
              </w:rPr>
              <w:t xml:space="preserve">-4.0 </w:t>
            </w:r>
          </w:p>
        </w:tc>
        <w:tc>
          <w:tcPr>
            <w:tcW w:w="338" w:type="pct"/>
          </w:tcPr>
          <w:p w:rsidR="003D0352" w:rsidRPr="00C257AF"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i/>
                <w:iCs/>
                <w:color w:val="000000"/>
                <w:sz w:val="24"/>
                <w:szCs w:val="24"/>
              </w:rPr>
            </w:pPr>
            <w:r w:rsidRPr="00C257AF">
              <w:rPr>
                <w:b/>
                <w:i/>
                <w:iCs/>
                <w:color w:val="000000"/>
              </w:rPr>
              <w:t xml:space="preserve">-28.0 </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-4.0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-4.0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i/>
              </w:rPr>
            </w:pPr>
            <w:r>
              <w:rPr>
                <w:i/>
              </w:rPr>
              <w:t>-3.0</w:t>
            </w:r>
          </w:p>
        </w:tc>
        <w:tc>
          <w:tcPr>
            <w:tcW w:w="338" w:type="pct"/>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i/>
              </w:rPr>
            </w:pPr>
            <w:r>
              <w:rPr>
                <w:b/>
                <w:i/>
              </w:rPr>
              <w:t>-51.0</w:t>
            </w:r>
          </w:p>
        </w:tc>
      </w:tr>
      <w:tr w:rsidR="00ED1D90" w:rsidTr="00EC6443">
        <w:trPr>
          <w:cantSplit/>
          <w:trHeight w:val="644"/>
        </w:trPr>
        <w:tc>
          <w:tcPr>
            <w:cnfStyle w:val="001000000000" w:firstRow="0" w:lastRow="0" w:firstColumn="1" w:lastColumn="0" w:oddVBand="0" w:evenVBand="0" w:oddHBand="0" w:evenHBand="0" w:firstRowFirstColumn="0" w:firstRowLastColumn="0" w:lastRowFirstColumn="0" w:lastRowLastColumn="0"/>
            <w:tcW w:w="600" w:type="pct"/>
            <w:shd w:val="clear" w:color="auto" w:fill="D7DDE9"/>
          </w:tcPr>
          <w:p w:rsidR="003D0352" w:rsidRPr="003E4315" w:rsidRDefault="003D0352" w:rsidP="00655EB5">
            <w:pPr>
              <w:keepNext/>
              <w:keepLines/>
              <w:spacing w:line="240" w:lineRule="auto"/>
              <w:ind w:left="57" w:right="57"/>
            </w:pPr>
            <w:r>
              <w:t xml:space="preserve">Total – </w:t>
            </w:r>
            <w:r w:rsidR="0080154C">
              <w:t>payments</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-346.0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-544.0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-564.0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 xml:space="preserve">-594.0 </w:t>
            </w:r>
          </w:p>
        </w:tc>
        <w:tc>
          <w:tcPr>
            <w:tcW w:w="338" w:type="pct"/>
            <w:shd w:val="clear" w:color="auto" w:fill="D7DDE9"/>
          </w:tcPr>
          <w:p w:rsidR="003D0352" w:rsidRPr="002E01F8"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color w:val="000000"/>
                <w:sz w:val="24"/>
                <w:szCs w:val="24"/>
              </w:rPr>
            </w:pPr>
            <w:r w:rsidRPr="002E01F8">
              <w:rPr>
                <w:b/>
                <w:color w:val="000000"/>
              </w:rPr>
              <w:t xml:space="preserve">-2,038.0 </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-634.0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-684.0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-733.0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-783.0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-843.0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-903.0</w:t>
            </w:r>
          </w:p>
        </w:tc>
        <w:tc>
          <w:tcPr>
            <w:tcW w:w="338" w:type="pct"/>
            <w:shd w:val="clear" w:color="auto" w:fill="D7DDE9"/>
          </w:tcPr>
          <w:p w:rsidR="003D0352" w:rsidRPr="003E4315"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pPr>
            <w:r w:rsidRPr="003E4315">
              <w:t>-963.0</w:t>
            </w:r>
          </w:p>
        </w:tc>
        <w:tc>
          <w:tcPr>
            <w:tcW w:w="338" w:type="pct"/>
            <w:shd w:val="clear" w:color="auto" w:fill="D7DDE9"/>
          </w:tcPr>
          <w:p w:rsidR="003D0352" w:rsidRPr="002E01F8"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noBreakHyphen/>
              <w:t>7,581.0</w:t>
            </w:r>
          </w:p>
        </w:tc>
      </w:tr>
      <w:tr w:rsidR="00ED1D90" w:rsidRPr="00C55DDE" w:rsidTr="00EC6443">
        <w:trPr>
          <w:cantSplit/>
          <w:trHeight w:val="644"/>
        </w:trPr>
        <w:tc>
          <w:tcPr>
            <w:cnfStyle w:val="001000000000" w:firstRow="0" w:lastRow="0" w:firstColumn="1" w:lastColumn="0" w:oddVBand="0" w:evenVBand="0" w:oddHBand="0" w:evenHBand="0" w:firstRowFirstColumn="0" w:firstRowLastColumn="0" w:lastRowFirstColumn="0" w:lastRowLastColumn="0"/>
            <w:tcW w:w="600" w:type="pct"/>
            <w:shd w:val="clear" w:color="auto" w:fill="D7DDE9"/>
          </w:tcPr>
          <w:p w:rsidR="003D0352" w:rsidRPr="00C55DDE" w:rsidRDefault="003D0352" w:rsidP="00655EB5">
            <w:pPr>
              <w:keepNext/>
              <w:keepLines/>
              <w:spacing w:line="240" w:lineRule="auto"/>
              <w:ind w:left="57" w:right="57"/>
              <w:rPr>
                <w:b/>
              </w:rPr>
            </w:pPr>
            <w:r w:rsidRPr="00C55DDE">
              <w:rPr>
                <w:b/>
              </w:rPr>
              <w:t>Total</w:t>
            </w:r>
          </w:p>
        </w:tc>
        <w:tc>
          <w:tcPr>
            <w:tcW w:w="338" w:type="pct"/>
            <w:shd w:val="clear" w:color="auto" w:fill="D7DDE9"/>
          </w:tcPr>
          <w:p w:rsidR="003D0352" w:rsidRPr="004A703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-19</w:t>
            </w:r>
            <w:r w:rsidRPr="004A703E">
              <w:rPr>
                <w:b/>
              </w:rPr>
              <w:t>6</w:t>
            </w:r>
            <w:r>
              <w:rPr>
                <w:b/>
              </w:rPr>
              <w:t>.0</w:t>
            </w:r>
            <w:r w:rsidRPr="004A703E">
              <w:rPr>
                <w:b/>
              </w:rPr>
              <w:t xml:space="preserve"> </w:t>
            </w:r>
          </w:p>
        </w:tc>
        <w:tc>
          <w:tcPr>
            <w:tcW w:w="338" w:type="pct"/>
            <w:shd w:val="clear" w:color="auto" w:fill="D7DDE9"/>
          </w:tcPr>
          <w:p w:rsidR="003D0352" w:rsidRPr="004A703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4A703E">
              <w:rPr>
                <w:b/>
              </w:rPr>
              <w:t>-344</w:t>
            </w:r>
            <w:r>
              <w:rPr>
                <w:b/>
              </w:rPr>
              <w:t>.0</w:t>
            </w:r>
            <w:r w:rsidRPr="004A703E">
              <w:rPr>
                <w:b/>
              </w:rPr>
              <w:t xml:space="preserve"> </w:t>
            </w:r>
          </w:p>
        </w:tc>
        <w:tc>
          <w:tcPr>
            <w:tcW w:w="338" w:type="pct"/>
            <w:shd w:val="clear" w:color="auto" w:fill="D7DDE9"/>
          </w:tcPr>
          <w:p w:rsidR="003D0352" w:rsidRPr="004A703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4A703E">
              <w:rPr>
                <w:b/>
              </w:rPr>
              <w:t>-364</w:t>
            </w:r>
            <w:r>
              <w:rPr>
                <w:b/>
              </w:rPr>
              <w:t>.0</w:t>
            </w:r>
            <w:r w:rsidRPr="004A703E">
              <w:rPr>
                <w:b/>
              </w:rPr>
              <w:t xml:space="preserve"> </w:t>
            </w:r>
          </w:p>
        </w:tc>
        <w:tc>
          <w:tcPr>
            <w:tcW w:w="338" w:type="pct"/>
            <w:shd w:val="clear" w:color="auto" w:fill="D7DDE9"/>
          </w:tcPr>
          <w:p w:rsidR="003D0352" w:rsidRPr="004A703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sidRPr="004A703E">
              <w:rPr>
                <w:b/>
              </w:rPr>
              <w:t>-344</w:t>
            </w:r>
            <w:r>
              <w:rPr>
                <w:b/>
              </w:rPr>
              <w:t>.0</w:t>
            </w:r>
            <w:r w:rsidRPr="004A703E">
              <w:rPr>
                <w:b/>
              </w:rPr>
              <w:t xml:space="preserve"> </w:t>
            </w:r>
          </w:p>
        </w:tc>
        <w:tc>
          <w:tcPr>
            <w:tcW w:w="338" w:type="pct"/>
            <w:shd w:val="clear" w:color="auto" w:fill="D7DDE9"/>
          </w:tcPr>
          <w:p w:rsidR="003D0352" w:rsidRPr="004A703E" w:rsidRDefault="003D0352" w:rsidP="00655EB5">
            <w:pPr>
              <w:spacing w:line="240" w:lineRule="auto"/>
              <w:jc w:val="right"/>
              <w:cnfStyle w:val="000000000000" w:firstRow="0" w:lastRow="0" w:firstColumn="0" w:lastColumn="0" w:oddVBand="0" w:evenVBand="0" w:oddHBand="0" w:evenHBand="0" w:firstRowFirstColumn="0" w:firstRowLastColumn="0" w:lastRowFirstColumn="0" w:lastRowLastColumn="0"/>
              <w:rPr>
                <w:b/>
              </w:rPr>
            </w:pPr>
            <w:r w:rsidRPr="004A703E">
              <w:rPr>
                <w:b/>
              </w:rPr>
              <w:t>-1,2</w:t>
            </w:r>
            <w:r>
              <w:rPr>
                <w:b/>
              </w:rPr>
              <w:t>38.0</w:t>
            </w:r>
            <w:r w:rsidRPr="004A703E">
              <w:rPr>
                <w:b/>
              </w:rPr>
              <w:t xml:space="preserve"> </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-384.0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-434.0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-483.0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-533.0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-543.0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-603.0</w:t>
            </w:r>
          </w:p>
        </w:tc>
        <w:tc>
          <w:tcPr>
            <w:tcW w:w="338" w:type="pct"/>
            <w:shd w:val="clear" w:color="auto" w:fill="D7DDE9"/>
          </w:tcPr>
          <w:p w:rsidR="003D0352" w:rsidRPr="00C55DD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t>-663.0</w:t>
            </w:r>
          </w:p>
        </w:tc>
        <w:tc>
          <w:tcPr>
            <w:tcW w:w="338" w:type="pct"/>
            <w:shd w:val="clear" w:color="auto" w:fill="D7DDE9"/>
          </w:tcPr>
          <w:p w:rsidR="003D0352" w:rsidRPr="00C363AE" w:rsidRDefault="003D0352" w:rsidP="00655EB5">
            <w:pPr>
              <w:pStyle w:val="TableTextRight"/>
              <w:spacing w:line="240" w:lineRule="auto"/>
              <w:cnfStyle w:val="000000000000" w:firstRow="0" w:lastRow="0" w:firstColumn="0" w:lastColumn="0" w:oddVBand="0" w:evenVBand="0" w:oddHBand="0" w:evenHBand="0" w:firstRowFirstColumn="0" w:firstRowLastColumn="0" w:lastRowFirstColumn="0" w:lastRowLastColumn="0"/>
              <w:rPr>
                <w:b/>
              </w:rPr>
            </w:pPr>
            <w:r>
              <w:rPr>
                <w:b/>
              </w:rPr>
              <w:noBreakHyphen/>
              <w:t>4,881.0</w:t>
            </w:r>
          </w:p>
        </w:tc>
      </w:tr>
    </w:tbl>
    <w:p w:rsidR="003D0352" w:rsidRPr="0099164B" w:rsidRDefault="003D0352" w:rsidP="005C0932">
      <w:pPr>
        <w:pStyle w:val="Footnotes"/>
        <w:numPr>
          <w:ilvl w:val="0"/>
          <w:numId w:val="208"/>
        </w:numPr>
        <w:spacing w:before="113" w:after="113"/>
        <w:ind w:left="284" w:hanging="284"/>
      </w:pPr>
      <w:r w:rsidRPr="0099164B">
        <w:t xml:space="preserve">A positive number indicates an increase in revenue or decrease in expenses or net capital investment in accrual terms. A negative number indicates a decrease in revenue or an increase in expenses or net capital investment in accrual terms.  </w:t>
      </w:r>
    </w:p>
    <w:p w:rsidR="003D0352" w:rsidRDefault="003D0352" w:rsidP="005C0932">
      <w:pPr>
        <w:pStyle w:val="Footnotes"/>
        <w:spacing w:before="113" w:after="113"/>
        <w:ind w:left="284" w:hanging="284"/>
      </w:pPr>
      <w:r>
        <w:t>Figures may not sum to totals due to rounding.</w:t>
      </w:r>
    </w:p>
    <w:p w:rsidR="009221D1" w:rsidRPr="00951305" w:rsidRDefault="009221D1" w:rsidP="009221D1">
      <w:pPr>
        <w:pStyle w:val="BodyText"/>
      </w:pPr>
    </w:p>
    <w:p w:rsidR="009221D1" w:rsidRDefault="009221D1" w:rsidP="009221D1">
      <w:pPr>
        <w:pStyle w:val="BodyText"/>
        <w:sectPr w:rsidR="009221D1" w:rsidSect="005C0932">
          <w:headerReference w:type="even" r:id="rId180"/>
          <w:headerReference w:type="default" r:id="rId181"/>
          <w:footerReference w:type="even" r:id="rId182"/>
          <w:footerReference w:type="default" r:id="rId183"/>
          <w:footnotePr>
            <w:numRestart w:val="eachSect"/>
          </w:footnotePr>
          <w:pgSz w:w="16839" w:h="11907" w:orient="landscape" w:code="9"/>
          <w:pgMar w:top="1361" w:right="1797" w:bottom="1474" w:left="1797" w:header="283" w:footer="454" w:gutter="0"/>
          <w:cols w:space="708"/>
          <w:docGrid w:linePitch="360"/>
        </w:sectPr>
      </w:pPr>
    </w:p>
    <w:p w:rsidR="009221D1" w:rsidRDefault="009221D1" w:rsidP="009221D1">
      <w:pPr>
        <w:pStyle w:val="Heading5"/>
        <w:ind w:left="1080" w:hanging="1080"/>
      </w:pPr>
      <w:bookmarkStart w:id="106" w:name="_Toc455655034"/>
      <w:bookmarkStart w:id="107" w:name="_Toc458081701"/>
      <w:r>
        <w:t>ALP077: Not proceeding with the increasing the age of eligibility for Newstart Allowance and Sickness Allowance</w:t>
      </w:r>
      <w:bookmarkEnd w:id="106"/>
      <w:bookmarkEnd w:id="107"/>
    </w:p>
    <w:p w:rsidR="009221D1" w:rsidRPr="00275C35" w:rsidRDefault="009221D1" w:rsidP="009221D1">
      <w:pPr>
        <w:pStyle w:val="BodyText"/>
      </w:pPr>
      <w:r>
        <w:rPr>
          <w:noProof/>
          <w:lang w:eastAsia="en-AU"/>
        </w:rPr>
        <w:drawing>
          <wp:inline distT="0" distB="0" distL="0" distR="0" wp14:anchorId="46B369B3" wp14:editId="6BEADA2E">
            <wp:extent cx="2696845" cy="572135"/>
            <wp:effectExtent l="0" t="0" r="8255" b="0"/>
            <wp:docPr id="49" name="Picture 49"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E6593E"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E6593E" w:rsidRDefault="009221D1" w:rsidP="0073534F">
            <w:pPr>
              <w:pStyle w:val="PullOutBoxHeading"/>
              <w:rPr>
                <w:b/>
              </w:rPr>
            </w:pPr>
            <w:r w:rsidRPr="00E6593E">
              <w:rPr>
                <w:b/>
              </w:rPr>
              <w:t>Name of proposal:</w:t>
            </w:r>
          </w:p>
        </w:tc>
        <w:tc>
          <w:tcPr>
            <w:tcW w:w="3191" w:type="pct"/>
          </w:tcPr>
          <w:p w:rsidR="009221D1" w:rsidRPr="00E6593E" w:rsidRDefault="009221D1" w:rsidP="0073534F">
            <w:pPr>
              <w:pStyle w:val="PullOutBoxHeading"/>
              <w:rPr>
                <w:b/>
              </w:rPr>
            </w:pPr>
            <w:r w:rsidRPr="00E6593E">
              <w:rPr>
                <w:b/>
              </w:rPr>
              <w:t>Not proceeding with the increasing the age of eligibility for Newstart Allowance and Sickness Allowance</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 xml:space="preserve">The proposal would reverse the increase in the age of eligibility for Newstart Allowance (NSA) and Sickness Allowance (SA) announced in the 2014-15 Budget measure, </w:t>
            </w:r>
            <w:r w:rsidRPr="00367DBD">
              <w:rPr>
                <w:i/>
              </w:rPr>
              <w:t>Increasing the age of eligibility for Newstart Allowance and Sickness Allowance</w:t>
            </w:r>
            <w:r>
              <w:t>.</w:t>
            </w:r>
          </w:p>
          <w:p w:rsidR="009221D1" w:rsidRPr="00B45F94" w:rsidRDefault="009221D1" w:rsidP="0073534F">
            <w:pPr>
              <w:pStyle w:val="PullOutBoxBodyText"/>
            </w:pPr>
            <w:r>
              <w:t>The proposal would have effect from 1 October 2016.</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tabs>
          <w:tab w:val="left" w:pos="2700"/>
        </w:tabs>
      </w:pPr>
      <w:r w:rsidRPr="00BF1EE6">
        <w:t>Costing overview</w:t>
      </w:r>
    </w:p>
    <w:p w:rsidR="009221D1" w:rsidRDefault="009221D1" w:rsidP="009221D1">
      <w:pPr>
        <w:pStyle w:val="BodyText"/>
      </w:pPr>
      <w:r>
        <w:t xml:space="preserve">This proposal would be expected to decrease both the fiscal and underlying cash balances by $672.0 million over the 2016-17 Budget forward estimates period.  This impact reflects an increase in administered expenses of $823.0 million and a decrease in departmental expenses of $151.0 million over this period.  A detailed breakdown of the financial implications over the 2016-17 Budget forward estimates period is at </w:t>
      </w:r>
      <w:r w:rsidRPr="00C61AF5">
        <w:rPr>
          <w:u w:val="single"/>
        </w:rPr>
        <w:t>Attachment A</w:t>
      </w:r>
      <w:r>
        <w:t>.</w:t>
      </w:r>
    </w:p>
    <w:p w:rsidR="009221D1" w:rsidRDefault="009221D1" w:rsidP="009221D1">
      <w:pPr>
        <w:pStyle w:val="BodyText"/>
      </w:pPr>
      <w:r>
        <w:t>This proposal would have ongoing financial implications that extend beyond the 2016</w:t>
      </w:r>
      <w:r>
        <w:noBreakHyphen/>
        <w:t>17 Budget forward estimates period.</w:t>
      </w:r>
    </w:p>
    <w:p w:rsidR="009221D1" w:rsidRDefault="009221D1" w:rsidP="009221D1">
      <w:pPr>
        <w:pStyle w:val="BodyText"/>
      </w:pPr>
      <w:r>
        <w:t>This proposal would be expected to decrease departmental expenses for the Department of Human Services.  This primarily reflects a lower cost of administering NSA and SA compared to Youth Allowance.</w:t>
      </w:r>
    </w:p>
    <w:p w:rsidR="009221D1" w:rsidRPr="00C61AF5" w:rsidRDefault="009221D1" w:rsidP="009221D1">
      <w:pPr>
        <w:pStyle w:val="BodyText"/>
      </w:pPr>
      <w:r>
        <w:t>This costing is considered to be of medium reliability as it is based on a number of assumptions, such as the number of people eligible for payments in any given year.</w:t>
      </w:r>
    </w:p>
    <w:p w:rsidR="009221D1" w:rsidRDefault="009221D1" w:rsidP="00B83716">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B83716">
            <w:pPr>
              <w:pStyle w:val="TableHeading"/>
            </w:pPr>
            <w:r>
              <w:t>Impact on ($m)</w:t>
            </w:r>
          </w:p>
        </w:tc>
        <w:tc>
          <w:tcPr>
            <w:tcW w:w="721" w:type="pct"/>
          </w:tcPr>
          <w:p w:rsidR="009221D1" w:rsidRPr="00FC1F1C" w:rsidRDefault="009221D1" w:rsidP="00B83716">
            <w:pPr>
              <w:pStyle w:val="TableHeadingRight"/>
            </w:pPr>
            <w:r>
              <w:t>2016–17</w:t>
            </w:r>
          </w:p>
        </w:tc>
        <w:tc>
          <w:tcPr>
            <w:tcW w:w="721" w:type="pct"/>
          </w:tcPr>
          <w:p w:rsidR="009221D1" w:rsidRPr="00FC1F1C" w:rsidRDefault="009221D1" w:rsidP="00B83716">
            <w:pPr>
              <w:pStyle w:val="TableHeadingRight"/>
            </w:pPr>
            <w:r>
              <w:t>2017–18</w:t>
            </w:r>
          </w:p>
        </w:tc>
        <w:tc>
          <w:tcPr>
            <w:tcW w:w="722" w:type="pct"/>
          </w:tcPr>
          <w:p w:rsidR="009221D1" w:rsidRPr="00FC1F1C" w:rsidRDefault="009221D1" w:rsidP="00B83716">
            <w:pPr>
              <w:pStyle w:val="TableHeadingRight"/>
            </w:pPr>
            <w:r>
              <w:t>2018–19</w:t>
            </w:r>
          </w:p>
        </w:tc>
        <w:tc>
          <w:tcPr>
            <w:tcW w:w="721" w:type="pct"/>
          </w:tcPr>
          <w:p w:rsidR="009221D1" w:rsidRPr="00FC1F1C" w:rsidRDefault="009221D1" w:rsidP="00B83716">
            <w:pPr>
              <w:pStyle w:val="TableHeadingRight"/>
            </w:pPr>
            <w:r>
              <w:t>2019–20</w:t>
            </w:r>
          </w:p>
        </w:tc>
        <w:tc>
          <w:tcPr>
            <w:tcW w:w="722" w:type="pct"/>
          </w:tcPr>
          <w:p w:rsidR="009221D1" w:rsidRPr="00FC1F1C" w:rsidRDefault="009221D1" w:rsidP="00B83716">
            <w:pPr>
              <w:pStyle w:val="TableHeadingRight"/>
              <w:rPr>
                <w:b/>
              </w:rPr>
            </w:pPr>
            <w:r w:rsidRPr="00FC1F1C">
              <w:t>Total</w:t>
            </w:r>
          </w:p>
        </w:tc>
      </w:tr>
      <w:tr w:rsidR="009221D1" w:rsidTr="0073534F">
        <w:tc>
          <w:tcPr>
            <w:tcW w:w="1393" w:type="pct"/>
          </w:tcPr>
          <w:p w:rsidR="009221D1" w:rsidRDefault="009221D1" w:rsidP="00B83716">
            <w:pPr>
              <w:pStyle w:val="TableText"/>
              <w:keepNext/>
              <w:keepLines/>
            </w:pPr>
            <w:r>
              <w:t>Fiscal balance</w:t>
            </w:r>
          </w:p>
        </w:tc>
        <w:tc>
          <w:tcPr>
            <w:tcW w:w="721" w:type="pct"/>
            <w:vAlign w:val="bottom"/>
          </w:tcPr>
          <w:p w:rsidR="009221D1" w:rsidRPr="00F654D5" w:rsidRDefault="009221D1" w:rsidP="00B83716">
            <w:pPr>
              <w:pStyle w:val="TableTextRight"/>
              <w:keepNext/>
              <w:keepLines/>
              <w:rPr>
                <w:noProof/>
              </w:rPr>
            </w:pPr>
            <w:r w:rsidRPr="00F654D5">
              <w:rPr>
                <w:noProof/>
              </w:rPr>
              <w:t xml:space="preserve">-131.0 </w:t>
            </w:r>
          </w:p>
        </w:tc>
        <w:tc>
          <w:tcPr>
            <w:tcW w:w="721" w:type="pct"/>
            <w:vAlign w:val="bottom"/>
          </w:tcPr>
          <w:p w:rsidR="009221D1" w:rsidRPr="00F654D5" w:rsidRDefault="009221D1" w:rsidP="00B83716">
            <w:pPr>
              <w:pStyle w:val="TableTextRight"/>
              <w:keepNext/>
              <w:keepLines/>
              <w:rPr>
                <w:noProof/>
              </w:rPr>
            </w:pPr>
            <w:r w:rsidRPr="00F654D5">
              <w:rPr>
                <w:noProof/>
              </w:rPr>
              <w:t xml:space="preserve">-161.0 </w:t>
            </w:r>
          </w:p>
        </w:tc>
        <w:tc>
          <w:tcPr>
            <w:tcW w:w="722" w:type="pct"/>
            <w:vAlign w:val="bottom"/>
          </w:tcPr>
          <w:p w:rsidR="009221D1" w:rsidRPr="00F654D5" w:rsidRDefault="009221D1" w:rsidP="00B83716">
            <w:pPr>
              <w:pStyle w:val="TableTextRight"/>
              <w:keepNext/>
              <w:keepLines/>
              <w:rPr>
                <w:noProof/>
              </w:rPr>
            </w:pPr>
            <w:r w:rsidRPr="00F654D5">
              <w:rPr>
                <w:noProof/>
              </w:rPr>
              <w:t xml:space="preserve">-184.0 </w:t>
            </w:r>
          </w:p>
        </w:tc>
        <w:tc>
          <w:tcPr>
            <w:tcW w:w="721" w:type="pct"/>
            <w:vAlign w:val="bottom"/>
          </w:tcPr>
          <w:p w:rsidR="009221D1" w:rsidRPr="00F654D5" w:rsidRDefault="009221D1" w:rsidP="00B83716">
            <w:pPr>
              <w:pStyle w:val="TableTextRight"/>
              <w:keepNext/>
              <w:keepLines/>
              <w:rPr>
                <w:noProof/>
              </w:rPr>
            </w:pPr>
            <w:r w:rsidRPr="00F654D5">
              <w:rPr>
                <w:noProof/>
              </w:rPr>
              <w:t xml:space="preserve">-195.0 </w:t>
            </w:r>
          </w:p>
        </w:tc>
        <w:tc>
          <w:tcPr>
            <w:tcW w:w="722" w:type="pct"/>
            <w:vAlign w:val="bottom"/>
          </w:tcPr>
          <w:p w:rsidR="009221D1" w:rsidRPr="00F654D5" w:rsidRDefault="009221D1" w:rsidP="00B83716">
            <w:pPr>
              <w:pStyle w:val="TableTextRight"/>
              <w:keepNext/>
              <w:keepLines/>
              <w:rPr>
                <w:b/>
                <w:noProof/>
              </w:rPr>
            </w:pPr>
            <w:r w:rsidRPr="00F654D5">
              <w:rPr>
                <w:b/>
                <w:noProof/>
              </w:rPr>
              <w:t xml:space="preserve">-672.0 </w:t>
            </w:r>
          </w:p>
        </w:tc>
      </w:tr>
      <w:tr w:rsidR="009221D1" w:rsidTr="0073534F">
        <w:tc>
          <w:tcPr>
            <w:tcW w:w="1393" w:type="pct"/>
          </w:tcPr>
          <w:p w:rsidR="009221D1" w:rsidRDefault="009221D1" w:rsidP="00B83716">
            <w:pPr>
              <w:pStyle w:val="TableText"/>
              <w:keepNext/>
              <w:keepLines/>
            </w:pPr>
            <w:r>
              <w:t>Underlying cash balance</w:t>
            </w:r>
          </w:p>
        </w:tc>
        <w:tc>
          <w:tcPr>
            <w:tcW w:w="721" w:type="pct"/>
            <w:vAlign w:val="bottom"/>
          </w:tcPr>
          <w:p w:rsidR="009221D1" w:rsidRPr="00F654D5" w:rsidRDefault="009221D1" w:rsidP="00B83716">
            <w:pPr>
              <w:pStyle w:val="TableTextRight"/>
              <w:keepNext/>
              <w:keepLines/>
              <w:rPr>
                <w:noProof/>
              </w:rPr>
            </w:pPr>
            <w:r w:rsidRPr="00F654D5">
              <w:rPr>
                <w:noProof/>
              </w:rPr>
              <w:t xml:space="preserve">-131.0 </w:t>
            </w:r>
          </w:p>
        </w:tc>
        <w:tc>
          <w:tcPr>
            <w:tcW w:w="721" w:type="pct"/>
            <w:vAlign w:val="bottom"/>
          </w:tcPr>
          <w:p w:rsidR="009221D1" w:rsidRPr="00F654D5" w:rsidRDefault="009221D1" w:rsidP="00B83716">
            <w:pPr>
              <w:pStyle w:val="TableTextRight"/>
              <w:keepNext/>
              <w:keepLines/>
              <w:rPr>
                <w:noProof/>
              </w:rPr>
            </w:pPr>
            <w:r w:rsidRPr="00F654D5">
              <w:rPr>
                <w:noProof/>
              </w:rPr>
              <w:t xml:space="preserve">-161.0 </w:t>
            </w:r>
          </w:p>
        </w:tc>
        <w:tc>
          <w:tcPr>
            <w:tcW w:w="722" w:type="pct"/>
            <w:vAlign w:val="bottom"/>
          </w:tcPr>
          <w:p w:rsidR="009221D1" w:rsidRPr="00F654D5" w:rsidRDefault="009221D1" w:rsidP="00B83716">
            <w:pPr>
              <w:pStyle w:val="TableTextRight"/>
              <w:keepNext/>
              <w:keepLines/>
              <w:rPr>
                <w:noProof/>
              </w:rPr>
            </w:pPr>
            <w:r w:rsidRPr="00F654D5">
              <w:rPr>
                <w:noProof/>
              </w:rPr>
              <w:t xml:space="preserve">-184.0 </w:t>
            </w:r>
          </w:p>
        </w:tc>
        <w:tc>
          <w:tcPr>
            <w:tcW w:w="721" w:type="pct"/>
            <w:vAlign w:val="bottom"/>
          </w:tcPr>
          <w:p w:rsidR="009221D1" w:rsidRPr="00F654D5" w:rsidRDefault="009221D1" w:rsidP="00B83716">
            <w:pPr>
              <w:pStyle w:val="TableTextRight"/>
              <w:keepNext/>
              <w:keepLines/>
              <w:rPr>
                <w:noProof/>
              </w:rPr>
            </w:pPr>
            <w:r w:rsidRPr="00F654D5">
              <w:rPr>
                <w:noProof/>
              </w:rPr>
              <w:t xml:space="preserve">-195.0 </w:t>
            </w:r>
          </w:p>
        </w:tc>
        <w:tc>
          <w:tcPr>
            <w:tcW w:w="722" w:type="pct"/>
            <w:vAlign w:val="bottom"/>
          </w:tcPr>
          <w:p w:rsidR="009221D1" w:rsidRPr="00F654D5" w:rsidRDefault="009221D1" w:rsidP="00B83716">
            <w:pPr>
              <w:pStyle w:val="TableTextRight"/>
              <w:keepNext/>
              <w:keepLines/>
              <w:rPr>
                <w:b/>
                <w:noProof/>
              </w:rPr>
            </w:pPr>
            <w:r w:rsidRPr="00F654D5">
              <w:rPr>
                <w:b/>
                <w:noProof/>
              </w:rPr>
              <w:t xml:space="preserve">-672.0 </w:t>
            </w:r>
          </w:p>
        </w:tc>
      </w:tr>
    </w:tbl>
    <w:p w:rsidR="009221D1" w:rsidRDefault="009221D1" w:rsidP="00476D22">
      <w:pPr>
        <w:pStyle w:val="Footnotes"/>
        <w:keepNext/>
        <w:keepLines/>
        <w:numPr>
          <w:ilvl w:val="0"/>
          <w:numId w:val="162"/>
        </w:numPr>
        <w:ind w:left="284" w:hanging="284"/>
      </w:pPr>
      <w:r>
        <w:t xml:space="preserve">A positive </w:t>
      </w:r>
      <w:r w:rsidRPr="00FC1F1C">
        <w:t>number indicates an increase in the relevant budget balance, a negative number a decrease.</w:t>
      </w:r>
    </w:p>
    <w:p w:rsidR="009221D1" w:rsidRPr="000E063A" w:rsidRDefault="009221D1" w:rsidP="00476D22">
      <w:pPr>
        <w:pStyle w:val="Footnotes"/>
        <w:ind w:left="284" w:hanging="284"/>
        <w:rPr>
          <w:rStyle w:val="FootnoteReference"/>
          <w:vertAlign w:val="baseline"/>
        </w:rPr>
      </w:pPr>
      <w:r w:rsidRPr="000E063A">
        <w:t>Figures may not sum to totals due to rounding.</w:t>
      </w:r>
    </w:p>
    <w:p w:rsidR="009221D1" w:rsidRDefault="009221D1" w:rsidP="009221D1">
      <w:pPr>
        <w:pStyle w:val="CostingsH7"/>
      </w:pPr>
      <w:r>
        <w:t>Methodology</w:t>
      </w:r>
    </w:p>
    <w:p w:rsidR="009221D1" w:rsidRPr="00272A7A" w:rsidRDefault="009221D1" w:rsidP="009221D1">
      <w:pPr>
        <w:pStyle w:val="BodyText"/>
      </w:pPr>
      <w:r w:rsidRPr="00272A7A">
        <w:t>The financial implications for this</w:t>
      </w:r>
      <w:r>
        <w:t xml:space="preserve"> proposal are based on the 2014-</w:t>
      </w:r>
      <w:r w:rsidRPr="00272A7A">
        <w:t>15 Budget measure’s estimates adjusted to include estimates variat</w:t>
      </w:r>
      <w:r>
        <w:t>ions up to the 2016-17 Budget.</w:t>
      </w:r>
    </w:p>
    <w:p w:rsidR="009221D1" w:rsidRDefault="009221D1" w:rsidP="009221D1">
      <w:pPr>
        <w:pStyle w:val="CostingsH7"/>
      </w:pPr>
      <w:r>
        <w:t>Data sources</w:t>
      </w:r>
    </w:p>
    <w:p w:rsidR="00B83716" w:rsidRDefault="00B83716" w:rsidP="00B83716">
      <w:pPr>
        <w:pStyle w:val="ListParagraph"/>
        <w:spacing w:after="60"/>
        <w:ind w:left="0"/>
      </w:pPr>
      <w:r>
        <w:t>Commonwealth of Australia 2014</w:t>
      </w:r>
      <w:r w:rsidRPr="00412767">
        <w:t xml:space="preserve">, </w:t>
      </w:r>
      <w:r>
        <w:rPr>
          <w:i/>
          <w:iCs/>
        </w:rPr>
        <w:t>2014-15</w:t>
      </w:r>
      <w:r w:rsidRPr="00412767">
        <w:rPr>
          <w:i/>
          <w:iCs/>
        </w:rPr>
        <w:t xml:space="preserve"> Budget</w:t>
      </w:r>
      <w:r>
        <w:rPr>
          <w:i/>
          <w:iCs/>
        </w:rPr>
        <w:t xml:space="preserve"> Paper No. 2</w:t>
      </w:r>
      <w:r w:rsidRPr="00412767">
        <w:t>, Commonwealth of Australia, Canberra</w:t>
      </w:r>
      <w:r>
        <w:t>, p. 203</w:t>
      </w:r>
      <w:r w:rsidRPr="00412767">
        <w:t>.</w:t>
      </w:r>
    </w:p>
    <w:p w:rsidR="009221D1" w:rsidRDefault="009221D1" w:rsidP="009221D1">
      <w:pPr>
        <w:pStyle w:val="BodyText"/>
      </w:pPr>
      <w:r>
        <w:t>The Department of Finance provided indexation parameters.</w:t>
      </w:r>
    </w:p>
    <w:p w:rsidR="00476D22" w:rsidRDefault="00476D22" w:rsidP="009221D1">
      <w:pPr>
        <w:pStyle w:val="BodyText"/>
      </w:pPr>
    </w:p>
    <w:p w:rsidR="00476D22" w:rsidRDefault="00476D22" w:rsidP="009221D1">
      <w:pPr>
        <w:pStyle w:val="BodyText"/>
        <w:sectPr w:rsidR="00476D22" w:rsidSect="003362FF">
          <w:headerReference w:type="even" r:id="rId184"/>
          <w:headerReference w:type="default" r:id="rId185"/>
          <w:footerReference w:type="even" r:id="rId186"/>
          <w:footerReference w:type="default" r:id="rId187"/>
          <w:footnotePr>
            <w:numRestart w:val="eachSect"/>
          </w:footnotePr>
          <w:pgSz w:w="11906" w:h="16838" w:code="9"/>
          <w:pgMar w:top="1361" w:right="1797" w:bottom="1474" w:left="1797" w:header="283" w:footer="454" w:gutter="0"/>
          <w:cols w:space="708"/>
          <w:docGrid w:linePitch="360"/>
        </w:sectPr>
      </w:pPr>
    </w:p>
    <w:p w:rsidR="009221D1" w:rsidRPr="008A04CB" w:rsidRDefault="009221D1" w:rsidP="009221D1">
      <w:pPr>
        <w:pStyle w:val="Heading6"/>
        <w:spacing w:before="480"/>
      </w:pPr>
      <w:r w:rsidRPr="008A04CB">
        <w:t>Attachment A: Not proceeding with the increasing the age of eligibility for Newstart Allowance and Sickness Allowance—</w:t>
      </w:r>
      <w:r w:rsidR="0080154C">
        <w:t>financial implications</w:t>
      </w:r>
    </w:p>
    <w:p w:rsidR="009221D1" w:rsidRDefault="009221D1" w:rsidP="009221D1">
      <w:pPr>
        <w:pStyle w:val="Caption"/>
      </w:pPr>
      <w:r w:rsidRPr="002B36F1">
        <w:t xml:space="preserve">Table </w:t>
      </w:r>
      <w:r>
        <w:t>A1</w:t>
      </w:r>
      <w:r w:rsidRPr="002B36F1">
        <w:t>:</w:t>
      </w:r>
      <w:r>
        <w:t xml:space="preserve"> </w:t>
      </w:r>
      <w:r w:rsidRPr="00806759">
        <w:t>Not proceeding with the increasing the age of eligibility for Newstart Allowance and Sickness Allowance</w:t>
      </w:r>
      <w:r>
        <w:t>—</w:t>
      </w:r>
      <w:r w:rsidR="0080154C">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rPr>
                <w:b w:val="0"/>
              </w:rPr>
            </w:pPr>
            <w:r>
              <w:t>($)</w:t>
            </w:r>
          </w:p>
        </w:tc>
        <w:tc>
          <w:tcPr>
            <w:tcW w:w="689" w:type="pct"/>
            <w:vAlign w:val="center"/>
          </w:tcPr>
          <w:p w:rsidR="009221D1" w:rsidRDefault="009221D1" w:rsidP="0073534F">
            <w:pPr>
              <w:pStyle w:val="TableTextRight"/>
              <w:rPr>
                <w:b w:val="0"/>
              </w:rPr>
            </w:pPr>
            <w:r>
              <w:t>2016–17</w:t>
            </w:r>
          </w:p>
        </w:tc>
        <w:tc>
          <w:tcPr>
            <w:tcW w:w="689" w:type="pct"/>
            <w:vAlign w:val="center"/>
          </w:tcPr>
          <w:p w:rsidR="009221D1" w:rsidRDefault="009221D1" w:rsidP="0073534F">
            <w:pPr>
              <w:pStyle w:val="TableTextRight"/>
              <w:rPr>
                <w:b w:val="0"/>
              </w:rPr>
            </w:pPr>
            <w:r>
              <w:t>2017–18</w:t>
            </w:r>
          </w:p>
        </w:tc>
        <w:tc>
          <w:tcPr>
            <w:tcW w:w="689" w:type="pct"/>
            <w:vAlign w:val="center"/>
          </w:tcPr>
          <w:p w:rsidR="009221D1" w:rsidRDefault="009221D1" w:rsidP="0073534F">
            <w:pPr>
              <w:pStyle w:val="TableTextRight"/>
              <w:rPr>
                <w:b w:val="0"/>
              </w:rPr>
            </w:pPr>
            <w:r>
              <w:t>2018–19</w:t>
            </w:r>
          </w:p>
        </w:tc>
        <w:tc>
          <w:tcPr>
            <w:tcW w:w="689" w:type="pct"/>
            <w:vAlign w:val="center"/>
          </w:tcPr>
          <w:p w:rsidR="009221D1" w:rsidRDefault="009221D1" w:rsidP="0073534F">
            <w:pPr>
              <w:pStyle w:val="TableTextRight"/>
              <w:rPr>
                <w:b w:val="0"/>
              </w:rPr>
            </w:pPr>
            <w:r>
              <w:t>2019–20</w:t>
            </w:r>
          </w:p>
        </w:tc>
        <w:tc>
          <w:tcPr>
            <w:tcW w:w="690" w:type="pct"/>
            <w:vAlign w:val="center"/>
          </w:tcPr>
          <w:p w:rsidR="009221D1" w:rsidRDefault="009221D1" w:rsidP="0073534F">
            <w:pPr>
              <w:pStyle w:val="TableTextRight"/>
            </w:pPr>
            <w:r>
              <w:t>Total to 2019–20</w:t>
            </w:r>
          </w:p>
        </w:tc>
      </w:tr>
      <w:tr w:rsidR="009221D1" w:rsidTr="0073534F">
        <w:tc>
          <w:tcPr>
            <w:tcW w:w="5000" w:type="pct"/>
            <w:gridSpan w:val="6"/>
            <w:vAlign w:val="center"/>
          </w:tcPr>
          <w:p w:rsidR="009221D1" w:rsidRDefault="009221D1" w:rsidP="0073534F">
            <w:pPr>
              <w:pStyle w:val="TableHeading"/>
            </w:pPr>
            <w:r>
              <w:t>Fiscal and underlying cash balances</w:t>
            </w:r>
          </w:p>
        </w:tc>
      </w:tr>
      <w:tr w:rsidR="009221D1" w:rsidTr="0073534F">
        <w:tc>
          <w:tcPr>
            <w:tcW w:w="1554" w:type="pct"/>
            <w:vAlign w:val="center"/>
          </w:tcPr>
          <w:p w:rsidR="009221D1" w:rsidRPr="00027340" w:rsidRDefault="009221D1" w:rsidP="0073534F">
            <w:pPr>
              <w:pStyle w:val="TableText"/>
            </w:pPr>
            <w:r>
              <w:t>Administered</w:t>
            </w:r>
          </w:p>
        </w:tc>
        <w:tc>
          <w:tcPr>
            <w:tcW w:w="689" w:type="pct"/>
            <w:vAlign w:val="center"/>
          </w:tcPr>
          <w:p w:rsidR="009221D1" w:rsidRPr="00806759" w:rsidRDefault="009221D1" w:rsidP="0073534F">
            <w:pPr>
              <w:pStyle w:val="TableTextRight"/>
              <w:rPr>
                <w:i/>
              </w:rPr>
            </w:pPr>
            <w:r w:rsidRPr="00806759">
              <w:rPr>
                <w:i/>
              </w:rPr>
              <w:t xml:space="preserve">-160.0 </w:t>
            </w:r>
          </w:p>
        </w:tc>
        <w:tc>
          <w:tcPr>
            <w:tcW w:w="689" w:type="pct"/>
            <w:vAlign w:val="center"/>
          </w:tcPr>
          <w:p w:rsidR="009221D1" w:rsidRPr="00806759" w:rsidRDefault="009221D1" w:rsidP="0073534F">
            <w:pPr>
              <w:pStyle w:val="TableTextRight"/>
              <w:rPr>
                <w:i/>
              </w:rPr>
            </w:pPr>
            <w:r w:rsidRPr="00806759">
              <w:rPr>
                <w:i/>
              </w:rPr>
              <w:t xml:space="preserve">-202.0 </w:t>
            </w:r>
          </w:p>
        </w:tc>
        <w:tc>
          <w:tcPr>
            <w:tcW w:w="689" w:type="pct"/>
            <w:vAlign w:val="center"/>
          </w:tcPr>
          <w:p w:rsidR="009221D1" w:rsidRPr="00806759" w:rsidRDefault="009221D1" w:rsidP="0073534F">
            <w:pPr>
              <w:pStyle w:val="TableTextRight"/>
              <w:rPr>
                <w:i/>
              </w:rPr>
            </w:pPr>
            <w:r w:rsidRPr="00806759">
              <w:rPr>
                <w:i/>
              </w:rPr>
              <w:t xml:space="preserve">-225.0 </w:t>
            </w:r>
          </w:p>
        </w:tc>
        <w:tc>
          <w:tcPr>
            <w:tcW w:w="689" w:type="pct"/>
            <w:vAlign w:val="center"/>
          </w:tcPr>
          <w:p w:rsidR="009221D1" w:rsidRPr="00806759" w:rsidRDefault="009221D1" w:rsidP="0073534F">
            <w:pPr>
              <w:pStyle w:val="TableTextRight"/>
              <w:rPr>
                <w:i/>
              </w:rPr>
            </w:pPr>
            <w:r w:rsidRPr="00806759">
              <w:rPr>
                <w:i/>
              </w:rPr>
              <w:t xml:space="preserve">-236.0 </w:t>
            </w:r>
          </w:p>
        </w:tc>
        <w:tc>
          <w:tcPr>
            <w:tcW w:w="690" w:type="pct"/>
            <w:vAlign w:val="center"/>
          </w:tcPr>
          <w:p w:rsidR="009221D1" w:rsidRPr="00806759" w:rsidRDefault="009221D1" w:rsidP="0073534F">
            <w:pPr>
              <w:pStyle w:val="TableTextRight"/>
              <w:rPr>
                <w:b/>
                <w:i/>
              </w:rPr>
            </w:pPr>
            <w:r w:rsidRPr="00806759">
              <w:rPr>
                <w:b/>
                <w:i/>
              </w:rPr>
              <w:t xml:space="preserve">-823.0 </w:t>
            </w:r>
          </w:p>
        </w:tc>
      </w:tr>
      <w:tr w:rsidR="009221D1" w:rsidTr="0073534F">
        <w:tc>
          <w:tcPr>
            <w:tcW w:w="1554" w:type="pct"/>
            <w:vAlign w:val="center"/>
          </w:tcPr>
          <w:p w:rsidR="009221D1" w:rsidRPr="00027340" w:rsidRDefault="009221D1" w:rsidP="0073534F">
            <w:pPr>
              <w:pStyle w:val="TableText"/>
            </w:pPr>
            <w:r>
              <w:t>Departmental</w:t>
            </w:r>
          </w:p>
        </w:tc>
        <w:tc>
          <w:tcPr>
            <w:tcW w:w="689" w:type="pct"/>
            <w:vAlign w:val="center"/>
          </w:tcPr>
          <w:p w:rsidR="009221D1" w:rsidRPr="00806759" w:rsidRDefault="009221D1" w:rsidP="0073534F">
            <w:pPr>
              <w:pStyle w:val="TableTextRight"/>
              <w:rPr>
                <w:i/>
              </w:rPr>
            </w:pPr>
            <w:r w:rsidRPr="00806759">
              <w:rPr>
                <w:i/>
              </w:rPr>
              <w:t xml:space="preserve"> 29.0 </w:t>
            </w:r>
          </w:p>
        </w:tc>
        <w:tc>
          <w:tcPr>
            <w:tcW w:w="689" w:type="pct"/>
            <w:vAlign w:val="center"/>
          </w:tcPr>
          <w:p w:rsidR="009221D1" w:rsidRPr="00806759" w:rsidRDefault="009221D1" w:rsidP="0073534F">
            <w:pPr>
              <w:pStyle w:val="TableTextRight"/>
              <w:rPr>
                <w:i/>
              </w:rPr>
            </w:pPr>
            <w:r w:rsidRPr="00806759">
              <w:rPr>
                <w:i/>
              </w:rPr>
              <w:t xml:space="preserve"> 41.0 </w:t>
            </w:r>
          </w:p>
        </w:tc>
        <w:tc>
          <w:tcPr>
            <w:tcW w:w="689" w:type="pct"/>
            <w:vAlign w:val="center"/>
          </w:tcPr>
          <w:p w:rsidR="009221D1" w:rsidRPr="00806759" w:rsidRDefault="009221D1" w:rsidP="0073534F">
            <w:pPr>
              <w:pStyle w:val="TableTextRight"/>
              <w:rPr>
                <w:i/>
              </w:rPr>
            </w:pPr>
            <w:r w:rsidRPr="00806759">
              <w:rPr>
                <w:i/>
              </w:rPr>
              <w:t xml:space="preserve"> 41.0 </w:t>
            </w:r>
          </w:p>
        </w:tc>
        <w:tc>
          <w:tcPr>
            <w:tcW w:w="689" w:type="pct"/>
            <w:vAlign w:val="center"/>
          </w:tcPr>
          <w:p w:rsidR="009221D1" w:rsidRPr="00806759" w:rsidRDefault="009221D1" w:rsidP="0073534F">
            <w:pPr>
              <w:pStyle w:val="TableTextRight"/>
              <w:rPr>
                <w:i/>
              </w:rPr>
            </w:pPr>
            <w:r w:rsidRPr="00806759">
              <w:rPr>
                <w:i/>
              </w:rPr>
              <w:t xml:space="preserve"> 41.0 </w:t>
            </w:r>
          </w:p>
        </w:tc>
        <w:tc>
          <w:tcPr>
            <w:tcW w:w="690" w:type="pct"/>
            <w:vAlign w:val="center"/>
          </w:tcPr>
          <w:p w:rsidR="009221D1" w:rsidRPr="00806759" w:rsidRDefault="009221D1" w:rsidP="0073534F">
            <w:pPr>
              <w:pStyle w:val="TableTextRight"/>
              <w:rPr>
                <w:b/>
                <w:i/>
              </w:rPr>
            </w:pPr>
            <w:r w:rsidRPr="00806759">
              <w:rPr>
                <w:b/>
                <w:i/>
              </w:rPr>
              <w:t xml:space="preserve"> 151.0 </w:t>
            </w:r>
          </w:p>
        </w:tc>
      </w:tr>
      <w:tr w:rsidR="009221D1" w:rsidRPr="007C2713" w:rsidTr="0073534F">
        <w:tc>
          <w:tcPr>
            <w:tcW w:w="1554" w:type="pct"/>
            <w:shd w:val="clear" w:color="auto" w:fill="D7DDE9" w:themeFill="accent3"/>
            <w:vAlign w:val="center"/>
          </w:tcPr>
          <w:p w:rsidR="009221D1" w:rsidRPr="0055406D" w:rsidRDefault="009221D1" w:rsidP="0073534F">
            <w:pPr>
              <w:pStyle w:val="TableText"/>
              <w:rPr>
                <w:b/>
              </w:rPr>
            </w:pPr>
            <w:r w:rsidRPr="0055406D">
              <w:rPr>
                <w:b/>
              </w:rPr>
              <w:t>Total</w:t>
            </w:r>
          </w:p>
        </w:tc>
        <w:tc>
          <w:tcPr>
            <w:tcW w:w="689" w:type="pct"/>
            <w:shd w:val="clear" w:color="auto" w:fill="D7DDE9" w:themeFill="accent3"/>
            <w:vAlign w:val="center"/>
          </w:tcPr>
          <w:p w:rsidR="009221D1" w:rsidRPr="00806759" w:rsidRDefault="009221D1" w:rsidP="0073534F">
            <w:pPr>
              <w:pStyle w:val="TableTextRight"/>
              <w:rPr>
                <w:b/>
              </w:rPr>
            </w:pPr>
            <w:r w:rsidRPr="00806759">
              <w:rPr>
                <w:b/>
              </w:rPr>
              <w:t xml:space="preserve">-131.0 </w:t>
            </w:r>
          </w:p>
        </w:tc>
        <w:tc>
          <w:tcPr>
            <w:tcW w:w="689" w:type="pct"/>
            <w:shd w:val="clear" w:color="auto" w:fill="D7DDE9" w:themeFill="accent3"/>
            <w:vAlign w:val="center"/>
          </w:tcPr>
          <w:p w:rsidR="009221D1" w:rsidRPr="00806759" w:rsidRDefault="009221D1" w:rsidP="0073534F">
            <w:pPr>
              <w:pStyle w:val="TableTextRight"/>
              <w:rPr>
                <w:b/>
              </w:rPr>
            </w:pPr>
            <w:r w:rsidRPr="00806759">
              <w:rPr>
                <w:b/>
              </w:rPr>
              <w:t xml:space="preserve">-161.0 </w:t>
            </w:r>
          </w:p>
        </w:tc>
        <w:tc>
          <w:tcPr>
            <w:tcW w:w="689" w:type="pct"/>
            <w:shd w:val="clear" w:color="auto" w:fill="D7DDE9" w:themeFill="accent3"/>
            <w:vAlign w:val="center"/>
          </w:tcPr>
          <w:p w:rsidR="009221D1" w:rsidRPr="00806759" w:rsidRDefault="009221D1" w:rsidP="0073534F">
            <w:pPr>
              <w:pStyle w:val="TableTextRight"/>
              <w:rPr>
                <w:b/>
              </w:rPr>
            </w:pPr>
            <w:r w:rsidRPr="00806759">
              <w:rPr>
                <w:b/>
              </w:rPr>
              <w:t xml:space="preserve">-184.0 </w:t>
            </w:r>
          </w:p>
        </w:tc>
        <w:tc>
          <w:tcPr>
            <w:tcW w:w="689" w:type="pct"/>
            <w:shd w:val="clear" w:color="auto" w:fill="D7DDE9" w:themeFill="accent3"/>
            <w:vAlign w:val="center"/>
          </w:tcPr>
          <w:p w:rsidR="009221D1" w:rsidRPr="00806759" w:rsidRDefault="009221D1" w:rsidP="0073534F">
            <w:pPr>
              <w:pStyle w:val="TableTextRight"/>
              <w:rPr>
                <w:b/>
              </w:rPr>
            </w:pPr>
            <w:r w:rsidRPr="00806759">
              <w:rPr>
                <w:b/>
              </w:rPr>
              <w:t xml:space="preserve">-195.0 </w:t>
            </w:r>
          </w:p>
        </w:tc>
        <w:tc>
          <w:tcPr>
            <w:tcW w:w="690" w:type="pct"/>
            <w:shd w:val="clear" w:color="auto" w:fill="D7DDE9" w:themeFill="accent3"/>
            <w:vAlign w:val="center"/>
          </w:tcPr>
          <w:p w:rsidR="009221D1" w:rsidRPr="00806759" w:rsidRDefault="009221D1" w:rsidP="0073534F">
            <w:pPr>
              <w:pStyle w:val="TableTextRight"/>
              <w:rPr>
                <w:b/>
              </w:rPr>
            </w:pPr>
            <w:r w:rsidRPr="00806759">
              <w:rPr>
                <w:b/>
              </w:rPr>
              <w:t xml:space="preserve">-672.0 </w:t>
            </w:r>
          </w:p>
        </w:tc>
      </w:tr>
    </w:tbl>
    <w:p w:rsidR="009221D1" w:rsidRDefault="009221D1" w:rsidP="002C43F8">
      <w:pPr>
        <w:pStyle w:val="Footnotes"/>
        <w:numPr>
          <w:ilvl w:val="0"/>
          <w:numId w:val="163"/>
        </w:numPr>
        <w:spacing w:before="113"/>
        <w:ind w:left="284" w:hanging="284"/>
      </w:pPr>
      <w:r>
        <w:t xml:space="preserve">A </w:t>
      </w:r>
      <w:r w:rsidRPr="00806759">
        <w:t>positive number indicates an increase in revenue or a decrease in expenses or net capital investment in accrual and cash terms. A negative number indicates a decrease in revenue or an increase in expenses or net capital investment in accrual and cash terms.</w:t>
      </w:r>
    </w:p>
    <w:p w:rsidR="009221D1" w:rsidRPr="005F544A" w:rsidRDefault="009221D1" w:rsidP="009221D1">
      <w:pPr>
        <w:pStyle w:val="Footnotes"/>
        <w:spacing w:after="120"/>
        <w:ind w:left="284" w:hanging="284"/>
      </w:pPr>
      <w:r w:rsidRPr="005F544A">
        <w:t>Figures may not sum to totals due to rounding.</w:t>
      </w:r>
    </w:p>
    <w:p w:rsidR="009221D1" w:rsidRPr="00951305" w:rsidRDefault="009221D1" w:rsidP="009221D1">
      <w:pPr>
        <w:pStyle w:val="BodyText"/>
      </w:pPr>
    </w:p>
    <w:p w:rsidR="009221D1" w:rsidRDefault="009221D1" w:rsidP="009221D1">
      <w:pPr>
        <w:pStyle w:val="BodyText"/>
        <w:sectPr w:rsidR="009221D1" w:rsidSect="003362FF">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5"/>
        <w:ind w:left="1080" w:hanging="1080"/>
      </w:pPr>
      <w:bookmarkStart w:id="108" w:name="_Toc455655035"/>
      <w:bookmarkStart w:id="109" w:name="_Toc458081702"/>
      <w:r>
        <w:t>ALP078: Reversing cuts to Family Payments</w:t>
      </w:r>
      <w:bookmarkEnd w:id="108"/>
      <w:bookmarkEnd w:id="109"/>
    </w:p>
    <w:p w:rsidR="009221D1" w:rsidRDefault="009221D1" w:rsidP="009221D1">
      <w:pPr>
        <w:pStyle w:val="BodyText"/>
      </w:pPr>
      <w:r>
        <w:rPr>
          <w:noProof/>
          <w:lang w:eastAsia="en-AU"/>
        </w:rPr>
        <w:drawing>
          <wp:inline distT="0" distB="0" distL="0" distR="0" wp14:anchorId="2BC114F7" wp14:editId="294E241E">
            <wp:extent cx="2696845" cy="572135"/>
            <wp:effectExtent l="0" t="0" r="8255" b="0"/>
            <wp:docPr id="22" name="Picture 2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221D1" w:rsidRDefault="009221D1" w:rsidP="009221D1">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221D1" w:rsidRPr="00E6593E" w:rsidTr="0073534F">
        <w:trPr>
          <w:cnfStyle w:val="100000000000" w:firstRow="1" w:lastRow="0" w:firstColumn="0" w:lastColumn="0" w:oddVBand="0" w:evenVBand="0" w:oddHBand="0" w:evenHBand="0" w:firstRowFirstColumn="0" w:firstRowLastColumn="0" w:lastRowFirstColumn="0" w:lastRowLastColumn="0"/>
        </w:trPr>
        <w:tc>
          <w:tcPr>
            <w:tcW w:w="1809" w:type="pct"/>
          </w:tcPr>
          <w:p w:rsidR="009221D1" w:rsidRPr="00E6593E" w:rsidRDefault="009221D1" w:rsidP="0073534F">
            <w:pPr>
              <w:pStyle w:val="PullOutBoxHeading"/>
              <w:rPr>
                <w:b/>
              </w:rPr>
            </w:pPr>
            <w:r w:rsidRPr="00E6593E">
              <w:rPr>
                <w:b/>
              </w:rPr>
              <w:t>Name of proposal:</w:t>
            </w:r>
          </w:p>
        </w:tc>
        <w:tc>
          <w:tcPr>
            <w:tcW w:w="3191" w:type="pct"/>
          </w:tcPr>
          <w:p w:rsidR="009221D1" w:rsidRPr="00E6593E" w:rsidRDefault="009221D1" w:rsidP="0073534F">
            <w:pPr>
              <w:pStyle w:val="PullOutBoxHeading"/>
              <w:rPr>
                <w:b/>
              </w:rPr>
            </w:pPr>
            <w:r w:rsidRPr="00E6593E">
              <w:rPr>
                <w:b/>
              </w:rPr>
              <w:t>Reversing cuts to Family Payments</w:t>
            </w:r>
          </w:p>
        </w:tc>
      </w:tr>
      <w:tr w:rsidR="009221D1" w:rsidRPr="00B45F94" w:rsidTr="0073534F">
        <w:tc>
          <w:tcPr>
            <w:tcW w:w="1809" w:type="pct"/>
          </w:tcPr>
          <w:p w:rsidR="009221D1" w:rsidRPr="00B45F94" w:rsidRDefault="009221D1" w:rsidP="0073534F">
            <w:pPr>
              <w:pStyle w:val="PullOutBoxBodyText"/>
            </w:pPr>
            <w:r w:rsidRPr="00B45F94">
              <w:t>Summary of proposal:</w:t>
            </w:r>
          </w:p>
        </w:tc>
        <w:tc>
          <w:tcPr>
            <w:tcW w:w="3191" w:type="pct"/>
          </w:tcPr>
          <w:p w:rsidR="009221D1" w:rsidRDefault="009221D1" w:rsidP="0073534F">
            <w:pPr>
              <w:pStyle w:val="PullOutBoxBodyText"/>
            </w:pPr>
            <w:r>
              <w:t xml:space="preserve">This proposal would reverse the following components of the 2015-16 Mid-Year Economic and Fiscal Outlook (MYEFO) measure, </w:t>
            </w:r>
            <w:r w:rsidRPr="0051429E">
              <w:rPr>
                <w:i/>
              </w:rPr>
              <w:t>Family Payment Reform - a new families package</w:t>
            </w:r>
            <w:r>
              <w:t>:</w:t>
            </w:r>
          </w:p>
          <w:p w:rsidR="009221D1" w:rsidRDefault="009221D1" w:rsidP="0073534F">
            <w:pPr>
              <w:pStyle w:val="PullOutBoxBullet"/>
            </w:pPr>
            <w:r>
              <w:t>Eligible single parents with a youngest child aged between 13 and 16 inclusive receiving a new maximum rate of Family Tax Benefit Part B (FTB-B) of $1,000.10 per year.</w:t>
            </w:r>
          </w:p>
          <w:p w:rsidR="009221D1" w:rsidRDefault="009221D1" w:rsidP="0073534F">
            <w:pPr>
              <w:pStyle w:val="PullOutBoxBullet"/>
            </w:pPr>
            <w:r>
              <w:t>Phasing out of the Family Tax Benefit (FTB) supplements.</w:t>
            </w:r>
          </w:p>
          <w:p w:rsidR="009221D1" w:rsidRDefault="009221D1" w:rsidP="0073534F">
            <w:pPr>
              <w:pStyle w:val="PullOutBoxBullet"/>
            </w:pPr>
            <w:r>
              <w:t>Increasing maximum rate of Family Tax Benefit Part A (FTB-A) by $10.08 per fortnight.</w:t>
            </w:r>
          </w:p>
          <w:p w:rsidR="009221D1" w:rsidRPr="00B45F94" w:rsidRDefault="009221D1" w:rsidP="0073534F">
            <w:pPr>
              <w:pStyle w:val="PullOutBoxBullet"/>
            </w:pPr>
            <w:r>
              <w:t>Increasing the maximum rate for under 18 year old Youth Allowance recipients living at home, under 18 year old rates of ABSTUDY, Special Benefit and Disability Support Pension (DSP) by $10.44 per fortnight.</w:t>
            </w:r>
          </w:p>
        </w:tc>
      </w:tr>
      <w:tr w:rsidR="009221D1" w:rsidRPr="00B45F94" w:rsidTr="0073534F">
        <w:tc>
          <w:tcPr>
            <w:tcW w:w="1809" w:type="pct"/>
          </w:tcPr>
          <w:p w:rsidR="009221D1" w:rsidRPr="00B45F94" w:rsidRDefault="009221D1" w:rsidP="0073534F">
            <w:pPr>
              <w:pStyle w:val="PullOutBoxBodyText"/>
            </w:pPr>
            <w:r>
              <w:t>Party:</w:t>
            </w:r>
          </w:p>
        </w:tc>
        <w:tc>
          <w:tcPr>
            <w:tcW w:w="3191" w:type="pct"/>
          </w:tcPr>
          <w:p w:rsidR="009221D1" w:rsidRPr="00B45F94" w:rsidRDefault="009221D1" w:rsidP="0073534F">
            <w:pPr>
              <w:pStyle w:val="PullOutBoxBodyText"/>
            </w:pPr>
            <w:r>
              <w:t>Australian Labor Party</w:t>
            </w:r>
          </w:p>
        </w:tc>
      </w:tr>
      <w:tr w:rsidR="009221D1" w:rsidRPr="00B45F94" w:rsidTr="0073534F">
        <w:tc>
          <w:tcPr>
            <w:tcW w:w="1809" w:type="pct"/>
          </w:tcPr>
          <w:p w:rsidR="009221D1" w:rsidRPr="00B45F94" w:rsidRDefault="009221D1" w:rsidP="0073534F">
            <w:pPr>
              <w:pStyle w:val="PullOutBoxBodyText"/>
            </w:pPr>
            <w:r w:rsidRPr="00B45F94">
              <w:t>Expiry date for the costing:</w:t>
            </w:r>
          </w:p>
        </w:tc>
        <w:tc>
          <w:tcPr>
            <w:tcW w:w="3191" w:type="pct"/>
          </w:tcPr>
          <w:p w:rsidR="009221D1" w:rsidRPr="00B45F94" w:rsidRDefault="009221D1" w:rsidP="0073534F">
            <w:pPr>
              <w:pStyle w:val="PullOutBoxBodyText"/>
            </w:pPr>
            <w:r>
              <w:t>Release of the next economic and fiscal update</w:t>
            </w:r>
          </w:p>
        </w:tc>
      </w:tr>
    </w:tbl>
    <w:p w:rsidR="009221D1" w:rsidRDefault="009221D1" w:rsidP="009221D1">
      <w:pPr>
        <w:pStyle w:val="CostingsH7"/>
      </w:pPr>
      <w:r w:rsidRPr="00BF1EE6">
        <w:t>Costing overview</w:t>
      </w:r>
    </w:p>
    <w:p w:rsidR="009221D1" w:rsidRDefault="009221D1" w:rsidP="009221D1">
      <w:pPr>
        <w:pStyle w:val="BodyText"/>
      </w:pPr>
      <w:r>
        <w:t>This proposal is expected to decrease the fiscal balance by $6,899 million and decrease the underlying cash balance by $4,169 million over the 2016</w:t>
      </w:r>
      <w:r w:rsidR="00B83716">
        <w:t>-</w:t>
      </w:r>
      <w:r>
        <w:t>17 Budget forward estimates period.  The fiscal balance financial implications reflect an increase in administered expenses of $6,990 million and a decrease in departmental expenses of $91 million over this period.</w:t>
      </w:r>
    </w:p>
    <w:p w:rsidR="009221D1" w:rsidRDefault="009221D1" w:rsidP="009221D1">
      <w:pPr>
        <w:pStyle w:val="BodyText"/>
      </w:pPr>
      <w:r>
        <w:t>A breakdown of the financial implications over the 2016</w:t>
      </w:r>
      <w:r w:rsidR="00B83716">
        <w:t>-</w:t>
      </w:r>
      <w:r>
        <w:t xml:space="preserve">17 Budget forward estimates period is at </w:t>
      </w:r>
      <w:r w:rsidRPr="00961D42">
        <w:rPr>
          <w:u w:val="single"/>
        </w:rPr>
        <w:t>Attachment A</w:t>
      </w:r>
      <w:r>
        <w:t>.  This proposal would have ongoing financial implications that extend beyond the 2016-17 Budget forward estimates period.</w:t>
      </w:r>
    </w:p>
    <w:p w:rsidR="009221D1" w:rsidRDefault="009221D1" w:rsidP="009221D1">
      <w:pPr>
        <w:pStyle w:val="BodyText"/>
      </w:pPr>
      <w:r>
        <w:t>The underlying cash and fiscal balance implications differ because a proportion of FTB payments are made after the end of the financial year in which they are incurred.</w:t>
      </w:r>
    </w:p>
    <w:p w:rsidR="009221D1" w:rsidRPr="00961D42" w:rsidRDefault="009221D1" w:rsidP="009221D1">
      <w:pPr>
        <w:pStyle w:val="BodyText"/>
      </w:pPr>
      <w:r>
        <w:t>This costing is considered to be of low to medium reliability.  Estimates are sensitive to changes in economic and demographic factors.</w:t>
      </w:r>
    </w:p>
    <w:p w:rsidR="009221D1" w:rsidRDefault="009221D1" w:rsidP="009221D1">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221D1" w:rsidRPr="00D264E1" w:rsidTr="0073534F">
        <w:trPr>
          <w:cnfStyle w:val="100000000000" w:firstRow="1" w:lastRow="0" w:firstColumn="0" w:lastColumn="0" w:oddVBand="0" w:evenVBand="0" w:oddHBand="0" w:evenHBand="0" w:firstRowFirstColumn="0" w:firstRowLastColumn="0" w:lastRowFirstColumn="0" w:lastRowLastColumn="0"/>
        </w:trPr>
        <w:tc>
          <w:tcPr>
            <w:tcW w:w="1393" w:type="pct"/>
          </w:tcPr>
          <w:p w:rsidR="009221D1" w:rsidRPr="00D264E1" w:rsidRDefault="009221D1" w:rsidP="0073534F">
            <w:pPr>
              <w:pStyle w:val="TableHeading"/>
            </w:pPr>
            <w:r>
              <w:t>Impact on ($m)</w:t>
            </w:r>
          </w:p>
        </w:tc>
        <w:tc>
          <w:tcPr>
            <w:tcW w:w="721" w:type="pct"/>
          </w:tcPr>
          <w:p w:rsidR="009221D1" w:rsidRPr="00FC1F1C" w:rsidRDefault="009221D1" w:rsidP="0073534F">
            <w:pPr>
              <w:pStyle w:val="TableHeadingRight"/>
            </w:pPr>
            <w:r>
              <w:t>2016–17</w:t>
            </w:r>
          </w:p>
        </w:tc>
        <w:tc>
          <w:tcPr>
            <w:tcW w:w="721" w:type="pct"/>
          </w:tcPr>
          <w:p w:rsidR="009221D1" w:rsidRPr="00FC1F1C" w:rsidRDefault="009221D1" w:rsidP="0073534F">
            <w:pPr>
              <w:pStyle w:val="TableHeadingRight"/>
            </w:pPr>
            <w:r>
              <w:t>2017–18</w:t>
            </w:r>
          </w:p>
        </w:tc>
        <w:tc>
          <w:tcPr>
            <w:tcW w:w="722" w:type="pct"/>
          </w:tcPr>
          <w:p w:rsidR="009221D1" w:rsidRPr="00FC1F1C" w:rsidRDefault="009221D1" w:rsidP="0073534F">
            <w:pPr>
              <w:pStyle w:val="TableHeadingRight"/>
            </w:pPr>
            <w:r>
              <w:t>2018–19</w:t>
            </w:r>
          </w:p>
        </w:tc>
        <w:tc>
          <w:tcPr>
            <w:tcW w:w="721" w:type="pct"/>
          </w:tcPr>
          <w:p w:rsidR="009221D1" w:rsidRPr="00FC1F1C" w:rsidRDefault="009221D1" w:rsidP="0073534F">
            <w:pPr>
              <w:pStyle w:val="TableHeadingRight"/>
            </w:pPr>
            <w:r>
              <w:t>2019–20</w:t>
            </w:r>
          </w:p>
        </w:tc>
        <w:tc>
          <w:tcPr>
            <w:tcW w:w="722" w:type="pct"/>
          </w:tcPr>
          <w:p w:rsidR="009221D1" w:rsidRPr="00FC1F1C" w:rsidRDefault="009221D1" w:rsidP="0073534F">
            <w:pPr>
              <w:pStyle w:val="TableHeadingRight"/>
              <w:rPr>
                <w:b/>
              </w:rPr>
            </w:pPr>
            <w:r w:rsidRPr="00FC1F1C">
              <w:t>Total</w:t>
            </w:r>
          </w:p>
        </w:tc>
      </w:tr>
      <w:tr w:rsidR="009221D1" w:rsidTr="0073534F">
        <w:tc>
          <w:tcPr>
            <w:tcW w:w="1393" w:type="pct"/>
          </w:tcPr>
          <w:p w:rsidR="009221D1" w:rsidRDefault="009221D1" w:rsidP="00C241CC">
            <w:pPr>
              <w:pStyle w:val="TableText"/>
              <w:keepNext/>
              <w:keepLines/>
            </w:pPr>
            <w:r>
              <w:t>Fiscal balance</w:t>
            </w:r>
          </w:p>
        </w:tc>
        <w:tc>
          <w:tcPr>
            <w:tcW w:w="721" w:type="pct"/>
          </w:tcPr>
          <w:p w:rsidR="009221D1" w:rsidRPr="0027640C" w:rsidRDefault="009221D1" w:rsidP="00C241CC">
            <w:pPr>
              <w:pStyle w:val="TableTextRight"/>
              <w:keepNext/>
              <w:keepLines/>
            </w:pPr>
            <w:r w:rsidRPr="0027640C">
              <w:t>-406</w:t>
            </w:r>
            <w:r w:rsidR="00AE3658">
              <w:t>.0</w:t>
            </w:r>
            <w:r w:rsidRPr="0027640C">
              <w:t xml:space="preserve"> </w:t>
            </w:r>
          </w:p>
        </w:tc>
        <w:tc>
          <w:tcPr>
            <w:tcW w:w="721" w:type="pct"/>
          </w:tcPr>
          <w:p w:rsidR="009221D1" w:rsidRPr="0027640C" w:rsidRDefault="009221D1" w:rsidP="00C241CC">
            <w:pPr>
              <w:pStyle w:val="TableTextRight"/>
              <w:keepNext/>
              <w:keepLines/>
            </w:pPr>
            <w:r w:rsidRPr="0027640C">
              <w:t>-1,857</w:t>
            </w:r>
            <w:r w:rsidR="00AE3658">
              <w:t>.0</w:t>
            </w:r>
            <w:r w:rsidRPr="0027640C">
              <w:t xml:space="preserve"> </w:t>
            </w:r>
          </w:p>
        </w:tc>
        <w:tc>
          <w:tcPr>
            <w:tcW w:w="722" w:type="pct"/>
          </w:tcPr>
          <w:p w:rsidR="009221D1" w:rsidRPr="0027640C" w:rsidRDefault="009221D1" w:rsidP="00C241CC">
            <w:pPr>
              <w:pStyle w:val="TableTextRight"/>
              <w:keepNext/>
              <w:keepLines/>
            </w:pPr>
            <w:r w:rsidRPr="0027640C">
              <w:t>-2,312</w:t>
            </w:r>
            <w:r w:rsidR="00AE3658">
              <w:t>.0</w:t>
            </w:r>
            <w:r w:rsidRPr="0027640C">
              <w:t xml:space="preserve"> </w:t>
            </w:r>
          </w:p>
        </w:tc>
        <w:tc>
          <w:tcPr>
            <w:tcW w:w="721" w:type="pct"/>
          </w:tcPr>
          <w:p w:rsidR="009221D1" w:rsidRPr="0027640C" w:rsidRDefault="009221D1" w:rsidP="00C241CC">
            <w:pPr>
              <w:pStyle w:val="TableTextRight"/>
              <w:keepNext/>
              <w:keepLines/>
            </w:pPr>
            <w:r w:rsidRPr="0027640C">
              <w:t>-2,322</w:t>
            </w:r>
            <w:r w:rsidR="00AE3658">
              <w:t>.0</w:t>
            </w:r>
            <w:r w:rsidRPr="0027640C">
              <w:t xml:space="preserve"> </w:t>
            </w:r>
          </w:p>
        </w:tc>
        <w:tc>
          <w:tcPr>
            <w:tcW w:w="722" w:type="pct"/>
          </w:tcPr>
          <w:p w:rsidR="009221D1" w:rsidRPr="0027640C" w:rsidRDefault="009221D1" w:rsidP="00C241CC">
            <w:pPr>
              <w:pStyle w:val="TableTextRight"/>
              <w:keepNext/>
              <w:keepLines/>
              <w:rPr>
                <w:b/>
              </w:rPr>
            </w:pPr>
            <w:r w:rsidRPr="0027640C">
              <w:rPr>
                <w:b/>
              </w:rPr>
              <w:t>-6,899</w:t>
            </w:r>
            <w:r w:rsidR="00AE3658">
              <w:rPr>
                <w:b/>
              </w:rPr>
              <w:t>.0</w:t>
            </w:r>
            <w:r w:rsidRPr="0027640C">
              <w:rPr>
                <w:b/>
              </w:rPr>
              <w:t xml:space="preserve"> </w:t>
            </w:r>
          </w:p>
        </w:tc>
      </w:tr>
      <w:tr w:rsidR="009221D1" w:rsidTr="0073534F">
        <w:tc>
          <w:tcPr>
            <w:tcW w:w="1393" w:type="pct"/>
          </w:tcPr>
          <w:p w:rsidR="009221D1" w:rsidRDefault="009221D1" w:rsidP="00C241CC">
            <w:pPr>
              <w:pStyle w:val="TableText"/>
              <w:keepNext/>
              <w:keepLines/>
            </w:pPr>
            <w:r>
              <w:t>Underlying cash balance</w:t>
            </w:r>
          </w:p>
        </w:tc>
        <w:tc>
          <w:tcPr>
            <w:tcW w:w="721" w:type="pct"/>
            <w:vAlign w:val="bottom"/>
          </w:tcPr>
          <w:p w:rsidR="009221D1" w:rsidRPr="0027640C" w:rsidRDefault="009221D1" w:rsidP="00C241CC">
            <w:pPr>
              <w:pStyle w:val="TableTextRight"/>
              <w:keepNext/>
              <w:keepLines/>
            </w:pPr>
            <w:r w:rsidRPr="0027640C">
              <w:t xml:space="preserve"> 9</w:t>
            </w:r>
            <w:r w:rsidR="00AE3658">
              <w:t>.0</w:t>
            </w:r>
            <w:r w:rsidRPr="0027640C">
              <w:t xml:space="preserve"> </w:t>
            </w:r>
          </w:p>
        </w:tc>
        <w:tc>
          <w:tcPr>
            <w:tcW w:w="721" w:type="pct"/>
            <w:vAlign w:val="bottom"/>
          </w:tcPr>
          <w:p w:rsidR="009221D1" w:rsidRPr="0027640C" w:rsidRDefault="009221D1" w:rsidP="00C241CC">
            <w:pPr>
              <w:pStyle w:val="TableTextRight"/>
              <w:keepNext/>
              <w:keepLines/>
            </w:pPr>
            <w:r w:rsidRPr="0027640C">
              <w:t>-722</w:t>
            </w:r>
            <w:r w:rsidR="00AE3658">
              <w:t>.0</w:t>
            </w:r>
            <w:r w:rsidRPr="0027640C">
              <w:t xml:space="preserve"> </w:t>
            </w:r>
          </w:p>
        </w:tc>
        <w:tc>
          <w:tcPr>
            <w:tcW w:w="722" w:type="pct"/>
            <w:vAlign w:val="bottom"/>
          </w:tcPr>
          <w:p w:rsidR="009221D1" w:rsidRPr="0027640C" w:rsidRDefault="009221D1" w:rsidP="00C241CC">
            <w:pPr>
              <w:pStyle w:val="TableTextRight"/>
              <w:keepNext/>
              <w:keepLines/>
            </w:pPr>
            <w:r w:rsidRPr="0027640C">
              <w:t>-1,202</w:t>
            </w:r>
            <w:r w:rsidR="000533F0">
              <w:t>.0</w:t>
            </w:r>
            <w:r w:rsidRPr="0027640C">
              <w:t xml:space="preserve"> </w:t>
            </w:r>
          </w:p>
        </w:tc>
        <w:tc>
          <w:tcPr>
            <w:tcW w:w="721" w:type="pct"/>
            <w:vAlign w:val="bottom"/>
          </w:tcPr>
          <w:p w:rsidR="009221D1" w:rsidRPr="0027640C" w:rsidRDefault="009221D1" w:rsidP="00C241CC">
            <w:pPr>
              <w:pStyle w:val="TableTextRight"/>
              <w:keepNext/>
              <w:keepLines/>
            </w:pPr>
            <w:r w:rsidRPr="0027640C">
              <w:t>-2,252</w:t>
            </w:r>
            <w:r w:rsidR="000533F0">
              <w:t>.0</w:t>
            </w:r>
            <w:r w:rsidRPr="0027640C">
              <w:t xml:space="preserve"> </w:t>
            </w:r>
          </w:p>
        </w:tc>
        <w:tc>
          <w:tcPr>
            <w:tcW w:w="722" w:type="pct"/>
            <w:vAlign w:val="bottom"/>
          </w:tcPr>
          <w:p w:rsidR="009221D1" w:rsidRPr="0027640C" w:rsidRDefault="009221D1" w:rsidP="00C241CC">
            <w:pPr>
              <w:pStyle w:val="TableTextRight"/>
              <w:keepNext/>
              <w:keepLines/>
              <w:rPr>
                <w:b/>
              </w:rPr>
            </w:pPr>
            <w:r w:rsidRPr="0027640C">
              <w:rPr>
                <w:b/>
              </w:rPr>
              <w:t>-4,169</w:t>
            </w:r>
            <w:r w:rsidR="000533F0">
              <w:rPr>
                <w:b/>
              </w:rPr>
              <w:t>.0</w:t>
            </w:r>
            <w:r w:rsidRPr="0027640C">
              <w:rPr>
                <w:b/>
              </w:rPr>
              <w:t xml:space="preserve"> </w:t>
            </w:r>
          </w:p>
        </w:tc>
      </w:tr>
    </w:tbl>
    <w:p w:rsidR="009221D1" w:rsidRDefault="009221D1" w:rsidP="00C241CC">
      <w:pPr>
        <w:pStyle w:val="Footnotes"/>
        <w:keepNext/>
        <w:keepLines/>
        <w:numPr>
          <w:ilvl w:val="0"/>
          <w:numId w:val="164"/>
        </w:numPr>
        <w:ind w:left="284" w:hanging="284"/>
      </w:pPr>
      <w:r>
        <w:t xml:space="preserve">A positive </w:t>
      </w:r>
      <w:r w:rsidRPr="00FC1F1C">
        <w:t>number indicates an increase in the relevant budget balance, a negative number a decrease.</w:t>
      </w:r>
    </w:p>
    <w:p w:rsidR="009221D1" w:rsidRPr="000E063A" w:rsidRDefault="009221D1" w:rsidP="00C241CC">
      <w:pPr>
        <w:pStyle w:val="Footnotes"/>
        <w:ind w:left="284" w:hanging="284"/>
        <w:rPr>
          <w:rStyle w:val="FootnoteReference"/>
          <w:vertAlign w:val="baseline"/>
        </w:rPr>
      </w:pPr>
      <w:r w:rsidRPr="000E063A">
        <w:t>Figures may not sum to totals due to rounding.</w:t>
      </w:r>
    </w:p>
    <w:p w:rsidR="009221D1" w:rsidRDefault="009221D1" w:rsidP="009221D1">
      <w:pPr>
        <w:pStyle w:val="CostingsH7"/>
      </w:pPr>
      <w:r>
        <w:t>Methodology</w:t>
      </w:r>
    </w:p>
    <w:p w:rsidR="009221D1" w:rsidRDefault="009221D1" w:rsidP="009221D1">
      <w:pPr>
        <w:pStyle w:val="BodyText"/>
      </w:pPr>
      <w:r>
        <w:t>The financial implications of this proposal are based on the 2015-16 MYEFO measure updated for 2016-17 Budget parameters and variations, and include the effect of interactions between the different payments and the flow-on effects to health related savings.</w:t>
      </w:r>
    </w:p>
    <w:p w:rsidR="009221D1" w:rsidRPr="00961D42" w:rsidRDefault="009221D1" w:rsidP="009221D1">
      <w:pPr>
        <w:pStyle w:val="BodyText"/>
      </w:pPr>
      <w:r>
        <w:t>Administered estimates have been rounded to the nearest $5 million.  Departmental estimates have been rounded to the nearest $1 million.</w:t>
      </w:r>
    </w:p>
    <w:p w:rsidR="009221D1" w:rsidRDefault="009221D1" w:rsidP="009221D1">
      <w:pPr>
        <w:pStyle w:val="CostingsH7"/>
      </w:pPr>
      <w:r>
        <w:t>Data sources</w:t>
      </w:r>
    </w:p>
    <w:p w:rsidR="009221D1" w:rsidRDefault="009221D1" w:rsidP="009221D1">
      <w:pPr>
        <w:pStyle w:val="ListBullet"/>
      </w:pPr>
      <w:r>
        <w:t xml:space="preserve">Department of Social Services provided expenditure estimates and models for the administered expenditure components of the </w:t>
      </w:r>
      <w:r w:rsidRPr="00961D42">
        <w:rPr>
          <w:i/>
        </w:rPr>
        <w:t>Family Payment Reform - a new families package</w:t>
      </w:r>
      <w:r>
        <w:t xml:space="preserve"> measure over the period 2015-16 to 2018-19.</w:t>
      </w:r>
    </w:p>
    <w:p w:rsidR="009221D1" w:rsidRDefault="009221D1" w:rsidP="009221D1">
      <w:pPr>
        <w:pStyle w:val="ListBullet"/>
      </w:pPr>
      <w:r>
        <w:t xml:space="preserve">Department of Human Services provided expenditure estimates and models for the departmental expenditure components of the </w:t>
      </w:r>
      <w:r w:rsidRPr="00961D42">
        <w:rPr>
          <w:i/>
        </w:rPr>
        <w:t>Family Payment Reform - a new families package</w:t>
      </w:r>
      <w:r>
        <w:t xml:space="preserve"> measure over the period 2015-16 to 2018-19.</w:t>
      </w:r>
    </w:p>
    <w:p w:rsidR="009221D1" w:rsidRDefault="009221D1" w:rsidP="009221D1">
      <w:pPr>
        <w:pStyle w:val="ListBullet"/>
      </w:pPr>
      <w:r>
        <w:t>The Department of Finance provided indexation and efficiency dividend parameters.</w:t>
      </w:r>
    </w:p>
    <w:p w:rsidR="00C241CC" w:rsidRDefault="00C241CC" w:rsidP="00C241CC">
      <w:pPr>
        <w:pStyle w:val="BodyText"/>
      </w:pPr>
    </w:p>
    <w:p w:rsidR="00C241CC" w:rsidRDefault="00C241CC" w:rsidP="00C241CC">
      <w:pPr>
        <w:pStyle w:val="BodyText"/>
        <w:sectPr w:rsidR="00C241CC" w:rsidSect="00C241CC">
          <w:headerReference w:type="even" r:id="rId188"/>
          <w:headerReference w:type="default" r:id="rId189"/>
          <w:footerReference w:type="even" r:id="rId190"/>
          <w:footerReference w:type="default" r:id="rId191"/>
          <w:footnotePr>
            <w:numRestart w:val="eachSect"/>
          </w:footnotePr>
          <w:pgSz w:w="11906" w:h="16838" w:code="9"/>
          <w:pgMar w:top="1361" w:right="1797" w:bottom="1474" w:left="1797" w:header="283" w:footer="454" w:gutter="0"/>
          <w:cols w:space="708"/>
          <w:docGrid w:linePitch="360"/>
        </w:sectPr>
      </w:pPr>
    </w:p>
    <w:p w:rsidR="009221D1" w:rsidRDefault="009221D1" w:rsidP="009221D1">
      <w:pPr>
        <w:pStyle w:val="Heading6"/>
      </w:pPr>
      <w:r>
        <w:t xml:space="preserve">Attachment A: </w:t>
      </w:r>
      <w:r w:rsidRPr="00961D42">
        <w:t>Reversing cuts to Family Payments</w:t>
      </w:r>
      <w:r>
        <w:t>—</w:t>
      </w:r>
      <w:r w:rsidR="0080154C">
        <w:t>financial implications</w:t>
      </w:r>
    </w:p>
    <w:p w:rsidR="009221D1" w:rsidRDefault="009221D1" w:rsidP="009221D1">
      <w:pPr>
        <w:pStyle w:val="Caption"/>
        <w:keepLines/>
      </w:pPr>
      <w:r w:rsidRPr="002B36F1">
        <w:t xml:space="preserve">Table </w:t>
      </w:r>
      <w:r>
        <w:t>A1</w:t>
      </w:r>
      <w:r w:rsidRPr="002B36F1">
        <w:t>:</w:t>
      </w:r>
      <w:r>
        <w:t xml:space="preserve"> </w:t>
      </w:r>
      <w:r w:rsidRPr="00C82706">
        <w:t>Reversing cuts to Family Payments</w:t>
      </w:r>
      <w:r>
        <w:t>—Fiscal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keepNext/>
              <w:keepLines/>
              <w:rPr>
                <w:b w:val="0"/>
              </w:rPr>
            </w:pPr>
            <w:r>
              <w:t>($)</w:t>
            </w:r>
          </w:p>
        </w:tc>
        <w:tc>
          <w:tcPr>
            <w:tcW w:w="689" w:type="pct"/>
            <w:vAlign w:val="center"/>
          </w:tcPr>
          <w:p w:rsidR="009221D1" w:rsidRDefault="009221D1" w:rsidP="0073534F">
            <w:pPr>
              <w:pStyle w:val="TableTextRight"/>
              <w:keepNext/>
              <w:keepLines/>
              <w:rPr>
                <w:b w:val="0"/>
              </w:rPr>
            </w:pPr>
            <w:r>
              <w:t>2016–17</w:t>
            </w:r>
          </w:p>
        </w:tc>
        <w:tc>
          <w:tcPr>
            <w:tcW w:w="689" w:type="pct"/>
            <w:vAlign w:val="center"/>
          </w:tcPr>
          <w:p w:rsidR="009221D1" w:rsidRDefault="009221D1" w:rsidP="0073534F">
            <w:pPr>
              <w:pStyle w:val="TableTextRight"/>
              <w:keepNext/>
              <w:keepLines/>
              <w:rPr>
                <w:b w:val="0"/>
              </w:rPr>
            </w:pPr>
            <w:r>
              <w:t>2017–18</w:t>
            </w:r>
          </w:p>
        </w:tc>
        <w:tc>
          <w:tcPr>
            <w:tcW w:w="689" w:type="pct"/>
            <w:vAlign w:val="center"/>
          </w:tcPr>
          <w:p w:rsidR="009221D1" w:rsidRDefault="009221D1" w:rsidP="0073534F">
            <w:pPr>
              <w:pStyle w:val="TableTextRight"/>
              <w:keepNext/>
              <w:keepLines/>
              <w:rPr>
                <w:b w:val="0"/>
              </w:rPr>
            </w:pPr>
            <w:r>
              <w:t>2018–19</w:t>
            </w:r>
          </w:p>
        </w:tc>
        <w:tc>
          <w:tcPr>
            <w:tcW w:w="689" w:type="pct"/>
            <w:vAlign w:val="center"/>
          </w:tcPr>
          <w:p w:rsidR="009221D1" w:rsidRDefault="009221D1" w:rsidP="0073534F">
            <w:pPr>
              <w:pStyle w:val="TableTextRight"/>
              <w:keepNext/>
              <w:keepLines/>
              <w:rPr>
                <w:b w:val="0"/>
              </w:rPr>
            </w:pPr>
            <w:r>
              <w:t>2019–20</w:t>
            </w:r>
          </w:p>
        </w:tc>
        <w:tc>
          <w:tcPr>
            <w:tcW w:w="690" w:type="pct"/>
            <w:vAlign w:val="center"/>
          </w:tcPr>
          <w:p w:rsidR="009221D1" w:rsidRDefault="009221D1" w:rsidP="0073534F">
            <w:pPr>
              <w:pStyle w:val="TableTextRight"/>
              <w:keepNext/>
              <w:keepLines/>
            </w:pPr>
            <w:r>
              <w:t>Total to 2019–20</w:t>
            </w:r>
          </w:p>
        </w:tc>
      </w:tr>
      <w:tr w:rsidR="009221D1" w:rsidTr="0073534F">
        <w:tc>
          <w:tcPr>
            <w:tcW w:w="5000" w:type="pct"/>
            <w:gridSpan w:val="6"/>
            <w:shd w:val="clear" w:color="auto" w:fill="E9ECF3" w:themeFill="accent2" w:themeFillTint="33"/>
            <w:vAlign w:val="center"/>
          </w:tcPr>
          <w:p w:rsidR="009221D1" w:rsidRDefault="009221D1" w:rsidP="0073534F">
            <w:pPr>
              <w:pStyle w:val="TableHeading"/>
            </w:pPr>
            <w:r w:rsidRPr="002C2764">
              <w:t>Limit FTB</w:t>
            </w:r>
            <w:r>
              <w:t>-</w:t>
            </w:r>
            <w:r w:rsidRPr="002C2764">
              <w:t>B for single parents with youngest child aged 13-16 and remove if youngest child aged over 16</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Administered</w:t>
            </w:r>
          </w:p>
        </w:tc>
        <w:tc>
          <w:tcPr>
            <w:tcW w:w="689" w:type="pct"/>
            <w:vAlign w:val="center"/>
          </w:tcPr>
          <w:p w:rsidR="009221D1" w:rsidRPr="00961D42" w:rsidRDefault="009221D1" w:rsidP="0073534F">
            <w:pPr>
              <w:pStyle w:val="TableTextRight"/>
              <w:keepNext/>
              <w:keepLines/>
              <w:rPr>
                <w:i/>
                <w:szCs w:val="24"/>
              </w:rPr>
            </w:pPr>
            <w:r w:rsidRPr="00961D42">
              <w:rPr>
                <w:i/>
              </w:rPr>
              <w:t>-</w:t>
            </w:r>
          </w:p>
        </w:tc>
        <w:tc>
          <w:tcPr>
            <w:tcW w:w="689" w:type="pct"/>
            <w:vAlign w:val="center"/>
          </w:tcPr>
          <w:p w:rsidR="009221D1" w:rsidRPr="00961D42" w:rsidRDefault="009221D1" w:rsidP="0073534F">
            <w:pPr>
              <w:pStyle w:val="TableTextRight"/>
              <w:keepNext/>
              <w:keepLines/>
              <w:rPr>
                <w:i/>
                <w:szCs w:val="24"/>
              </w:rPr>
            </w:pPr>
            <w:r w:rsidRPr="00961D42">
              <w:rPr>
                <w:i/>
              </w:rPr>
              <w:t>-360</w:t>
            </w:r>
          </w:p>
        </w:tc>
        <w:tc>
          <w:tcPr>
            <w:tcW w:w="689" w:type="pct"/>
            <w:vAlign w:val="center"/>
          </w:tcPr>
          <w:p w:rsidR="009221D1" w:rsidRPr="00961D42" w:rsidRDefault="009221D1" w:rsidP="0073534F">
            <w:pPr>
              <w:pStyle w:val="TableTextRight"/>
              <w:keepNext/>
              <w:keepLines/>
              <w:rPr>
                <w:i/>
                <w:szCs w:val="24"/>
              </w:rPr>
            </w:pPr>
            <w:r w:rsidRPr="00961D42">
              <w:rPr>
                <w:i/>
              </w:rPr>
              <w:t>-355</w:t>
            </w:r>
          </w:p>
        </w:tc>
        <w:tc>
          <w:tcPr>
            <w:tcW w:w="689" w:type="pct"/>
            <w:vAlign w:val="center"/>
          </w:tcPr>
          <w:p w:rsidR="009221D1" w:rsidRPr="00961D42" w:rsidRDefault="009221D1" w:rsidP="0073534F">
            <w:pPr>
              <w:pStyle w:val="TableTextRight"/>
              <w:keepNext/>
              <w:keepLines/>
              <w:rPr>
                <w:i/>
                <w:szCs w:val="24"/>
              </w:rPr>
            </w:pPr>
            <w:r w:rsidRPr="00961D42">
              <w:rPr>
                <w:i/>
              </w:rPr>
              <w:t>-360</w:t>
            </w:r>
          </w:p>
        </w:tc>
        <w:tc>
          <w:tcPr>
            <w:tcW w:w="690" w:type="pct"/>
            <w:vAlign w:val="center"/>
          </w:tcPr>
          <w:p w:rsidR="009221D1" w:rsidRPr="00961D42" w:rsidRDefault="009221D1" w:rsidP="0073534F">
            <w:pPr>
              <w:pStyle w:val="TableTextRight"/>
              <w:keepNext/>
              <w:keepLines/>
              <w:rPr>
                <w:b/>
                <w:i/>
                <w:szCs w:val="24"/>
              </w:rPr>
            </w:pPr>
            <w:r w:rsidRPr="00961D42">
              <w:rPr>
                <w:b/>
                <w:i/>
              </w:rPr>
              <w:t>-1,070</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Departmental</w:t>
            </w:r>
          </w:p>
        </w:tc>
        <w:tc>
          <w:tcPr>
            <w:tcW w:w="689" w:type="pct"/>
            <w:vAlign w:val="center"/>
          </w:tcPr>
          <w:p w:rsidR="009221D1" w:rsidRPr="00961D42" w:rsidRDefault="009221D1" w:rsidP="0073534F">
            <w:pPr>
              <w:pStyle w:val="TableTextRight"/>
              <w:keepNext/>
              <w:keepLines/>
              <w:rPr>
                <w:i/>
                <w:szCs w:val="24"/>
              </w:rPr>
            </w:pPr>
            <w:r w:rsidRPr="00961D42">
              <w:rPr>
                <w:i/>
              </w:rPr>
              <w:t>4</w:t>
            </w:r>
          </w:p>
        </w:tc>
        <w:tc>
          <w:tcPr>
            <w:tcW w:w="689" w:type="pct"/>
            <w:vAlign w:val="center"/>
          </w:tcPr>
          <w:p w:rsidR="009221D1" w:rsidRPr="00961D42" w:rsidRDefault="009221D1" w:rsidP="0073534F">
            <w:pPr>
              <w:pStyle w:val="TableTextRight"/>
              <w:keepNext/>
              <w:keepLines/>
              <w:rPr>
                <w:i/>
                <w:szCs w:val="24"/>
              </w:rPr>
            </w:pPr>
            <w:r w:rsidRPr="00961D42">
              <w:rPr>
                <w:i/>
              </w:rPr>
              <w:t>1</w:t>
            </w:r>
          </w:p>
        </w:tc>
        <w:tc>
          <w:tcPr>
            <w:tcW w:w="689" w:type="pct"/>
            <w:vAlign w:val="center"/>
          </w:tcPr>
          <w:p w:rsidR="009221D1" w:rsidRPr="00961D42" w:rsidRDefault="009221D1" w:rsidP="0073534F">
            <w:pPr>
              <w:pStyle w:val="TableTextRight"/>
              <w:keepNext/>
              <w:keepLines/>
              <w:rPr>
                <w:i/>
                <w:szCs w:val="24"/>
              </w:rPr>
            </w:pPr>
            <w:r w:rsidRPr="00961D42">
              <w:rPr>
                <w:i/>
              </w:rPr>
              <w:t>-1</w:t>
            </w:r>
          </w:p>
        </w:tc>
        <w:tc>
          <w:tcPr>
            <w:tcW w:w="689" w:type="pct"/>
            <w:vAlign w:val="center"/>
          </w:tcPr>
          <w:p w:rsidR="009221D1" w:rsidRPr="00961D42" w:rsidRDefault="009221D1" w:rsidP="0073534F">
            <w:pPr>
              <w:pStyle w:val="TableTextRight"/>
              <w:keepNext/>
              <w:keepLines/>
              <w:rPr>
                <w:i/>
                <w:szCs w:val="24"/>
              </w:rPr>
            </w:pPr>
            <w:r w:rsidRPr="00961D42">
              <w:rPr>
                <w:i/>
              </w:rPr>
              <w:t>-1</w:t>
            </w:r>
          </w:p>
        </w:tc>
        <w:tc>
          <w:tcPr>
            <w:tcW w:w="690" w:type="pct"/>
            <w:vAlign w:val="center"/>
          </w:tcPr>
          <w:p w:rsidR="009221D1" w:rsidRPr="00961D42" w:rsidRDefault="009221D1" w:rsidP="0073534F">
            <w:pPr>
              <w:pStyle w:val="TableTextRight"/>
              <w:keepNext/>
              <w:keepLines/>
              <w:rPr>
                <w:b/>
                <w:i/>
                <w:szCs w:val="24"/>
              </w:rPr>
            </w:pPr>
            <w:r w:rsidRPr="00961D42">
              <w:rPr>
                <w:b/>
                <w:i/>
              </w:rPr>
              <w:t>2</w:t>
            </w:r>
          </w:p>
        </w:tc>
      </w:tr>
      <w:tr w:rsidR="009221D1" w:rsidTr="0073534F">
        <w:tc>
          <w:tcPr>
            <w:tcW w:w="1554" w:type="pct"/>
            <w:vAlign w:val="bottom"/>
          </w:tcPr>
          <w:p w:rsidR="009221D1" w:rsidRPr="002C2764" w:rsidRDefault="009221D1" w:rsidP="0073534F">
            <w:pPr>
              <w:keepNext/>
              <w:keepLines/>
              <w:spacing w:before="70" w:after="70"/>
              <w:rPr>
                <w:b/>
                <w:iCs/>
                <w:color w:val="000000"/>
                <w:sz w:val="20"/>
                <w:szCs w:val="24"/>
              </w:rPr>
            </w:pPr>
            <w:r w:rsidRPr="002C2764">
              <w:rPr>
                <w:b/>
                <w:iCs/>
                <w:color w:val="000000"/>
                <w:sz w:val="20"/>
              </w:rPr>
              <w:t>Total</w:t>
            </w:r>
          </w:p>
        </w:tc>
        <w:tc>
          <w:tcPr>
            <w:tcW w:w="689" w:type="pct"/>
            <w:vAlign w:val="center"/>
          </w:tcPr>
          <w:p w:rsidR="009221D1" w:rsidRPr="00961D42" w:rsidRDefault="009221D1" w:rsidP="0073534F">
            <w:pPr>
              <w:pStyle w:val="TableTextRight"/>
              <w:keepNext/>
              <w:keepLines/>
              <w:rPr>
                <w:b/>
                <w:i/>
                <w:szCs w:val="24"/>
              </w:rPr>
            </w:pPr>
            <w:r w:rsidRPr="00961D42">
              <w:rPr>
                <w:b/>
                <w:i/>
              </w:rPr>
              <w:t>4</w:t>
            </w:r>
          </w:p>
        </w:tc>
        <w:tc>
          <w:tcPr>
            <w:tcW w:w="689" w:type="pct"/>
            <w:vAlign w:val="center"/>
          </w:tcPr>
          <w:p w:rsidR="009221D1" w:rsidRPr="00961D42" w:rsidRDefault="009221D1" w:rsidP="0073534F">
            <w:pPr>
              <w:pStyle w:val="TableTextRight"/>
              <w:keepNext/>
              <w:keepLines/>
              <w:rPr>
                <w:b/>
                <w:i/>
                <w:szCs w:val="24"/>
              </w:rPr>
            </w:pPr>
            <w:r w:rsidRPr="00961D42">
              <w:rPr>
                <w:b/>
                <w:i/>
              </w:rPr>
              <w:t>-359</w:t>
            </w:r>
          </w:p>
        </w:tc>
        <w:tc>
          <w:tcPr>
            <w:tcW w:w="689" w:type="pct"/>
            <w:vAlign w:val="center"/>
          </w:tcPr>
          <w:p w:rsidR="009221D1" w:rsidRPr="00961D42" w:rsidRDefault="009221D1" w:rsidP="0073534F">
            <w:pPr>
              <w:pStyle w:val="TableTextRight"/>
              <w:keepNext/>
              <w:keepLines/>
              <w:rPr>
                <w:b/>
                <w:i/>
                <w:szCs w:val="24"/>
              </w:rPr>
            </w:pPr>
            <w:r w:rsidRPr="00961D42">
              <w:rPr>
                <w:b/>
                <w:i/>
              </w:rPr>
              <w:t>-356</w:t>
            </w:r>
          </w:p>
        </w:tc>
        <w:tc>
          <w:tcPr>
            <w:tcW w:w="689" w:type="pct"/>
            <w:vAlign w:val="center"/>
          </w:tcPr>
          <w:p w:rsidR="009221D1" w:rsidRPr="00961D42" w:rsidRDefault="009221D1" w:rsidP="0073534F">
            <w:pPr>
              <w:pStyle w:val="TableTextRight"/>
              <w:keepNext/>
              <w:keepLines/>
              <w:rPr>
                <w:b/>
                <w:i/>
                <w:szCs w:val="24"/>
              </w:rPr>
            </w:pPr>
            <w:r w:rsidRPr="00961D42">
              <w:rPr>
                <w:b/>
                <w:i/>
              </w:rPr>
              <w:t>-361</w:t>
            </w:r>
          </w:p>
        </w:tc>
        <w:tc>
          <w:tcPr>
            <w:tcW w:w="690" w:type="pct"/>
            <w:vAlign w:val="center"/>
          </w:tcPr>
          <w:p w:rsidR="009221D1" w:rsidRPr="00961D42" w:rsidRDefault="009221D1" w:rsidP="0073534F">
            <w:pPr>
              <w:pStyle w:val="TableTextRight"/>
              <w:keepNext/>
              <w:keepLines/>
              <w:rPr>
                <w:b/>
                <w:i/>
                <w:szCs w:val="24"/>
              </w:rPr>
            </w:pPr>
            <w:r w:rsidRPr="00961D42">
              <w:rPr>
                <w:b/>
                <w:i/>
              </w:rPr>
              <w:t>-1,068</w:t>
            </w:r>
          </w:p>
        </w:tc>
      </w:tr>
      <w:tr w:rsidR="009221D1" w:rsidTr="0073534F">
        <w:tc>
          <w:tcPr>
            <w:tcW w:w="5000" w:type="pct"/>
            <w:gridSpan w:val="6"/>
            <w:shd w:val="clear" w:color="auto" w:fill="E9ECF3" w:themeFill="accent2" w:themeFillTint="33"/>
            <w:vAlign w:val="center"/>
          </w:tcPr>
          <w:p w:rsidR="009221D1" w:rsidRPr="00961D42" w:rsidRDefault="009221D1" w:rsidP="0073534F">
            <w:pPr>
              <w:pStyle w:val="TableHeading"/>
            </w:pPr>
            <w:r w:rsidRPr="002C2764">
              <w:t>Phase out the FTB supplements</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Administered</w:t>
            </w:r>
          </w:p>
        </w:tc>
        <w:tc>
          <w:tcPr>
            <w:tcW w:w="689" w:type="pct"/>
            <w:vAlign w:val="center"/>
          </w:tcPr>
          <w:p w:rsidR="009221D1" w:rsidRPr="00961D42" w:rsidRDefault="009221D1" w:rsidP="0073534F">
            <w:pPr>
              <w:pStyle w:val="TableTextRight"/>
              <w:keepNext/>
              <w:keepLines/>
              <w:rPr>
                <w:i/>
                <w:szCs w:val="24"/>
              </w:rPr>
            </w:pPr>
            <w:r w:rsidRPr="00961D42">
              <w:rPr>
                <w:i/>
              </w:rPr>
              <w:t>-415</w:t>
            </w:r>
          </w:p>
        </w:tc>
        <w:tc>
          <w:tcPr>
            <w:tcW w:w="689" w:type="pct"/>
            <w:vAlign w:val="center"/>
          </w:tcPr>
          <w:p w:rsidR="009221D1" w:rsidRPr="00961D42" w:rsidRDefault="009221D1" w:rsidP="0073534F">
            <w:pPr>
              <w:pStyle w:val="TableTextRight"/>
              <w:keepNext/>
              <w:keepLines/>
              <w:rPr>
                <w:i/>
                <w:szCs w:val="24"/>
              </w:rPr>
            </w:pPr>
            <w:r w:rsidRPr="00961D42">
              <w:rPr>
                <w:i/>
              </w:rPr>
              <w:t>-1,515</w:t>
            </w:r>
          </w:p>
        </w:tc>
        <w:tc>
          <w:tcPr>
            <w:tcW w:w="689" w:type="pct"/>
            <w:vAlign w:val="center"/>
          </w:tcPr>
          <w:p w:rsidR="009221D1" w:rsidRPr="00961D42" w:rsidRDefault="009221D1" w:rsidP="0073534F">
            <w:pPr>
              <w:pStyle w:val="TableTextRight"/>
              <w:keepNext/>
              <w:keepLines/>
              <w:rPr>
                <w:i/>
                <w:szCs w:val="24"/>
              </w:rPr>
            </w:pPr>
            <w:r w:rsidRPr="00961D42">
              <w:rPr>
                <w:i/>
              </w:rPr>
              <w:t>-2,635</w:t>
            </w:r>
          </w:p>
        </w:tc>
        <w:tc>
          <w:tcPr>
            <w:tcW w:w="689" w:type="pct"/>
            <w:vAlign w:val="center"/>
          </w:tcPr>
          <w:p w:rsidR="009221D1" w:rsidRPr="00961D42" w:rsidRDefault="009221D1" w:rsidP="0073534F">
            <w:pPr>
              <w:pStyle w:val="TableTextRight"/>
              <w:keepNext/>
              <w:keepLines/>
              <w:rPr>
                <w:i/>
                <w:szCs w:val="24"/>
              </w:rPr>
            </w:pPr>
            <w:r w:rsidRPr="00961D42">
              <w:rPr>
                <w:i/>
              </w:rPr>
              <w:t>-2,650</w:t>
            </w:r>
          </w:p>
        </w:tc>
        <w:tc>
          <w:tcPr>
            <w:tcW w:w="690" w:type="pct"/>
            <w:vAlign w:val="center"/>
          </w:tcPr>
          <w:p w:rsidR="009221D1" w:rsidRPr="00961D42" w:rsidRDefault="009221D1" w:rsidP="0073534F">
            <w:pPr>
              <w:pStyle w:val="TableTextRight"/>
              <w:keepNext/>
              <w:keepLines/>
              <w:rPr>
                <w:b/>
                <w:i/>
                <w:szCs w:val="24"/>
              </w:rPr>
            </w:pPr>
            <w:r w:rsidRPr="00961D42">
              <w:rPr>
                <w:b/>
                <w:i/>
              </w:rPr>
              <w:t>-7,220</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center"/>
          </w:tcPr>
          <w:p w:rsidR="009221D1" w:rsidRPr="00961D42" w:rsidRDefault="009221D1" w:rsidP="0073534F">
            <w:pPr>
              <w:pStyle w:val="TableTextRight"/>
              <w:rPr>
                <w:i/>
                <w:szCs w:val="24"/>
              </w:rPr>
            </w:pPr>
            <w:r w:rsidRPr="00961D42">
              <w:rPr>
                <w:i/>
              </w:rPr>
              <w:t>5</w:t>
            </w:r>
          </w:p>
        </w:tc>
        <w:tc>
          <w:tcPr>
            <w:tcW w:w="689" w:type="pct"/>
            <w:vAlign w:val="center"/>
          </w:tcPr>
          <w:p w:rsidR="009221D1" w:rsidRPr="00961D42" w:rsidRDefault="009221D1" w:rsidP="0073534F">
            <w:pPr>
              <w:pStyle w:val="TableTextRight"/>
              <w:rPr>
                <w:i/>
                <w:szCs w:val="24"/>
              </w:rPr>
            </w:pPr>
            <w:r w:rsidRPr="00961D42">
              <w:rPr>
                <w:i/>
              </w:rPr>
              <w:t>18</w:t>
            </w:r>
          </w:p>
        </w:tc>
        <w:tc>
          <w:tcPr>
            <w:tcW w:w="689" w:type="pct"/>
            <w:vAlign w:val="center"/>
          </w:tcPr>
          <w:p w:rsidR="009221D1" w:rsidRPr="00961D42" w:rsidRDefault="009221D1" w:rsidP="0073534F">
            <w:pPr>
              <w:pStyle w:val="TableTextRight"/>
              <w:rPr>
                <w:i/>
                <w:szCs w:val="24"/>
              </w:rPr>
            </w:pPr>
            <w:r w:rsidRPr="00961D42">
              <w:rPr>
                <w:i/>
              </w:rPr>
              <w:t>29</w:t>
            </w:r>
          </w:p>
        </w:tc>
        <w:tc>
          <w:tcPr>
            <w:tcW w:w="689" w:type="pct"/>
            <w:vAlign w:val="center"/>
          </w:tcPr>
          <w:p w:rsidR="009221D1" w:rsidRPr="00961D42" w:rsidRDefault="009221D1" w:rsidP="0073534F">
            <w:pPr>
              <w:pStyle w:val="TableTextRight"/>
              <w:rPr>
                <w:i/>
                <w:szCs w:val="24"/>
              </w:rPr>
            </w:pPr>
            <w:r w:rsidRPr="00961D42">
              <w:rPr>
                <w:i/>
              </w:rPr>
              <w:t>39</w:t>
            </w:r>
          </w:p>
        </w:tc>
        <w:tc>
          <w:tcPr>
            <w:tcW w:w="690" w:type="pct"/>
            <w:vAlign w:val="center"/>
          </w:tcPr>
          <w:p w:rsidR="009221D1" w:rsidRPr="00961D42" w:rsidRDefault="009221D1" w:rsidP="0073534F">
            <w:pPr>
              <w:pStyle w:val="TableTextRight"/>
              <w:rPr>
                <w:b/>
                <w:i/>
                <w:szCs w:val="24"/>
              </w:rPr>
            </w:pPr>
            <w:r w:rsidRPr="00961D42">
              <w:rPr>
                <w:b/>
                <w:i/>
              </w:rPr>
              <w:t>90</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center"/>
          </w:tcPr>
          <w:p w:rsidR="009221D1" w:rsidRPr="00961D42" w:rsidRDefault="009221D1" w:rsidP="0073534F">
            <w:pPr>
              <w:pStyle w:val="TableTextRight"/>
              <w:rPr>
                <w:b/>
                <w:i/>
                <w:szCs w:val="24"/>
              </w:rPr>
            </w:pPr>
            <w:r w:rsidRPr="00961D42">
              <w:rPr>
                <w:b/>
                <w:i/>
              </w:rPr>
              <w:t>-410</w:t>
            </w:r>
          </w:p>
        </w:tc>
        <w:tc>
          <w:tcPr>
            <w:tcW w:w="689" w:type="pct"/>
            <w:vAlign w:val="center"/>
          </w:tcPr>
          <w:p w:rsidR="009221D1" w:rsidRPr="00961D42" w:rsidRDefault="009221D1" w:rsidP="0073534F">
            <w:pPr>
              <w:pStyle w:val="TableTextRight"/>
              <w:rPr>
                <w:b/>
                <w:i/>
                <w:szCs w:val="24"/>
              </w:rPr>
            </w:pPr>
            <w:r w:rsidRPr="00961D42">
              <w:rPr>
                <w:b/>
                <w:i/>
              </w:rPr>
              <w:t>-1,497</w:t>
            </w:r>
          </w:p>
        </w:tc>
        <w:tc>
          <w:tcPr>
            <w:tcW w:w="689" w:type="pct"/>
            <w:vAlign w:val="center"/>
          </w:tcPr>
          <w:p w:rsidR="009221D1" w:rsidRPr="00961D42" w:rsidRDefault="009221D1" w:rsidP="0073534F">
            <w:pPr>
              <w:pStyle w:val="TableTextRight"/>
              <w:rPr>
                <w:b/>
                <w:i/>
                <w:szCs w:val="24"/>
              </w:rPr>
            </w:pPr>
            <w:r w:rsidRPr="00961D42">
              <w:rPr>
                <w:b/>
                <w:i/>
              </w:rPr>
              <w:t>-2,606</w:t>
            </w:r>
          </w:p>
        </w:tc>
        <w:tc>
          <w:tcPr>
            <w:tcW w:w="689" w:type="pct"/>
            <w:vAlign w:val="center"/>
          </w:tcPr>
          <w:p w:rsidR="009221D1" w:rsidRPr="00961D42" w:rsidRDefault="009221D1" w:rsidP="0073534F">
            <w:pPr>
              <w:pStyle w:val="TableTextRight"/>
              <w:rPr>
                <w:b/>
                <w:i/>
                <w:szCs w:val="24"/>
              </w:rPr>
            </w:pPr>
            <w:r w:rsidRPr="00961D42">
              <w:rPr>
                <w:b/>
                <w:i/>
              </w:rPr>
              <w:t>-2,611</w:t>
            </w:r>
          </w:p>
        </w:tc>
        <w:tc>
          <w:tcPr>
            <w:tcW w:w="690" w:type="pct"/>
            <w:vAlign w:val="center"/>
          </w:tcPr>
          <w:p w:rsidR="009221D1" w:rsidRPr="00961D42" w:rsidRDefault="009221D1" w:rsidP="0073534F">
            <w:pPr>
              <w:pStyle w:val="TableTextRight"/>
              <w:rPr>
                <w:b/>
                <w:i/>
                <w:szCs w:val="24"/>
              </w:rPr>
            </w:pPr>
            <w:r w:rsidRPr="00961D42">
              <w:rPr>
                <w:b/>
                <w:i/>
              </w:rPr>
              <w:t>-7,130</w:t>
            </w:r>
          </w:p>
        </w:tc>
      </w:tr>
      <w:tr w:rsidR="009221D1" w:rsidTr="0073534F">
        <w:tc>
          <w:tcPr>
            <w:tcW w:w="5000" w:type="pct"/>
            <w:gridSpan w:val="6"/>
            <w:shd w:val="clear" w:color="auto" w:fill="E9ECF3" w:themeFill="accent2" w:themeFillTint="33"/>
            <w:vAlign w:val="center"/>
          </w:tcPr>
          <w:p w:rsidR="009221D1" w:rsidRDefault="009221D1" w:rsidP="0073534F">
            <w:pPr>
              <w:pStyle w:val="TableHeading"/>
            </w:pPr>
            <w:r w:rsidRPr="002C2764">
              <w:rPr>
                <w:bCs/>
                <w:iCs/>
                <w:color w:val="000000"/>
              </w:rPr>
              <w:t>Increase maximum rate of FTB</w:t>
            </w:r>
            <w:r>
              <w:rPr>
                <w:bCs/>
                <w:iCs/>
                <w:color w:val="000000"/>
              </w:rPr>
              <w:t>-</w:t>
            </w:r>
            <w:r w:rsidRPr="002C2764">
              <w:rPr>
                <w:bCs/>
                <w:iCs/>
                <w:color w:val="000000"/>
              </w:rPr>
              <w:t>A by $10.08 from 1 July 2018</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Administered</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645</w:t>
            </w:r>
          </w:p>
        </w:tc>
        <w:tc>
          <w:tcPr>
            <w:tcW w:w="689" w:type="pct"/>
            <w:vAlign w:val="center"/>
          </w:tcPr>
          <w:p w:rsidR="009221D1" w:rsidRPr="00961D42" w:rsidRDefault="009221D1" w:rsidP="0073534F">
            <w:pPr>
              <w:pStyle w:val="TableTextRight"/>
              <w:rPr>
                <w:i/>
                <w:szCs w:val="24"/>
              </w:rPr>
            </w:pPr>
            <w:r w:rsidRPr="00961D42">
              <w:rPr>
                <w:i/>
              </w:rPr>
              <w:t>645</w:t>
            </w:r>
          </w:p>
        </w:tc>
        <w:tc>
          <w:tcPr>
            <w:tcW w:w="690" w:type="pct"/>
            <w:vAlign w:val="center"/>
          </w:tcPr>
          <w:p w:rsidR="009221D1" w:rsidRPr="00961D42" w:rsidRDefault="009221D1" w:rsidP="0073534F">
            <w:pPr>
              <w:pStyle w:val="TableTextRight"/>
              <w:rPr>
                <w:b/>
                <w:i/>
                <w:szCs w:val="24"/>
              </w:rPr>
            </w:pPr>
            <w:r w:rsidRPr="00961D42">
              <w:rPr>
                <w:b/>
                <w:i/>
              </w:rPr>
              <w:t>1,290</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-1</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w:t>
            </w:r>
          </w:p>
        </w:tc>
        <w:tc>
          <w:tcPr>
            <w:tcW w:w="690" w:type="pct"/>
            <w:vAlign w:val="center"/>
          </w:tcPr>
          <w:p w:rsidR="009221D1" w:rsidRPr="00961D42" w:rsidRDefault="009221D1" w:rsidP="0073534F">
            <w:pPr>
              <w:pStyle w:val="TableTextRight"/>
              <w:rPr>
                <w:b/>
                <w:i/>
                <w:szCs w:val="24"/>
              </w:rPr>
            </w:pPr>
            <w:r w:rsidRPr="00961D42">
              <w:rPr>
                <w:b/>
                <w:i/>
              </w:rPr>
              <w:t>-1</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center"/>
          </w:tcPr>
          <w:p w:rsidR="009221D1" w:rsidRPr="00961D42" w:rsidRDefault="009221D1" w:rsidP="0073534F">
            <w:pPr>
              <w:pStyle w:val="TableTextRight"/>
              <w:rPr>
                <w:b/>
                <w:i/>
                <w:szCs w:val="24"/>
              </w:rPr>
            </w:pPr>
            <w:r w:rsidRPr="00961D42">
              <w:rPr>
                <w:b/>
                <w:i/>
              </w:rPr>
              <w:t>-</w:t>
            </w:r>
          </w:p>
        </w:tc>
        <w:tc>
          <w:tcPr>
            <w:tcW w:w="689" w:type="pct"/>
            <w:vAlign w:val="center"/>
          </w:tcPr>
          <w:p w:rsidR="009221D1" w:rsidRPr="00961D42" w:rsidRDefault="009221D1" w:rsidP="0073534F">
            <w:pPr>
              <w:pStyle w:val="TableTextRight"/>
              <w:rPr>
                <w:b/>
                <w:i/>
                <w:szCs w:val="24"/>
              </w:rPr>
            </w:pPr>
            <w:r w:rsidRPr="00961D42">
              <w:rPr>
                <w:b/>
                <w:i/>
              </w:rPr>
              <w:t>-1</w:t>
            </w:r>
          </w:p>
        </w:tc>
        <w:tc>
          <w:tcPr>
            <w:tcW w:w="689" w:type="pct"/>
            <w:vAlign w:val="center"/>
          </w:tcPr>
          <w:p w:rsidR="009221D1" w:rsidRPr="00961D42" w:rsidRDefault="009221D1" w:rsidP="0073534F">
            <w:pPr>
              <w:pStyle w:val="TableTextRight"/>
              <w:rPr>
                <w:b/>
                <w:i/>
                <w:szCs w:val="24"/>
              </w:rPr>
            </w:pPr>
            <w:r w:rsidRPr="00961D42">
              <w:rPr>
                <w:b/>
                <w:i/>
              </w:rPr>
              <w:t>645</w:t>
            </w:r>
          </w:p>
        </w:tc>
        <w:tc>
          <w:tcPr>
            <w:tcW w:w="689" w:type="pct"/>
            <w:vAlign w:val="center"/>
          </w:tcPr>
          <w:p w:rsidR="009221D1" w:rsidRPr="00961D42" w:rsidRDefault="009221D1" w:rsidP="0073534F">
            <w:pPr>
              <w:pStyle w:val="TableTextRight"/>
              <w:rPr>
                <w:b/>
                <w:i/>
                <w:szCs w:val="24"/>
              </w:rPr>
            </w:pPr>
            <w:r w:rsidRPr="00961D42">
              <w:rPr>
                <w:b/>
                <w:i/>
              </w:rPr>
              <w:t>645</w:t>
            </w:r>
          </w:p>
        </w:tc>
        <w:tc>
          <w:tcPr>
            <w:tcW w:w="690" w:type="pct"/>
            <w:vAlign w:val="center"/>
          </w:tcPr>
          <w:p w:rsidR="009221D1" w:rsidRPr="00961D42" w:rsidRDefault="009221D1" w:rsidP="0073534F">
            <w:pPr>
              <w:pStyle w:val="TableTextRight"/>
              <w:rPr>
                <w:b/>
                <w:i/>
                <w:szCs w:val="24"/>
              </w:rPr>
            </w:pPr>
            <w:r w:rsidRPr="00961D42">
              <w:rPr>
                <w:b/>
                <w:i/>
              </w:rPr>
              <w:t>1,289</w:t>
            </w:r>
          </w:p>
        </w:tc>
      </w:tr>
      <w:tr w:rsidR="009221D1" w:rsidTr="0073534F">
        <w:tc>
          <w:tcPr>
            <w:tcW w:w="5000" w:type="pct"/>
            <w:gridSpan w:val="6"/>
            <w:shd w:val="clear" w:color="auto" w:fill="E9ECF3" w:themeFill="accent2" w:themeFillTint="33"/>
            <w:vAlign w:val="center"/>
          </w:tcPr>
          <w:p w:rsidR="009221D1" w:rsidRPr="002C2764" w:rsidRDefault="009221D1" w:rsidP="0073534F">
            <w:pPr>
              <w:pStyle w:val="TableHeading"/>
            </w:pPr>
            <w:r w:rsidRPr="002C2764">
              <w:t>Increase rates for income support recipients aged under 18 by $10.44 from 1 July 2018</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Administered</w:t>
            </w:r>
          </w:p>
        </w:tc>
        <w:tc>
          <w:tcPr>
            <w:tcW w:w="689" w:type="pct"/>
            <w:vAlign w:val="center"/>
          </w:tcPr>
          <w:p w:rsidR="009221D1" w:rsidRPr="00961D42" w:rsidRDefault="009221D1" w:rsidP="0073534F">
            <w:pPr>
              <w:pStyle w:val="TableTextRight"/>
              <w:rPr>
                <w:i/>
                <w:szCs w:val="24"/>
              </w:rPr>
            </w:pPr>
            <w:r>
              <w:rPr>
                <w:i/>
              </w:rPr>
              <w:t>-</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5</w:t>
            </w:r>
          </w:p>
        </w:tc>
        <w:tc>
          <w:tcPr>
            <w:tcW w:w="689" w:type="pct"/>
            <w:vAlign w:val="center"/>
          </w:tcPr>
          <w:p w:rsidR="009221D1" w:rsidRPr="00961D42" w:rsidRDefault="009221D1" w:rsidP="0073534F">
            <w:pPr>
              <w:pStyle w:val="TableTextRight"/>
              <w:rPr>
                <w:i/>
                <w:szCs w:val="24"/>
              </w:rPr>
            </w:pPr>
            <w:r w:rsidRPr="00961D42">
              <w:rPr>
                <w:i/>
              </w:rPr>
              <w:t>5</w:t>
            </w:r>
          </w:p>
        </w:tc>
        <w:tc>
          <w:tcPr>
            <w:tcW w:w="690" w:type="pct"/>
            <w:vAlign w:val="center"/>
          </w:tcPr>
          <w:p w:rsidR="009221D1" w:rsidRPr="00961D42" w:rsidRDefault="009221D1" w:rsidP="0073534F">
            <w:pPr>
              <w:pStyle w:val="TableTextRight"/>
              <w:rPr>
                <w:b/>
                <w:i/>
                <w:szCs w:val="24"/>
              </w:rPr>
            </w:pPr>
            <w:r w:rsidRPr="00961D42">
              <w:rPr>
                <w:b/>
                <w:i/>
              </w:rPr>
              <w:t>10</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221D1" w:rsidP="0073534F">
            <w:pPr>
              <w:pStyle w:val="TableTextRight"/>
              <w:rPr>
                <w:i/>
                <w:szCs w:val="24"/>
              </w:rPr>
            </w:pPr>
            <w:r w:rsidRPr="00961D42">
              <w:rPr>
                <w:i/>
              </w:rPr>
              <w:t>-</w:t>
            </w:r>
          </w:p>
        </w:tc>
        <w:tc>
          <w:tcPr>
            <w:tcW w:w="689" w:type="pct"/>
            <w:vAlign w:val="center"/>
          </w:tcPr>
          <w:p w:rsidR="009221D1" w:rsidRPr="00961D42" w:rsidRDefault="009A3B0A" w:rsidP="0073534F">
            <w:pPr>
              <w:pStyle w:val="TableTextRight"/>
              <w:rPr>
                <w:i/>
                <w:szCs w:val="24"/>
              </w:rPr>
            </w:pPr>
            <w:r>
              <w:rPr>
                <w:i/>
              </w:rPr>
              <w:t>-</w:t>
            </w:r>
            <w:r w:rsidR="009221D1" w:rsidRPr="00961D42">
              <w:rPr>
                <w:i/>
              </w:rPr>
              <w:t xml:space="preserve"> </w:t>
            </w:r>
          </w:p>
        </w:tc>
        <w:tc>
          <w:tcPr>
            <w:tcW w:w="690" w:type="pct"/>
            <w:vAlign w:val="center"/>
          </w:tcPr>
          <w:p w:rsidR="009221D1" w:rsidRPr="00961D42" w:rsidRDefault="009221D1" w:rsidP="0073534F">
            <w:pPr>
              <w:pStyle w:val="TableTextRight"/>
              <w:rPr>
                <w:b/>
                <w:i/>
                <w:szCs w:val="24"/>
              </w:rPr>
            </w:pPr>
            <w:r w:rsidRPr="00961D42">
              <w:rPr>
                <w:b/>
                <w:i/>
              </w:rPr>
              <w:t>-</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center"/>
          </w:tcPr>
          <w:p w:rsidR="009221D1" w:rsidRPr="00961D42" w:rsidRDefault="009221D1" w:rsidP="0073534F">
            <w:pPr>
              <w:pStyle w:val="TableTextRight"/>
              <w:rPr>
                <w:b/>
                <w:i/>
                <w:szCs w:val="24"/>
              </w:rPr>
            </w:pPr>
            <w:r w:rsidRPr="00961D42">
              <w:rPr>
                <w:b/>
                <w:i/>
              </w:rPr>
              <w:t>-</w:t>
            </w:r>
          </w:p>
        </w:tc>
        <w:tc>
          <w:tcPr>
            <w:tcW w:w="689" w:type="pct"/>
            <w:vAlign w:val="center"/>
          </w:tcPr>
          <w:p w:rsidR="009221D1" w:rsidRPr="00961D42" w:rsidRDefault="009221D1" w:rsidP="0073534F">
            <w:pPr>
              <w:pStyle w:val="TableTextRight"/>
              <w:rPr>
                <w:b/>
                <w:i/>
                <w:szCs w:val="24"/>
              </w:rPr>
            </w:pPr>
            <w:r w:rsidRPr="00961D42">
              <w:rPr>
                <w:b/>
                <w:i/>
              </w:rPr>
              <w:t>-</w:t>
            </w:r>
          </w:p>
        </w:tc>
        <w:tc>
          <w:tcPr>
            <w:tcW w:w="689" w:type="pct"/>
            <w:vAlign w:val="center"/>
          </w:tcPr>
          <w:p w:rsidR="009221D1" w:rsidRPr="00961D42" w:rsidRDefault="009221D1" w:rsidP="0073534F">
            <w:pPr>
              <w:pStyle w:val="TableTextRight"/>
              <w:rPr>
                <w:b/>
                <w:i/>
                <w:szCs w:val="24"/>
              </w:rPr>
            </w:pPr>
            <w:r w:rsidRPr="00961D42">
              <w:rPr>
                <w:b/>
                <w:i/>
              </w:rPr>
              <w:t xml:space="preserve"> 5</w:t>
            </w:r>
          </w:p>
        </w:tc>
        <w:tc>
          <w:tcPr>
            <w:tcW w:w="689" w:type="pct"/>
            <w:vAlign w:val="center"/>
          </w:tcPr>
          <w:p w:rsidR="009221D1" w:rsidRPr="00961D42" w:rsidRDefault="009221D1" w:rsidP="0073534F">
            <w:pPr>
              <w:pStyle w:val="TableTextRight"/>
              <w:rPr>
                <w:b/>
                <w:i/>
                <w:szCs w:val="24"/>
              </w:rPr>
            </w:pPr>
            <w:r>
              <w:rPr>
                <w:b/>
                <w:i/>
              </w:rPr>
              <w:t>5</w:t>
            </w:r>
          </w:p>
        </w:tc>
        <w:tc>
          <w:tcPr>
            <w:tcW w:w="690" w:type="pct"/>
            <w:vAlign w:val="center"/>
          </w:tcPr>
          <w:p w:rsidR="009221D1" w:rsidRPr="00961D42" w:rsidRDefault="009221D1" w:rsidP="0073534F">
            <w:pPr>
              <w:pStyle w:val="TableTextRight"/>
              <w:rPr>
                <w:b/>
                <w:i/>
                <w:szCs w:val="24"/>
              </w:rPr>
            </w:pPr>
            <w:r w:rsidRPr="00961D42">
              <w:rPr>
                <w:b/>
                <w:i/>
              </w:rPr>
              <w:t>10</w:t>
            </w:r>
          </w:p>
        </w:tc>
      </w:tr>
      <w:tr w:rsidR="009221D1" w:rsidRPr="007C2713" w:rsidTr="0073534F">
        <w:tc>
          <w:tcPr>
            <w:tcW w:w="1554" w:type="pct"/>
            <w:shd w:val="clear" w:color="auto" w:fill="D7DDE9" w:themeFill="accent3"/>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shd w:val="clear" w:color="auto" w:fill="D7DDE9" w:themeFill="accent3"/>
            <w:vAlign w:val="center"/>
          </w:tcPr>
          <w:p w:rsidR="009221D1" w:rsidRPr="00604B03" w:rsidRDefault="009221D1" w:rsidP="0073534F">
            <w:pPr>
              <w:spacing w:before="70" w:after="70"/>
              <w:jc w:val="right"/>
              <w:rPr>
                <w:b/>
                <w:bCs/>
                <w:color w:val="000000"/>
                <w:sz w:val="20"/>
                <w:szCs w:val="24"/>
              </w:rPr>
            </w:pPr>
            <w:r w:rsidRPr="00604B03">
              <w:rPr>
                <w:b/>
                <w:bCs/>
                <w:color w:val="000000"/>
                <w:sz w:val="20"/>
              </w:rPr>
              <w:t>-406</w:t>
            </w:r>
          </w:p>
        </w:tc>
        <w:tc>
          <w:tcPr>
            <w:tcW w:w="689" w:type="pct"/>
            <w:shd w:val="clear" w:color="auto" w:fill="D7DDE9" w:themeFill="accent3"/>
            <w:vAlign w:val="center"/>
          </w:tcPr>
          <w:p w:rsidR="009221D1" w:rsidRPr="00604B03" w:rsidRDefault="009221D1" w:rsidP="0073534F">
            <w:pPr>
              <w:spacing w:before="70" w:after="70"/>
              <w:jc w:val="right"/>
              <w:rPr>
                <w:b/>
                <w:bCs/>
                <w:color w:val="000000"/>
                <w:sz w:val="20"/>
                <w:szCs w:val="24"/>
              </w:rPr>
            </w:pPr>
            <w:r w:rsidRPr="00604B03">
              <w:rPr>
                <w:b/>
                <w:bCs/>
                <w:color w:val="000000"/>
                <w:sz w:val="20"/>
              </w:rPr>
              <w:t>-1,857</w:t>
            </w:r>
          </w:p>
        </w:tc>
        <w:tc>
          <w:tcPr>
            <w:tcW w:w="689" w:type="pct"/>
            <w:shd w:val="clear" w:color="auto" w:fill="D7DDE9" w:themeFill="accent3"/>
            <w:vAlign w:val="center"/>
          </w:tcPr>
          <w:p w:rsidR="009221D1" w:rsidRPr="00604B03" w:rsidRDefault="009221D1" w:rsidP="0073534F">
            <w:pPr>
              <w:spacing w:before="70" w:after="70"/>
              <w:jc w:val="right"/>
              <w:rPr>
                <w:b/>
                <w:bCs/>
                <w:color w:val="000000"/>
                <w:sz w:val="20"/>
                <w:szCs w:val="24"/>
              </w:rPr>
            </w:pPr>
            <w:r w:rsidRPr="00604B03">
              <w:rPr>
                <w:b/>
                <w:bCs/>
                <w:color w:val="000000"/>
                <w:sz w:val="20"/>
              </w:rPr>
              <w:t>-2,312</w:t>
            </w:r>
          </w:p>
        </w:tc>
        <w:tc>
          <w:tcPr>
            <w:tcW w:w="689" w:type="pct"/>
            <w:shd w:val="clear" w:color="auto" w:fill="D7DDE9" w:themeFill="accent3"/>
            <w:vAlign w:val="center"/>
          </w:tcPr>
          <w:p w:rsidR="009221D1" w:rsidRPr="00604B03" w:rsidRDefault="009221D1" w:rsidP="0073534F">
            <w:pPr>
              <w:spacing w:before="70" w:after="70"/>
              <w:jc w:val="right"/>
              <w:rPr>
                <w:b/>
                <w:bCs/>
                <w:color w:val="000000"/>
                <w:sz w:val="20"/>
                <w:szCs w:val="24"/>
              </w:rPr>
            </w:pPr>
            <w:r w:rsidRPr="00604B03">
              <w:rPr>
                <w:b/>
                <w:bCs/>
                <w:color w:val="000000"/>
                <w:sz w:val="20"/>
              </w:rPr>
              <w:t>-2,322</w:t>
            </w:r>
          </w:p>
        </w:tc>
        <w:tc>
          <w:tcPr>
            <w:tcW w:w="690" w:type="pct"/>
            <w:shd w:val="clear" w:color="auto" w:fill="D7DDE9" w:themeFill="accent3"/>
            <w:vAlign w:val="center"/>
          </w:tcPr>
          <w:p w:rsidR="009221D1" w:rsidRPr="00604B03" w:rsidRDefault="009221D1" w:rsidP="0073534F">
            <w:pPr>
              <w:spacing w:before="70" w:after="70"/>
              <w:jc w:val="right"/>
              <w:rPr>
                <w:b/>
                <w:bCs/>
                <w:color w:val="000000"/>
                <w:sz w:val="20"/>
                <w:szCs w:val="24"/>
              </w:rPr>
            </w:pPr>
            <w:r w:rsidRPr="00604B03">
              <w:rPr>
                <w:b/>
                <w:bCs/>
                <w:color w:val="000000"/>
                <w:sz w:val="20"/>
              </w:rPr>
              <w:t>-6,899</w:t>
            </w:r>
          </w:p>
        </w:tc>
      </w:tr>
    </w:tbl>
    <w:p w:rsidR="009221D1" w:rsidRPr="00465672" w:rsidRDefault="009221D1" w:rsidP="00C241CC">
      <w:pPr>
        <w:pStyle w:val="Footnotes"/>
        <w:numPr>
          <w:ilvl w:val="0"/>
          <w:numId w:val="165"/>
        </w:numPr>
        <w:ind w:left="284" w:hanging="284"/>
      </w:pPr>
      <w:r w:rsidRPr="00465672">
        <w:t>A positive number indicates an increase in revenue or a decrease in expenses or net capital investment in accrual terms.  A negative number indicates a decrease in revenue or an increase in expenses or net capital investment in accrual terms.</w:t>
      </w:r>
    </w:p>
    <w:p w:rsidR="009221D1" w:rsidRPr="005F544A" w:rsidRDefault="009221D1" w:rsidP="00C241CC">
      <w:pPr>
        <w:pStyle w:val="Footnotes"/>
        <w:spacing w:after="120"/>
        <w:ind w:left="284" w:hanging="284"/>
      </w:pPr>
      <w:r w:rsidRPr="005F544A">
        <w:t>Figures may not sum to totals due to rounding.</w:t>
      </w:r>
    </w:p>
    <w:p w:rsidR="009221D1" w:rsidRPr="005F544A" w:rsidRDefault="009221D1" w:rsidP="00C241CC">
      <w:pPr>
        <w:pStyle w:val="Footnotes"/>
        <w:numPr>
          <w:ilvl w:val="0"/>
          <w:numId w:val="0"/>
        </w:numPr>
        <w:ind w:left="284" w:hanging="284"/>
      </w:pPr>
      <w:r w:rsidRPr="005F544A">
        <w:t>..</w:t>
      </w:r>
      <w:r w:rsidRPr="005F544A">
        <w:tab/>
        <w:t>Not zero but rounded to zero.</w:t>
      </w:r>
    </w:p>
    <w:p w:rsidR="009221D1" w:rsidRDefault="009221D1" w:rsidP="00C241CC">
      <w:pPr>
        <w:pStyle w:val="Footnotes"/>
        <w:numPr>
          <w:ilvl w:val="0"/>
          <w:numId w:val="0"/>
        </w:numPr>
        <w:ind w:left="284" w:hanging="284"/>
      </w:pPr>
      <w:r w:rsidRPr="005F544A">
        <w:t>-</w:t>
      </w:r>
      <w:r w:rsidRPr="005F544A">
        <w:tab/>
        <w:t>Indicates nil.</w:t>
      </w:r>
    </w:p>
    <w:p w:rsidR="009221D1" w:rsidRPr="00465672" w:rsidRDefault="009221D1" w:rsidP="009221D1">
      <w:pPr>
        <w:pStyle w:val="Caption"/>
      </w:pPr>
      <w:r w:rsidRPr="002B36F1">
        <w:t xml:space="preserve">Table </w:t>
      </w:r>
      <w:r>
        <w:t>A2</w:t>
      </w:r>
      <w:r w:rsidRPr="002B36F1">
        <w:t>:</w:t>
      </w:r>
      <w:r>
        <w:t xml:space="preserve"> </w:t>
      </w:r>
      <w:r w:rsidRPr="00C82706">
        <w:t>Reversing cuts to Family Payments</w:t>
      </w:r>
      <w:r>
        <w:t>—Underlying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221D1" w:rsidTr="0073534F">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221D1" w:rsidRPr="007C2713" w:rsidRDefault="009221D1" w:rsidP="0073534F">
            <w:pPr>
              <w:pStyle w:val="TableText"/>
              <w:keepNext/>
              <w:keepLines/>
              <w:rPr>
                <w:b w:val="0"/>
              </w:rPr>
            </w:pPr>
            <w:r>
              <w:t>($)</w:t>
            </w:r>
          </w:p>
        </w:tc>
        <w:tc>
          <w:tcPr>
            <w:tcW w:w="689" w:type="pct"/>
            <w:vAlign w:val="center"/>
          </w:tcPr>
          <w:p w:rsidR="009221D1" w:rsidRDefault="009221D1" w:rsidP="0073534F">
            <w:pPr>
              <w:pStyle w:val="TableTextRight"/>
              <w:keepNext/>
              <w:keepLines/>
              <w:rPr>
                <w:b w:val="0"/>
              </w:rPr>
            </w:pPr>
            <w:r>
              <w:t>2016–17</w:t>
            </w:r>
          </w:p>
        </w:tc>
        <w:tc>
          <w:tcPr>
            <w:tcW w:w="689" w:type="pct"/>
            <w:vAlign w:val="center"/>
          </w:tcPr>
          <w:p w:rsidR="009221D1" w:rsidRDefault="009221D1" w:rsidP="0073534F">
            <w:pPr>
              <w:pStyle w:val="TableTextRight"/>
              <w:keepNext/>
              <w:keepLines/>
              <w:rPr>
                <w:b w:val="0"/>
              </w:rPr>
            </w:pPr>
            <w:r>
              <w:t>2017–18</w:t>
            </w:r>
          </w:p>
        </w:tc>
        <w:tc>
          <w:tcPr>
            <w:tcW w:w="689" w:type="pct"/>
            <w:vAlign w:val="center"/>
          </w:tcPr>
          <w:p w:rsidR="009221D1" w:rsidRDefault="009221D1" w:rsidP="0073534F">
            <w:pPr>
              <w:pStyle w:val="TableTextRight"/>
              <w:keepNext/>
              <w:keepLines/>
              <w:rPr>
                <w:b w:val="0"/>
              </w:rPr>
            </w:pPr>
            <w:r>
              <w:t>2018–19</w:t>
            </w:r>
          </w:p>
        </w:tc>
        <w:tc>
          <w:tcPr>
            <w:tcW w:w="689" w:type="pct"/>
            <w:vAlign w:val="center"/>
          </w:tcPr>
          <w:p w:rsidR="009221D1" w:rsidRDefault="009221D1" w:rsidP="0073534F">
            <w:pPr>
              <w:pStyle w:val="TableTextRight"/>
              <w:keepNext/>
              <w:keepLines/>
              <w:rPr>
                <w:b w:val="0"/>
              </w:rPr>
            </w:pPr>
            <w:r>
              <w:t>2019–20</w:t>
            </w:r>
          </w:p>
        </w:tc>
        <w:tc>
          <w:tcPr>
            <w:tcW w:w="690" w:type="pct"/>
            <w:vAlign w:val="center"/>
          </w:tcPr>
          <w:p w:rsidR="009221D1" w:rsidRDefault="009221D1" w:rsidP="0073534F">
            <w:pPr>
              <w:pStyle w:val="TableTextRight"/>
              <w:keepNext/>
              <w:keepLines/>
            </w:pPr>
            <w:r>
              <w:t>Total to 2019–20</w:t>
            </w:r>
          </w:p>
        </w:tc>
      </w:tr>
      <w:tr w:rsidR="009221D1" w:rsidTr="0073534F">
        <w:tc>
          <w:tcPr>
            <w:tcW w:w="5000" w:type="pct"/>
            <w:gridSpan w:val="6"/>
            <w:shd w:val="clear" w:color="auto" w:fill="E9ECF3" w:themeFill="accent2" w:themeFillTint="33"/>
            <w:vAlign w:val="center"/>
          </w:tcPr>
          <w:p w:rsidR="009221D1" w:rsidRDefault="009221D1" w:rsidP="0073534F">
            <w:pPr>
              <w:pStyle w:val="TableHeading"/>
            </w:pPr>
            <w:r w:rsidRPr="002C2764">
              <w:rPr>
                <w:bCs/>
                <w:iCs/>
                <w:color w:val="000000"/>
              </w:rPr>
              <w:t>Limit FTB</w:t>
            </w:r>
            <w:r>
              <w:rPr>
                <w:bCs/>
                <w:iCs/>
                <w:color w:val="000000"/>
              </w:rPr>
              <w:t>-</w:t>
            </w:r>
            <w:r w:rsidRPr="002C2764">
              <w:rPr>
                <w:bCs/>
                <w:iCs/>
                <w:color w:val="000000"/>
              </w:rPr>
              <w:t>B for single parents with youngest child aged 13-16 and remove if youngest child aged over 16</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Administered</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-325</w:t>
            </w:r>
          </w:p>
        </w:tc>
        <w:tc>
          <w:tcPr>
            <w:tcW w:w="689" w:type="pct"/>
            <w:vAlign w:val="bottom"/>
          </w:tcPr>
          <w:p w:rsidR="009221D1" w:rsidRPr="00C82706" w:rsidRDefault="009221D1" w:rsidP="0073534F">
            <w:pPr>
              <w:pStyle w:val="TableTextRight"/>
            </w:pPr>
            <w:r w:rsidRPr="002C2764">
              <w:t>-360</w:t>
            </w:r>
          </w:p>
        </w:tc>
        <w:tc>
          <w:tcPr>
            <w:tcW w:w="689" w:type="pct"/>
            <w:vAlign w:val="bottom"/>
          </w:tcPr>
          <w:p w:rsidR="009221D1" w:rsidRPr="00C82706" w:rsidRDefault="009221D1" w:rsidP="0073534F">
            <w:pPr>
              <w:pStyle w:val="TableTextRight"/>
            </w:pPr>
            <w:r w:rsidRPr="002C2764">
              <w:t>-360</w:t>
            </w:r>
          </w:p>
        </w:tc>
        <w:tc>
          <w:tcPr>
            <w:tcW w:w="690" w:type="pct"/>
            <w:vAlign w:val="bottom"/>
          </w:tcPr>
          <w:p w:rsidR="009221D1" w:rsidRPr="00C82706" w:rsidRDefault="009221D1" w:rsidP="0073534F">
            <w:pPr>
              <w:pStyle w:val="TableTextRight"/>
              <w:rPr>
                <w:b/>
              </w:rPr>
            </w:pPr>
            <w:r w:rsidRPr="00C82706">
              <w:rPr>
                <w:b/>
              </w:rPr>
              <w:t>-1,045</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Departmental</w:t>
            </w:r>
          </w:p>
        </w:tc>
        <w:tc>
          <w:tcPr>
            <w:tcW w:w="689" w:type="pct"/>
            <w:vAlign w:val="bottom"/>
          </w:tcPr>
          <w:p w:rsidR="009221D1" w:rsidRPr="00C82706" w:rsidRDefault="009221D1" w:rsidP="0073534F">
            <w:pPr>
              <w:pStyle w:val="TableTextRight"/>
            </w:pPr>
            <w:r w:rsidRPr="002C2764">
              <w:t>4</w:t>
            </w:r>
          </w:p>
        </w:tc>
        <w:tc>
          <w:tcPr>
            <w:tcW w:w="689" w:type="pct"/>
            <w:vAlign w:val="bottom"/>
          </w:tcPr>
          <w:p w:rsidR="009221D1" w:rsidRPr="00C82706" w:rsidRDefault="009221D1" w:rsidP="0073534F">
            <w:pPr>
              <w:pStyle w:val="TableTextRight"/>
            </w:pPr>
            <w:r w:rsidRPr="002C2764">
              <w:t>1</w:t>
            </w:r>
          </w:p>
        </w:tc>
        <w:tc>
          <w:tcPr>
            <w:tcW w:w="689" w:type="pct"/>
            <w:vAlign w:val="bottom"/>
          </w:tcPr>
          <w:p w:rsidR="009221D1" w:rsidRPr="00C82706" w:rsidRDefault="009221D1" w:rsidP="0073534F">
            <w:pPr>
              <w:pStyle w:val="TableTextRight"/>
            </w:pPr>
            <w:r w:rsidRPr="002C2764">
              <w:t>-1</w:t>
            </w:r>
          </w:p>
        </w:tc>
        <w:tc>
          <w:tcPr>
            <w:tcW w:w="689" w:type="pct"/>
            <w:vAlign w:val="bottom"/>
          </w:tcPr>
          <w:p w:rsidR="009221D1" w:rsidRPr="00C82706" w:rsidRDefault="009221D1" w:rsidP="0073534F">
            <w:pPr>
              <w:pStyle w:val="TableTextRight"/>
            </w:pPr>
            <w:r w:rsidRPr="002C2764">
              <w:t>-1</w:t>
            </w:r>
          </w:p>
        </w:tc>
        <w:tc>
          <w:tcPr>
            <w:tcW w:w="690" w:type="pct"/>
            <w:vAlign w:val="bottom"/>
          </w:tcPr>
          <w:p w:rsidR="009221D1" w:rsidRPr="00C82706" w:rsidRDefault="009221D1" w:rsidP="0073534F">
            <w:pPr>
              <w:pStyle w:val="TableTextRight"/>
              <w:rPr>
                <w:b/>
              </w:rPr>
            </w:pPr>
            <w:r w:rsidRPr="00C82706">
              <w:rPr>
                <w:b/>
              </w:rPr>
              <w:t>2</w:t>
            </w:r>
          </w:p>
        </w:tc>
      </w:tr>
      <w:tr w:rsidR="009221D1" w:rsidTr="0073534F">
        <w:tc>
          <w:tcPr>
            <w:tcW w:w="1554" w:type="pct"/>
            <w:vAlign w:val="bottom"/>
          </w:tcPr>
          <w:p w:rsidR="009221D1" w:rsidRPr="002C2764" w:rsidRDefault="009221D1" w:rsidP="0073534F">
            <w:pPr>
              <w:keepNext/>
              <w:keepLines/>
              <w:spacing w:before="70" w:after="70"/>
              <w:rPr>
                <w:b/>
                <w:iCs/>
                <w:color w:val="000000"/>
                <w:sz w:val="20"/>
                <w:szCs w:val="24"/>
              </w:rPr>
            </w:pPr>
            <w:r w:rsidRPr="002C2764">
              <w:rPr>
                <w:b/>
                <w:iCs/>
                <w:color w:val="000000"/>
                <w:sz w:val="20"/>
              </w:rPr>
              <w:t>Total</w:t>
            </w:r>
          </w:p>
        </w:tc>
        <w:tc>
          <w:tcPr>
            <w:tcW w:w="689" w:type="pct"/>
            <w:vAlign w:val="bottom"/>
          </w:tcPr>
          <w:p w:rsidR="009221D1" w:rsidRPr="00C82706" w:rsidRDefault="009221D1" w:rsidP="0073534F">
            <w:pPr>
              <w:pStyle w:val="TableTextRight"/>
              <w:rPr>
                <w:b/>
              </w:rPr>
            </w:pPr>
            <w:r w:rsidRPr="002C2764">
              <w:rPr>
                <w:b/>
              </w:rPr>
              <w:t>4</w:t>
            </w:r>
          </w:p>
        </w:tc>
        <w:tc>
          <w:tcPr>
            <w:tcW w:w="689" w:type="pct"/>
            <w:vAlign w:val="bottom"/>
          </w:tcPr>
          <w:p w:rsidR="009221D1" w:rsidRPr="00C82706" w:rsidRDefault="009221D1" w:rsidP="0073534F">
            <w:pPr>
              <w:pStyle w:val="TableTextRight"/>
              <w:rPr>
                <w:b/>
              </w:rPr>
            </w:pPr>
            <w:r w:rsidRPr="002C2764">
              <w:rPr>
                <w:b/>
              </w:rPr>
              <w:t>-324</w:t>
            </w:r>
          </w:p>
        </w:tc>
        <w:tc>
          <w:tcPr>
            <w:tcW w:w="689" w:type="pct"/>
            <w:vAlign w:val="bottom"/>
          </w:tcPr>
          <w:p w:rsidR="009221D1" w:rsidRPr="00C82706" w:rsidRDefault="009221D1" w:rsidP="0073534F">
            <w:pPr>
              <w:pStyle w:val="TableTextRight"/>
              <w:rPr>
                <w:b/>
              </w:rPr>
            </w:pPr>
            <w:r w:rsidRPr="002C2764">
              <w:rPr>
                <w:b/>
              </w:rPr>
              <w:t>-361</w:t>
            </w:r>
          </w:p>
        </w:tc>
        <w:tc>
          <w:tcPr>
            <w:tcW w:w="689" w:type="pct"/>
            <w:vAlign w:val="bottom"/>
          </w:tcPr>
          <w:p w:rsidR="009221D1" w:rsidRPr="00C82706" w:rsidRDefault="009221D1" w:rsidP="0073534F">
            <w:pPr>
              <w:pStyle w:val="TableTextRight"/>
              <w:rPr>
                <w:b/>
              </w:rPr>
            </w:pPr>
            <w:r w:rsidRPr="002C2764">
              <w:rPr>
                <w:b/>
              </w:rPr>
              <w:t>-361</w:t>
            </w:r>
          </w:p>
        </w:tc>
        <w:tc>
          <w:tcPr>
            <w:tcW w:w="690" w:type="pct"/>
            <w:vAlign w:val="bottom"/>
          </w:tcPr>
          <w:p w:rsidR="009221D1" w:rsidRPr="00C82706" w:rsidRDefault="009221D1" w:rsidP="0073534F">
            <w:pPr>
              <w:pStyle w:val="TableTextRight"/>
              <w:rPr>
                <w:b/>
              </w:rPr>
            </w:pPr>
            <w:r w:rsidRPr="00C82706">
              <w:rPr>
                <w:b/>
              </w:rPr>
              <w:t>-1,043</w:t>
            </w:r>
          </w:p>
        </w:tc>
      </w:tr>
      <w:tr w:rsidR="009221D1" w:rsidTr="0073534F">
        <w:tc>
          <w:tcPr>
            <w:tcW w:w="5000" w:type="pct"/>
            <w:gridSpan w:val="6"/>
            <w:shd w:val="clear" w:color="auto" w:fill="E9ECF3" w:themeFill="accent2" w:themeFillTint="33"/>
            <w:vAlign w:val="center"/>
          </w:tcPr>
          <w:p w:rsidR="009221D1" w:rsidRPr="00961D42" w:rsidRDefault="009221D1" w:rsidP="0073534F">
            <w:pPr>
              <w:pStyle w:val="TableHeading"/>
            </w:pPr>
            <w:r w:rsidRPr="002C2764">
              <w:rPr>
                <w:bCs/>
                <w:iCs/>
                <w:color w:val="000000"/>
              </w:rPr>
              <w:t>Phase out the FTB supplements</w:t>
            </w:r>
          </w:p>
        </w:tc>
      </w:tr>
      <w:tr w:rsidR="009221D1" w:rsidTr="0073534F">
        <w:tc>
          <w:tcPr>
            <w:tcW w:w="1554" w:type="pct"/>
            <w:vAlign w:val="bottom"/>
          </w:tcPr>
          <w:p w:rsidR="009221D1" w:rsidRPr="002C2764" w:rsidRDefault="009221D1" w:rsidP="0073534F">
            <w:pPr>
              <w:keepNext/>
              <w:keepLines/>
              <w:spacing w:before="70" w:after="70"/>
              <w:rPr>
                <w:iCs/>
                <w:color w:val="000000"/>
                <w:sz w:val="20"/>
                <w:szCs w:val="24"/>
              </w:rPr>
            </w:pPr>
            <w:r w:rsidRPr="002C2764">
              <w:rPr>
                <w:iCs/>
                <w:color w:val="000000"/>
                <w:sz w:val="20"/>
              </w:rPr>
              <w:t>Administered</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-415</w:t>
            </w:r>
          </w:p>
        </w:tc>
        <w:tc>
          <w:tcPr>
            <w:tcW w:w="689" w:type="pct"/>
            <w:vAlign w:val="bottom"/>
          </w:tcPr>
          <w:p w:rsidR="009221D1" w:rsidRPr="00C82706" w:rsidRDefault="009221D1" w:rsidP="0073534F">
            <w:pPr>
              <w:pStyle w:val="TableTextRight"/>
            </w:pPr>
            <w:r w:rsidRPr="002C2764">
              <w:t>-1,480</w:t>
            </w:r>
          </w:p>
        </w:tc>
        <w:tc>
          <w:tcPr>
            <w:tcW w:w="689" w:type="pct"/>
            <w:vAlign w:val="bottom"/>
          </w:tcPr>
          <w:p w:rsidR="009221D1" w:rsidRPr="00C82706" w:rsidRDefault="009221D1" w:rsidP="0073534F">
            <w:pPr>
              <w:pStyle w:val="TableTextRight"/>
            </w:pPr>
            <w:r w:rsidRPr="002C2764">
              <w:t>-2,580</w:t>
            </w:r>
          </w:p>
        </w:tc>
        <w:tc>
          <w:tcPr>
            <w:tcW w:w="690" w:type="pct"/>
            <w:vAlign w:val="bottom"/>
          </w:tcPr>
          <w:p w:rsidR="009221D1" w:rsidRPr="00C82706" w:rsidRDefault="009221D1" w:rsidP="0073534F">
            <w:pPr>
              <w:pStyle w:val="TableTextRight"/>
              <w:rPr>
                <w:b/>
              </w:rPr>
            </w:pPr>
            <w:r w:rsidRPr="00C82706">
              <w:rPr>
                <w:b/>
              </w:rPr>
              <w:t>-4,475</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bottom"/>
          </w:tcPr>
          <w:p w:rsidR="009221D1" w:rsidRPr="00C82706" w:rsidRDefault="009221D1" w:rsidP="0073534F">
            <w:pPr>
              <w:pStyle w:val="TableTextRight"/>
            </w:pPr>
            <w:r w:rsidRPr="002C2764">
              <w:t>5</w:t>
            </w:r>
          </w:p>
        </w:tc>
        <w:tc>
          <w:tcPr>
            <w:tcW w:w="689" w:type="pct"/>
            <w:vAlign w:val="bottom"/>
          </w:tcPr>
          <w:p w:rsidR="009221D1" w:rsidRPr="00C82706" w:rsidRDefault="009221D1" w:rsidP="0073534F">
            <w:pPr>
              <w:pStyle w:val="TableTextRight"/>
            </w:pPr>
            <w:r w:rsidRPr="002C2764">
              <w:t>18</w:t>
            </w:r>
          </w:p>
        </w:tc>
        <w:tc>
          <w:tcPr>
            <w:tcW w:w="689" w:type="pct"/>
            <w:vAlign w:val="bottom"/>
          </w:tcPr>
          <w:p w:rsidR="009221D1" w:rsidRPr="00C82706" w:rsidRDefault="009221D1" w:rsidP="0073534F">
            <w:pPr>
              <w:pStyle w:val="TableTextRight"/>
            </w:pPr>
            <w:r w:rsidRPr="002C2764">
              <w:t>29</w:t>
            </w:r>
          </w:p>
        </w:tc>
        <w:tc>
          <w:tcPr>
            <w:tcW w:w="689" w:type="pct"/>
            <w:vAlign w:val="bottom"/>
          </w:tcPr>
          <w:p w:rsidR="009221D1" w:rsidRPr="00C82706" w:rsidRDefault="009221D1" w:rsidP="0073534F">
            <w:pPr>
              <w:pStyle w:val="TableTextRight"/>
            </w:pPr>
            <w:r w:rsidRPr="002C2764">
              <w:t>39</w:t>
            </w:r>
          </w:p>
        </w:tc>
        <w:tc>
          <w:tcPr>
            <w:tcW w:w="690" w:type="pct"/>
            <w:vAlign w:val="bottom"/>
          </w:tcPr>
          <w:p w:rsidR="009221D1" w:rsidRPr="00C82706" w:rsidRDefault="009221D1" w:rsidP="0073534F">
            <w:pPr>
              <w:pStyle w:val="TableTextRight"/>
              <w:rPr>
                <w:b/>
              </w:rPr>
            </w:pPr>
            <w:r w:rsidRPr="00C82706">
              <w:rPr>
                <w:b/>
              </w:rPr>
              <w:t>90</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bottom"/>
          </w:tcPr>
          <w:p w:rsidR="009221D1" w:rsidRPr="00C82706" w:rsidRDefault="009221D1" w:rsidP="0073534F">
            <w:pPr>
              <w:pStyle w:val="TableTextRight"/>
              <w:rPr>
                <w:b/>
              </w:rPr>
            </w:pPr>
            <w:r w:rsidRPr="002C2764">
              <w:rPr>
                <w:b/>
              </w:rPr>
              <w:t>5</w:t>
            </w:r>
          </w:p>
        </w:tc>
        <w:tc>
          <w:tcPr>
            <w:tcW w:w="689" w:type="pct"/>
            <w:vAlign w:val="bottom"/>
          </w:tcPr>
          <w:p w:rsidR="009221D1" w:rsidRPr="00C82706" w:rsidRDefault="009221D1" w:rsidP="0073534F">
            <w:pPr>
              <w:pStyle w:val="TableTextRight"/>
              <w:rPr>
                <w:b/>
              </w:rPr>
            </w:pPr>
            <w:r w:rsidRPr="002C2764">
              <w:rPr>
                <w:b/>
              </w:rPr>
              <w:t>-397</w:t>
            </w:r>
          </w:p>
        </w:tc>
        <w:tc>
          <w:tcPr>
            <w:tcW w:w="689" w:type="pct"/>
            <w:vAlign w:val="bottom"/>
          </w:tcPr>
          <w:p w:rsidR="009221D1" w:rsidRPr="00C82706" w:rsidRDefault="009221D1" w:rsidP="0073534F">
            <w:pPr>
              <w:pStyle w:val="TableTextRight"/>
              <w:rPr>
                <w:b/>
              </w:rPr>
            </w:pPr>
            <w:r w:rsidRPr="002C2764">
              <w:rPr>
                <w:b/>
              </w:rPr>
              <w:t>-1,451</w:t>
            </w:r>
          </w:p>
        </w:tc>
        <w:tc>
          <w:tcPr>
            <w:tcW w:w="689" w:type="pct"/>
            <w:vAlign w:val="bottom"/>
          </w:tcPr>
          <w:p w:rsidR="009221D1" w:rsidRPr="00C82706" w:rsidRDefault="009221D1" w:rsidP="0073534F">
            <w:pPr>
              <w:pStyle w:val="TableTextRight"/>
              <w:rPr>
                <w:b/>
              </w:rPr>
            </w:pPr>
            <w:r w:rsidRPr="002C2764">
              <w:rPr>
                <w:b/>
              </w:rPr>
              <w:t>-2,541</w:t>
            </w:r>
          </w:p>
        </w:tc>
        <w:tc>
          <w:tcPr>
            <w:tcW w:w="690" w:type="pct"/>
            <w:vAlign w:val="bottom"/>
          </w:tcPr>
          <w:p w:rsidR="009221D1" w:rsidRPr="00C82706" w:rsidRDefault="009221D1" w:rsidP="0073534F">
            <w:pPr>
              <w:pStyle w:val="TableTextRight"/>
              <w:rPr>
                <w:b/>
              </w:rPr>
            </w:pPr>
            <w:r w:rsidRPr="002C2764">
              <w:rPr>
                <w:b/>
              </w:rPr>
              <w:t>-4,385</w:t>
            </w:r>
          </w:p>
        </w:tc>
      </w:tr>
      <w:tr w:rsidR="009221D1" w:rsidTr="0073534F">
        <w:tc>
          <w:tcPr>
            <w:tcW w:w="5000" w:type="pct"/>
            <w:gridSpan w:val="6"/>
            <w:shd w:val="clear" w:color="auto" w:fill="E9ECF3" w:themeFill="accent2" w:themeFillTint="33"/>
            <w:vAlign w:val="center"/>
          </w:tcPr>
          <w:p w:rsidR="009221D1" w:rsidRDefault="009221D1" w:rsidP="0073534F">
            <w:pPr>
              <w:pStyle w:val="TableHeading"/>
            </w:pPr>
            <w:r w:rsidRPr="002C2764">
              <w:rPr>
                <w:bCs/>
                <w:iCs/>
                <w:color w:val="000000"/>
              </w:rPr>
              <w:t>Increase maximum rate of FTB</w:t>
            </w:r>
            <w:r>
              <w:rPr>
                <w:bCs/>
                <w:iCs/>
                <w:color w:val="000000"/>
              </w:rPr>
              <w:t>-</w:t>
            </w:r>
            <w:r w:rsidRPr="002C2764">
              <w:rPr>
                <w:bCs/>
                <w:iCs/>
                <w:color w:val="000000"/>
              </w:rPr>
              <w:t>A by $10.08 from 1 July 2018</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Administered</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605</w:t>
            </w:r>
          </w:p>
        </w:tc>
        <w:tc>
          <w:tcPr>
            <w:tcW w:w="689" w:type="pct"/>
            <w:vAlign w:val="bottom"/>
          </w:tcPr>
          <w:p w:rsidR="009221D1" w:rsidRPr="00C82706" w:rsidRDefault="009221D1" w:rsidP="0073534F">
            <w:pPr>
              <w:pStyle w:val="TableTextRight"/>
            </w:pPr>
            <w:r w:rsidRPr="002C2764">
              <w:t>645</w:t>
            </w:r>
          </w:p>
        </w:tc>
        <w:tc>
          <w:tcPr>
            <w:tcW w:w="690" w:type="pct"/>
            <w:vAlign w:val="bottom"/>
          </w:tcPr>
          <w:p w:rsidR="009221D1" w:rsidRPr="00C82706" w:rsidRDefault="009221D1" w:rsidP="0073534F">
            <w:pPr>
              <w:pStyle w:val="TableTextRight"/>
              <w:rPr>
                <w:b/>
              </w:rPr>
            </w:pPr>
            <w:r w:rsidRPr="00C82706">
              <w:rPr>
                <w:b/>
              </w:rPr>
              <w:t>1,250</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-1</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90" w:type="pct"/>
            <w:vAlign w:val="bottom"/>
          </w:tcPr>
          <w:p w:rsidR="009221D1" w:rsidRPr="00C82706" w:rsidRDefault="009221D1" w:rsidP="0073534F">
            <w:pPr>
              <w:pStyle w:val="TableTextRight"/>
              <w:rPr>
                <w:b/>
              </w:rPr>
            </w:pPr>
            <w:r w:rsidRPr="00C82706">
              <w:rPr>
                <w:b/>
              </w:rPr>
              <w:t>-1</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bottom"/>
          </w:tcPr>
          <w:p w:rsidR="009221D1" w:rsidRPr="00C82706" w:rsidRDefault="009221D1" w:rsidP="0073534F">
            <w:pPr>
              <w:pStyle w:val="TableTextRight"/>
              <w:rPr>
                <w:b/>
              </w:rPr>
            </w:pPr>
            <w:r w:rsidRPr="002C2764">
              <w:rPr>
                <w:b/>
              </w:rPr>
              <w:t>-</w:t>
            </w:r>
          </w:p>
        </w:tc>
        <w:tc>
          <w:tcPr>
            <w:tcW w:w="689" w:type="pct"/>
            <w:vAlign w:val="bottom"/>
          </w:tcPr>
          <w:p w:rsidR="009221D1" w:rsidRPr="00C82706" w:rsidRDefault="009221D1" w:rsidP="0073534F">
            <w:pPr>
              <w:pStyle w:val="TableTextRight"/>
              <w:rPr>
                <w:b/>
              </w:rPr>
            </w:pPr>
            <w:r w:rsidRPr="002C2764">
              <w:rPr>
                <w:b/>
              </w:rPr>
              <w:t>-1</w:t>
            </w:r>
          </w:p>
        </w:tc>
        <w:tc>
          <w:tcPr>
            <w:tcW w:w="689" w:type="pct"/>
            <w:vAlign w:val="bottom"/>
          </w:tcPr>
          <w:p w:rsidR="009221D1" w:rsidRPr="00C82706" w:rsidRDefault="009221D1" w:rsidP="0073534F">
            <w:pPr>
              <w:pStyle w:val="TableTextRight"/>
              <w:rPr>
                <w:b/>
              </w:rPr>
            </w:pPr>
            <w:r w:rsidRPr="002C2764">
              <w:rPr>
                <w:b/>
              </w:rPr>
              <w:t>605</w:t>
            </w:r>
          </w:p>
        </w:tc>
        <w:tc>
          <w:tcPr>
            <w:tcW w:w="689" w:type="pct"/>
            <w:vAlign w:val="bottom"/>
          </w:tcPr>
          <w:p w:rsidR="009221D1" w:rsidRPr="00C82706" w:rsidRDefault="009221D1" w:rsidP="0073534F">
            <w:pPr>
              <w:pStyle w:val="TableTextRight"/>
              <w:rPr>
                <w:b/>
              </w:rPr>
            </w:pPr>
            <w:r w:rsidRPr="002C2764">
              <w:rPr>
                <w:b/>
              </w:rPr>
              <w:t>645</w:t>
            </w:r>
          </w:p>
        </w:tc>
        <w:tc>
          <w:tcPr>
            <w:tcW w:w="690" w:type="pct"/>
            <w:vAlign w:val="bottom"/>
          </w:tcPr>
          <w:p w:rsidR="009221D1" w:rsidRPr="00C82706" w:rsidRDefault="009221D1" w:rsidP="0073534F">
            <w:pPr>
              <w:pStyle w:val="TableTextRight"/>
              <w:rPr>
                <w:b/>
              </w:rPr>
            </w:pPr>
            <w:r w:rsidRPr="002C2764">
              <w:rPr>
                <w:b/>
              </w:rPr>
              <w:t>1,249</w:t>
            </w:r>
          </w:p>
        </w:tc>
      </w:tr>
      <w:tr w:rsidR="009221D1" w:rsidTr="0073534F">
        <w:tc>
          <w:tcPr>
            <w:tcW w:w="5000" w:type="pct"/>
            <w:gridSpan w:val="6"/>
            <w:shd w:val="clear" w:color="auto" w:fill="E9ECF3" w:themeFill="accent2" w:themeFillTint="33"/>
            <w:vAlign w:val="center"/>
          </w:tcPr>
          <w:p w:rsidR="009221D1" w:rsidRPr="002C2764" w:rsidRDefault="009221D1" w:rsidP="0073534F">
            <w:pPr>
              <w:pStyle w:val="TableHeading"/>
            </w:pPr>
            <w:r w:rsidRPr="002C2764">
              <w:rPr>
                <w:bCs/>
                <w:iCs/>
                <w:color w:val="000000"/>
              </w:rPr>
              <w:t>Increase rates for income support recipients aged under 18 by $10.44 from 1 July 2018</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Administered</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5</w:t>
            </w:r>
          </w:p>
        </w:tc>
        <w:tc>
          <w:tcPr>
            <w:tcW w:w="689" w:type="pct"/>
            <w:vAlign w:val="bottom"/>
          </w:tcPr>
          <w:p w:rsidR="009221D1" w:rsidRPr="00C82706" w:rsidRDefault="009221D1" w:rsidP="0073534F">
            <w:pPr>
              <w:pStyle w:val="TableTextRight"/>
            </w:pPr>
            <w:r w:rsidRPr="002C2764">
              <w:t>5</w:t>
            </w:r>
          </w:p>
        </w:tc>
        <w:tc>
          <w:tcPr>
            <w:tcW w:w="690" w:type="pct"/>
            <w:vAlign w:val="bottom"/>
          </w:tcPr>
          <w:p w:rsidR="009221D1" w:rsidRPr="00C82706" w:rsidRDefault="009221D1" w:rsidP="0073534F">
            <w:pPr>
              <w:pStyle w:val="TableTextRight"/>
              <w:rPr>
                <w:b/>
              </w:rPr>
            </w:pPr>
            <w:r w:rsidRPr="00C82706">
              <w:rPr>
                <w:b/>
              </w:rPr>
              <w:t>10</w:t>
            </w:r>
          </w:p>
        </w:tc>
      </w:tr>
      <w:tr w:rsidR="009221D1" w:rsidTr="0073534F">
        <w:tc>
          <w:tcPr>
            <w:tcW w:w="1554" w:type="pct"/>
            <w:vAlign w:val="bottom"/>
          </w:tcPr>
          <w:p w:rsidR="009221D1" w:rsidRPr="002C2764" w:rsidRDefault="009221D1" w:rsidP="0073534F">
            <w:pPr>
              <w:spacing w:before="70" w:after="70"/>
              <w:rPr>
                <w:iCs/>
                <w:color w:val="000000"/>
                <w:sz w:val="20"/>
                <w:szCs w:val="24"/>
              </w:rPr>
            </w:pPr>
            <w:r w:rsidRPr="002C2764">
              <w:rPr>
                <w:iCs/>
                <w:color w:val="000000"/>
                <w:sz w:val="20"/>
              </w:rPr>
              <w:t>Departmental</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89" w:type="pct"/>
            <w:vAlign w:val="bottom"/>
          </w:tcPr>
          <w:p w:rsidR="009221D1" w:rsidRPr="00C82706" w:rsidRDefault="009221D1" w:rsidP="0073534F">
            <w:pPr>
              <w:pStyle w:val="TableTextRight"/>
            </w:pPr>
            <w:r w:rsidRPr="002C2764">
              <w:t>-</w:t>
            </w:r>
          </w:p>
        </w:tc>
        <w:tc>
          <w:tcPr>
            <w:tcW w:w="690" w:type="pct"/>
            <w:vAlign w:val="bottom"/>
          </w:tcPr>
          <w:p w:rsidR="009221D1" w:rsidRPr="00C82706" w:rsidRDefault="009221D1" w:rsidP="0073534F">
            <w:pPr>
              <w:pStyle w:val="TableTextRight"/>
              <w:rPr>
                <w:b/>
              </w:rPr>
            </w:pPr>
            <w:r w:rsidRPr="00C82706">
              <w:rPr>
                <w:b/>
              </w:rPr>
              <w:t>-</w:t>
            </w:r>
          </w:p>
        </w:tc>
      </w:tr>
      <w:tr w:rsidR="009221D1" w:rsidTr="0073534F">
        <w:tc>
          <w:tcPr>
            <w:tcW w:w="1554" w:type="pct"/>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vAlign w:val="bottom"/>
          </w:tcPr>
          <w:p w:rsidR="009221D1" w:rsidRPr="00C82706" w:rsidRDefault="009221D1" w:rsidP="0073534F">
            <w:pPr>
              <w:pStyle w:val="TableTextRight"/>
              <w:rPr>
                <w:b/>
              </w:rPr>
            </w:pPr>
            <w:r w:rsidRPr="002C2764">
              <w:rPr>
                <w:b/>
              </w:rPr>
              <w:t>-</w:t>
            </w:r>
          </w:p>
        </w:tc>
        <w:tc>
          <w:tcPr>
            <w:tcW w:w="689" w:type="pct"/>
            <w:vAlign w:val="bottom"/>
          </w:tcPr>
          <w:p w:rsidR="009221D1" w:rsidRPr="00C82706" w:rsidRDefault="009221D1" w:rsidP="0073534F">
            <w:pPr>
              <w:pStyle w:val="TableTextRight"/>
              <w:rPr>
                <w:b/>
              </w:rPr>
            </w:pPr>
            <w:r w:rsidRPr="002C2764">
              <w:rPr>
                <w:b/>
              </w:rPr>
              <w:t>-</w:t>
            </w:r>
          </w:p>
        </w:tc>
        <w:tc>
          <w:tcPr>
            <w:tcW w:w="689" w:type="pct"/>
            <w:vAlign w:val="bottom"/>
          </w:tcPr>
          <w:p w:rsidR="009221D1" w:rsidRPr="00C82706" w:rsidRDefault="009221D1" w:rsidP="0073534F">
            <w:pPr>
              <w:pStyle w:val="TableTextRight"/>
              <w:rPr>
                <w:b/>
              </w:rPr>
            </w:pPr>
            <w:r w:rsidRPr="002C2764">
              <w:rPr>
                <w:b/>
              </w:rPr>
              <w:t>5</w:t>
            </w:r>
          </w:p>
        </w:tc>
        <w:tc>
          <w:tcPr>
            <w:tcW w:w="689" w:type="pct"/>
            <w:vAlign w:val="bottom"/>
          </w:tcPr>
          <w:p w:rsidR="009221D1" w:rsidRPr="00C82706" w:rsidRDefault="009221D1" w:rsidP="0073534F">
            <w:pPr>
              <w:pStyle w:val="TableTextRight"/>
              <w:rPr>
                <w:b/>
              </w:rPr>
            </w:pPr>
            <w:r w:rsidRPr="002C2764">
              <w:rPr>
                <w:b/>
              </w:rPr>
              <w:t>5</w:t>
            </w:r>
          </w:p>
        </w:tc>
        <w:tc>
          <w:tcPr>
            <w:tcW w:w="690" w:type="pct"/>
            <w:vAlign w:val="bottom"/>
          </w:tcPr>
          <w:p w:rsidR="009221D1" w:rsidRPr="00C82706" w:rsidRDefault="009221D1" w:rsidP="0073534F">
            <w:pPr>
              <w:pStyle w:val="TableTextRight"/>
              <w:rPr>
                <w:b/>
              </w:rPr>
            </w:pPr>
            <w:r w:rsidRPr="002C2764">
              <w:rPr>
                <w:b/>
              </w:rPr>
              <w:t>10</w:t>
            </w:r>
          </w:p>
        </w:tc>
      </w:tr>
      <w:tr w:rsidR="009221D1" w:rsidRPr="007C2713" w:rsidTr="0073534F">
        <w:tc>
          <w:tcPr>
            <w:tcW w:w="1554" w:type="pct"/>
            <w:shd w:val="clear" w:color="auto" w:fill="D7DDE9" w:themeFill="accent3"/>
            <w:vAlign w:val="bottom"/>
          </w:tcPr>
          <w:p w:rsidR="009221D1" w:rsidRPr="002C2764" w:rsidRDefault="009221D1" w:rsidP="0073534F">
            <w:pPr>
              <w:spacing w:before="70" w:after="70"/>
              <w:rPr>
                <w:b/>
                <w:iCs/>
                <w:color w:val="000000"/>
                <w:sz w:val="20"/>
                <w:szCs w:val="24"/>
              </w:rPr>
            </w:pPr>
            <w:r w:rsidRPr="002C2764">
              <w:rPr>
                <w:b/>
                <w:iCs/>
                <w:color w:val="000000"/>
                <w:sz w:val="20"/>
              </w:rPr>
              <w:t>Total</w:t>
            </w:r>
          </w:p>
        </w:tc>
        <w:tc>
          <w:tcPr>
            <w:tcW w:w="689" w:type="pct"/>
            <w:shd w:val="clear" w:color="auto" w:fill="D7DDE9" w:themeFill="accent3"/>
            <w:vAlign w:val="bottom"/>
          </w:tcPr>
          <w:p w:rsidR="009221D1" w:rsidRPr="00C82706" w:rsidRDefault="009221D1" w:rsidP="0073534F">
            <w:pPr>
              <w:pStyle w:val="TableTextRight"/>
              <w:rPr>
                <w:b/>
              </w:rPr>
            </w:pPr>
            <w:r w:rsidRPr="00C82706">
              <w:rPr>
                <w:b/>
              </w:rPr>
              <w:t>9</w:t>
            </w:r>
          </w:p>
        </w:tc>
        <w:tc>
          <w:tcPr>
            <w:tcW w:w="689" w:type="pct"/>
            <w:shd w:val="clear" w:color="auto" w:fill="D7DDE9" w:themeFill="accent3"/>
            <w:vAlign w:val="bottom"/>
          </w:tcPr>
          <w:p w:rsidR="009221D1" w:rsidRPr="00C82706" w:rsidRDefault="009221D1" w:rsidP="0073534F">
            <w:pPr>
              <w:pStyle w:val="TableTextRight"/>
              <w:rPr>
                <w:b/>
              </w:rPr>
            </w:pPr>
            <w:r w:rsidRPr="00C82706">
              <w:rPr>
                <w:b/>
              </w:rPr>
              <w:t>-722</w:t>
            </w:r>
          </w:p>
        </w:tc>
        <w:tc>
          <w:tcPr>
            <w:tcW w:w="689" w:type="pct"/>
            <w:shd w:val="clear" w:color="auto" w:fill="D7DDE9" w:themeFill="accent3"/>
            <w:vAlign w:val="bottom"/>
          </w:tcPr>
          <w:p w:rsidR="009221D1" w:rsidRPr="00C82706" w:rsidRDefault="009221D1" w:rsidP="0073534F">
            <w:pPr>
              <w:pStyle w:val="TableTextRight"/>
              <w:rPr>
                <w:b/>
              </w:rPr>
            </w:pPr>
            <w:r w:rsidRPr="00C82706">
              <w:rPr>
                <w:b/>
              </w:rPr>
              <w:t>-1,202</w:t>
            </w:r>
          </w:p>
        </w:tc>
        <w:tc>
          <w:tcPr>
            <w:tcW w:w="689" w:type="pct"/>
            <w:shd w:val="clear" w:color="auto" w:fill="D7DDE9" w:themeFill="accent3"/>
            <w:vAlign w:val="bottom"/>
          </w:tcPr>
          <w:p w:rsidR="009221D1" w:rsidRPr="00C82706" w:rsidRDefault="009221D1" w:rsidP="0073534F">
            <w:pPr>
              <w:pStyle w:val="TableTextRight"/>
              <w:rPr>
                <w:b/>
              </w:rPr>
            </w:pPr>
            <w:r w:rsidRPr="00C82706">
              <w:rPr>
                <w:b/>
              </w:rPr>
              <w:t>-2,252</w:t>
            </w:r>
          </w:p>
        </w:tc>
        <w:tc>
          <w:tcPr>
            <w:tcW w:w="690" w:type="pct"/>
            <w:shd w:val="clear" w:color="auto" w:fill="D7DDE9" w:themeFill="accent3"/>
            <w:vAlign w:val="bottom"/>
          </w:tcPr>
          <w:p w:rsidR="009221D1" w:rsidRPr="00C82706" w:rsidRDefault="009221D1" w:rsidP="0073534F">
            <w:pPr>
              <w:pStyle w:val="TableTextRight"/>
              <w:rPr>
                <w:b/>
              </w:rPr>
            </w:pPr>
            <w:r w:rsidRPr="00C82706">
              <w:rPr>
                <w:b/>
              </w:rPr>
              <w:t>-4,169</w:t>
            </w:r>
          </w:p>
        </w:tc>
      </w:tr>
    </w:tbl>
    <w:p w:rsidR="009221D1" w:rsidRPr="00465672" w:rsidRDefault="009221D1" w:rsidP="00C241CC">
      <w:pPr>
        <w:pStyle w:val="Footnotes"/>
        <w:numPr>
          <w:ilvl w:val="0"/>
          <w:numId w:val="166"/>
        </w:numPr>
        <w:ind w:left="284" w:hanging="284"/>
      </w:pPr>
      <w:r>
        <w:t>A</w:t>
      </w:r>
      <w:r w:rsidRPr="00A95312">
        <w:t xml:space="preserve"> positive number indicates an increase in receipts or a decrease in </w:t>
      </w:r>
      <w:r w:rsidR="0080154C">
        <w:t>payments</w:t>
      </w:r>
      <w:r w:rsidRPr="00A95312">
        <w:t xml:space="preserve"> or net capital investment in cash terms.  A negative number indicates a decrease in receipts or an increase in </w:t>
      </w:r>
      <w:r w:rsidR="0080154C">
        <w:t>payments</w:t>
      </w:r>
      <w:r w:rsidRPr="00A95312">
        <w:t xml:space="preserve"> or net capital investment in cash terms.</w:t>
      </w:r>
    </w:p>
    <w:p w:rsidR="009221D1" w:rsidRPr="005F544A" w:rsidRDefault="009221D1" w:rsidP="00C241CC">
      <w:pPr>
        <w:pStyle w:val="Footnotes"/>
        <w:spacing w:after="120"/>
        <w:ind w:left="284" w:hanging="284"/>
      </w:pPr>
      <w:r w:rsidRPr="005F544A">
        <w:t>Figures may not sum to totals due to rounding.</w:t>
      </w:r>
    </w:p>
    <w:p w:rsidR="009221D1" w:rsidRPr="005F544A" w:rsidRDefault="009221D1" w:rsidP="00C241CC">
      <w:pPr>
        <w:pStyle w:val="Footnotes"/>
        <w:numPr>
          <w:ilvl w:val="0"/>
          <w:numId w:val="0"/>
        </w:numPr>
        <w:ind w:left="284" w:hanging="284"/>
      </w:pPr>
      <w:r w:rsidRPr="005F544A">
        <w:t>..</w:t>
      </w:r>
      <w:r w:rsidRPr="005F544A">
        <w:tab/>
        <w:t>Not zero but rounded to zero.</w:t>
      </w:r>
    </w:p>
    <w:p w:rsidR="009221D1" w:rsidRPr="005F544A" w:rsidRDefault="009221D1" w:rsidP="00C241CC">
      <w:pPr>
        <w:pStyle w:val="Footnotes"/>
        <w:numPr>
          <w:ilvl w:val="0"/>
          <w:numId w:val="0"/>
        </w:numPr>
        <w:ind w:left="284" w:hanging="284"/>
      </w:pPr>
      <w:r w:rsidRPr="005F544A">
        <w:t>-</w:t>
      </w:r>
      <w:r w:rsidRPr="005F544A">
        <w:tab/>
        <w:t>Indicates nil.</w:t>
      </w:r>
    </w:p>
    <w:p w:rsidR="009221D1" w:rsidRPr="00951305" w:rsidRDefault="009221D1" w:rsidP="009221D1">
      <w:pPr>
        <w:pStyle w:val="BodyText"/>
      </w:pPr>
    </w:p>
    <w:p w:rsidR="009221D1" w:rsidRDefault="009221D1" w:rsidP="009221D1">
      <w:pPr>
        <w:pStyle w:val="BodyText"/>
        <w:sectPr w:rsidR="009221D1" w:rsidSect="00C241CC">
          <w:footnotePr>
            <w:numRestart w:val="eachSect"/>
          </w:footnotePr>
          <w:pgSz w:w="11906" w:h="16838" w:code="9"/>
          <w:pgMar w:top="1361" w:right="1797" w:bottom="1474" w:left="1797" w:header="283" w:footer="454" w:gutter="0"/>
          <w:cols w:space="708"/>
          <w:docGrid w:linePitch="360"/>
        </w:sectPr>
      </w:pPr>
    </w:p>
    <w:p w:rsidR="00030420" w:rsidRDefault="00030420" w:rsidP="00030420">
      <w:pPr>
        <w:pStyle w:val="Heading5"/>
        <w:ind w:left="1080" w:hanging="1080"/>
      </w:pPr>
      <w:bookmarkStart w:id="110" w:name="_Toc458081703"/>
      <w:r>
        <w:t>ALP0</w:t>
      </w:r>
      <w:r w:rsidR="009221D1">
        <w:t>79</w:t>
      </w:r>
      <w:r>
        <w:t>: Young Carer Bursary Program</w:t>
      </w:r>
      <w:bookmarkEnd w:id="110"/>
    </w:p>
    <w:p w:rsidR="00030420" w:rsidRDefault="00030420" w:rsidP="00030420">
      <w:pPr>
        <w:pStyle w:val="BodyText"/>
      </w:pPr>
      <w:r>
        <w:rPr>
          <w:noProof/>
          <w:lang w:eastAsia="en-AU"/>
        </w:rPr>
        <w:drawing>
          <wp:inline distT="0" distB="0" distL="0" distR="0" wp14:anchorId="35CC6B51" wp14:editId="7E3DC2C9">
            <wp:extent cx="2696845" cy="572135"/>
            <wp:effectExtent l="0" t="0" r="8255" b="0"/>
            <wp:docPr id="342" name="Picture 34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763944" w:rsidRPr="00B45F94" w:rsidTr="00955F16">
        <w:trPr>
          <w:cnfStyle w:val="100000000000" w:firstRow="1" w:lastRow="0" w:firstColumn="0" w:lastColumn="0" w:oddVBand="0" w:evenVBand="0" w:oddHBand="0" w:evenHBand="0" w:firstRowFirstColumn="0" w:firstRowLastColumn="0" w:lastRowFirstColumn="0" w:lastRowLastColumn="0"/>
        </w:trPr>
        <w:tc>
          <w:tcPr>
            <w:tcW w:w="1809" w:type="pct"/>
          </w:tcPr>
          <w:p w:rsidR="00763944" w:rsidRPr="00B45F94" w:rsidRDefault="00763944" w:rsidP="00955F16">
            <w:pPr>
              <w:pStyle w:val="TableHeading"/>
              <w:rPr>
                <w:b/>
                <w:sz w:val="22"/>
              </w:rPr>
            </w:pPr>
            <w:r w:rsidRPr="00B45F94">
              <w:rPr>
                <w:b/>
                <w:sz w:val="22"/>
              </w:rPr>
              <w:t>Name of proposal:</w:t>
            </w:r>
          </w:p>
        </w:tc>
        <w:tc>
          <w:tcPr>
            <w:tcW w:w="3191" w:type="pct"/>
          </w:tcPr>
          <w:p w:rsidR="00763944" w:rsidRPr="00B45F94" w:rsidRDefault="00763944" w:rsidP="00763944">
            <w:pPr>
              <w:pStyle w:val="TableHeadingCentred"/>
              <w:tabs>
                <w:tab w:val="left" w:pos="1927"/>
              </w:tabs>
              <w:jc w:val="left"/>
              <w:rPr>
                <w:b/>
                <w:sz w:val="22"/>
              </w:rPr>
            </w:pPr>
            <w:r w:rsidRPr="00763944">
              <w:rPr>
                <w:b/>
                <w:sz w:val="22"/>
              </w:rPr>
              <w:t>Young Carer Bursary Program</w:t>
            </w:r>
          </w:p>
        </w:tc>
      </w:tr>
      <w:tr w:rsidR="00763944" w:rsidRPr="00B45F94" w:rsidTr="00955F16">
        <w:tc>
          <w:tcPr>
            <w:tcW w:w="1809" w:type="pct"/>
          </w:tcPr>
          <w:p w:rsidR="00763944" w:rsidRPr="00B45F94" w:rsidRDefault="00763944" w:rsidP="00955F16">
            <w:pPr>
              <w:pStyle w:val="TableText"/>
              <w:rPr>
                <w:sz w:val="22"/>
              </w:rPr>
            </w:pPr>
            <w:r w:rsidRPr="00B45F94">
              <w:rPr>
                <w:sz w:val="22"/>
              </w:rPr>
              <w:t>Summary of proposal:</w:t>
            </w:r>
          </w:p>
        </w:tc>
        <w:tc>
          <w:tcPr>
            <w:tcW w:w="3191" w:type="pct"/>
          </w:tcPr>
          <w:p w:rsidR="00763944" w:rsidRPr="00763944" w:rsidRDefault="00763944" w:rsidP="00763944">
            <w:pPr>
              <w:pStyle w:val="PullOutBoxBodyText"/>
            </w:pPr>
            <w:r w:rsidRPr="00763944">
              <w:t>This proposal would triple the grant funding to the Young Carer Bursary Program and continue the program for a further three years</w:t>
            </w:r>
            <w:r>
              <w:t xml:space="preserve"> beyond the 2017 academic year.</w:t>
            </w:r>
          </w:p>
          <w:p w:rsidR="00763944" w:rsidRPr="00B45F94" w:rsidRDefault="00763944" w:rsidP="00763944">
            <w:pPr>
              <w:pStyle w:val="PullOutBoxBodyText"/>
            </w:pPr>
            <w:r w:rsidRPr="00763944">
              <w:t>The proposal would have effect from 1 January 2017.</w:t>
            </w:r>
          </w:p>
        </w:tc>
      </w:tr>
      <w:tr w:rsidR="00763944" w:rsidRPr="00B45F94" w:rsidTr="00955F16">
        <w:tc>
          <w:tcPr>
            <w:tcW w:w="1809" w:type="pct"/>
          </w:tcPr>
          <w:p w:rsidR="00763944" w:rsidRPr="00B45F94" w:rsidRDefault="00763944" w:rsidP="00955F16">
            <w:pPr>
              <w:pStyle w:val="PullOutBoxBodyText"/>
            </w:pPr>
            <w:r>
              <w:t>Party:</w:t>
            </w:r>
          </w:p>
        </w:tc>
        <w:tc>
          <w:tcPr>
            <w:tcW w:w="3191" w:type="pct"/>
          </w:tcPr>
          <w:p w:rsidR="00763944" w:rsidRPr="00B45F94" w:rsidRDefault="00763944" w:rsidP="00955F16">
            <w:pPr>
              <w:pStyle w:val="PullOutBoxBodyText"/>
            </w:pPr>
            <w:r>
              <w:t>Australian Labor Party</w:t>
            </w:r>
          </w:p>
        </w:tc>
      </w:tr>
      <w:tr w:rsidR="00763944" w:rsidRPr="00B45F94" w:rsidTr="00955F16">
        <w:tc>
          <w:tcPr>
            <w:tcW w:w="1809" w:type="pct"/>
          </w:tcPr>
          <w:p w:rsidR="00763944" w:rsidRPr="00B45F94" w:rsidRDefault="00763944" w:rsidP="00955F16">
            <w:pPr>
              <w:pStyle w:val="PullOutBoxBodyText"/>
            </w:pPr>
            <w:r w:rsidRPr="00B45F94">
              <w:t>Expiry date for the costing:</w:t>
            </w:r>
          </w:p>
        </w:tc>
        <w:tc>
          <w:tcPr>
            <w:tcW w:w="3191" w:type="pct"/>
          </w:tcPr>
          <w:p w:rsidR="00763944" w:rsidRPr="00B45F94" w:rsidRDefault="00763944" w:rsidP="00955F16">
            <w:pPr>
              <w:pStyle w:val="PullOutBoxBodyText"/>
            </w:pPr>
            <w:r>
              <w:t>Release of the next economic and fiscal update</w:t>
            </w:r>
          </w:p>
        </w:tc>
      </w:tr>
    </w:tbl>
    <w:p w:rsidR="00763944" w:rsidRDefault="00763944" w:rsidP="00763944">
      <w:pPr>
        <w:pStyle w:val="CostingsH7"/>
      </w:pPr>
      <w:r w:rsidRPr="00BF1EE6">
        <w:t>Costing overview</w:t>
      </w:r>
    </w:p>
    <w:p w:rsidR="00763944" w:rsidRDefault="00763944" w:rsidP="00763944">
      <w:pPr>
        <w:pStyle w:val="BodyText"/>
      </w:pPr>
      <w:r>
        <w:t>This proposal would be expected to decrease the fiscal and underlying cash balances by $9.5 million over the 2016-17 Budget forward estimates period.  This entirely reflects an increase in administered expenses of $9.5 million.</w:t>
      </w:r>
    </w:p>
    <w:p w:rsidR="00763944" w:rsidRDefault="00763944" w:rsidP="00763944">
      <w:pPr>
        <w:pStyle w:val="BodyText"/>
      </w:pPr>
      <w:r>
        <w:t xml:space="preserve">This proposal would be expected to have an impact of $1.5 million in 2020-21 with funding for the proposal terminating on 31 December 2020. </w:t>
      </w:r>
    </w:p>
    <w:p w:rsidR="00763944" w:rsidRPr="00763944" w:rsidRDefault="00763944" w:rsidP="00763944">
      <w:pPr>
        <w:pStyle w:val="BodyText"/>
      </w:pPr>
      <w:r>
        <w:t>The financial implications for the proposal are considered to be of high reliability as estimates reflect the provision of specified funding to a specified number of recipients.</w:t>
      </w:r>
    </w:p>
    <w:p w:rsidR="00763944" w:rsidRDefault="00763944" w:rsidP="0076394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763944" w:rsidRPr="00D264E1" w:rsidTr="00763944">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763944" w:rsidRPr="00D264E1" w:rsidRDefault="00763944" w:rsidP="00763944">
            <w:pPr>
              <w:pStyle w:val="TableHeading"/>
            </w:pPr>
            <w:r>
              <w:t>Impact on ($m)</w:t>
            </w:r>
          </w:p>
        </w:tc>
        <w:tc>
          <w:tcPr>
            <w:tcW w:w="721" w:type="pct"/>
            <w:vAlign w:val="center"/>
          </w:tcPr>
          <w:p w:rsidR="00763944" w:rsidRPr="00FC1F1C" w:rsidRDefault="00763944" w:rsidP="00763944">
            <w:pPr>
              <w:pStyle w:val="TableHeadingRight"/>
            </w:pPr>
            <w:r>
              <w:t>2016–17</w:t>
            </w:r>
          </w:p>
        </w:tc>
        <w:tc>
          <w:tcPr>
            <w:tcW w:w="721" w:type="pct"/>
            <w:vAlign w:val="center"/>
          </w:tcPr>
          <w:p w:rsidR="00763944" w:rsidRPr="00FC1F1C" w:rsidRDefault="00763944" w:rsidP="00763944">
            <w:pPr>
              <w:pStyle w:val="TableHeadingRight"/>
            </w:pPr>
            <w:r>
              <w:t>2017–18</w:t>
            </w:r>
          </w:p>
        </w:tc>
        <w:tc>
          <w:tcPr>
            <w:tcW w:w="722" w:type="pct"/>
            <w:vAlign w:val="center"/>
          </w:tcPr>
          <w:p w:rsidR="00763944" w:rsidRPr="00FC1F1C" w:rsidRDefault="00763944" w:rsidP="00763944">
            <w:pPr>
              <w:pStyle w:val="TableHeadingRight"/>
            </w:pPr>
            <w:r>
              <w:t>2018–19</w:t>
            </w:r>
          </w:p>
        </w:tc>
        <w:tc>
          <w:tcPr>
            <w:tcW w:w="721" w:type="pct"/>
            <w:vAlign w:val="center"/>
          </w:tcPr>
          <w:p w:rsidR="00763944" w:rsidRPr="00FC1F1C" w:rsidRDefault="00763944" w:rsidP="00763944">
            <w:pPr>
              <w:pStyle w:val="TableHeadingRight"/>
            </w:pPr>
            <w:r>
              <w:t>2019–20</w:t>
            </w:r>
          </w:p>
        </w:tc>
        <w:tc>
          <w:tcPr>
            <w:tcW w:w="722" w:type="pct"/>
            <w:vAlign w:val="center"/>
          </w:tcPr>
          <w:p w:rsidR="00763944" w:rsidRPr="00FC1F1C" w:rsidRDefault="00763944" w:rsidP="00763944">
            <w:pPr>
              <w:pStyle w:val="TableHeadingRight"/>
              <w:rPr>
                <w:b/>
              </w:rPr>
            </w:pPr>
            <w:r w:rsidRPr="00FC1F1C">
              <w:rPr>
                <w:b/>
              </w:rPr>
              <w:t>Total</w:t>
            </w:r>
          </w:p>
        </w:tc>
      </w:tr>
      <w:tr w:rsidR="00763944" w:rsidTr="00763944">
        <w:tc>
          <w:tcPr>
            <w:tcW w:w="1393" w:type="pct"/>
            <w:vAlign w:val="center"/>
          </w:tcPr>
          <w:p w:rsidR="00763944" w:rsidRDefault="00763944" w:rsidP="00763944">
            <w:pPr>
              <w:pStyle w:val="TableText"/>
            </w:pPr>
            <w:r>
              <w:t>Fiscal balance</w:t>
            </w:r>
          </w:p>
        </w:tc>
        <w:tc>
          <w:tcPr>
            <w:tcW w:w="721" w:type="pct"/>
            <w:vAlign w:val="center"/>
          </w:tcPr>
          <w:p w:rsidR="00763944" w:rsidRPr="003A3459" w:rsidRDefault="00763944" w:rsidP="00763944">
            <w:pPr>
              <w:pStyle w:val="TableTextRight"/>
            </w:pPr>
            <w:r>
              <w:t>-1.0</w:t>
            </w:r>
          </w:p>
        </w:tc>
        <w:tc>
          <w:tcPr>
            <w:tcW w:w="721" w:type="pct"/>
            <w:vAlign w:val="center"/>
          </w:tcPr>
          <w:p w:rsidR="00763944" w:rsidRPr="003A3459" w:rsidRDefault="00763944" w:rsidP="00763944">
            <w:pPr>
              <w:pStyle w:val="TableTextRight"/>
            </w:pPr>
            <w:r>
              <w:t>-2.5</w:t>
            </w:r>
          </w:p>
        </w:tc>
        <w:tc>
          <w:tcPr>
            <w:tcW w:w="722" w:type="pct"/>
            <w:vAlign w:val="center"/>
          </w:tcPr>
          <w:p w:rsidR="00763944" w:rsidRPr="003A3459" w:rsidRDefault="00763944" w:rsidP="00763944">
            <w:pPr>
              <w:pStyle w:val="TableTextRight"/>
            </w:pPr>
            <w:r>
              <w:t>-3.0</w:t>
            </w:r>
          </w:p>
        </w:tc>
        <w:tc>
          <w:tcPr>
            <w:tcW w:w="721" w:type="pct"/>
            <w:vAlign w:val="center"/>
          </w:tcPr>
          <w:p w:rsidR="00763944" w:rsidRPr="003A3459" w:rsidRDefault="00763944" w:rsidP="00763944">
            <w:pPr>
              <w:pStyle w:val="TableTextRight"/>
            </w:pPr>
            <w:r>
              <w:t>-3.0</w:t>
            </w:r>
          </w:p>
        </w:tc>
        <w:tc>
          <w:tcPr>
            <w:tcW w:w="722" w:type="pct"/>
            <w:vAlign w:val="center"/>
          </w:tcPr>
          <w:p w:rsidR="00763944" w:rsidRPr="00C363AE" w:rsidRDefault="00763944" w:rsidP="00763944">
            <w:pPr>
              <w:pStyle w:val="TableTextRight"/>
              <w:rPr>
                <w:b/>
              </w:rPr>
            </w:pPr>
            <w:r>
              <w:rPr>
                <w:b/>
              </w:rPr>
              <w:t>-9.5</w:t>
            </w:r>
          </w:p>
        </w:tc>
      </w:tr>
      <w:tr w:rsidR="00763944" w:rsidTr="00763944">
        <w:tc>
          <w:tcPr>
            <w:tcW w:w="1393" w:type="pct"/>
            <w:vAlign w:val="center"/>
          </w:tcPr>
          <w:p w:rsidR="00763944" w:rsidRDefault="00763944" w:rsidP="00763944">
            <w:pPr>
              <w:pStyle w:val="TableText"/>
            </w:pPr>
            <w:r>
              <w:t>Underlying cash balance</w:t>
            </w:r>
          </w:p>
        </w:tc>
        <w:tc>
          <w:tcPr>
            <w:tcW w:w="721" w:type="pct"/>
            <w:vAlign w:val="center"/>
          </w:tcPr>
          <w:p w:rsidR="00763944" w:rsidRPr="003A3459" w:rsidRDefault="00763944" w:rsidP="00763944">
            <w:pPr>
              <w:pStyle w:val="TableTextRight"/>
            </w:pPr>
            <w:r>
              <w:t>-1.0</w:t>
            </w:r>
          </w:p>
        </w:tc>
        <w:tc>
          <w:tcPr>
            <w:tcW w:w="721" w:type="pct"/>
            <w:vAlign w:val="center"/>
          </w:tcPr>
          <w:p w:rsidR="00763944" w:rsidRPr="003A3459" w:rsidRDefault="00763944" w:rsidP="00763944">
            <w:pPr>
              <w:pStyle w:val="TableTextRight"/>
            </w:pPr>
            <w:r>
              <w:t>-2.5</w:t>
            </w:r>
          </w:p>
        </w:tc>
        <w:tc>
          <w:tcPr>
            <w:tcW w:w="722" w:type="pct"/>
            <w:vAlign w:val="center"/>
          </w:tcPr>
          <w:p w:rsidR="00763944" w:rsidRPr="003A3459" w:rsidRDefault="00763944" w:rsidP="00763944">
            <w:pPr>
              <w:pStyle w:val="TableTextRight"/>
            </w:pPr>
            <w:r>
              <w:t>-3.0</w:t>
            </w:r>
          </w:p>
        </w:tc>
        <w:tc>
          <w:tcPr>
            <w:tcW w:w="721" w:type="pct"/>
            <w:vAlign w:val="center"/>
          </w:tcPr>
          <w:p w:rsidR="00763944" w:rsidRPr="003A3459" w:rsidRDefault="00763944" w:rsidP="00763944">
            <w:pPr>
              <w:pStyle w:val="TableTextRight"/>
            </w:pPr>
            <w:r>
              <w:t>-3.0</w:t>
            </w:r>
          </w:p>
        </w:tc>
        <w:tc>
          <w:tcPr>
            <w:tcW w:w="722" w:type="pct"/>
            <w:vAlign w:val="center"/>
          </w:tcPr>
          <w:p w:rsidR="00763944" w:rsidRPr="00C363AE" w:rsidRDefault="00763944" w:rsidP="00763944">
            <w:pPr>
              <w:pStyle w:val="TableTextRight"/>
              <w:rPr>
                <w:b/>
              </w:rPr>
            </w:pPr>
            <w:r>
              <w:rPr>
                <w:b/>
              </w:rPr>
              <w:t>-9.5</w:t>
            </w:r>
          </w:p>
        </w:tc>
      </w:tr>
    </w:tbl>
    <w:p w:rsidR="00763944" w:rsidRDefault="00763944" w:rsidP="002C43F8">
      <w:pPr>
        <w:pStyle w:val="Footnotes"/>
        <w:numPr>
          <w:ilvl w:val="0"/>
          <w:numId w:val="196"/>
        </w:numPr>
        <w:ind w:left="284" w:hanging="284"/>
      </w:pPr>
      <w:r>
        <w:t xml:space="preserve">A positive </w:t>
      </w:r>
      <w:r w:rsidRPr="00FC1F1C">
        <w:t>number indicates an increase in the relevant budget balance, a negative number a decrease.</w:t>
      </w:r>
    </w:p>
    <w:p w:rsidR="00763944" w:rsidRPr="003830C7" w:rsidRDefault="00763944" w:rsidP="00763944">
      <w:pPr>
        <w:pStyle w:val="Footnotes"/>
        <w:ind w:left="284" w:hanging="284"/>
        <w:rPr>
          <w:rStyle w:val="FootnoteReference"/>
          <w:vertAlign w:val="baseline"/>
        </w:rPr>
      </w:pPr>
      <w:r w:rsidRPr="003830C7">
        <w:t>Figures may not sum to totals due to rounding.</w:t>
      </w:r>
    </w:p>
    <w:p w:rsidR="00763944" w:rsidRDefault="00763944" w:rsidP="00763944">
      <w:pPr>
        <w:pStyle w:val="CostingsH7"/>
      </w:pPr>
      <w:r>
        <w:t>Key assumptions</w:t>
      </w:r>
    </w:p>
    <w:p w:rsidR="00763944" w:rsidRDefault="00763944" w:rsidP="00763944">
      <w:pPr>
        <w:pStyle w:val="BodyText"/>
      </w:pPr>
      <w:r>
        <w:t>The program is assumed to be fully taken-up.</w:t>
      </w:r>
    </w:p>
    <w:p w:rsidR="00763944" w:rsidRPr="00763944" w:rsidRDefault="00763944" w:rsidP="00763944">
      <w:pPr>
        <w:pStyle w:val="BodyText"/>
      </w:pPr>
      <w:r>
        <w:t>The program would be administered by Carers Australia.</w:t>
      </w:r>
    </w:p>
    <w:p w:rsidR="00763944" w:rsidRDefault="00763944" w:rsidP="00763944">
      <w:pPr>
        <w:pStyle w:val="CostingsH7"/>
      </w:pPr>
      <w:r>
        <w:t>Methodology</w:t>
      </w:r>
    </w:p>
    <w:p w:rsidR="00763944" w:rsidRPr="00763944" w:rsidRDefault="00763944" w:rsidP="00763944">
      <w:pPr>
        <w:pStyle w:val="BodyText"/>
      </w:pPr>
      <w:r>
        <w:t>The financial impact of this proposal was estimated by multiplying the number of additional places by the funding amount per place.  This allows for existing funding in 2016-17 and 2017</w:t>
      </w:r>
      <w:r w:rsidR="00AC658F">
        <w:noBreakHyphen/>
      </w:r>
      <w:r>
        <w:t>18.</w:t>
      </w:r>
    </w:p>
    <w:p w:rsidR="00763944" w:rsidRDefault="00763944" w:rsidP="00763944">
      <w:pPr>
        <w:pStyle w:val="CostingsH7"/>
      </w:pPr>
      <w:r>
        <w:t>Data sources</w:t>
      </w:r>
    </w:p>
    <w:p w:rsidR="00763944" w:rsidRPr="00763944" w:rsidRDefault="000279D8" w:rsidP="00763944">
      <w:pPr>
        <w:pStyle w:val="BodyText"/>
      </w:pPr>
      <w:hyperlink r:id="rId192" w:history="1">
        <w:r w:rsidR="00763944" w:rsidRPr="001D3EC6">
          <w:rPr>
            <w:rStyle w:val="Hyperlink"/>
          </w:rPr>
          <w:t>https://www.dss.gov.au/our-responsibilities/disability-and-carers/programmes-services/for-carers/young-carer-bursary-programme</w:t>
        </w:r>
      </w:hyperlink>
      <w:r w:rsidR="00763944" w:rsidRPr="00763944">
        <w:t xml:space="preserve"> (accessed 11 July 2016).</w:t>
      </w:r>
    </w:p>
    <w:p w:rsidR="00030420" w:rsidRDefault="00030420" w:rsidP="00065D55">
      <w:pPr>
        <w:pStyle w:val="BodyText"/>
      </w:pPr>
    </w:p>
    <w:p w:rsidR="00030420" w:rsidRDefault="00030420" w:rsidP="00030420">
      <w:pPr>
        <w:pStyle w:val="BodyText"/>
        <w:sectPr w:rsidR="00030420" w:rsidSect="00967BCD">
          <w:footnotePr>
            <w:numRestart w:val="eachSect"/>
          </w:footnotePr>
          <w:pgSz w:w="11906" w:h="16838" w:code="9"/>
          <w:pgMar w:top="1361" w:right="1797" w:bottom="1474" w:left="1797" w:header="283" w:footer="454" w:gutter="0"/>
          <w:cols w:space="708"/>
          <w:docGrid w:linePitch="360"/>
        </w:sectPr>
      </w:pPr>
    </w:p>
    <w:p w:rsidR="00030420" w:rsidRDefault="00030420" w:rsidP="00030420">
      <w:pPr>
        <w:pStyle w:val="Heading5"/>
        <w:ind w:left="1080" w:hanging="1080"/>
      </w:pPr>
      <w:bookmarkStart w:id="111" w:name="_Toc458081704"/>
      <w:r>
        <w:t>ALP0</w:t>
      </w:r>
      <w:r w:rsidR="009221D1">
        <w:t>80</w:t>
      </w:r>
      <w:r>
        <w:t xml:space="preserve">: Not proceeding with </w:t>
      </w:r>
      <w:r w:rsidR="00955F16">
        <w:t xml:space="preserve">the </w:t>
      </w:r>
      <w:r>
        <w:t xml:space="preserve">abolition of </w:t>
      </w:r>
      <w:r w:rsidR="00955F16">
        <w:t>the P</w:t>
      </w:r>
      <w:r>
        <w:t>ensioner</w:t>
      </w:r>
      <w:r w:rsidR="00955F16">
        <w:t xml:space="preserve"> E</w:t>
      </w:r>
      <w:r>
        <w:t xml:space="preserve">ducation </w:t>
      </w:r>
      <w:r w:rsidR="00955F16">
        <w:t>S</w:t>
      </w:r>
      <w:r>
        <w:t>upplement</w:t>
      </w:r>
      <w:bookmarkEnd w:id="111"/>
    </w:p>
    <w:p w:rsidR="00030420" w:rsidRDefault="00030420" w:rsidP="00030420">
      <w:pPr>
        <w:pStyle w:val="BodyText"/>
      </w:pPr>
      <w:r>
        <w:rPr>
          <w:noProof/>
          <w:lang w:eastAsia="en-AU"/>
        </w:rPr>
        <w:drawing>
          <wp:inline distT="0" distB="0" distL="0" distR="0" wp14:anchorId="22669A59" wp14:editId="553C0F70">
            <wp:extent cx="2696845" cy="572135"/>
            <wp:effectExtent l="0" t="0" r="8255" b="0"/>
            <wp:docPr id="343" name="Picture 34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763944" w:rsidRPr="00B45F94" w:rsidTr="00955F16">
        <w:trPr>
          <w:cnfStyle w:val="100000000000" w:firstRow="1" w:lastRow="0" w:firstColumn="0" w:lastColumn="0" w:oddVBand="0" w:evenVBand="0" w:oddHBand="0" w:evenHBand="0" w:firstRowFirstColumn="0" w:firstRowLastColumn="0" w:lastRowFirstColumn="0" w:lastRowLastColumn="0"/>
        </w:trPr>
        <w:tc>
          <w:tcPr>
            <w:tcW w:w="1809" w:type="pct"/>
          </w:tcPr>
          <w:p w:rsidR="00763944" w:rsidRPr="00B45F94" w:rsidRDefault="00763944" w:rsidP="00955F16">
            <w:pPr>
              <w:pStyle w:val="TableHeading"/>
              <w:rPr>
                <w:b/>
                <w:sz w:val="22"/>
              </w:rPr>
            </w:pPr>
            <w:r w:rsidRPr="00B45F94">
              <w:rPr>
                <w:b/>
                <w:sz w:val="22"/>
              </w:rPr>
              <w:t>Name of proposal:</w:t>
            </w:r>
          </w:p>
        </w:tc>
        <w:tc>
          <w:tcPr>
            <w:tcW w:w="3191" w:type="pct"/>
          </w:tcPr>
          <w:p w:rsidR="00763944" w:rsidRPr="00B45F94" w:rsidRDefault="006C3EA1" w:rsidP="00955F16">
            <w:pPr>
              <w:pStyle w:val="TableHeadingCentred"/>
              <w:jc w:val="left"/>
              <w:rPr>
                <w:b/>
                <w:sz w:val="22"/>
              </w:rPr>
            </w:pPr>
            <w:r w:rsidRPr="006C3EA1">
              <w:rPr>
                <w:b/>
                <w:sz w:val="22"/>
              </w:rPr>
              <w:t>Not proceeding with the abolition of the Pensioner Education Supplement</w:t>
            </w:r>
          </w:p>
        </w:tc>
      </w:tr>
      <w:tr w:rsidR="00763944" w:rsidRPr="00B45F94" w:rsidTr="00955F16">
        <w:tc>
          <w:tcPr>
            <w:tcW w:w="1809" w:type="pct"/>
          </w:tcPr>
          <w:p w:rsidR="00763944" w:rsidRPr="00B45F94" w:rsidRDefault="00763944" w:rsidP="00955F16">
            <w:pPr>
              <w:pStyle w:val="TableText"/>
              <w:rPr>
                <w:sz w:val="22"/>
              </w:rPr>
            </w:pPr>
            <w:r w:rsidRPr="00B45F94">
              <w:rPr>
                <w:sz w:val="22"/>
              </w:rPr>
              <w:t>Summary of proposal:</w:t>
            </w:r>
          </w:p>
        </w:tc>
        <w:tc>
          <w:tcPr>
            <w:tcW w:w="3191" w:type="pct"/>
          </w:tcPr>
          <w:p w:rsidR="006C3EA1" w:rsidRPr="006C3EA1" w:rsidRDefault="006C3EA1" w:rsidP="006C3EA1">
            <w:pPr>
              <w:pStyle w:val="PullOutBoxBodyText"/>
            </w:pPr>
            <w:r w:rsidRPr="006C3EA1">
              <w:t>The proposal would reverse the unlegislated measure to abolish the Pensioner Education Supplement.</w:t>
            </w:r>
          </w:p>
          <w:p w:rsidR="00763944" w:rsidRPr="00B45F94" w:rsidRDefault="006C3EA1" w:rsidP="006C3EA1">
            <w:pPr>
              <w:pStyle w:val="PullOutBoxBodyText"/>
            </w:pPr>
            <w:r w:rsidRPr="006C3EA1">
              <w:t>The proposal would have effect from 1 January 2017.</w:t>
            </w:r>
          </w:p>
        </w:tc>
      </w:tr>
      <w:tr w:rsidR="00763944" w:rsidRPr="00B45F94" w:rsidTr="00955F16">
        <w:tc>
          <w:tcPr>
            <w:tcW w:w="1809" w:type="pct"/>
          </w:tcPr>
          <w:p w:rsidR="00763944" w:rsidRPr="00B45F94" w:rsidRDefault="00763944" w:rsidP="00955F16">
            <w:pPr>
              <w:pStyle w:val="PullOutBoxBodyText"/>
            </w:pPr>
            <w:r>
              <w:t>Party:</w:t>
            </w:r>
          </w:p>
        </w:tc>
        <w:tc>
          <w:tcPr>
            <w:tcW w:w="3191" w:type="pct"/>
          </w:tcPr>
          <w:p w:rsidR="00763944" w:rsidRPr="00B45F94" w:rsidRDefault="00763944" w:rsidP="00955F16">
            <w:pPr>
              <w:pStyle w:val="PullOutBoxBodyText"/>
            </w:pPr>
            <w:r>
              <w:t>Australian Labor Party</w:t>
            </w:r>
          </w:p>
        </w:tc>
      </w:tr>
      <w:tr w:rsidR="00763944" w:rsidRPr="00B45F94" w:rsidTr="00955F16">
        <w:tc>
          <w:tcPr>
            <w:tcW w:w="1809" w:type="pct"/>
          </w:tcPr>
          <w:p w:rsidR="00763944" w:rsidRPr="00B45F94" w:rsidRDefault="00763944" w:rsidP="00955F16">
            <w:pPr>
              <w:pStyle w:val="PullOutBoxBodyText"/>
            </w:pPr>
            <w:r w:rsidRPr="00B45F94">
              <w:t>Expiry date for the costing:</w:t>
            </w:r>
          </w:p>
        </w:tc>
        <w:tc>
          <w:tcPr>
            <w:tcW w:w="3191" w:type="pct"/>
          </w:tcPr>
          <w:p w:rsidR="00763944" w:rsidRPr="00B45F94" w:rsidRDefault="00763944" w:rsidP="00955F16">
            <w:pPr>
              <w:pStyle w:val="PullOutBoxBodyText"/>
            </w:pPr>
            <w:r>
              <w:t>Release of the next economic and fiscal update</w:t>
            </w:r>
          </w:p>
        </w:tc>
      </w:tr>
    </w:tbl>
    <w:p w:rsidR="00763944" w:rsidRDefault="00763944" w:rsidP="00763944">
      <w:pPr>
        <w:pStyle w:val="CostingsH7"/>
      </w:pPr>
      <w:r w:rsidRPr="00BF1EE6">
        <w:t>Costing overview</w:t>
      </w:r>
    </w:p>
    <w:p w:rsidR="006C3EA1" w:rsidRDefault="006C3EA1" w:rsidP="006C3EA1">
      <w:pPr>
        <w:pStyle w:val="BodyText"/>
      </w:pPr>
      <w:r>
        <w:t>This proposal is expected to decrease both the fiscal and underlying cash balances by $298</w:t>
      </w:r>
      <w:r w:rsidR="008E34E8">
        <w:t>.0</w:t>
      </w:r>
      <w:r>
        <w:t> million over the 2016-17 Budget forward estimates period.  This reflects an increase in administered expenses of $281 million and an increase in departmental expenses of $17</w:t>
      </w:r>
      <w:r w:rsidR="008E34E8">
        <w:t>.0</w:t>
      </w:r>
      <w:r>
        <w:t xml:space="preserve"> million over this period.  A breakdown of the financial implications of this costing over the 2016-17 Budget forward estimates period is at </w:t>
      </w:r>
      <w:r w:rsidRPr="006C3EA1">
        <w:rPr>
          <w:u w:val="single"/>
        </w:rPr>
        <w:t>Attachment A</w:t>
      </w:r>
      <w:r>
        <w:t>.</w:t>
      </w:r>
    </w:p>
    <w:p w:rsidR="006C3EA1" w:rsidRDefault="006C3EA1" w:rsidP="006C3EA1">
      <w:pPr>
        <w:pStyle w:val="BodyText"/>
      </w:pPr>
      <w:r>
        <w:t xml:space="preserve">The proposal would have ongoing financial implications that extend beyond the forward estimates period. </w:t>
      </w:r>
    </w:p>
    <w:p w:rsidR="006C3EA1" w:rsidRPr="006C3EA1" w:rsidRDefault="006C3EA1" w:rsidP="006C3EA1">
      <w:pPr>
        <w:pStyle w:val="BodyText"/>
      </w:pPr>
      <w:r>
        <w:t>This costing is considered to be of low to medium reliability.  Estimates are sensitive to changes in economic and demographic factors.</w:t>
      </w:r>
    </w:p>
    <w:p w:rsidR="00763944" w:rsidRDefault="00763944" w:rsidP="0076394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763944" w:rsidRPr="00D264E1" w:rsidTr="006C3EA1">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763944" w:rsidRPr="00D264E1" w:rsidRDefault="00763944" w:rsidP="006C3EA1">
            <w:pPr>
              <w:pStyle w:val="TableHeading"/>
            </w:pPr>
            <w:r>
              <w:t>Impact on ($m)</w:t>
            </w:r>
          </w:p>
        </w:tc>
        <w:tc>
          <w:tcPr>
            <w:tcW w:w="721" w:type="pct"/>
            <w:vAlign w:val="center"/>
          </w:tcPr>
          <w:p w:rsidR="00763944" w:rsidRPr="00FC1F1C" w:rsidRDefault="00763944" w:rsidP="006C3EA1">
            <w:pPr>
              <w:pStyle w:val="TableHeadingRight"/>
            </w:pPr>
            <w:r>
              <w:t>2016–17</w:t>
            </w:r>
          </w:p>
        </w:tc>
        <w:tc>
          <w:tcPr>
            <w:tcW w:w="721" w:type="pct"/>
            <w:vAlign w:val="center"/>
          </w:tcPr>
          <w:p w:rsidR="00763944" w:rsidRPr="00FC1F1C" w:rsidRDefault="00763944" w:rsidP="006C3EA1">
            <w:pPr>
              <w:pStyle w:val="TableHeadingRight"/>
            </w:pPr>
            <w:r>
              <w:t>2017–18</w:t>
            </w:r>
          </w:p>
        </w:tc>
        <w:tc>
          <w:tcPr>
            <w:tcW w:w="722" w:type="pct"/>
            <w:vAlign w:val="center"/>
          </w:tcPr>
          <w:p w:rsidR="00763944" w:rsidRPr="00FC1F1C" w:rsidRDefault="00763944" w:rsidP="006C3EA1">
            <w:pPr>
              <w:pStyle w:val="TableHeadingRight"/>
            </w:pPr>
            <w:r>
              <w:t>2018–19</w:t>
            </w:r>
          </w:p>
        </w:tc>
        <w:tc>
          <w:tcPr>
            <w:tcW w:w="721" w:type="pct"/>
            <w:vAlign w:val="center"/>
          </w:tcPr>
          <w:p w:rsidR="00763944" w:rsidRPr="00FC1F1C" w:rsidRDefault="00763944" w:rsidP="006C3EA1">
            <w:pPr>
              <w:pStyle w:val="TableHeadingRight"/>
            </w:pPr>
            <w:r>
              <w:t>2019–20</w:t>
            </w:r>
          </w:p>
        </w:tc>
        <w:tc>
          <w:tcPr>
            <w:tcW w:w="722" w:type="pct"/>
            <w:vAlign w:val="center"/>
          </w:tcPr>
          <w:p w:rsidR="00763944" w:rsidRPr="00FC1F1C" w:rsidRDefault="00763944" w:rsidP="006C3EA1">
            <w:pPr>
              <w:pStyle w:val="TableHeadingRight"/>
              <w:rPr>
                <w:b/>
              </w:rPr>
            </w:pPr>
            <w:r w:rsidRPr="00FC1F1C">
              <w:rPr>
                <w:b/>
              </w:rPr>
              <w:t>Total</w:t>
            </w:r>
          </w:p>
        </w:tc>
      </w:tr>
      <w:tr w:rsidR="006C3EA1" w:rsidTr="006C3EA1">
        <w:tc>
          <w:tcPr>
            <w:tcW w:w="1393" w:type="pct"/>
            <w:vAlign w:val="center"/>
          </w:tcPr>
          <w:p w:rsidR="006C3EA1" w:rsidRDefault="006C3EA1" w:rsidP="006C3EA1">
            <w:pPr>
              <w:pStyle w:val="TableText"/>
            </w:pPr>
            <w:r>
              <w:t>Fiscal balance</w:t>
            </w:r>
          </w:p>
        </w:tc>
        <w:tc>
          <w:tcPr>
            <w:tcW w:w="721" w:type="pct"/>
            <w:vAlign w:val="center"/>
          </w:tcPr>
          <w:p w:rsidR="006C3EA1" w:rsidRPr="00A66662" w:rsidRDefault="006C3EA1" w:rsidP="006C3EA1">
            <w:pPr>
              <w:pStyle w:val="TableTextRight"/>
            </w:pPr>
            <w:r w:rsidRPr="00A66662">
              <w:t xml:space="preserve">-42.0 </w:t>
            </w:r>
          </w:p>
        </w:tc>
        <w:tc>
          <w:tcPr>
            <w:tcW w:w="721" w:type="pct"/>
            <w:vAlign w:val="center"/>
          </w:tcPr>
          <w:p w:rsidR="006C3EA1" w:rsidRPr="00A66662" w:rsidRDefault="006C3EA1" w:rsidP="006C3EA1">
            <w:pPr>
              <w:pStyle w:val="TableTextRight"/>
            </w:pPr>
            <w:r w:rsidRPr="00A66662">
              <w:t xml:space="preserve">-84.0 </w:t>
            </w:r>
          </w:p>
        </w:tc>
        <w:tc>
          <w:tcPr>
            <w:tcW w:w="722" w:type="pct"/>
            <w:vAlign w:val="center"/>
          </w:tcPr>
          <w:p w:rsidR="006C3EA1" w:rsidRPr="00A66662" w:rsidRDefault="006C3EA1" w:rsidP="006C3EA1">
            <w:pPr>
              <w:pStyle w:val="TableTextRight"/>
            </w:pPr>
            <w:r w:rsidRPr="00A66662">
              <w:t xml:space="preserve">-85.0 </w:t>
            </w:r>
          </w:p>
        </w:tc>
        <w:tc>
          <w:tcPr>
            <w:tcW w:w="721" w:type="pct"/>
            <w:vAlign w:val="center"/>
          </w:tcPr>
          <w:p w:rsidR="006C3EA1" w:rsidRPr="00A66662" w:rsidRDefault="006C3EA1" w:rsidP="006C3EA1">
            <w:pPr>
              <w:pStyle w:val="TableTextRight"/>
            </w:pPr>
            <w:r w:rsidRPr="00A66662">
              <w:t xml:space="preserve">-86.0 </w:t>
            </w:r>
          </w:p>
        </w:tc>
        <w:tc>
          <w:tcPr>
            <w:tcW w:w="722" w:type="pct"/>
            <w:vAlign w:val="center"/>
          </w:tcPr>
          <w:p w:rsidR="006C3EA1" w:rsidRPr="00A66662" w:rsidRDefault="006C3EA1" w:rsidP="006C3EA1">
            <w:pPr>
              <w:pStyle w:val="TableTextRight"/>
              <w:rPr>
                <w:b/>
              </w:rPr>
            </w:pPr>
            <w:r w:rsidRPr="00A66662">
              <w:rPr>
                <w:b/>
              </w:rPr>
              <w:t xml:space="preserve">-298.0 </w:t>
            </w:r>
          </w:p>
        </w:tc>
      </w:tr>
      <w:tr w:rsidR="006C3EA1" w:rsidTr="006C3EA1">
        <w:tc>
          <w:tcPr>
            <w:tcW w:w="1393" w:type="pct"/>
            <w:vAlign w:val="center"/>
          </w:tcPr>
          <w:p w:rsidR="006C3EA1" w:rsidRDefault="006C3EA1" w:rsidP="006C3EA1">
            <w:pPr>
              <w:pStyle w:val="TableText"/>
            </w:pPr>
            <w:r>
              <w:t>Underlying cash balance</w:t>
            </w:r>
          </w:p>
        </w:tc>
        <w:tc>
          <w:tcPr>
            <w:tcW w:w="721" w:type="pct"/>
            <w:vAlign w:val="center"/>
          </w:tcPr>
          <w:p w:rsidR="006C3EA1" w:rsidRPr="00A66662" w:rsidRDefault="006C3EA1" w:rsidP="006C3EA1">
            <w:pPr>
              <w:pStyle w:val="TableTextRight"/>
            </w:pPr>
            <w:r w:rsidRPr="00A66662">
              <w:t xml:space="preserve">-42.0 </w:t>
            </w:r>
          </w:p>
        </w:tc>
        <w:tc>
          <w:tcPr>
            <w:tcW w:w="721" w:type="pct"/>
            <w:vAlign w:val="center"/>
          </w:tcPr>
          <w:p w:rsidR="006C3EA1" w:rsidRPr="00A66662" w:rsidRDefault="006C3EA1" w:rsidP="006C3EA1">
            <w:pPr>
              <w:pStyle w:val="TableTextRight"/>
            </w:pPr>
            <w:r w:rsidRPr="00A66662">
              <w:t>-8</w:t>
            </w:r>
            <w:r>
              <w:t>4</w:t>
            </w:r>
            <w:r w:rsidRPr="00A66662">
              <w:t xml:space="preserve">.0 </w:t>
            </w:r>
          </w:p>
        </w:tc>
        <w:tc>
          <w:tcPr>
            <w:tcW w:w="722" w:type="pct"/>
            <w:vAlign w:val="center"/>
          </w:tcPr>
          <w:p w:rsidR="006C3EA1" w:rsidRPr="00A66662" w:rsidRDefault="006C3EA1" w:rsidP="006C3EA1">
            <w:pPr>
              <w:pStyle w:val="TableTextRight"/>
            </w:pPr>
            <w:r w:rsidRPr="00A66662">
              <w:t xml:space="preserve">-85.0 </w:t>
            </w:r>
          </w:p>
        </w:tc>
        <w:tc>
          <w:tcPr>
            <w:tcW w:w="721" w:type="pct"/>
            <w:vAlign w:val="center"/>
          </w:tcPr>
          <w:p w:rsidR="006C3EA1" w:rsidRPr="00A66662" w:rsidRDefault="006C3EA1" w:rsidP="006C3EA1">
            <w:pPr>
              <w:pStyle w:val="TableTextRight"/>
            </w:pPr>
            <w:r w:rsidRPr="00A66662">
              <w:t xml:space="preserve">-86.0 </w:t>
            </w:r>
          </w:p>
        </w:tc>
        <w:tc>
          <w:tcPr>
            <w:tcW w:w="722" w:type="pct"/>
            <w:vAlign w:val="center"/>
          </w:tcPr>
          <w:p w:rsidR="006C3EA1" w:rsidRPr="00A66662" w:rsidRDefault="006C3EA1" w:rsidP="006C3EA1">
            <w:pPr>
              <w:pStyle w:val="TableTextRight"/>
              <w:rPr>
                <w:b/>
              </w:rPr>
            </w:pPr>
            <w:r w:rsidRPr="00A66662">
              <w:rPr>
                <w:b/>
              </w:rPr>
              <w:t>-29</w:t>
            </w:r>
            <w:r>
              <w:rPr>
                <w:b/>
              </w:rPr>
              <w:t>8</w:t>
            </w:r>
            <w:r w:rsidRPr="00A66662">
              <w:rPr>
                <w:b/>
              </w:rPr>
              <w:t xml:space="preserve">.0 </w:t>
            </w:r>
          </w:p>
        </w:tc>
      </w:tr>
    </w:tbl>
    <w:p w:rsidR="00763944" w:rsidRDefault="00763944" w:rsidP="002C43F8">
      <w:pPr>
        <w:pStyle w:val="Footnotes"/>
        <w:numPr>
          <w:ilvl w:val="0"/>
          <w:numId w:val="197"/>
        </w:numPr>
        <w:ind w:left="284" w:hanging="284"/>
      </w:pPr>
      <w:r>
        <w:t xml:space="preserve">A positive </w:t>
      </w:r>
      <w:r w:rsidRPr="00FC1F1C">
        <w:t>number indicates an increase in the relevant budget balance, a negative number a decrease.</w:t>
      </w:r>
    </w:p>
    <w:p w:rsidR="00763944" w:rsidRPr="003830C7" w:rsidRDefault="00763944" w:rsidP="006C3EA1">
      <w:pPr>
        <w:pStyle w:val="Footnotes"/>
        <w:ind w:left="284" w:hanging="284"/>
        <w:rPr>
          <w:rStyle w:val="FootnoteReference"/>
          <w:vertAlign w:val="baseline"/>
        </w:rPr>
      </w:pPr>
      <w:r w:rsidRPr="003830C7">
        <w:t>Figures may not sum to totals due to rounding.</w:t>
      </w:r>
    </w:p>
    <w:p w:rsidR="00763944" w:rsidRDefault="00763944">
      <w:pPr>
        <w:pStyle w:val="CostingsH7"/>
      </w:pPr>
      <w:r>
        <w:t>Methodology</w:t>
      </w:r>
    </w:p>
    <w:p w:rsidR="008E34E8" w:rsidRDefault="008E34E8" w:rsidP="00B65C00">
      <w:pPr>
        <w:keepNext/>
        <w:keepLines/>
      </w:pPr>
      <w:r w:rsidRPr="00DD76E7">
        <w:t xml:space="preserve">The </w:t>
      </w:r>
      <w:r>
        <w:t>administered and departmental financial implications were based on the 2014</w:t>
      </w:r>
      <w:r>
        <w:noBreakHyphen/>
        <w:t xml:space="preserve">15 Budget measure estimates adjusted for parameter changes since that time. </w:t>
      </w:r>
    </w:p>
    <w:p w:rsidR="006C3EA1" w:rsidRDefault="006C3EA1" w:rsidP="00B65C00">
      <w:pPr>
        <w:pStyle w:val="BodyText"/>
        <w:keepNext/>
        <w:keepLines/>
      </w:pPr>
      <w:r>
        <w:t>Administered and departmental expenses in 2016-17 were assumed to be half of the full year estimates.</w:t>
      </w:r>
    </w:p>
    <w:p w:rsidR="006C3EA1" w:rsidRPr="006C3EA1" w:rsidRDefault="006C3EA1" w:rsidP="00B65C00">
      <w:pPr>
        <w:pStyle w:val="BodyText"/>
        <w:keepNext/>
        <w:keepLines/>
      </w:pPr>
      <w:r>
        <w:t>All estimates have been rounded to the nearest $1 million per year.</w:t>
      </w:r>
    </w:p>
    <w:p w:rsidR="00763944" w:rsidRDefault="00763944" w:rsidP="00763944">
      <w:pPr>
        <w:pStyle w:val="CostingsH7"/>
      </w:pPr>
      <w:r>
        <w:t>Data sources</w:t>
      </w:r>
    </w:p>
    <w:p w:rsidR="006C3EA1" w:rsidRDefault="006C3EA1" w:rsidP="006C3EA1">
      <w:pPr>
        <w:pStyle w:val="BodyText"/>
      </w:pPr>
      <w:r>
        <w:t>Department of Social Services provided the 2016-17 Budget Pension Education Supplement customer and expenditure estimates.</w:t>
      </w:r>
    </w:p>
    <w:p w:rsidR="006C3EA1" w:rsidRDefault="006C3EA1" w:rsidP="006C3EA1">
      <w:pPr>
        <w:pStyle w:val="BodyText"/>
      </w:pPr>
      <w:r>
        <w:t>Department of Human Services (DHS) provided unit prices for the DHS funding model as at the 2016-17 Budget.</w:t>
      </w:r>
    </w:p>
    <w:p w:rsidR="00C241CC" w:rsidRDefault="00C241CC" w:rsidP="006C3EA1">
      <w:pPr>
        <w:pStyle w:val="BodyText"/>
      </w:pPr>
    </w:p>
    <w:p w:rsidR="00C241CC" w:rsidRDefault="00C241CC" w:rsidP="006C3EA1">
      <w:pPr>
        <w:pStyle w:val="BodyText"/>
        <w:sectPr w:rsidR="00C241CC" w:rsidSect="00967BCD">
          <w:footnotePr>
            <w:numRestart w:val="eachSect"/>
          </w:footnotePr>
          <w:pgSz w:w="11906" w:h="16838" w:code="9"/>
          <w:pgMar w:top="1361" w:right="1797" w:bottom="1474" w:left="1797" w:header="283" w:footer="454" w:gutter="0"/>
          <w:cols w:space="708"/>
          <w:docGrid w:linePitch="360"/>
        </w:sectPr>
      </w:pPr>
    </w:p>
    <w:p w:rsidR="00763944" w:rsidRDefault="00763944" w:rsidP="006C3EA1">
      <w:pPr>
        <w:pStyle w:val="Heading6"/>
        <w:spacing w:before="480"/>
      </w:pPr>
      <w:r>
        <w:t xml:space="preserve">Attachment </w:t>
      </w:r>
      <w:r w:rsidR="006C3EA1">
        <w:t>A</w:t>
      </w:r>
      <w:r>
        <w:t>:</w:t>
      </w:r>
      <w:r w:rsidR="006C3EA1">
        <w:t xml:space="preserve"> </w:t>
      </w:r>
      <w:r w:rsidR="006C3EA1" w:rsidRPr="006C3EA1">
        <w:t xml:space="preserve">Not proceeding with the abolition of the Pensioner Education Supplement </w:t>
      </w:r>
      <w:r>
        <w:t>—</w:t>
      </w:r>
      <w:r w:rsidR="0080154C">
        <w:t>financial implications</w:t>
      </w:r>
    </w:p>
    <w:p w:rsidR="00763944" w:rsidRDefault="00763944" w:rsidP="00763944">
      <w:pPr>
        <w:pStyle w:val="Caption"/>
      </w:pPr>
      <w:r w:rsidRPr="002B36F1">
        <w:t xml:space="preserve">Table </w:t>
      </w:r>
      <w:r>
        <w:t>A1</w:t>
      </w:r>
      <w:r w:rsidRPr="002B36F1">
        <w:t>:</w:t>
      </w:r>
      <w:r>
        <w:t xml:space="preserve"> </w:t>
      </w:r>
      <w:r w:rsidR="006C3EA1" w:rsidRPr="006C3EA1">
        <w:t>Not proceeding with the abolition of the Pensioner Education Supplement</w:t>
      </w:r>
      <w:r>
        <w:t>—</w:t>
      </w:r>
      <w:r w:rsidR="006C3EA1">
        <w: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763944" w:rsidTr="006C3EA1">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763944" w:rsidRPr="007C2713" w:rsidRDefault="00763944" w:rsidP="006C3EA1">
            <w:pPr>
              <w:pStyle w:val="TableText"/>
              <w:rPr>
                <w:b w:val="0"/>
              </w:rPr>
            </w:pPr>
            <w:r>
              <w:rPr>
                <w:b w:val="0"/>
              </w:rPr>
              <w:t>($)</w:t>
            </w:r>
          </w:p>
        </w:tc>
        <w:tc>
          <w:tcPr>
            <w:tcW w:w="689" w:type="pct"/>
            <w:vAlign w:val="center"/>
          </w:tcPr>
          <w:p w:rsidR="00763944" w:rsidRDefault="00763944" w:rsidP="00955F16">
            <w:pPr>
              <w:pStyle w:val="TableTextRight"/>
              <w:rPr>
                <w:b w:val="0"/>
              </w:rPr>
            </w:pPr>
            <w:r>
              <w:rPr>
                <w:b w:val="0"/>
              </w:rPr>
              <w:t>2016–17</w:t>
            </w:r>
          </w:p>
        </w:tc>
        <w:tc>
          <w:tcPr>
            <w:tcW w:w="689" w:type="pct"/>
            <w:vAlign w:val="center"/>
          </w:tcPr>
          <w:p w:rsidR="00763944" w:rsidRDefault="00763944" w:rsidP="00955F16">
            <w:pPr>
              <w:pStyle w:val="TableTextRight"/>
              <w:rPr>
                <w:b w:val="0"/>
              </w:rPr>
            </w:pPr>
            <w:r>
              <w:rPr>
                <w:b w:val="0"/>
              </w:rPr>
              <w:t>2017–18</w:t>
            </w:r>
          </w:p>
        </w:tc>
        <w:tc>
          <w:tcPr>
            <w:tcW w:w="689" w:type="pct"/>
            <w:vAlign w:val="center"/>
          </w:tcPr>
          <w:p w:rsidR="00763944" w:rsidRDefault="00763944" w:rsidP="00955F16">
            <w:pPr>
              <w:pStyle w:val="TableTextRight"/>
              <w:rPr>
                <w:b w:val="0"/>
              </w:rPr>
            </w:pPr>
            <w:r>
              <w:rPr>
                <w:b w:val="0"/>
              </w:rPr>
              <w:t>2018–19</w:t>
            </w:r>
          </w:p>
        </w:tc>
        <w:tc>
          <w:tcPr>
            <w:tcW w:w="689" w:type="pct"/>
            <w:vAlign w:val="center"/>
          </w:tcPr>
          <w:p w:rsidR="00763944" w:rsidRDefault="00763944" w:rsidP="00955F16">
            <w:pPr>
              <w:pStyle w:val="TableTextRight"/>
              <w:rPr>
                <w:b w:val="0"/>
              </w:rPr>
            </w:pPr>
            <w:r>
              <w:rPr>
                <w:b w:val="0"/>
              </w:rPr>
              <w:t>2019–20</w:t>
            </w:r>
          </w:p>
        </w:tc>
        <w:tc>
          <w:tcPr>
            <w:tcW w:w="690" w:type="pct"/>
            <w:vAlign w:val="center"/>
          </w:tcPr>
          <w:p w:rsidR="00763944" w:rsidRDefault="00763944" w:rsidP="00955F16">
            <w:pPr>
              <w:pStyle w:val="TableTextRight"/>
            </w:pPr>
            <w:r>
              <w:t>Total to 2019–20</w:t>
            </w:r>
          </w:p>
        </w:tc>
      </w:tr>
      <w:tr w:rsidR="006C3EA1" w:rsidTr="006C3EA1">
        <w:tc>
          <w:tcPr>
            <w:tcW w:w="5000" w:type="pct"/>
            <w:gridSpan w:val="6"/>
            <w:shd w:val="clear" w:color="auto" w:fill="E9ECF3" w:themeFill="accent2" w:themeFillTint="33"/>
            <w:vAlign w:val="center"/>
          </w:tcPr>
          <w:p w:rsidR="006C3EA1" w:rsidRDefault="006C3EA1" w:rsidP="006C3EA1">
            <w:pPr>
              <w:pStyle w:val="TableHeading"/>
            </w:pPr>
            <w:r>
              <w:t>Fiscal and underlying cash balances</w:t>
            </w:r>
          </w:p>
        </w:tc>
      </w:tr>
      <w:tr w:rsidR="006C3EA1" w:rsidTr="006C3EA1">
        <w:tc>
          <w:tcPr>
            <w:tcW w:w="1554" w:type="pct"/>
            <w:vAlign w:val="center"/>
          </w:tcPr>
          <w:p w:rsidR="006C3EA1" w:rsidRPr="00583315" w:rsidRDefault="006C3EA1" w:rsidP="006C3EA1">
            <w:pPr>
              <w:pStyle w:val="TableText"/>
            </w:pPr>
            <w:r w:rsidRPr="00583315">
              <w:t>Administered</w:t>
            </w:r>
          </w:p>
        </w:tc>
        <w:tc>
          <w:tcPr>
            <w:tcW w:w="689" w:type="pct"/>
            <w:vAlign w:val="center"/>
          </w:tcPr>
          <w:p w:rsidR="006C3EA1" w:rsidRPr="00DE2A4C" w:rsidRDefault="006C3EA1" w:rsidP="006C3EA1">
            <w:pPr>
              <w:pStyle w:val="TableTextRight"/>
              <w:rPr>
                <w:i/>
              </w:rPr>
            </w:pPr>
            <w:r w:rsidRPr="00DE2A4C">
              <w:rPr>
                <w:i/>
              </w:rPr>
              <w:t xml:space="preserve">-40.0 </w:t>
            </w:r>
          </w:p>
        </w:tc>
        <w:tc>
          <w:tcPr>
            <w:tcW w:w="689" w:type="pct"/>
            <w:vAlign w:val="center"/>
          </w:tcPr>
          <w:p w:rsidR="006C3EA1" w:rsidRPr="00DE2A4C" w:rsidRDefault="006C3EA1" w:rsidP="006C3EA1">
            <w:pPr>
              <w:pStyle w:val="TableTextRight"/>
              <w:rPr>
                <w:i/>
              </w:rPr>
            </w:pPr>
            <w:r w:rsidRPr="00DE2A4C">
              <w:rPr>
                <w:i/>
              </w:rPr>
              <w:t xml:space="preserve">-79.0 </w:t>
            </w:r>
          </w:p>
        </w:tc>
        <w:tc>
          <w:tcPr>
            <w:tcW w:w="689" w:type="pct"/>
            <w:vAlign w:val="center"/>
          </w:tcPr>
          <w:p w:rsidR="006C3EA1" w:rsidRPr="00DE2A4C" w:rsidRDefault="006C3EA1" w:rsidP="006C3EA1">
            <w:pPr>
              <w:pStyle w:val="TableTextRight"/>
              <w:rPr>
                <w:i/>
              </w:rPr>
            </w:pPr>
            <w:r w:rsidRPr="00DE2A4C">
              <w:rPr>
                <w:i/>
              </w:rPr>
              <w:t xml:space="preserve">-80.0 </w:t>
            </w:r>
          </w:p>
        </w:tc>
        <w:tc>
          <w:tcPr>
            <w:tcW w:w="689" w:type="pct"/>
            <w:vAlign w:val="center"/>
          </w:tcPr>
          <w:p w:rsidR="006C3EA1" w:rsidRPr="00DE2A4C" w:rsidRDefault="006C3EA1" w:rsidP="006C3EA1">
            <w:pPr>
              <w:pStyle w:val="TableTextRight"/>
              <w:rPr>
                <w:i/>
              </w:rPr>
            </w:pPr>
            <w:r w:rsidRPr="00DE2A4C">
              <w:rPr>
                <w:i/>
              </w:rPr>
              <w:t xml:space="preserve">-81.0 </w:t>
            </w:r>
          </w:p>
        </w:tc>
        <w:tc>
          <w:tcPr>
            <w:tcW w:w="690" w:type="pct"/>
            <w:vAlign w:val="center"/>
          </w:tcPr>
          <w:p w:rsidR="006C3EA1" w:rsidRPr="00DE2A4C" w:rsidRDefault="006C3EA1" w:rsidP="006C3EA1">
            <w:pPr>
              <w:pStyle w:val="TableTextRight"/>
              <w:rPr>
                <w:b/>
                <w:i/>
              </w:rPr>
            </w:pPr>
            <w:r w:rsidRPr="00DE2A4C">
              <w:rPr>
                <w:b/>
                <w:i/>
              </w:rPr>
              <w:t xml:space="preserve">-281.0 </w:t>
            </w:r>
          </w:p>
        </w:tc>
      </w:tr>
      <w:tr w:rsidR="006C3EA1" w:rsidTr="006C3EA1">
        <w:tc>
          <w:tcPr>
            <w:tcW w:w="1554" w:type="pct"/>
            <w:vAlign w:val="center"/>
          </w:tcPr>
          <w:p w:rsidR="006C3EA1" w:rsidRPr="00583315" w:rsidRDefault="006C3EA1" w:rsidP="006C3EA1">
            <w:pPr>
              <w:pStyle w:val="TableText"/>
            </w:pPr>
            <w:r w:rsidRPr="00583315">
              <w:t>Departmental</w:t>
            </w:r>
          </w:p>
        </w:tc>
        <w:tc>
          <w:tcPr>
            <w:tcW w:w="689" w:type="pct"/>
            <w:vAlign w:val="center"/>
          </w:tcPr>
          <w:p w:rsidR="006C3EA1" w:rsidRPr="00DE2A4C" w:rsidRDefault="006C3EA1" w:rsidP="006C3EA1">
            <w:pPr>
              <w:pStyle w:val="TableTextRight"/>
              <w:rPr>
                <w:i/>
              </w:rPr>
            </w:pPr>
            <w:r w:rsidRPr="00DE2A4C">
              <w:rPr>
                <w:i/>
              </w:rPr>
              <w:t xml:space="preserve">-2.0 </w:t>
            </w:r>
          </w:p>
        </w:tc>
        <w:tc>
          <w:tcPr>
            <w:tcW w:w="689" w:type="pct"/>
            <w:vAlign w:val="center"/>
          </w:tcPr>
          <w:p w:rsidR="006C3EA1" w:rsidRPr="00DE2A4C" w:rsidRDefault="006C3EA1" w:rsidP="006C3EA1">
            <w:pPr>
              <w:pStyle w:val="TableTextRight"/>
              <w:rPr>
                <w:i/>
              </w:rPr>
            </w:pPr>
            <w:r w:rsidRPr="00DE2A4C">
              <w:rPr>
                <w:i/>
              </w:rPr>
              <w:t xml:space="preserve">-5.0 </w:t>
            </w:r>
          </w:p>
        </w:tc>
        <w:tc>
          <w:tcPr>
            <w:tcW w:w="689" w:type="pct"/>
            <w:vAlign w:val="center"/>
          </w:tcPr>
          <w:p w:rsidR="006C3EA1" w:rsidRPr="00DE2A4C" w:rsidRDefault="006C3EA1" w:rsidP="006C3EA1">
            <w:pPr>
              <w:pStyle w:val="TableTextRight"/>
              <w:rPr>
                <w:i/>
              </w:rPr>
            </w:pPr>
            <w:r w:rsidRPr="00DE2A4C">
              <w:rPr>
                <w:i/>
              </w:rPr>
              <w:t xml:space="preserve">-5.0 </w:t>
            </w:r>
          </w:p>
        </w:tc>
        <w:tc>
          <w:tcPr>
            <w:tcW w:w="689" w:type="pct"/>
            <w:vAlign w:val="center"/>
          </w:tcPr>
          <w:p w:rsidR="006C3EA1" w:rsidRPr="00DE2A4C" w:rsidRDefault="006C3EA1" w:rsidP="006C3EA1">
            <w:pPr>
              <w:pStyle w:val="TableTextRight"/>
              <w:rPr>
                <w:i/>
              </w:rPr>
            </w:pPr>
            <w:r w:rsidRPr="00DE2A4C">
              <w:rPr>
                <w:i/>
              </w:rPr>
              <w:t xml:space="preserve">-5.0 </w:t>
            </w:r>
          </w:p>
        </w:tc>
        <w:tc>
          <w:tcPr>
            <w:tcW w:w="690" w:type="pct"/>
            <w:vAlign w:val="center"/>
          </w:tcPr>
          <w:p w:rsidR="006C3EA1" w:rsidRPr="00DE2A4C" w:rsidRDefault="006C3EA1" w:rsidP="006C3EA1">
            <w:pPr>
              <w:pStyle w:val="TableTextRight"/>
              <w:rPr>
                <w:b/>
                <w:i/>
              </w:rPr>
            </w:pPr>
            <w:r w:rsidRPr="00DE2A4C">
              <w:rPr>
                <w:b/>
                <w:i/>
              </w:rPr>
              <w:t xml:space="preserve">-17.0 </w:t>
            </w:r>
          </w:p>
        </w:tc>
      </w:tr>
      <w:tr w:rsidR="006C3EA1" w:rsidRPr="007C2713" w:rsidTr="006C3EA1">
        <w:tc>
          <w:tcPr>
            <w:tcW w:w="1554" w:type="pct"/>
            <w:shd w:val="clear" w:color="auto" w:fill="D7DDE9" w:themeFill="accent3"/>
            <w:vAlign w:val="center"/>
          </w:tcPr>
          <w:p w:rsidR="006C3EA1" w:rsidRPr="008D5440" w:rsidRDefault="006C3EA1" w:rsidP="006C3EA1">
            <w:pPr>
              <w:pStyle w:val="TableText"/>
              <w:rPr>
                <w:b/>
                <w:bCs/>
              </w:rPr>
            </w:pPr>
            <w:r w:rsidRPr="008D5440">
              <w:rPr>
                <w:b/>
                <w:bCs/>
              </w:rPr>
              <w:t>Total</w:t>
            </w:r>
          </w:p>
        </w:tc>
        <w:tc>
          <w:tcPr>
            <w:tcW w:w="689" w:type="pct"/>
            <w:shd w:val="clear" w:color="auto" w:fill="D7DDE9" w:themeFill="accent3"/>
            <w:vAlign w:val="center"/>
          </w:tcPr>
          <w:p w:rsidR="006C3EA1" w:rsidRPr="008D5440" w:rsidRDefault="006C3EA1" w:rsidP="006C3EA1">
            <w:pPr>
              <w:pStyle w:val="TableTextRight"/>
              <w:rPr>
                <w:b/>
                <w:bCs/>
              </w:rPr>
            </w:pPr>
            <w:r w:rsidRPr="008D5440">
              <w:rPr>
                <w:b/>
                <w:bCs/>
              </w:rPr>
              <w:t xml:space="preserve">-42.0 </w:t>
            </w:r>
          </w:p>
        </w:tc>
        <w:tc>
          <w:tcPr>
            <w:tcW w:w="689" w:type="pct"/>
            <w:shd w:val="clear" w:color="auto" w:fill="D7DDE9" w:themeFill="accent3"/>
            <w:vAlign w:val="center"/>
          </w:tcPr>
          <w:p w:rsidR="006C3EA1" w:rsidRPr="008D5440" w:rsidRDefault="006C3EA1" w:rsidP="006C3EA1">
            <w:pPr>
              <w:pStyle w:val="TableTextRight"/>
              <w:rPr>
                <w:b/>
                <w:bCs/>
              </w:rPr>
            </w:pPr>
            <w:r w:rsidRPr="008D5440">
              <w:rPr>
                <w:b/>
                <w:bCs/>
              </w:rPr>
              <w:t xml:space="preserve">-84.0 </w:t>
            </w:r>
          </w:p>
        </w:tc>
        <w:tc>
          <w:tcPr>
            <w:tcW w:w="689" w:type="pct"/>
            <w:shd w:val="clear" w:color="auto" w:fill="D7DDE9" w:themeFill="accent3"/>
            <w:vAlign w:val="center"/>
          </w:tcPr>
          <w:p w:rsidR="006C3EA1" w:rsidRPr="008D5440" w:rsidRDefault="006C3EA1" w:rsidP="006C3EA1">
            <w:pPr>
              <w:pStyle w:val="TableTextRight"/>
              <w:rPr>
                <w:b/>
                <w:bCs/>
              </w:rPr>
            </w:pPr>
            <w:r w:rsidRPr="008D5440">
              <w:rPr>
                <w:b/>
                <w:bCs/>
              </w:rPr>
              <w:t xml:space="preserve">-85.0 </w:t>
            </w:r>
          </w:p>
        </w:tc>
        <w:tc>
          <w:tcPr>
            <w:tcW w:w="689" w:type="pct"/>
            <w:shd w:val="clear" w:color="auto" w:fill="D7DDE9" w:themeFill="accent3"/>
            <w:vAlign w:val="center"/>
          </w:tcPr>
          <w:p w:rsidR="006C3EA1" w:rsidRPr="008D5440" w:rsidRDefault="006C3EA1" w:rsidP="006C3EA1">
            <w:pPr>
              <w:pStyle w:val="TableTextRight"/>
              <w:rPr>
                <w:b/>
                <w:bCs/>
              </w:rPr>
            </w:pPr>
            <w:r w:rsidRPr="008D5440">
              <w:rPr>
                <w:b/>
                <w:bCs/>
              </w:rPr>
              <w:t xml:space="preserve">-86.0 </w:t>
            </w:r>
          </w:p>
        </w:tc>
        <w:tc>
          <w:tcPr>
            <w:tcW w:w="690" w:type="pct"/>
            <w:shd w:val="clear" w:color="auto" w:fill="D7DDE9" w:themeFill="accent3"/>
            <w:vAlign w:val="center"/>
          </w:tcPr>
          <w:p w:rsidR="006C3EA1" w:rsidRPr="008D5440" w:rsidRDefault="006C3EA1" w:rsidP="006C3EA1">
            <w:pPr>
              <w:pStyle w:val="TableTextRight"/>
              <w:rPr>
                <w:b/>
                <w:bCs/>
              </w:rPr>
            </w:pPr>
            <w:r w:rsidRPr="008D5440">
              <w:rPr>
                <w:b/>
                <w:bCs/>
              </w:rPr>
              <w:t xml:space="preserve">-298.0 </w:t>
            </w:r>
          </w:p>
        </w:tc>
      </w:tr>
    </w:tbl>
    <w:p w:rsidR="006C3EA1" w:rsidRDefault="006C3EA1" w:rsidP="002C43F8">
      <w:pPr>
        <w:pStyle w:val="Footnotes"/>
        <w:numPr>
          <w:ilvl w:val="0"/>
          <w:numId w:val="198"/>
        </w:numPr>
        <w:spacing w:before="113"/>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763944" w:rsidRPr="005F544A" w:rsidRDefault="00763944" w:rsidP="006C3EA1">
      <w:pPr>
        <w:pStyle w:val="Footnotes"/>
        <w:spacing w:after="120"/>
        <w:ind w:left="284" w:hanging="284"/>
      </w:pPr>
      <w:r w:rsidRPr="005F544A">
        <w:t>Figures may not sum to totals due to rounding.</w:t>
      </w:r>
    </w:p>
    <w:p w:rsidR="00030420" w:rsidRDefault="00030420" w:rsidP="00030420">
      <w:pPr>
        <w:pStyle w:val="BodyText"/>
      </w:pPr>
    </w:p>
    <w:p w:rsidR="00030420" w:rsidRDefault="00030420" w:rsidP="00030420">
      <w:pPr>
        <w:pStyle w:val="BodyText"/>
        <w:sectPr w:rsidR="00030420" w:rsidSect="00967BCD">
          <w:footnotePr>
            <w:numRestart w:val="eachSect"/>
          </w:footnotePr>
          <w:pgSz w:w="11906" w:h="16838" w:code="9"/>
          <w:pgMar w:top="1361" w:right="1797" w:bottom="1474" w:left="1797" w:header="283" w:footer="454" w:gutter="0"/>
          <w:cols w:space="708"/>
          <w:docGrid w:linePitch="360"/>
        </w:sectPr>
      </w:pPr>
    </w:p>
    <w:p w:rsidR="00030420" w:rsidRDefault="00030420" w:rsidP="00030420">
      <w:pPr>
        <w:pStyle w:val="Heading5"/>
        <w:ind w:left="1080" w:hanging="1080"/>
      </w:pPr>
      <w:bookmarkStart w:id="112" w:name="_Toc458081705"/>
      <w:r>
        <w:t>ALP0</w:t>
      </w:r>
      <w:r w:rsidR="009221D1">
        <w:t>81</w:t>
      </w:r>
      <w:r>
        <w:t xml:space="preserve">: Not proceeding with </w:t>
      </w:r>
      <w:r w:rsidR="00022B47">
        <w:t xml:space="preserve">the abolition of the </w:t>
      </w:r>
      <w:r>
        <w:t xml:space="preserve">Education </w:t>
      </w:r>
      <w:r w:rsidR="00022B47">
        <w:t>E</w:t>
      </w:r>
      <w:r>
        <w:t xml:space="preserve">ntry </w:t>
      </w:r>
      <w:r w:rsidR="00022B47">
        <w:t>P</w:t>
      </w:r>
      <w:r>
        <w:t>ayment</w:t>
      </w:r>
      <w:bookmarkEnd w:id="112"/>
    </w:p>
    <w:p w:rsidR="00030420" w:rsidRDefault="00030420" w:rsidP="00030420">
      <w:pPr>
        <w:pStyle w:val="BodyText"/>
      </w:pPr>
      <w:r>
        <w:rPr>
          <w:noProof/>
          <w:lang w:eastAsia="en-AU"/>
        </w:rPr>
        <w:drawing>
          <wp:inline distT="0" distB="0" distL="0" distR="0" wp14:anchorId="7C2923FC" wp14:editId="515674C1">
            <wp:extent cx="2696845" cy="572135"/>
            <wp:effectExtent l="0" t="0" r="8255" b="0"/>
            <wp:docPr id="344" name="Picture 34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763944" w:rsidRPr="00B45F94" w:rsidTr="00955F16">
        <w:trPr>
          <w:cnfStyle w:val="100000000000" w:firstRow="1" w:lastRow="0" w:firstColumn="0" w:lastColumn="0" w:oddVBand="0" w:evenVBand="0" w:oddHBand="0" w:evenHBand="0" w:firstRowFirstColumn="0" w:firstRowLastColumn="0" w:lastRowFirstColumn="0" w:lastRowLastColumn="0"/>
        </w:trPr>
        <w:tc>
          <w:tcPr>
            <w:tcW w:w="1809" w:type="pct"/>
          </w:tcPr>
          <w:p w:rsidR="00763944" w:rsidRPr="00B45F94" w:rsidRDefault="00763944" w:rsidP="00955F16">
            <w:pPr>
              <w:pStyle w:val="TableHeading"/>
              <w:rPr>
                <w:b/>
                <w:sz w:val="22"/>
              </w:rPr>
            </w:pPr>
            <w:r w:rsidRPr="00B45F94">
              <w:rPr>
                <w:b/>
                <w:sz w:val="22"/>
              </w:rPr>
              <w:t>Name of proposal:</w:t>
            </w:r>
          </w:p>
        </w:tc>
        <w:tc>
          <w:tcPr>
            <w:tcW w:w="3191" w:type="pct"/>
          </w:tcPr>
          <w:p w:rsidR="00763944" w:rsidRPr="00B45F94" w:rsidRDefault="001351B0" w:rsidP="00955F16">
            <w:pPr>
              <w:pStyle w:val="TableHeadingCentred"/>
              <w:jc w:val="left"/>
              <w:rPr>
                <w:b/>
                <w:sz w:val="22"/>
              </w:rPr>
            </w:pPr>
            <w:r w:rsidRPr="001351B0">
              <w:rPr>
                <w:b/>
                <w:sz w:val="22"/>
              </w:rPr>
              <w:t>Not proceeding with the abolition of the Education Entry Payment</w:t>
            </w:r>
          </w:p>
        </w:tc>
      </w:tr>
      <w:tr w:rsidR="00763944" w:rsidRPr="00B45F94" w:rsidTr="00955F16">
        <w:tc>
          <w:tcPr>
            <w:tcW w:w="1809" w:type="pct"/>
          </w:tcPr>
          <w:p w:rsidR="00763944" w:rsidRPr="00B45F94" w:rsidRDefault="00763944" w:rsidP="00955F16">
            <w:pPr>
              <w:pStyle w:val="TableText"/>
              <w:rPr>
                <w:sz w:val="22"/>
              </w:rPr>
            </w:pPr>
            <w:r w:rsidRPr="00B45F94">
              <w:rPr>
                <w:sz w:val="22"/>
              </w:rPr>
              <w:t>Summary of proposal:</w:t>
            </w:r>
          </w:p>
        </w:tc>
        <w:tc>
          <w:tcPr>
            <w:tcW w:w="3191" w:type="pct"/>
          </w:tcPr>
          <w:p w:rsidR="001351B0" w:rsidRPr="001351B0" w:rsidRDefault="001351B0" w:rsidP="001351B0">
            <w:pPr>
              <w:pStyle w:val="PullOutBoxBodyText"/>
            </w:pPr>
            <w:r w:rsidRPr="001351B0">
              <w:t>The proposal would reverse the unlegislated measure to abolish the Education Entry Payment.</w:t>
            </w:r>
          </w:p>
          <w:p w:rsidR="00763944" w:rsidRPr="00B45F94" w:rsidRDefault="001351B0" w:rsidP="001351B0">
            <w:pPr>
              <w:pStyle w:val="PullOutBoxBodyText"/>
            </w:pPr>
            <w:r w:rsidRPr="001351B0">
              <w:t>The proposal would have effect from 1 January 2017.</w:t>
            </w:r>
          </w:p>
        </w:tc>
      </w:tr>
      <w:tr w:rsidR="00763944" w:rsidRPr="00B45F94" w:rsidTr="00955F16">
        <w:tc>
          <w:tcPr>
            <w:tcW w:w="1809" w:type="pct"/>
          </w:tcPr>
          <w:p w:rsidR="00763944" w:rsidRPr="00B45F94" w:rsidRDefault="00763944" w:rsidP="00955F16">
            <w:pPr>
              <w:pStyle w:val="PullOutBoxBodyText"/>
            </w:pPr>
            <w:r>
              <w:t>Party:</w:t>
            </w:r>
          </w:p>
        </w:tc>
        <w:tc>
          <w:tcPr>
            <w:tcW w:w="3191" w:type="pct"/>
          </w:tcPr>
          <w:p w:rsidR="00763944" w:rsidRPr="00B45F94" w:rsidRDefault="00763944" w:rsidP="00955F16">
            <w:pPr>
              <w:pStyle w:val="PullOutBoxBodyText"/>
            </w:pPr>
            <w:r>
              <w:t>Australian Labor Party</w:t>
            </w:r>
          </w:p>
        </w:tc>
      </w:tr>
      <w:tr w:rsidR="00763944" w:rsidRPr="00B45F94" w:rsidTr="00955F16">
        <w:tc>
          <w:tcPr>
            <w:tcW w:w="1809" w:type="pct"/>
          </w:tcPr>
          <w:p w:rsidR="00763944" w:rsidRPr="00B45F94" w:rsidRDefault="00763944" w:rsidP="00955F16">
            <w:pPr>
              <w:pStyle w:val="PullOutBoxBodyText"/>
            </w:pPr>
            <w:r w:rsidRPr="00B45F94">
              <w:t>Expiry date for the costing:</w:t>
            </w:r>
          </w:p>
        </w:tc>
        <w:tc>
          <w:tcPr>
            <w:tcW w:w="3191" w:type="pct"/>
          </w:tcPr>
          <w:p w:rsidR="00763944" w:rsidRPr="00B45F94" w:rsidRDefault="00763944" w:rsidP="00955F16">
            <w:pPr>
              <w:pStyle w:val="PullOutBoxBodyText"/>
            </w:pPr>
            <w:r>
              <w:t>Release of the next economic and fiscal update</w:t>
            </w:r>
          </w:p>
        </w:tc>
      </w:tr>
    </w:tbl>
    <w:p w:rsidR="00763944" w:rsidRDefault="00763944" w:rsidP="00763944">
      <w:pPr>
        <w:pStyle w:val="CostingsH7"/>
      </w:pPr>
      <w:r w:rsidRPr="00BF1EE6">
        <w:t>Costing overview</w:t>
      </w:r>
    </w:p>
    <w:p w:rsidR="001351B0" w:rsidRDefault="001351B0" w:rsidP="001351B0">
      <w:pPr>
        <w:pStyle w:val="BodyText"/>
      </w:pPr>
      <w:r>
        <w:t>This proposal is expected to decrease the fiscal and underlying cash balances by $67 million over the 2016-17 Budget forward estimates period.  The financial implications reflect an increase in administered expenses of $66 million and an increase in departmental expenses of $1 million over this period.  A breakdown of the financial implications for the 2016</w:t>
      </w:r>
      <w:r>
        <w:noBreakHyphen/>
        <w:t xml:space="preserve">17 Budget forward estimates period is at </w:t>
      </w:r>
      <w:r w:rsidRPr="001351B0">
        <w:rPr>
          <w:u w:val="single"/>
        </w:rPr>
        <w:t>Attachment A</w:t>
      </w:r>
      <w:r>
        <w:t>.</w:t>
      </w:r>
    </w:p>
    <w:p w:rsidR="001351B0" w:rsidRDefault="001351B0" w:rsidP="001351B0">
      <w:pPr>
        <w:pStyle w:val="BodyText"/>
      </w:pPr>
      <w:r>
        <w:t>The proposal would have ongoing financial implications that extend beyond the forward estimates period.</w:t>
      </w:r>
    </w:p>
    <w:p w:rsidR="001351B0" w:rsidRPr="001351B0" w:rsidRDefault="001351B0" w:rsidP="001351B0">
      <w:pPr>
        <w:pStyle w:val="BodyText"/>
      </w:pPr>
      <w:r>
        <w:t>This costing is considered to be of low to medium reliability.  Estimates are sensitive to changes in economic and demographic factors.</w:t>
      </w:r>
    </w:p>
    <w:p w:rsidR="00763944" w:rsidRDefault="00763944" w:rsidP="00763944">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763944" w:rsidRPr="00D264E1" w:rsidTr="001351B0">
        <w:trPr>
          <w:cnfStyle w:val="100000000000" w:firstRow="1" w:lastRow="0" w:firstColumn="0" w:lastColumn="0" w:oddVBand="0" w:evenVBand="0" w:oddHBand="0" w:evenHBand="0" w:firstRowFirstColumn="0" w:firstRowLastColumn="0" w:lastRowFirstColumn="0" w:lastRowLastColumn="0"/>
        </w:trPr>
        <w:tc>
          <w:tcPr>
            <w:tcW w:w="1393" w:type="pct"/>
            <w:vAlign w:val="center"/>
          </w:tcPr>
          <w:p w:rsidR="00763944" w:rsidRPr="00D264E1" w:rsidRDefault="00763944" w:rsidP="001351B0">
            <w:pPr>
              <w:pStyle w:val="TableHeading"/>
            </w:pPr>
            <w:r>
              <w:t>Impact on ($m)</w:t>
            </w:r>
          </w:p>
        </w:tc>
        <w:tc>
          <w:tcPr>
            <w:tcW w:w="721" w:type="pct"/>
            <w:vAlign w:val="center"/>
          </w:tcPr>
          <w:p w:rsidR="00763944" w:rsidRPr="00FC1F1C" w:rsidRDefault="00763944" w:rsidP="001351B0">
            <w:pPr>
              <w:pStyle w:val="TableHeadingRight"/>
            </w:pPr>
            <w:r>
              <w:t>2016–17</w:t>
            </w:r>
          </w:p>
        </w:tc>
        <w:tc>
          <w:tcPr>
            <w:tcW w:w="721" w:type="pct"/>
            <w:vAlign w:val="center"/>
          </w:tcPr>
          <w:p w:rsidR="00763944" w:rsidRPr="00FC1F1C" w:rsidRDefault="00763944" w:rsidP="001351B0">
            <w:pPr>
              <w:pStyle w:val="TableHeadingRight"/>
            </w:pPr>
            <w:r>
              <w:t>2017–18</w:t>
            </w:r>
          </w:p>
        </w:tc>
        <w:tc>
          <w:tcPr>
            <w:tcW w:w="722" w:type="pct"/>
            <w:vAlign w:val="center"/>
          </w:tcPr>
          <w:p w:rsidR="00763944" w:rsidRPr="00FC1F1C" w:rsidRDefault="00763944" w:rsidP="001351B0">
            <w:pPr>
              <w:pStyle w:val="TableHeadingRight"/>
            </w:pPr>
            <w:r>
              <w:t>2018–19</w:t>
            </w:r>
          </w:p>
        </w:tc>
        <w:tc>
          <w:tcPr>
            <w:tcW w:w="721" w:type="pct"/>
            <w:vAlign w:val="center"/>
          </w:tcPr>
          <w:p w:rsidR="00763944" w:rsidRPr="00FC1F1C" w:rsidRDefault="00763944" w:rsidP="001351B0">
            <w:pPr>
              <w:pStyle w:val="TableHeadingRight"/>
            </w:pPr>
            <w:r>
              <w:t>2019–20</w:t>
            </w:r>
          </w:p>
        </w:tc>
        <w:tc>
          <w:tcPr>
            <w:tcW w:w="722" w:type="pct"/>
            <w:vAlign w:val="center"/>
          </w:tcPr>
          <w:p w:rsidR="00763944" w:rsidRPr="00FC1F1C" w:rsidRDefault="00763944" w:rsidP="001351B0">
            <w:pPr>
              <w:pStyle w:val="TableHeadingRight"/>
              <w:rPr>
                <w:b/>
              </w:rPr>
            </w:pPr>
            <w:r w:rsidRPr="00FC1F1C">
              <w:rPr>
                <w:b/>
              </w:rPr>
              <w:t>Total</w:t>
            </w:r>
          </w:p>
        </w:tc>
      </w:tr>
      <w:tr w:rsidR="001351B0" w:rsidTr="001351B0">
        <w:tc>
          <w:tcPr>
            <w:tcW w:w="1393" w:type="pct"/>
            <w:vAlign w:val="center"/>
          </w:tcPr>
          <w:p w:rsidR="001351B0" w:rsidRDefault="001351B0" w:rsidP="001351B0">
            <w:pPr>
              <w:pStyle w:val="TableText"/>
            </w:pPr>
            <w:r>
              <w:t>Fiscal balance</w:t>
            </w:r>
          </w:p>
        </w:tc>
        <w:tc>
          <w:tcPr>
            <w:tcW w:w="721" w:type="pct"/>
            <w:vAlign w:val="center"/>
          </w:tcPr>
          <w:p w:rsidR="001351B0" w:rsidRPr="00E535A3" w:rsidRDefault="001351B0" w:rsidP="001351B0">
            <w:pPr>
              <w:pStyle w:val="TableTextRight"/>
            </w:pPr>
            <w:r>
              <w:t>-10.0</w:t>
            </w:r>
          </w:p>
        </w:tc>
        <w:tc>
          <w:tcPr>
            <w:tcW w:w="721" w:type="pct"/>
            <w:vAlign w:val="center"/>
          </w:tcPr>
          <w:p w:rsidR="001351B0" w:rsidRPr="00E535A3" w:rsidRDefault="001351B0" w:rsidP="001351B0">
            <w:pPr>
              <w:pStyle w:val="TableTextRight"/>
            </w:pPr>
            <w:r>
              <w:t>-19.0</w:t>
            </w:r>
          </w:p>
        </w:tc>
        <w:tc>
          <w:tcPr>
            <w:tcW w:w="722" w:type="pct"/>
            <w:vAlign w:val="center"/>
          </w:tcPr>
          <w:p w:rsidR="001351B0" w:rsidRPr="00E535A3" w:rsidRDefault="001351B0" w:rsidP="001351B0">
            <w:pPr>
              <w:pStyle w:val="TableTextRight"/>
            </w:pPr>
            <w:r>
              <w:t>-19.0</w:t>
            </w:r>
          </w:p>
        </w:tc>
        <w:tc>
          <w:tcPr>
            <w:tcW w:w="721" w:type="pct"/>
            <w:vAlign w:val="center"/>
          </w:tcPr>
          <w:p w:rsidR="001351B0" w:rsidRPr="00E535A3" w:rsidRDefault="001351B0" w:rsidP="001351B0">
            <w:pPr>
              <w:pStyle w:val="TableTextRight"/>
            </w:pPr>
            <w:r>
              <w:t>-19.0</w:t>
            </w:r>
          </w:p>
        </w:tc>
        <w:tc>
          <w:tcPr>
            <w:tcW w:w="722" w:type="pct"/>
            <w:vAlign w:val="center"/>
          </w:tcPr>
          <w:p w:rsidR="001351B0" w:rsidRPr="00E535A3" w:rsidRDefault="001351B0" w:rsidP="001351B0">
            <w:pPr>
              <w:pStyle w:val="TableTextRight"/>
              <w:rPr>
                <w:b/>
              </w:rPr>
            </w:pPr>
            <w:r>
              <w:rPr>
                <w:b/>
              </w:rPr>
              <w:t>-67.0</w:t>
            </w:r>
          </w:p>
        </w:tc>
      </w:tr>
      <w:tr w:rsidR="001351B0" w:rsidTr="001351B0">
        <w:tc>
          <w:tcPr>
            <w:tcW w:w="1393" w:type="pct"/>
            <w:vAlign w:val="center"/>
          </w:tcPr>
          <w:p w:rsidR="001351B0" w:rsidRDefault="001351B0" w:rsidP="001351B0">
            <w:pPr>
              <w:pStyle w:val="TableText"/>
            </w:pPr>
            <w:r>
              <w:t>Underlying cash balance</w:t>
            </w:r>
          </w:p>
        </w:tc>
        <w:tc>
          <w:tcPr>
            <w:tcW w:w="721" w:type="pct"/>
            <w:vAlign w:val="center"/>
          </w:tcPr>
          <w:p w:rsidR="001351B0" w:rsidRPr="00E535A3" w:rsidRDefault="001351B0" w:rsidP="001351B0">
            <w:pPr>
              <w:pStyle w:val="TableTextRight"/>
            </w:pPr>
            <w:r>
              <w:t>-10.0</w:t>
            </w:r>
          </w:p>
        </w:tc>
        <w:tc>
          <w:tcPr>
            <w:tcW w:w="721" w:type="pct"/>
            <w:vAlign w:val="center"/>
          </w:tcPr>
          <w:p w:rsidR="001351B0" w:rsidRPr="00E535A3" w:rsidRDefault="001351B0" w:rsidP="001351B0">
            <w:pPr>
              <w:pStyle w:val="TableTextRight"/>
            </w:pPr>
            <w:r>
              <w:t>-19.0</w:t>
            </w:r>
          </w:p>
        </w:tc>
        <w:tc>
          <w:tcPr>
            <w:tcW w:w="722" w:type="pct"/>
            <w:vAlign w:val="center"/>
          </w:tcPr>
          <w:p w:rsidR="001351B0" w:rsidRPr="00E535A3" w:rsidRDefault="001351B0" w:rsidP="001351B0">
            <w:pPr>
              <w:pStyle w:val="TableTextRight"/>
            </w:pPr>
            <w:r>
              <w:t>-19.0</w:t>
            </w:r>
          </w:p>
        </w:tc>
        <w:tc>
          <w:tcPr>
            <w:tcW w:w="721" w:type="pct"/>
            <w:vAlign w:val="center"/>
          </w:tcPr>
          <w:p w:rsidR="001351B0" w:rsidRPr="00E535A3" w:rsidRDefault="001351B0" w:rsidP="001351B0">
            <w:pPr>
              <w:pStyle w:val="TableTextRight"/>
            </w:pPr>
            <w:r>
              <w:t>-19.0</w:t>
            </w:r>
          </w:p>
        </w:tc>
        <w:tc>
          <w:tcPr>
            <w:tcW w:w="722" w:type="pct"/>
            <w:vAlign w:val="center"/>
          </w:tcPr>
          <w:p w:rsidR="001351B0" w:rsidRPr="00E535A3" w:rsidRDefault="001351B0" w:rsidP="001351B0">
            <w:pPr>
              <w:pStyle w:val="TableTextRight"/>
              <w:rPr>
                <w:b/>
              </w:rPr>
            </w:pPr>
            <w:r>
              <w:rPr>
                <w:b/>
              </w:rPr>
              <w:t>-67.0</w:t>
            </w:r>
          </w:p>
        </w:tc>
      </w:tr>
    </w:tbl>
    <w:p w:rsidR="00763944" w:rsidRDefault="00763944" w:rsidP="00C868F4">
      <w:pPr>
        <w:pStyle w:val="Footnotes"/>
        <w:numPr>
          <w:ilvl w:val="0"/>
          <w:numId w:val="199"/>
        </w:numPr>
        <w:ind w:left="284" w:hanging="284"/>
      </w:pPr>
      <w:r>
        <w:t xml:space="preserve">A positive </w:t>
      </w:r>
      <w:r w:rsidRPr="00FC1F1C">
        <w:t>number indicates an increase in the relevant budget balance, a negative number a decrease.</w:t>
      </w:r>
    </w:p>
    <w:p w:rsidR="00763944" w:rsidRPr="003830C7" w:rsidRDefault="00763944" w:rsidP="00C868F4">
      <w:pPr>
        <w:pStyle w:val="Footnotes"/>
        <w:ind w:left="284" w:hanging="284"/>
        <w:rPr>
          <w:rStyle w:val="FootnoteReference"/>
          <w:vertAlign w:val="baseline"/>
        </w:rPr>
      </w:pPr>
      <w:r w:rsidRPr="003830C7">
        <w:t>Figures may not sum to totals due to rounding.</w:t>
      </w:r>
    </w:p>
    <w:p w:rsidR="00763944" w:rsidRDefault="00763944" w:rsidP="00DE2A4C">
      <w:pPr>
        <w:pStyle w:val="CostingsH7"/>
      </w:pPr>
      <w:r>
        <w:t>Methodology</w:t>
      </w:r>
    </w:p>
    <w:p w:rsidR="00DE2A4C" w:rsidRDefault="00DE2A4C" w:rsidP="00DE2A4C">
      <w:pPr>
        <w:pStyle w:val="BodyText"/>
        <w:keepNext/>
        <w:keepLines/>
      </w:pPr>
      <w:r>
        <w:t xml:space="preserve">The administered and departmental financial implications were based on the </w:t>
      </w:r>
      <w:r w:rsidR="001E638F">
        <w:t>2014-</w:t>
      </w:r>
      <w:r>
        <w:t xml:space="preserve">15 Budget measure estimates adjusted for parameter changes since that time. </w:t>
      </w:r>
    </w:p>
    <w:p w:rsidR="00DE2A4C" w:rsidRDefault="00DE2A4C" w:rsidP="00DE2A4C">
      <w:pPr>
        <w:pStyle w:val="BodyText"/>
      </w:pPr>
      <w:r>
        <w:t>Administered and departmental expenses in 2016-17 were assumed to be half of the full year estimates.</w:t>
      </w:r>
    </w:p>
    <w:p w:rsidR="00DE2A4C" w:rsidRPr="00DE2A4C" w:rsidRDefault="00DE2A4C" w:rsidP="00DE2A4C">
      <w:pPr>
        <w:pStyle w:val="BodyText"/>
      </w:pPr>
      <w:r>
        <w:t>All estimates have been rounded to the nearest $1 million per year.</w:t>
      </w:r>
    </w:p>
    <w:p w:rsidR="00763944" w:rsidRDefault="00763944" w:rsidP="00763944">
      <w:pPr>
        <w:pStyle w:val="CostingsH7"/>
      </w:pPr>
      <w:r>
        <w:t>Data sources</w:t>
      </w:r>
    </w:p>
    <w:p w:rsidR="00DE2A4C" w:rsidRDefault="00DE2A4C" w:rsidP="00DE2A4C">
      <w:pPr>
        <w:pStyle w:val="BodyText"/>
      </w:pPr>
      <w:r>
        <w:t>Department of Finance provided the 2016-17 Budget Education Entry Payment estimates.</w:t>
      </w:r>
    </w:p>
    <w:p w:rsidR="00DE2A4C" w:rsidRDefault="00DE2A4C" w:rsidP="00DE2A4C">
      <w:pPr>
        <w:pStyle w:val="BodyText"/>
      </w:pPr>
      <w:r>
        <w:t>Department of the Treasury provided the 2016-17 Budget population estimates.</w:t>
      </w:r>
    </w:p>
    <w:p w:rsidR="00C868F4" w:rsidRDefault="00C868F4" w:rsidP="00DE2A4C">
      <w:pPr>
        <w:pStyle w:val="BodyText"/>
      </w:pPr>
    </w:p>
    <w:p w:rsidR="00C868F4" w:rsidRDefault="00C868F4" w:rsidP="00DE2A4C">
      <w:pPr>
        <w:pStyle w:val="BodyText"/>
        <w:sectPr w:rsidR="00C868F4" w:rsidSect="00967BCD">
          <w:footnotePr>
            <w:numRestart w:val="eachSect"/>
          </w:footnotePr>
          <w:pgSz w:w="11906" w:h="16838" w:code="9"/>
          <w:pgMar w:top="1361" w:right="1797" w:bottom="1474" w:left="1797" w:header="283" w:footer="454" w:gutter="0"/>
          <w:cols w:space="708"/>
          <w:docGrid w:linePitch="360"/>
        </w:sectPr>
      </w:pPr>
    </w:p>
    <w:p w:rsidR="00763944" w:rsidRDefault="00DE2A4C" w:rsidP="00763944">
      <w:pPr>
        <w:pStyle w:val="Heading6"/>
        <w:numPr>
          <w:ilvl w:val="0"/>
          <w:numId w:val="10"/>
        </w:numPr>
        <w:tabs>
          <w:tab w:val="right" w:pos="1418"/>
          <w:tab w:val="right" w:pos="1701"/>
          <w:tab w:val="right" w:pos="1985"/>
        </w:tabs>
        <w:spacing w:before="480"/>
      </w:pPr>
      <w:r>
        <w:t>Attachment A</w:t>
      </w:r>
      <w:r w:rsidR="00763944">
        <w:t xml:space="preserve">: </w:t>
      </w:r>
      <w:r>
        <w:t>Not proceeding with the abolition of the Education Entry Payment</w:t>
      </w:r>
      <w:r w:rsidR="00763944">
        <w:t>—</w:t>
      </w:r>
      <w:r w:rsidR="0080154C">
        <w:t>financial implications</w:t>
      </w:r>
    </w:p>
    <w:p w:rsidR="00763944" w:rsidRDefault="00763944" w:rsidP="00763944">
      <w:pPr>
        <w:pStyle w:val="Caption"/>
      </w:pPr>
      <w:r w:rsidRPr="002B36F1">
        <w:t xml:space="preserve">Table </w:t>
      </w:r>
      <w:r>
        <w:t>A1</w:t>
      </w:r>
      <w:r w:rsidRPr="002B36F1">
        <w:t>:</w:t>
      </w:r>
      <w:r>
        <w:t xml:space="preserve"> </w:t>
      </w:r>
      <w:r w:rsidR="00DE2A4C">
        <w:t>Not proceeding with the abolition of the Education Entry Payment—Financial implications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763944" w:rsidTr="00955F16">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763944" w:rsidRPr="007C2713" w:rsidRDefault="00763944" w:rsidP="00955F16">
            <w:pPr>
              <w:pStyle w:val="TableText"/>
              <w:rPr>
                <w:b w:val="0"/>
              </w:rPr>
            </w:pPr>
            <w:r>
              <w:rPr>
                <w:b w:val="0"/>
              </w:rPr>
              <w:t>($)</w:t>
            </w:r>
          </w:p>
        </w:tc>
        <w:tc>
          <w:tcPr>
            <w:tcW w:w="689" w:type="pct"/>
            <w:vAlign w:val="center"/>
          </w:tcPr>
          <w:p w:rsidR="00763944" w:rsidRDefault="00763944" w:rsidP="00955F16">
            <w:pPr>
              <w:pStyle w:val="TableTextRight"/>
              <w:rPr>
                <w:b w:val="0"/>
              </w:rPr>
            </w:pPr>
            <w:r>
              <w:rPr>
                <w:b w:val="0"/>
              </w:rPr>
              <w:t>2016–17</w:t>
            </w:r>
          </w:p>
        </w:tc>
        <w:tc>
          <w:tcPr>
            <w:tcW w:w="689" w:type="pct"/>
            <w:vAlign w:val="center"/>
          </w:tcPr>
          <w:p w:rsidR="00763944" w:rsidRDefault="00763944" w:rsidP="00955F16">
            <w:pPr>
              <w:pStyle w:val="TableTextRight"/>
              <w:rPr>
                <w:b w:val="0"/>
              </w:rPr>
            </w:pPr>
            <w:r>
              <w:rPr>
                <w:b w:val="0"/>
              </w:rPr>
              <w:t>2017–18</w:t>
            </w:r>
          </w:p>
        </w:tc>
        <w:tc>
          <w:tcPr>
            <w:tcW w:w="689" w:type="pct"/>
            <w:vAlign w:val="center"/>
          </w:tcPr>
          <w:p w:rsidR="00763944" w:rsidRDefault="00763944" w:rsidP="00955F16">
            <w:pPr>
              <w:pStyle w:val="TableTextRight"/>
              <w:rPr>
                <w:b w:val="0"/>
              </w:rPr>
            </w:pPr>
            <w:r>
              <w:rPr>
                <w:b w:val="0"/>
              </w:rPr>
              <w:t>2018–19</w:t>
            </w:r>
          </w:p>
        </w:tc>
        <w:tc>
          <w:tcPr>
            <w:tcW w:w="689" w:type="pct"/>
            <w:vAlign w:val="center"/>
          </w:tcPr>
          <w:p w:rsidR="00763944" w:rsidRDefault="00763944" w:rsidP="00955F16">
            <w:pPr>
              <w:pStyle w:val="TableTextRight"/>
              <w:rPr>
                <w:b w:val="0"/>
              </w:rPr>
            </w:pPr>
            <w:r>
              <w:rPr>
                <w:b w:val="0"/>
              </w:rPr>
              <w:t>2019–20</w:t>
            </w:r>
          </w:p>
        </w:tc>
        <w:tc>
          <w:tcPr>
            <w:tcW w:w="690" w:type="pct"/>
            <w:vAlign w:val="center"/>
          </w:tcPr>
          <w:p w:rsidR="00763944" w:rsidRDefault="00763944" w:rsidP="00955F16">
            <w:pPr>
              <w:pStyle w:val="TableTextRight"/>
            </w:pPr>
            <w:r>
              <w:t>Total to 2019–20</w:t>
            </w:r>
          </w:p>
        </w:tc>
      </w:tr>
      <w:tr w:rsidR="00DE2A4C" w:rsidTr="00DE2A4C">
        <w:tc>
          <w:tcPr>
            <w:tcW w:w="5000" w:type="pct"/>
            <w:gridSpan w:val="6"/>
            <w:shd w:val="clear" w:color="auto" w:fill="E9ECF3" w:themeFill="accent2" w:themeFillTint="33"/>
            <w:vAlign w:val="center"/>
          </w:tcPr>
          <w:p w:rsidR="00DE2A4C" w:rsidRDefault="00DE2A4C" w:rsidP="00DE2A4C">
            <w:pPr>
              <w:pStyle w:val="TableHeading"/>
            </w:pPr>
            <w:r>
              <w:t>Impact on fiscal and underlying cash balances</w:t>
            </w:r>
          </w:p>
        </w:tc>
      </w:tr>
      <w:tr w:rsidR="00DE2A4C" w:rsidTr="00DE2A4C">
        <w:tc>
          <w:tcPr>
            <w:tcW w:w="1554" w:type="pct"/>
            <w:vAlign w:val="center"/>
          </w:tcPr>
          <w:p w:rsidR="00DE2A4C" w:rsidRPr="007C2713" w:rsidRDefault="00DE2A4C" w:rsidP="00955F16">
            <w:pPr>
              <w:pStyle w:val="TableText"/>
            </w:pPr>
            <w:r>
              <w:t>Administered</w:t>
            </w:r>
          </w:p>
        </w:tc>
        <w:tc>
          <w:tcPr>
            <w:tcW w:w="689" w:type="pct"/>
            <w:vAlign w:val="center"/>
          </w:tcPr>
          <w:p w:rsidR="00DE2A4C" w:rsidRPr="00DE2A4C" w:rsidRDefault="00DE2A4C" w:rsidP="00DE2A4C">
            <w:pPr>
              <w:pStyle w:val="TableTextRight"/>
              <w:rPr>
                <w:i/>
                <w:szCs w:val="24"/>
              </w:rPr>
            </w:pPr>
            <w:r w:rsidRPr="00DE2A4C">
              <w:rPr>
                <w:i/>
              </w:rPr>
              <w:t>-9.0</w:t>
            </w:r>
          </w:p>
        </w:tc>
        <w:tc>
          <w:tcPr>
            <w:tcW w:w="689" w:type="pct"/>
            <w:vAlign w:val="center"/>
          </w:tcPr>
          <w:p w:rsidR="00DE2A4C" w:rsidRPr="00DE2A4C" w:rsidRDefault="00DE2A4C" w:rsidP="00DE2A4C">
            <w:pPr>
              <w:pStyle w:val="TableTextRight"/>
              <w:rPr>
                <w:i/>
                <w:szCs w:val="24"/>
              </w:rPr>
            </w:pPr>
            <w:r w:rsidRPr="00DE2A4C">
              <w:rPr>
                <w:i/>
              </w:rPr>
              <w:t>-19.0</w:t>
            </w:r>
          </w:p>
        </w:tc>
        <w:tc>
          <w:tcPr>
            <w:tcW w:w="689" w:type="pct"/>
            <w:vAlign w:val="center"/>
          </w:tcPr>
          <w:p w:rsidR="00DE2A4C" w:rsidRPr="00DE2A4C" w:rsidRDefault="00DE2A4C" w:rsidP="00DE2A4C">
            <w:pPr>
              <w:pStyle w:val="TableTextRight"/>
              <w:rPr>
                <w:i/>
                <w:szCs w:val="24"/>
              </w:rPr>
            </w:pPr>
            <w:r w:rsidRPr="00DE2A4C">
              <w:rPr>
                <w:i/>
              </w:rPr>
              <w:t>-</w:t>
            </w:r>
            <w:r>
              <w:rPr>
                <w:i/>
              </w:rPr>
              <w:t>19.0</w:t>
            </w:r>
          </w:p>
        </w:tc>
        <w:tc>
          <w:tcPr>
            <w:tcW w:w="689" w:type="pct"/>
            <w:vAlign w:val="center"/>
          </w:tcPr>
          <w:p w:rsidR="00DE2A4C" w:rsidRPr="00DE2A4C" w:rsidRDefault="00DE2A4C" w:rsidP="00DE2A4C">
            <w:pPr>
              <w:pStyle w:val="TableTextRight"/>
              <w:rPr>
                <w:i/>
                <w:szCs w:val="24"/>
              </w:rPr>
            </w:pPr>
            <w:r w:rsidRPr="00DE2A4C">
              <w:rPr>
                <w:i/>
              </w:rPr>
              <w:t>-</w:t>
            </w:r>
            <w:r>
              <w:rPr>
                <w:i/>
              </w:rPr>
              <w:t>19.0</w:t>
            </w:r>
          </w:p>
        </w:tc>
        <w:tc>
          <w:tcPr>
            <w:tcW w:w="690" w:type="pct"/>
            <w:vAlign w:val="center"/>
          </w:tcPr>
          <w:p w:rsidR="00DE2A4C" w:rsidRPr="00DE2A4C" w:rsidRDefault="00DE2A4C" w:rsidP="00DE2A4C">
            <w:pPr>
              <w:pStyle w:val="TableTextRight"/>
              <w:rPr>
                <w:b/>
                <w:i/>
                <w:szCs w:val="24"/>
              </w:rPr>
            </w:pPr>
            <w:r w:rsidRPr="00DE2A4C">
              <w:rPr>
                <w:b/>
                <w:i/>
              </w:rPr>
              <w:t>-</w:t>
            </w:r>
            <w:r>
              <w:rPr>
                <w:b/>
                <w:i/>
              </w:rPr>
              <w:t>66.0</w:t>
            </w:r>
          </w:p>
        </w:tc>
      </w:tr>
      <w:tr w:rsidR="00DE2A4C" w:rsidTr="00DE2A4C">
        <w:tc>
          <w:tcPr>
            <w:tcW w:w="1554" w:type="pct"/>
            <w:vAlign w:val="center"/>
          </w:tcPr>
          <w:p w:rsidR="00DE2A4C" w:rsidRPr="007C2713" w:rsidRDefault="00DE2A4C" w:rsidP="00955F16">
            <w:pPr>
              <w:pStyle w:val="TableText"/>
            </w:pPr>
            <w:r>
              <w:t>Departmental</w:t>
            </w:r>
          </w:p>
        </w:tc>
        <w:tc>
          <w:tcPr>
            <w:tcW w:w="689" w:type="pct"/>
            <w:vAlign w:val="center"/>
          </w:tcPr>
          <w:p w:rsidR="00DE2A4C" w:rsidRPr="00DE2A4C" w:rsidRDefault="00DE2A4C" w:rsidP="00DE2A4C">
            <w:pPr>
              <w:pStyle w:val="TableTextRight"/>
              <w:rPr>
                <w:i/>
                <w:szCs w:val="24"/>
              </w:rPr>
            </w:pPr>
            <w:r w:rsidRPr="00DE2A4C">
              <w:rPr>
                <w:i/>
              </w:rPr>
              <w:t>-1.0</w:t>
            </w:r>
          </w:p>
        </w:tc>
        <w:tc>
          <w:tcPr>
            <w:tcW w:w="689" w:type="pct"/>
            <w:vAlign w:val="center"/>
          </w:tcPr>
          <w:p w:rsidR="00DE2A4C" w:rsidRPr="00DE2A4C" w:rsidRDefault="00DE2A4C" w:rsidP="00DE2A4C">
            <w:pPr>
              <w:pStyle w:val="TableTextRight"/>
              <w:rPr>
                <w:i/>
                <w:szCs w:val="24"/>
              </w:rPr>
            </w:pPr>
            <w:r w:rsidRPr="00DE2A4C">
              <w:rPr>
                <w:i/>
              </w:rPr>
              <w:t>-</w:t>
            </w:r>
          </w:p>
        </w:tc>
        <w:tc>
          <w:tcPr>
            <w:tcW w:w="689" w:type="pct"/>
            <w:vAlign w:val="center"/>
          </w:tcPr>
          <w:p w:rsidR="00DE2A4C" w:rsidRPr="00DE2A4C" w:rsidRDefault="00DE2A4C" w:rsidP="00DE2A4C">
            <w:pPr>
              <w:pStyle w:val="TableTextRight"/>
              <w:rPr>
                <w:i/>
                <w:szCs w:val="24"/>
              </w:rPr>
            </w:pPr>
            <w:r w:rsidRPr="00DE2A4C">
              <w:rPr>
                <w:i/>
              </w:rPr>
              <w:t>-</w:t>
            </w:r>
          </w:p>
        </w:tc>
        <w:tc>
          <w:tcPr>
            <w:tcW w:w="689" w:type="pct"/>
            <w:vAlign w:val="center"/>
          </w:tcPr>
          <w:p w:rsidR="00DE2A4C" w:rsidRPr="00DE2A4C" w:rsidRDefault="00DE2A4C" w:rsidP="00DE2A4C">
            <w:pPr>
              <w:pStyle w:val="TableTextRight"/>
              <w:rPr>
                <w:i/>
                <w:szCs w:val="24"/>
              </w:rPr>
            </w:pPr>
            <w:r w:rsidRPr="00DE2A4C">
              <w:rPr>
                <w:i/>
              </w:rPr>
              <w:t>-</w:t>
            </w:r>
          </w:p>
        </w:tc>
        <w:tc>
          <w:tcPr>
            <w:tcW w:w="690" w:type="pct"/>
            <w:vAlign w:val="center"/>
          </w:tcPr>
          <w:p w:rsidR="00DE2A4C" w:rsidRPr="00DE2A4C" w:rsidRDefault="00DE2A4C" w:rsidP="00DE2A4C">
            <w:pPr>
              <w:pStyle w:val="TableTextRight"/>
              <w:rPr>
                <w:b/>
                <w:i/>
                <w:szCs w:val="24"/>
              </w:rPr>
            </w:pPr>
            <w:r w:rsidRPr="00DE2A4C">
              <w:rPr>
                <w:b/>
                <w:i/>
              </w:rPr>
              <w:t>-</w:t>
            </w:r>
            <w:r>
              <w:rPr>
                <w:b/>
                <w:i/>
              </w:rPr>
              <w:t>1.0</w:t>
            </w:r>
          </w:p>
        </w:tc>
      </w:tr>
      <w:tr w:rsidR="00DE2A4C" w:rsidRPr="007C2713" w:rsidTr="00DE2A4C">
        <w:tc>
          <w:tcPr>
            <w:tcW w:w="1554" w:type="pct"/>
            <w:shd w:val="clear" w:color="auto" w:fill="D7DDE9" w:themeFill="accent3"/>
            <w:vAlign w:val="center"/>
          </w:tcPr>
          <w:p w:rsidR="00DE2A4C" w:rsidRPr="007C2713" w:rsidRDefault="00DE2A4C" w:rsidP="00955F16">
            <w:pPr>
              <w:pStyle w:val="TableText"/>
              <w:rPr>
                <w:b/>
              </w:rPr>
            </w:pPr>
            <w:r w:rsidRPr="007C2713">
              <w:rPr>
                <w:b/>
              </w:rPr>
              <w:t>Total</w:t>
            </w:r>
          </w:p>
        </w:tc>
        <w:tc>
          <w:tcPr>
            <w:tcW w:w="689" w:type="pct"/>
            <w:shd w:val="clear" w:color="auto" w:fill="D7DDE9" w:themeFill="accent3"/>
            <w:vAlign w:val="center"/>
          </w:tcPr>
          <w:p w:rsidR="00DE2A4C" w:rsidRPr="00487CD1" w:rsidRDefault="00DE2A4C" w:rsidP="00DE2A4C">
            <w:pPr>
              <w:pStyle w:val="TableTextRight"/>
              <w:rPr>
                <w:b/>
                <w:bCs/>
                <w:szCs w:val="24"/>
              </w:rPr>
            </w:pPr>
            <w:r>
              <w:rPr>
                <w:b/>
                <w:bCs/>
              </w:rPr>
              <w:t>-</w:t>
            </w:r>
            <w:r w:rsidRPr="00487CD1">
              <w:rPr>
                <w:b/>
                <w:bCs/>
              </w:rPr>
              <w:t>10.0</w:t>
            </w:r>
          </w:p>
        </w:tc>
        <w:tc>
          <w:tcPr>
            <w:tcW w:w="689" w:type="pct"/>
            <w:shd w:val="clear" w:color="auto" w:fill="D7DDE9" w:themeFill="accent3"/>
            <w:vAlign w:val="center"/>
          </w:tcPr>
          <w:p w:rsidR="00DE2A4C" w:rsidRPr="00487CD1" w:rsidRDefault="00DE2A4C" w:rsidP="00DE2A4C">
            <w:pPr>
              <w:pStyle w:val="TableTextRight"/>
              <w:rPr>
                <w:b/>
                <w:bCs/>
                <w:szCs w:val="24"/>
              </w:rPr>
            </w:pPr>
            <w:r>
              <w:rPr>
                <w:b/>
                <w:bCs/>
              </w:rPr>
              <w:t>-</w:t>
            </w:r>
            <w:r w:rsidRPr="00487CD1">
              <w:rPr>
                <w:b/>
                <w:bCs/>
              </w:rPr>
              <w:t>19.0</w:t>
            </w:r>
          </w:p>
        </w:tc>
        <w:tc>
          <w:tcPr>
            <w:tcW w:w="689" w:type="pct"/>
            <w:shd w:val="clear" w:color="auto" w:fill="D7DDE9" w:themeFill="accent3"/>
            <w:vAlign w:val="center"/>
          </w:tcPr>
          <w:p w:rsidR="00DE2A4C" w:rsidRPr="00487CD1" w:rsidRDefault="00DE2A4C" w:rsidP="00DE2A4C">
            <w:pPr>
              <w:pStyle w:val="TableTextRight"/>
              <w:rPr>
                <w:b/>
                <w:bCs/>
                <w:szCs w:val="24"/>
              </w:rPr>
            </w:pPr>
            <w:r>
              <w:rPr>
                <w:b/>
                <w:bCs/>
              </w:rPr>
              <w:t>-19.0</w:t>
            </w:r>
          </w:p>
        </w:tc>
        <w:tc>
          <w:tcPr>
            <w:tcW w:w="689" w:type="pct"/>
            <w:shd w:val="clear" w:color="auto" w:fill="D7DDE9" w:themeFill="accent3"/>
            <w:vAlign w:val="center"/>
          </w:tcPr>
          <w:p w:rsidR="00DE2A4C" w:rsidRPr="00487CD1" w:rsidRDefault="00DE2A4C" w:rsidP="00DE2A4C">
            <w:pPr>
              <w:pStyle w:val="TableTextRight"/>
              <w:rPr>
                <w:b/>
                <w:bCs/>
                <w:szCs w:val="24"/>
              </w:rPr>
            </w:pPr>
            <w:r>
              <w:rPr>
                <w:b/>
                <w:bCs/>
              </w:rPr>
              <w:t>-19.0</w:t>
            </w:r>
          </w:p>
        </w:tc>
        <w:tc>
          <w:tcPr>
            <w:tcW w:w="690" w:type="pct"/>
            <w:shd w:val="clear" w:color="auto" w:fill="D7DDE9" w:themeFill="accent3"/>
            <w:vAlign w:val="center"/>
          </w:tcPr>
          <w:p w:rsidR="00DE2A4C" w:rsidRPr="00487CD1" w:rsidRDefault="00DE2A4C" w:rsidP="00DE2A4C">
            <w:pPr>
              <w:pStyle w:val="TableTextRight"/>
              <w:rPr>
                <w:b/>
                <w:bCs/>
                <w:szCs w:val="24"/>
              </w:rPr>
            </w:pPr>
            <w:r>
              <w:rPr>
                <w:b/>
                <w:bCs/>
              </w:rPr>
              <w:t>-</w:t>
            </w:r>
            <w:r w:rsidRPr="00487CD1">
              <w:rPr>
                <w:b/>
                <w:bCs/>
              </w:rPr>
              <w:t>67.0</w:t>
            </w:r>
          </w:p>
        </w:tc>
      </w:tr>
    </w:tbl>
    <w:p w:rsidR="00763944" w:rsidRDefault="003D2EF8" w:rsidP="00C868F4">
      <w:pPr>
        <w:pStyle w:val="Footnotes"/>
        <w:numPr>
          <w:ilvl w:val="0"/>
          <w:numId w:val="200"/>
        </w:numPr>
        <w:ind w:left="284" w:hanging="284"/>
      </w:pPr>
      <w:r>
        <w:t>A negative number for the fiscal balance indicates a decrease in revenue or an increase in expenses or net capital investment in accrual terms.</w:t>
      </w:r>
    </w:p>
    <w:p w:rsidR="00763944" w:rsidRPr="005F544A" w:rsidRDefault="00763944" w:rsidP="00C868F4">
      <w:pPr>
        <w:pStyle w:val="Footnotes"/>
        <w:spacing w:after="120"/>
        <w:ind w:left="284" w:hanging="284"/>
      </w:pPr>
      <w:r w:rsidRPr="005F544A">
        <w:t>Figures may not sum to totals due to rounding.</w:t>
      </w:r>
    </w:p>
    <w:p w:rsidR="00763944" w:rsidRDefault="00763944" w:rsidP="00C868F4">
      <w:pPr>
        <w:pStyle w:val="Footnotes"/>
        <w:numPr>
          <w:ilvl w:val="0"/>
          <w:numId w:val="0"/>
        </w:numPr>
        <w:ind w:left="284" w:hanging="284"/>
      </w:pPr>
      <w:r w:rsidRPr="005F544A">
        <w:t>-</w:t>
      </w:r>
      <w:r w:rsidRPr="005F544A">
        <w:tab/>
        <w:t>Indicates nil.</w:t>
      </w:r>
    </w:p>
    <w:p w:rsidR="00030420" w:rsidRDefault="00030420" w:rsidP="00030420">
      <w:pPr>
        <w:pStyle w:val="BodyText"/>
      </w:pPr>
    </w:p>
    <w:p w:rsidR="00030420" w:rsidRDefault="00030420" w:rsidP="00030420">
      <w:pPr>
        <w:pStyle w:val="BodyText"/>
        <w:sectPr w:rsidR="00030420" w:rsidSect="00967BCD">
          <w:footnotePr>
            <w:numRestart w:val="eachSect"/>
          </w:footnotePr>
          <w:pgSz w:w="11906" w:h="16838" w:code="9"/>
          <w:pgMar w:top="1361" w:right="1797" w:bottom="1474" w:left="1797" w:header="283" w:footer="454" w:gutter="0"/>
          <w:cols w:space="708"/>
          <w:docGrid w:linePitch="360"/>
        </w:sectPr>
      </w:pPr>
    </w:p>
    <w:p w:rsidR="009F20CF" w:rsidRDefault="009F20CF" w:rsidP="009F20CF">
      <w:pPr>
        <w:pStyle w:val="Heading5"/>
        <w:ind w:left="1080" w:hanging="1080"/>
      </w:pPr>
      <w:bookmarkStart w:id="113" w:name="_Toc455655038"/>
      <w:bookmarkStart w:id="114" w:name="_Toc458081706"/>
      <w:bookmarkEnd w:id="99"/>
      <w:r>
        <w:t>ALP08</w:t>
      </w:r>
      <w:r w:rsidR="009221D1">
        <w:t>2</w:t>
      </w:r>
      <w:r>
        <w:t>: Not proceeding with the freeze eligibility thresholds for Australian Government payments</w:t>
      </w:r>
      <w:bookmarkEnd w:id="113"/>
      <w:bookmarkEnd w:id="114"/>
    </w:p>
    <w:p w:rsidR="00275C35" w:rsidRPr="00275C35" w:rsidRDefault="00275C35" w:rsidP="00275C35">
      <w:pPr>
        <w:pStyle w:val="BodyText"/>
      </w:pPr>
      <w:r>
        <w:rPr>
          <w:noProof/>
          <w:lang w:eastAsia="en-AU"/>
        </w:rPr>
        <w:drawing>
          <wp:inline distT="0" distB="0" distL="0" distR="0" wp14:anchorId="7CC9F3D7" wp14:editId="6A9C763D">
            <wp:extent cx="2696845" cy="572135"/>
            <wp:effectExtent l="0" t="0" r="8255" b="0"/>
            <wp:docPr id="35" name="Picture 3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9F20CF" w:rsidRDefault="009F20CF" w:rsidP="009F20CF">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9F20CF" w:rsidRPr="00E6593E"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9F20CF" w:rsidRPr="00E6593E" w:rsidRDefault="009F20CF" w:rsidP="00F7554A">
            <w:pPr>
              <w:pStyle w:val="PullOutBoxHeading"/>
              <w:rPr>
                <w:b/>
              </w:rPr>
            </w:pPr>
            <w:r w:rsidRPr="00E6593E">
              <w:rPr>
                <w:b/>
              </w:rPr>
              <w:t>Name of proposal:</w:t>
            </w:r>
          </w:p>
        </w:tc>
        <w:tc>
          <w:tcPr>
            <w:tcW w:w="3191" w:type="pct"/>
          </w:tcPr>
          <w:p w:rsidR="009F20CF" w:rsidRPr="00E6593E" w:rsidRDefault="009F20CF" w:rsidP="00F7554A">
            <w:pPr>
              <w:pStyle w:val="PullOutBoxHeading"/>
              <w:rPr>
                <w:b/>
              </w:rPr>
            </w:pPr>
            <w:r w:rsidRPr="00E6593E">
              <w:rPr>
                <w:b/>
              </w:rPr>
              <w:t>Not proceeding with the freeze eligibility thresholds for Australian Government payments</w:t>
            </w:r>
          </w:p>
        </w:tc>
      </w:tr>
      <w:tr w:rsidR="009F20CF" w:rsidRPr="00B45F94" w:rsidTr="00F7554A">
        <w:tc>
          <w:tcPr>
            <w:tcW w:w="1809" w:type="pct"/>
          </w:tcPr>
          <w:p w:rsidR="009F20CF" w:rsidRPr="00B45F94" w:rsidRDefault="009F20CF" w:rsidP="00F7554A">
            <w:pPr>
              <w:pStyle w:val="PullOutBoxBodyText"/>
            </w:pPr>
            <w:r w:rsidRPr="00B45F94">
              <w:t>Summary of proposal:</w:t>
            </w:r>
          </w:p>
        </w:tc>
        <w:tc>
          <w:tcPr>
            <w:tcW w:w="3191" w:type="pct"/>
          </w:tcPr>
          <w:p w:rsidR="009F20CF" w:rsidRDefault="009F20CF" w:rsidP="00F7554A">
            <w:pPr>
              <w:pStyle w:val="PullOutBoxBodyText"/>
            </w:pPr>
            <w:r>
              <w:t>The proposal would reverse unlegislated measures that will freeze eligibility thresholds of Australian Government payments for three years.</w:t>
            </w:r>
          </w:p>
          <w:p w:rsidR="009F20CF" w:rsidRPr="00B45F94" w:rsidRDefault="009F20CF" w:rsidP="00F7554A">
            <w:pPr>
              <w:pStyle w:val="PullOutBoxBodyText"/>
            </w:pPr>
            <w:r>
              <w:t>The estimates reflect an implementation date for this proposal of 1 July 2016 for child care payments, 1 January 2017 for student payments, and 1 July 2017 for working age payments.</w:t>
            </w:r>
          </w:p>
        </w:tc>
      </w:tr>
      <w:tr w:rsidR="009F20CF" w:rsidRPr="00B45F94" w:rsidTr="00F7554A">
        <w:tc>
          <w:tcPr>
            <w:tcW w:w="1809" w:type="pct"/>
          </w:tcPr>
          <w:p w:rsidR="009F20CF" w:rsidRPr="00B45F94" w:rsidRDefault="009F20CF" w:rsidP="00F7554A">
            <w:pPr>
              <w:pStyle w:val="PullOutBoxBodyText"/>
            </w:pPr>
            <w:r>
              <w:t>Party:</w:t>
            </w:r>
          </w:p>
        </w:tc>
        <w:tc>
          <w:tcPr>
            <w:tcW w:w="3191" w:type="pct"/>
          </w:tcPr>
          <w:p w:rsidR="009F20CF" w:rsidRPr="00B45F94" w:rsidRDefault="009F20CF" w:rsidP="00F7554A">
            <w:pPr>
              <w:pStyle w:val="PullOutBoxBodyText"/>
            </w:pPr>
            <w:r>
              <w:t>Australian Labor Party</w:t>
            </w:r>
          </w:p>
        </w:tc>
      </w:tr>
      <w:tr w:rsidR="009F20CF" w:rsidRPr="00B45F94" w:rsidTr="00F7554A">
        <w:tc>
          <w:tcPr>
            <w:tcW w:w="1809" w:type="pct"/>
          </w:tcPr>
          <w:p w:rsidR="009F20CF" w:rsidRPr="00B45F94" w:rsidRDefault="009F20CF" w:rsidP="00F7554A">
            <w:pPr>
              <w:pStyle w:val="PullOutBoxBodyText"/>
            </w:pPr>
            <w:r w:rsidRPr="00B45F94">
              <w:t>Expiry date for the costing:</w:t>
            </w:r>
          </w:p>
        </w:tc>
        <w:tc>
          <w:tcPr>
            <w:tcW w:w="3191" w:type="pct"/>
          </w:tcPr>
          <w:p w:rsidR="009F20CF" w:rsidRPr="00B45F94" w:rsidRDefault="009F20CF" w:rsidP="00F7554A">
            <w:pPr>
              <w:pStyle w:val="PullOutBoxBodyText"/>
            </w:pPr>
            <w:r>
              <w:t>Release of the next economic and fiscal update</w:t>
            </w:r>
          </w:p>
        </w:tc>
      </w:tr>
    </w:tbl>
    <w:p w:rsidR="009F20CF" w:rsidRDefault="009F20CF" w:rsidP="009F20CF">
      <w:pPr>
        <w:pStyle w:val="CostingsH7"/>
      </w:pPr>
      <w:r w:rsidRPr="00BF1EE6">
        <w:t>Costing overview</w:t>
      </w:r>
    </w:p>
    <w:p w:rsidR="009F20CF" w:rsidRDefault="009F20CF" w:rsidP="009F20CF">
      <w:pPr>
        <w:pStyle w:val="BodyText"/>
      </w:pPr>
      <w:r>
        <w:t>This proposal would be expected to decrease the fiscal balance by $225.0 million and decrease the underlying cash balance by $221.0 million over the 2016-17 Budget forward estimates period.  On a fiscal balance basis, this impact reflects an increase in administered expenses of $230.0 million and a decrease in departmental expenses of $5.0 million over this period.</w:t>
      </w:r>
    </w:p>
    <w:p w:rsidR="009F20CF" w:rsidRDefault="009F20CF" w:rsidP="009F20CF">
      <w:pPr>
        <w:pStyle w:val="BodyText"/>
      </w:pPr>
      <w:r>
        <w:t>This proposal would be expected to have an ongoing impact that extends beyond the forward estimates period.</w:t>
      </w:r>
    </w:p>
    <w:p w:rsidR="009F20CF" w:rsidRDefault="009F20CF" w:rsidP="009F20CF">
      <w:pPr>
        <w:pStyle w:val="BodyText"/>
      </w:pPr>
      <w:r>
        <w:t>The underlying cash and fiscal balance financial implications differ because a proportion of child care payments are made after the end of the financial year in which they are accrued.</w:t>
      </w:r>
    </w:p>
    <w:p w:rsidR="009F20CF" w:rsidRDefault="009F20CF" w:rsidP="009F20CF">
      <w:pPr>
        <w:pStyle w:val="BodyText"/>
      </w:pPr>
      <w:r>
        <w:t xml:space="preserve">The proposal would have financial implications for a number of payments.  A breakdown of the components of the costing is at </w:t>
      </w:r>
      <w:r w:rsidRPr="00FF3734">
        <w:rPr>
          <w:u w:val="single"/>
        </w:rPr>
        <w:t>Attachment A</w:t>
      </w:r>
      <w:r>
        <w:t>.</w:t>
      </w:r>
    </w:p>
    <w:p w:rsidR="00BE71C3" w:rsidRDefault="009F20CF" w:rsidP="009F20CF">
      <w:pPr>
        <w:pStyle w:val="BodyText"/>
      </w:pPr>
      <w:r>
        <w:t>This costing is considered to be of medium reliability as it is based on budget data provided by the Department of Finance updated by the Parliamentary Budget Office to reflect current implementation dates.</w:t>
      </w:r>
    </w:p>
    <w:p w:rsidR="009F20CF" w:rsidRDefault="009F20CF" w:rsidP="00275C35">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9F20CF"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9F20CF" w:rsidRPr="00D264E1" w:rsidRDefault="009F20CF" w:rsidP="00275C35">
            <w:pPr>
              <w:pStyle w:val="TableHeading"/>
            </w:pPr>
            <w:r>
              <w:t>Impact on ($m)</w:t>
            </w:r>
          </w:p>
        </w:tc>
        <w:tc>
          <w:tcPr>
            <w:tcW w:w="721" w:type="pct"/>
          </w:tcPr>
          <w:p w:rsidR="009F20CF" w:rsidRPr="00FC1F1C" w:rsidRDefault="009F20CF" w:rsidP="00275C35">
            <w:pPr>
              <w:pStyle w:val="TableHeadingRight"/>
            </w:pPr>
            <w:r>
              <w:t>2016–17</w:t>
            </w:r>
          </w:p>
        </w:tc>
        <w:tc>
          <w:tcPr>
            <w:tcW w:w="721" w:type="pct"/>
          </w:tcPr>
          <w:p w:rsidR="009F20CF" w:rsidRPr="00FC1F1C" w:rsidRDefault="009F20CF" w:rsidP="00275C35">
            <w:pPr>
              <w:pStyle w:val="TableHeadingRight"/>
            </w:pPr>
            <w:r>
              <w:t>2017–18</w:t>
            </w:r>
          </w:p>
        </w:tc>
        <w:tc>
          <w:tcPr>
            <w:tcW w:w="722" w:type="pct"/>
          </w:tcPr>
          <w:p w:rsidR="009F20CF" w:rsidRPr="00FC1F1C" w:rsidRDefault="009F20CF" w:rsidP="00275C35">
            <w:pPr>
              <w:pStyle w:val="TableHeadingRight"/>
            </w:pPr>
            <w:r>
              <w:t>2018–19</w:t>
            </w:r>
          </w:p>
        </w:tc>
        <w:tc>
          <w:tcPr>
            <w:tcW w:w="721" w:type="pct"/>
          </w:tcPr>
          <w:p w:rsidR="009F20CF" w:rsidRPr="00FC1F1C" w:rsidRDefault="009F20CF" w:rsidP="00275C35">
            <w:pPr>
              <w:pStyle w:val="TableHeadingRight"/>
            </w:pPr>
            <w:r>
              <w:t>2019–20</w:t>
            </w:r>
          </w:p>
        </w:tc>
        <w:tc>
          <w:tcPr>
            <w:tcW w:w="722" w:type="pct"/>
          </w:tcPr>
          <w:p w:rsidR="009F20CF" w:rsidRPr="00FC1F1C" w:rsidRDefault="009F20CF" w:rsidP="00275C35">
            <w:pPr>
              <w:pStyle w:val="TableHeadingRight"/>
              <w:rPr>
                <w:b/>
              </w:rPr>
            </w:pPr>
            <w:r w:rsidRPr="00FC1F1C">
              <w:t>Total</w:t>
            </w:r>
          </w:p>
        </w:tc>
      </w:tr>
      <w:tr w:rsidR="009F20CF" w:rsidTr="00F7554A">
        <w:tc>
          <w:tcPr>
            <w:tcW w:w="1393" w:type="pct"/>
          </w:tcPr>
          <w:p w:rsidR="009F20CF" w:rsidRDefault="009F20CF" w:rsidP="00275C35">
            <w:pPr>
              <w:pStyle w:val="TableText"/>
              <w:keepNext/>
              <w:keepLines/>
            </w:pPr>
            <w:r>
              <w:t>Fiscal balance</w:t>
            </w:r>
          </w:p>
        </w:tc>
        <w:tc>
          <w:tcPr>
            <w:tcW w:w="721" w:type="pct"/>
            <w:vAlign w:val="center"/>
          </w:tcPr>
          <w:p w:rsidR="009F20CF" w:rsidRPr="003A3459" w:rsidRDefault="009F20CF" w:rsidP="00275C35">
            <w:pPr>
              <w:pStyle w:val="TableTextRight"/>
              <w:keepNext/>
              <w:keepLines/>
            </w:pPr>
            <w:r>
              <w:t>-43.0</w:t>
            </w:r>
          </w:p>
        </w:tc>
        <w:tc>
          <w:tcPr>
            <w:tcW w:w="721" w:type="pct"/>
            <w:vAlign w:val="center"/>
          </w:tcPr>
          <w:p w:rsidR="009F20CF" w:rsidRPr="003A3459" w:rsidRDefault="009F20CF" w:rsidP="00275C35">
            <w:pPr>
              <w:pStyle w:val="TableTextRight"/>
              <w:keepNext/>
              <w:keepLines/>
            </w:pPr>
            <w:r>
              <w:t>-89.0</w:t>
            </w:r>
          </w:p>
        </w:tc>
        <w:tc>
          <w:tcPr>
            <w:tcW w:w="722" w:type="pct"/>
            <w:vAlign w:val="center"/>
          </w:tcPr>
          <w:p w:rsidR="009F20CF" w:rsidRPr="003A3459" w:rsidRDefault="009F20CF" w:rsidP="00275C35">
            <w:pPr>
              <w:pStyle w:val="TableTextRight"/>
              <w:keepNext/>
              <w:keepLines/>
            </w:pPr>
            <w:r>
              <w:t>-41.0</w:t>
            </w:r>
          </w:p>
        </w:tc>
        <w:tc>
          <w:tcPr>
            <w:tcW w:w="721" w:type="pct"/>
            <w:vAlign w:val="center"/>
          </w:tcPr>
          <w:p w:rsidR="009F20CF" w:rsidRPr="003A3459" w:rsidRDefault="009F20CF" w:rsidP="00275C35">
            <w:pPr>
              <w:pStyle w:val="TableTextRight"/>
              <w:keepNext/>
              <w:keepLines/>
            </w:pPr>
            <w:r>
              <w:t>-55.0</w:t>
            </w:r>
          </w:p>
        </w:tc>
        <w:tc>
          <w:tcPr>
            <w:tcW w:w="722" w:type="pct"/>
            <w:vAlign w:val="center"/>
          </w:tcPr>
          <w:p w:rsidR="009F20CF" w:rsidRPr="00C363AE" w:rsidRDefault="009F20CF" w:rsidP="00275C35">
            <w:pPr>
              <w:pStyle w:val="TableTextRight"/>
              <w:keepNext/>
              <w:keepLines/>
              <w:rPr>
                <w:b/>
              </w:rPr>
            </w:pPr>
            <w:r>
              <w:rPr>
                <w:b/>
              </w:rPr>
              <w:t>-225.0</w:t>
            </w:r>
          </w:p>
        </w:tc>
      </w:tr>
      <w:tr w:rsidR="009F20CF" w:rsidTr="00F7554A">
        <w:tc>
          <w:tcPr>
            <w:tcW w:w="1393" w:type="pct"/>
          </w:tcPr>
          <w:p w:rsidR="009F20CF" w:rsidRDefault="009F20CF" w:rsidP="008C30A8">
            <w:pPr>
              <w:pStyle w:val="TableText"/>
              <w:keepNext/>
              <w:keepLines/>
            </w:pPr>
            <w:r>
              <w:t>Underlying cash balance</w:t>
            </w:r>
          </w:p>
        </w:tc>
        <w:tc>
          <w:tcPr>
            <w:tcW w:w="721" w:type="pct"/>
            <w:vAlign w:val="center"/>
          </w:tcPr>
          <w:p w:rsidR="009F20CF" w:rsidRPr="003A3459" w:rsidRDefault="009F20CF" w:rsidP="008C30A8">
            <w:pPr>
              <w:pStyle w:val="TableTextRight"/>
              <w:keepNext/>
              <w:keepLines/>
            </w:pPr>
            <w:r>
              <w:t>-42.0</w:t>
            </w:r>
          </w:p>
        </w:tc>
        <w:tc>
          <w:tcPr>
            <w:tcW w:w="721" w:type="pct"/>
            <w:vAlign w:val="center"/>
          </w:tcPr>
          <w:p w:rsidR="009F20CF" w:rsidRPr="003A3459" w:rsidRDefault="009F20CF" w:rsidP="008C30A8">
            <w:pPr>
              <w:pStyle w:val="TableTextRight"/>
              <w:keepNext/>
              <w:keepLines/>
            </w:pPr>
            <w:r>
              <w:t>-85.0</w:t>
            </w:r>
          </w:p>
        </w:tc>
        <w:tc>
          <w:tcPr>
            <w:tcW w:w="722" w:type="pct"/>
            <w:vAlign w:val="center"/>
          </w:tcPr>
          <w:p w:rsidR="009F20CF" w:rsidRPr="003A3459" w:rsidRDefault="009F20CF" w:rsidP="008C30A8">
            <w:pPr>
              <w:pStyle w:val="TableTextRight"/>
              <w:keepNext/>
              <w:keepLines/>
            </w:pPr>
            <w:r>
              <w:t>-41.0</w:t>
            </w:r>
          </w:p>
        </w:tc>
        <w:tc>
          <w:tcPr>
            <w:tcW w:w="721" w:type="pct"/>
            <w:vAlign w:val="center"/>
          </w:tcPr>
          <w:p w:rsidR="009F20CF" w:rsidRPr="003A3459" w:rsidRDefault="009F20CF" w:rsidP="008C30A8">
            <w:pPr>
              <w:pStyle w:val="TableTextRight"/>
              <w:keepNext/>
              <w:keepLines/>
            </w:pPr>
            <w:r>
              <w:t>-55.0</w:t>
            </w:r>
          </w:p>
        </w:tc>
        <w:tc>
          <w:tcPr>
            <w:tcW w:w="722" w:type="pct"/>
            <w:vAlign w:val="center"/>
          </w:tcPr>
          <w:p w:rsidR="009F20CF" w:rsidRPr="00C363AE" w:rsidRDefault="009F20CF" w:rsidP="008C30A8">
            <w:pPr>
              <w:pStyle w:val="TableTextRight"/>
              <w:keepNext/>
              <w:keepLines/>
              <w:rPr>
                <w:b/>
              </w:rPr>
            </w:pPr>
            <w:r>
              <w:rPr>
                <w:b/>
              </w:rPr>
              <w:t>-221.0</w:t>
            </w:r>
          </w:p>
        </w:tc>
      </w:tr>
    </w:tbl>
    <w:p w:rsidR="009F20CF" w:rsidRDefault="009F20CF" w:rsidP="008C30A8">
      <w:pPr>
        <w:pStyle w:val="Footnotes"/>
        <w:keepNext/>
        <w:keepLines/>
        <w:numPr>
          <w:ilvl w:val="0"/>
          <w:numId w:val="167"/>
        </w:numPr>
        <w:ind w:left="284" w:hanging="284"/>
      </w:pPr>
      <w:r>
        <w:t xml:space="preserve">A positive </w:t>
      </w:r>
      <w:r w:rsidRPr="00FC1F1C">
        <w:t>number indicates an increase in the relevant budget balance, a negative number a decrease.</w:t>
      </w:r>
    </w:p>
    <w:p w:rsidR="009F20CF" w:rsidRPr="000E063A" w:rsidRDefault="009F20CF" w:rsidP="008C30A8">
      <w:pPr>
        <w:pStyle w:val="Footnotes"/>
        <w:ind w:left="284" w:hanging="284"/>
        <w:rPr>
          <w:rStyle w:val="FootnoteReference"/>
          <w:vertAlign w:val="baseline"/>
        </w:rPr>
      </w:pPr>
      <w:r w:rsidRPr="000E063A">
        <w:t>Figures may not sum to totals due to rounding.</w:t>
      </w:r>
    </w:p>
    <w:p w:rsidR="009F20CF" w:rsidRDefault="009F20CF" w:rsidP="009F20CF">
      <w:pPr>
        <w:pStyle w:val="CostingsH7"/>
      </w:pPr>
      <w:r>
        <w:t>Methodology</w:t>
      </w:r>
    </w:p>
    <w:p w:rsidR="009F20CF" w:rsidRPr="002662C1" w:rsidRDefault="009F20CF" w:rsidP="009F20CF">
      <w:pPr>
        <w:pStyle w:val="BodyText"/>
      </w:pPr>
      <w:r w:rsidRPr="002662C1">
        <w:t>The financial imp</w:t>
      </w:r>
      <w:r>
        <w:t>lications are based on the 2014-</w:t>
      </w:r>
      <w:r w:rsidRPr="002662C1">
        <w:t xml:space="preserve">15 Budget measure, </w:t>
      </w:r>
      <w:r w:rsidRPr="002662C1">
        <w:rPr>
          <w:i/>
        </w:rPr>
        <w:t>Maintain eligibility thresholds for Australian Government payments for three years</w:t>
      </w:r>
      <w:r w:rsidRPr="002662C1">
        <w:t xml:space="preserve"> adjusted to include estimates variations up until the 2016</w:t>
      </w:r>
      <w:r>
        <w:t>-</w:t>
      </w:r>
      <w:r w:rsidRPr="002662C1">
        <w:t>17 Budget.  The estimates reflect implementation dates for this proposal of 1 July 2016 for child care payments, 1 January 2</w:t>
      </w:r>
      <w:r>
        <w:t>017 for student payments, and 1 </w:t>
      </w:r>
      <w:r w:rsidRPr="002662C1">
        <w:t>July</w:t>
      </w:r>
      <w:r>
        <w:t> </w:t>
      </w:r>
      <w:r w:rsidRPr="002662C1">
        <w:t>2017 for working age payments.</w:t>
      </w:r>
    </w:p>
    <w:p w:rsidR="009F20CF" w:rsidRDefault="009F20CF" w:rsidP="009F20CF">
      <w:pPr>
        <w:pStyle w:val="CostingsH7"/>
      </w:pPr>
      <w:r>
        <w:t>Data sources</w:t>
      </w:r>
    </w:p>
    <w:p w:rsidR="009F20CF" w:rsidRDefault="009F20CF" w:rsidP="009F20CF">
      <w:pPr>
        <w:pStyle w:val="BodyText"/>
      </w:pPr>
      <w:r>
        <w:t>The Department of Finance provided extracts from the Central Budget Management System and indexation parameters.</w:t>
      </w:r>
    </w:p>
    <w:p w:rsidR="009F20CF" w:rsidRDefault="009F20CF" w:rsidP="009F20CF">
      <w:pPr>
        <w:pStyle w:val="BodyText"/>
      </w:pPr>
      <w:r>
        <w:t>The Department of Social Services provided payment population projections.</w:t>
      </w:r>
    </w:p>
    <w:p w:rsidR="0065754F" w:rsidRDefault="0065754F" w:rsidP="009F20CF">
      <w:pPr>
        <w:pStyle w:val="BodyText"/>
      </w:pPr>
    </w:p>
    <w:p w:rsidR="0065754F" w:rsidRDefault="0065754F" w:rsidP="009F20CF">
      <w:pPr>
        <w:pStyle w:val="BodyText"/>
        <w:sectPr w:rsidR="0065754F" w:rsidSect="0065754F">
          <w:headerReference w:type="even" r:id="rId193"/>
          <w:headerReference w:type="default" r:id="rId194"/>
          <w:footerReference w:type="even" r:id="rId195"/>
          <w:footerReference w:type="default" r:id="rId196"/>
          <w:footnotePr>
            <w:numRestart w:val="eachSect"/>
          </w:footnotePr>
          <w:pgSz w:w="11906" w:h="16838" w:code="9"/>
          <w:pgMar w:top="1361" w:right="1797" w:bottom="1474" w:left="1797" w:header="283" w:footer="454" w:gutter="0"/>
          <w:cols w:space="708"/>
          <w:docGrid w:linePitch="360"/>
        </w:sectPr>
      </w:pPr>
    </w:p>
    <w:p w:rsidR="009F20CF" w:rsidRPr="002662C1" w:rsidRDefault="009F20CF" w:rsidP="009F20CF">
      <w:pPr>
        <w:pStyle w:val="Heading6"/>
      </w:pPr>
      <w:r w:rsidRPr="002662C1">
        <w:t>Attachment A: Not proceeding with the freeze eligibility thresholds for Australian Government payments —</w:t>
      </w:r>
      <w:r w:rsidR="0080154C">
        <w:t>financial implications</w:t>
      </w:r>
    </w:p>
    <w:p w:rsidR="009F20CF" w:rsidRDefault="009F20CF" w:rsidP="009F20CF">
      <w:pPr>
        <w:pStyle w:val="Caption"/>
        <w:keepLines/>
      </w:pPr>
      <w:r w:rsidRPr="002B36F1">
        <w:t xml:space="preserve">Table </w:t>
      </w:r>
      <w:r>
        <w:t>A1</w:t>
      </w:r>
      <w:r w:rsidRPr="002B36F1">
        <w:t>:</w:t>
      </w:r>
      <w:r>
        <w:t xml:space="preserve"> Not proceeding with the freeze eligibility thresholds for Australian Government payments —Fiscal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F20CF"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F20CF" w:rsidRPr="007C2713" w:rsidRDefault="009F20CF" w:rsidP="00F7554A">
            <w:pPr>
              <w:pStyle w:val="TableText"/>
              <w:keepNext/>
              <w:keepLines/>
              <w:rPr>
                <w:b w:val="0"/>
              </w:rPr>
            </w:pPr>
            <w:r>
              <w:t>($)</w:t>
            </w:r>
          </w:p>
        </w:tc>
        <w:tc>
          <w:tcPr>
            <w:tcW w:w="689" w:type="pct"/>
            <w:vAlign w:val="center"/>
          </w:tcPr>
          <w:p w:rsidR="009F20CF" w:rsidRDefault="009F20CF" w:rsidP="00F7554A">
            <w:pPr>
              <w:pStyle w:val="TableTextRight"/>
              <w:keepNext/>
              <w:keepLines/>
              <w:rPr>
                <w:b w:val="0"/>
              </w:rPr>
            </w:pPr>
            <w:r>
              <w:t>2016–17</w:t>
            </w:r>
          </w:p>
        </w:tc>
        <w:tc>
          <w:tcPr>
            <w:tcW w:w="689" w:type="pct"/>
            <w:vAlign w:val="center"/>
          </w:tcPr>
          <w:p w:rsidR="009F20CF" w:rsidRDefault="009F20CF" w:rsidP="00F7554A">
            <w:pPr>
              <w:pStyle w:val="TableTextRight"/>
              <w:keepNext/>
              <w:keepLines/>
              <w:rPr>
                <w:b w:val="0"/>
              </w:rPr>
            </w:pPr>
            <w:r>
              <w:t>2017–18</w:t>
            </w:r>
          </w:p>
        </w:tc>
        <w:tc>
          <w:tcPr>
            <w:tcW w:w="689" w:type="pct"/>
            <w:vAlign w:val="center"/>
          </w:tcPr>
          <w:p w:rsidR="009F20CF" w:rsidRDefault="009F20CF" w:rsidP="00F7554A">
            <w:pPr>
              <w:pStyle w:val="TableTextRight"/>
              <w:keepNext/>
              <w:keepLines/>
              <w:rPr>
                <w:b w:val="0"/>
              </w:rPr>
            </w:pPr>
            <w:r>
              <w:t>2018–19</w:t>
            </w:r>
          </w:p>
        </w:tc>
        <w:tc>
          <w:tcPr>
            <w:tcW w:w="689" w:type="pct"/>
            <w:vAlign w:val="center"/>
          </w:tcPr>
          <w:p w:rsidR="009F20CF" w:rsidRDefault="009F20CF" w:rsidP="00F7554A">
            <w:pPr>
              <w:pStyle w:val="TableTextRight"/>
              <w:keepNext/>
              <w:keepLines/>
              <w:rPr>
                <w:b w:val="0"/>
              </w:rPr>
            </w:pPr>
            <w:r>
              <w:t>2019–20</w:t>
            </w:r>
          </w:p>
        </w:tc>
        <w:tc>
          <w:tcPr>
            <w:tcW w:w="690" w:type="pct"/>
            <w:vAlign w:val="center"/>
          </w:tcPr>
          <w:p w:rsidR="009F20CF" w:rsidRDefault="009F20CF" w:rsidP="00F7554A">
            <w:pPr>
              <w:pStyle w:val="TableTextRight"/>
              <w:keepNext/>
              <w:keepLines/>
            </w:pPr>
            <w:r>
              <w:t>Total to 2019–20</w:t>
            </w:r>
          </w:p>
        </w:tc>
      </w:tr>
      <w:tr w:rsidR="009F20CF" w:rsidTr="00F7554A">
        <w:tc>
          <w:tcPr>
            <w:tcW w:w="1554" w:type="pct"/>
            <w:vAlign w:val="center"/>
          </w:tcPr>
          <w:p w:rsidR="009F20CF" w:rsidRPr="003A3459" w:rsidRDefault="009F20CF" w:rsidP="00F7554A">
            <w:pPr>
              <w:pStyle w:val="TableText"/>
              <w:keepNext/>
              <w:keepLines/>
            </w:pPr>
            <w:r>
              <w:t>Newstart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-4.0</w:t>
            </w:r>
          </w:p>
        </w:tc>
        <w:tc>
          <w:tcPr>
            <w:tcW w:w="689" w:type="pct"/>
            <w:vAlign w:val="center"/>
          </w:tcPr>
          <w:p w:rsidR="009F20CF" w:rsidRPr="002662C1" w:rsidRDefault="009F20CF" w:rsidP="00F7554A">
            <w:pPr>
              <w:pStyle w:val="TableTextRight"/>
              <w:rPr>
                <w:i/>
              </w:rPr>
            </w:pPr>
            <w:r w:rsidRPr="002662C1">
              <w:rPr>
                <w:i/>
              </w:rPr>
              <w:t>-8.0</w:t>
            </w:r>
          </w:p>
        </w:tc>
        <w:tc>
          <w:tcPr>
            <w:tcW w:w="689" w:type="pct"/>
            <w:vAlign w:val="center"/>
          </w:tcPr>
          <w:p w:rsidR="009F20CF" w:rsidRPr="002662C1" w:rsidRDefault="009F20CF" w:rsidP="00F7554A">
            <w:pPr>
              <w:pStyle w:val="TableTextRight"/>
              <w:rPr>
                <w:i/>
              </w:rPr>
            </w:pPr>
            <w:r w:rsidRPr="002662C1">
              <w:rPr>
                <w:i/>
              </w:rPr>
              <w:t>-12.0</w:t>
            </w:r>
          </w:p>
        </w:tc>
        <w:tc>
          <w:tcPr>
            <w:tcW w:w="690" w:type="pct"/>
            <w:vAlign w:val="center"/>
          </w:tcPr>
          <w:p w:rsidR="009F20CF" w:rsidRPr="002662C1" w:rsidRDefault="009F20CF" w:rsidP="00F7554A">
            <w:pPr>
              <w:pStyle w:val="TableTextRight"/>
              <w:rPr>
                <w:b/>
                <w:i/>
              </w:rPr>
            </w:pPr>
            <w:r w:rsidRPr="002662C1">
              <w:rPr>
                <w:b/>
                <w:i/>
              </w:rPr>
              <w:t>-23.0</w:t>
            </w:r>
          </w:p>
        </w:tc>
      </w:tr>
      <w:tr w:rsidR="009F20CF" w:rsidTr="00F7554A">
        <w:tc>
          <w:tcPr>
            <w:tcW w:w="1554" w:type="pct"/>
            <w:vAlign w:val="center"/>
          </w:tcPr>
          <w:p w:rsidR="009F20CF" w:rsidRPr="003A3459" w:rsidRDefault="009F20CF" w:rsidP="00F7554A">
            <w:pPr>
              <w:pStyle w:val="TableText"/>
              <w:keepNext/>
              <w:keepLines/>
            </w:pPr>
            <w:r>
              <w:t>Sickness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w:t>
            </w:r>
          </w:p>
        </w:tc>
      </w:tr>
      <w:tr w:rsidR="009F20CF" w:rsidTr="00F7554A">
        <w:tc>
          <w:tcPr>
            <w:tcW w:w="1554" w:type="pct"/>
            <w:vAlign w:val="center"/>
          </w:tcPr>
          <w:p w:rsidR="009F20CF" w:rsidRPr="003A3459" w:rsidRDefault="009F20CF" w:rsidP="00F7554A">
            <w:pPr>
              <w:pStyle w:val="TableText"/>
              <w:keepNext/>
              <w:keepLines/>
            </w:pPr>
            <w:r>
              <w:t>Parenting Payment Partnered</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-2.0</w:t>
            </w:r>
          </w:p>
        </w:tc>
      </w:tr>
      <w:tr w:rsidR="009F20CF" w:rsidTr="00F7554A">
        <w:tc>
          <w:tcPr>
            <w:tcW w:w="1554" w:type="pct"/>
            <w:vAlign w:val="center"/>
          </w:tcPr>
          <w:p w:rsidR="009F20CF" w:rsidRPr="003A3459" w:rsidRDefault="009F20CF" w:rsidP="00F7554A">
            <w:pPr>
              <w:pStyle w:val="TableText"/>
              <w:keepNext/>
              <w:keepLines/>
            </w:pPr>
            <w:r>
              <w:t>Parenting Payment Single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-2.0</w:t>
            </w:r>
          </w:p>
        </w:tc>
        <w:tc>
          <w:tcPr>
            <w:tcW w:w="689" w:type="pct"/>
            <w:vAlign w:val="center"/>
          </w:tcPr>
          <w:p w:rsidR="009F20CF" w:rsidRPr="002662C1" w:rsidRDefault="009F20CF" w:rsidP="00F7554A">
            <w:pPr>
              <w:pStyle w:val="TableTextRight"/>
              <w:rPr>
                <w:i/>
              </w:rPr>
            </w:pPr>
            <w:r w:rsidRPr="002662C1">
              <w:rPr>
                <w:i/>
              </w:rPr>
              <w:t>-5.0</w:t>
            </w:r>
          </w:p>
        </w:tc>
        <w:tc>
          <w:tcPr>
            <w:tcW w:w="689" w:type="pct"/>
            <w:vAlign w:val="center"/>
          </w:tcPr>
          <w:p w:rsidR="009F20CF" w:rsidRPr="002662C1" w:rsidRDefault="009F20CF" w:rsidP="00F7554A">
            <w:pPr>
              <w:pStyle w:val="TableTextRight"/>
              <w:rPr>
                <w:i/>
              </w:rPr>
            </w:pPr>
            <w:r w:rsidRPr="002662C1">
              <w:rPr>
                <w:i/>
              </w:rPr>
              <w:t>-8.0</w:t>
            </w:r>
          </w:p>
        </w:tc>
        <w:tc>
          <w:tcPr>
            <w:tcW w:w="690" w:type="pct"/>
            <w:vAlign w:val="center"/>
          </w:tcPr>
          <w:p w:rsidR="009F20CF" w:rsidRPr="002662C1" w:rsidRDefault="009F20CF" w:rsidP="00F7554A">
            <w:pPr>
              <w:pStyle w:val="TableTextRight"/>
              <w:rPr>
                <w:b/>
                <w:i/>
              </w:rPr>
            </w:pPr>
            <w:r w:rsidRPr="002662C1">
              <w:rPr>
                <w:b/>
                <w:i/>
              </w:rPr>
              <w:t>-15.0</w:t>
            </w:r>
          </w:p>
        </w:tc>
      </w:tr>
      <w:tr w:rsidR="009F20CF" w:rsidTr="00F7554A">
        <w:tc>
          <w:tcPr>
            <w:tcW w:w="1554" w:type="pct"/>
            <w:vAlign w:val="center"/>
          </w:tcPr>
          <w:p w:rsidR="009F20CF" w:rsidRPr="003A3459" w:rsidRDefault="009F20CF" w:rsidP="00F7554A">
            <w:pPr>
              <w:pStyle w:val="TableText"/>
              <w:keepNext/>
              <w:keepLines/>
            </w:pPr>
            <w:r>
              <w:t>Partner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w:t>
            </w:r>
          </w:p>
        </w:tc>
      </w:tr>
      <w:tr w:rsidR="009F20CF" w:rsidTr="00F7554A">
        <w:tc>
          <w:tcPr>
            <w:tcW w:w="1554" w:type="pct"/>
            <w:vAlign w:val="center"/>
          </w:tcPr>
          <w:p w:rsidR="009F20CF" w:rsidRPr="003A3459" w:rsidRDefault="009F20CF" w:rsidP="00F7554A">
            <w:pPr>
              <w:pStyle w:val="TableText"/>
              <w:keepNext/>
              <w:keepLines/>
            </w:pPr>
            <w:r>
              <w:t>Austudy</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-3.0</w:t>
            </w:r>
          </w:p>
        </w:tc>
        <w:tc>
          <w:tcPr>
            <w:tcW w:w="689" w:type="pct"/>
            <w:vAlign w:val="center"/>
          </w:tcPr>
          <w:p w:rsidR="009F20CF" w:rsidRPr="002662C1" w:rsidRDefault="009F20CF" w:rsidP="00F7554A">
            <w:pPr>
              <w:pStyle w:val="TableTextRight"/>
              <w:rPr>
                <w:i/>
              </w:rPr>
            </w:pPr>
            <w:r w:rsidRPr="002662C1">
              <w:rPr>
                <w:i/>
              </w:rPr>
              <w:t>-4.0</w:t>
            </w:r>
          </w:p>
        </w:tc>
        <w:tc>
          <w:tcPr>
            <w:tcW w:w="689" w:type="pct"/>
            <w:vAlign w:val="center"/>
          </w:tcPr>
          <w:p w:rsidR="009F20CF" w:rsidRPr="002662C1" w:rsidRDefault="009F20CF" w:rsidP="00F7554A">
            <w:pPr>
              <w:pStyle w:val="TableTextRight"/>
              <w:rPr>
                <w:i/>
              </w:rPr>
            </w:pPr>
            <w:r w:rsidRPr="002662C1">
              <w:rPr>
                <w:i/>
              </w:rPr>
              <w:t>-5.0</w:t>
            </w:r>
          </w:p>
        </w:tc>
        <w:tc>
          <w:tcPr>
            <w:tcW w:w="690" w:type="pct"/>
            <w:vAlign w:val="center"/>
          </w:tcPr>
          <w:p w:rsidR="009F20CF" w:rsidRPr="002662C1" w:rsidRDefault="009F20CF" w:rsidP="00F7554A">
            <w:pPr>
              <w:pStyle w:val="TableTextRight"/>
              <w:rPr>
                <w:b/>
                <w:i/>
              </w:rPr>
            </w:pPr>
            <w:r w:rsidRPr="002662C1">
              <w:rPr>
                <w:b/>
                <w:i/>
              </w:rPr>
              <w:t>-13.0</w:t>
            </w:r>
          </w:p>
        </w:tc>
      </w:tr>
      <w:tr w:rsidR="009F20CF" w:rsidTr="00F7554A">
        <w:tc>
          <w:tcPr>
            <w:tcW w:w="1554" w:type="pct"/>
            <w:vAlign w:val="center"/>
          </w:tcPr>
          <w:p w:rsidR="009F20CF" w:rsidRPr="003A3459" w:rsidRDefault="009F20CF" w:rsidP="00F7554A">
            <w:pPr>
              <w:pStyle w:val="TableText"/>
              <w:keepNext/>
              <w:keepLines/>
            </w:pPr>
            <w:r>
              <w:t>Youth Allowance (Student)</w:t>
            </w:r>
          </w:p>
        </w:tc>
        <w:tc>
          <w:tcPr>
            <w:tcW w:w="689" w:type="pct"/>
            <w:vAlign w:val="center"/>
          </w:tcPr>
          <w:p w:rsidR="009F20CF" w:rsidRPr="002662C1" w:rsidRDefault="009F20CF" w:rsidP="00F7554A">
            <w:pPr>
              <w:pStyle w:val="TableTextRight"/>
              <w:rPr>
                <w:i/>
              </w:rPr>
            </w:pPr>
            <w:r w:rsidRPr="002662C1">
              <w:rPr>
                <w:i/>
              </w:rPr>
              <w:t>-5.0</w:t>
            </w:r>
          </w:p>
        </w:tc>
        <w:tc>
          <w:tcPr>
            <w:tcW w:w="689" w:type="pct"/>
            <w:vAlign w:val="center"/>
          </w:tcPr>
          <w:p w:rsidR="009F20CF" w:rsidRPr="002662C1" w:rsidRDefault="009F20CF" w:rsidP="00F7554A">
            <w:pPr>
              <w:pStyle w:val="TableTextRight"/>
              <w:rPr>
                <w:i/>
              </w:rPr>
            </w:pPr>
            <w:r w:rsidRPr="002662C1">
              <w:rPr>
                <w:i/>
              </w:rPr>
              <w:t>-15.0</w:t>
            </w:r>
          </w:p>
        </w:tc>
        <w:tc>
          <w:tcPr>
            <w:tcW w:w="689" w:type="pct"/>
            <w:vAlign w:val="center"/>
          </w:tcPr>
          <w:p w:rsidR="009F20CF" w:rsidRPr="002662C1" w:rsidRDefault="009F20CF" w:rsidP="00F7554A">
            <w:pPr>
              <w:pStyle w:val="TableTextRight"/>
              <w:rPr>
                <w:i/>
              </w:rPr>
            </w:pPr>
            <w:r w:rsidRPr="002662C1">
              <w:rPr>
                <w:i/>
              </w:rPr>
              <w:t>-23.0</w:t>
            </w:r>
          </w:p>
        </w:tc>
        <w:tc>
          <w:tcPr>
            <w:tcW w:w="689" w:type="pct"/>
            <w:vAlign w:val="center"/>
          </w:tcPr>
          <w:p w:rsidR="009F20CF" w:rsidRPr="002662C1" w:rsidRDefault="009F20CF" w:rsidP="00F7554A">
            <w:pPr>
              <w:pStyle w:val="TableTextRight"/>
              <w:rPr>
                <w:i/>
              </w:rPr>
            </w:pPr>
            <w:r w:rsidRPr="002662C1">
              <w:rPr>
                <w:i/>
              </w:rPr>
              <w:t>-29.0</w:t>
            </w:r>
          </w:p>
        </w:tc>
        <w:tc>
          <w:tcPr>
            <w:tcW w:w="690" w:type="pct"/>
            <w:vAlign w:val="center"/>
          </w:tcPr>
          <w:p w:rsidR="009F20CF" w:rsidRPr="002662C1" w:rsidRDefault="009F20CF" w:rsidP="00F7554A">
            <w:pPr>
              <w:pStyle w:val="TableTextRight"/>
              <w:rPr>
                <w:b/>
                <w:i/>
              </w:rPr>
            </w:pPr>
            <w:r w:rsidRPr="002662C1">
              <w:rPr>
                <w:b/>
                <w:i/>
              </w:rPr>
              <w:t>-71.0</w:t>
            </w:r>
          </w:p>
        </w:tc>
      </w:tr>
      <w:tr w:rsidR="009F20CF" w:rsidTr="00F7554A">
        <w:tc>
          <w:tcPr>
            <w:tcW w:w="1554" w:type="pct"/>
            <w:vAlign w:val="center"/>
          </w:tcPr>
          <w:p w:rsidR="009F20CF" w:rsidRPr="003A3459" w:rsidRDefault="009F20CF" w:rsidP="00F7554A">
            <w:pPr>
              <w:pStyle w:val="TableText"/>
              <w:keepNext/>
              <w:keepLines/>
            </w:pPr>
            <w:r>
              <w:t>Abstudy</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-2.0</w:t>
            </w:r>
          </w:p>
        </w:tc>
      </w:tr>
      <w:tr w:rsidR="009F20CF" w:rsidTr="00F7554A">
        <w:tc>
          <w:tcPr>
            <w:tcW w:w="1554" w:type="pct"/>
            <w:vAlign w:val="center"/>
          </w:tcPr>
          <w:p w:rsidR="009F20CF" w:rsidRPr="003A3459" w:rsidRDefault="009F20CF" w:rsidP="00F7554A">
            <w:pPr>
              <w:pStyle w:val="TableText"/>
              <w:keepNext/>
              <w:keepLines/>
            </w:pPr>
            <w:r>
              <w:t>Child Care Benefit</w:t>
            </w:r>
          </w:p>
        </w:tc>
        <w:tc>
          <w:tcPr>
            <w:tcW w:w="689" w:type="pct"/>
            <w:vAlign w:val="center"/>
          </w:tcPr>
          <w:p w:rsidR="009F20CF" w:rsidRPr="002662C1" w:rsidRDefault="009F20CF" w:rsidP="00F7554A">
            <w:pPr>
              <w:pStyle w:val="TableTextRight"/>
              <w:rPr>
                <w:i/>
              </w:rPr>
            </w:pPr>
            <w:r w:rsidRPr="002662C1">
              <w:rPr>
                <w:i/>
              </w:rPr>
              <w:t>-71.0</w:t>
            </w:r>
          </w:p>
        </w:tc>
        <w:tc>
          <w:tcPr>
            <w:tcW w:w="689" w:type="pct"/>
            <w:vAlign w:val="center"/>
          </w:tcPr>
          <w:p w:rsidR="009F20CF" w:rsidRPr="002662C1" w:rsidRDefault="009F20CF" w:rsidP="00F7554A">
            <w:pPr>
              <w:pStyle w:val="TableTextRight"/>
              <w:rPr>
                <w:i/>
              </w:rPr>
            </w:pPr>
            <w:r w:rsidRPr="002662C1">
              <w:rPr>
                <w:i/>
              </w:rPr>
              <w:t>-113.0</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-184.0</w:t>
            </w:r>
          </w:p>
        </w:tc>
      </w:tr>
      <w:tr w:rsidR="009F20CF" w:rsidTr="00F7554A">
        <w:tc>
          <w:tcPr>
            <w:tcW w:w="1554" w:type="pct"/>
            <w:vAlign w:val="center"/>
          </w:tcPr>
          <w:p w:rsidR="009F20CF" w:rsidRPr="003A3459" w:rsidRDefault="009F20CF" w:rsidP="00F7554A">
            <w:pPr>
              <w:pStyle w:val="TableText"/>
              <w:keepNext/>
              <w:keepLines/>
            </w:pPr>
            <w:r>
              <w:t>Child Care Rebate</w:t>
            </w:r>
          </w:p>
        </w:tc>
        <w:tc>
          <w:tcPr>
            <w:tcW w:w="689" w:type="pct"/>
            <w:vAlign w:val="center"/>
          </w:tcPr>
          <w:p w:rsidR="009F20CF" w:rsidRPr="002662C1" w:rsidRDefault="009F20CF" w:rsidP="00F7554A">
            <w:pPr>
              <w:pStyle w:val="TableTextRight"/>
              <w:rPr>
                <w:i/>
              </w:rPr>
            </w:pPr>
            <w:r w:rsidRPr="002662C1">
              <w:rPr>
                <w:i/>
              </w:rPr>
              <w:t>33.0</w:t>
            </w:r>
          </w:p>
        </w:tc>
        <w:tc>
          <w:tcPr>
            <w:tcW w:w="689" w:type="pct"/>
            <w:vAlign w:val="center"/>
          </w:tcPr>
          <w:p w:rsidR="009F20CF" w:rsidRPr="002662C1" w:rsidRDefault="009F20CF" w:rsidP="00F7554A">
            <w:pPr>
              <w:pStyle w:val="TableTextRight"/>
              <w:rPr>
                <w:i/>
              </w:rPr>
            </w:pPr>
            <w:r w:rsidRPr="002662C1">
              <w:rPr>
                <w:i/>
              </w:rPr>
              <w:t>46.0</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80.0</w:t>
            </w:r>
          </w:p>
        </w:tc>
      </w:tr>
      <w:tr w:rsidR="009F20CF" w:rsidTr="00F7554A">
        <w:tc>
          <w:tcPr>
            <w:tcW w:w="1554" w:type="pct"/>
            <w:vAlign w:val="center"/>
          </w:tcPr>
          <w:p w:rsidR="009F20CF" w:rsidRPr="003A3459" w:rsidRDefault="009F20CF" w:rsidP="00F7554A">
            <w:pPr>
              <w:pStyle w:val="TableText"/>
              <w:keepNext/>
              <w:keepLines/>
            </w:pPr>
            <w:r>
              <w:t>Departmental</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2.0</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5.0</w:t>
            </w:r>
          </w:p>
        </w:tc>
      </w:tr>
      <w:tr w:rsidR="009F20CF" w:rsidRPr="007C2713" w:rsidTr="00F7554A">
        <w:tc>
          <w:tcPr>
            <w:tcW w:w="1554" w:type="pct"/>
            <w:shd w:val="clear" w:color="auto" w:fill="D7DDE9" w:themeFill="accent3"/>
            <w:vAlign w:val="center"/>
          </w:tcPr>
          <w:p w:rsidR="009F20CF" w:rsidRPr="0055406D" w:rsidRDefault="009F20CF" w:rsidP="00F7554A">
            <w:pPr>
              <w:pStyle w:val="TableText"/>
              <w:keepNext/>
              <w:keepLines/>
              <w:rPr>
                <w:b/>
              </w:rPr>
            </w:pPr>
            <w:r w:rsidRPr="0055406D">
              <w:rPr>
                <w:b/>
              </w:rPr>
              <w:t>Total</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-43.0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-89.0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-41.0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-55.0</w:t>
            </w:r>
          </w:p>
        </w:tc>
        <w:tc>
          <w:tcPr>
            <w:tcW w:w="690" w:type="pct"/>
            <w:shd w:val="clear" w:color="auto" w:fill="D7DDE9" w:themeFill="accent3"/>
            <w:vAlign w:val="center"/>
          </w:tcPr>
          <w:p w:rsidR="009F20CF" w:rsidRPr="00303D1E" w:rsidRDefault="009F20CF" w:rsidP="00F7554A">
            <w:pPr>
              <w:pStyle w:val="TableTextRight"/>
              <w:rPr>
                <w:b/>
              </w:rPr>
            </w:pPr>
            <w:r w:rsidRPr="00303D1E">
              <w:rPr>
                <w:b/>
              </w:rPr>
              <w:t>-225.0</w:t>
            </w:r>
          </w:p>
        </w:tc>
      </w:tr>
    </w:tbl>
    <w:p w:rsidR="009F20CF" w:rsidRPr="002662C1" w:rsidRDefault="009F20CF" w:rsidP="0065754F">
      <w:pPr>
        <w:pStyle w:val="Footnotes"/>
        <w:numPr>
          <w:ilvl w:val="0"/>
          <w:numId w:val="168"/>
        </w:numPr>
        <w:ind w:left="284" w:hanging="284"/>
      </w:pPr>
      <w:r>
        <w:t xml:space="preserve"> </w:t>
      </w:r>
      <w:r w:rsidRPr="002662C1">
        <w:t>A positive number indicates an increase in revenue or a decrease in expenses or net capital investment in accrual terms.  A negative number indicates a decrease in revenue or an increase in expenses or net capital investment in accrual terms.</w:t>
      </w:r>
    </w:p>
    <w:p w:rsidR="009F20CF" w:rsidRPr="005F544A" w:rsidRDefault="009F20CF" w:rsidP="0065754F">
      <w:pPr>
        <w:pStyle w:val="Footnotes"/>
        <w:spacing w:after="120"/>
        <w:ind w:left="284" w:hanging="284"/>
      </w:pPr>
      <w:r w:rsidRPr="005F544A">
        <w:t>Figures may not sum to totals due to rounding.</w:t>
      </w:r>
    </w:p>
    <w:p w:rsidR="009F20CF" w:rsidRPr="005F544A" w:rsidRDefault="009F20CF" w:rsidP="0065754F">
      <w:pPr>
        <w:pStyle w:val="Footnotes"/>
        <w:numPr>
          <w:ilvl w:val="0"/>
          <w:numId w:val="0"/>
        </w:numPr>
        <w:ind w:left="284" w:hanging="284"/>
      </w:pPr>
      <w:r w:rsidRPr="005F544A">
        <w:t>..</w:t>
      </w:r>
      <w:r w:rsidRPr="005F544A">
        <w:tab/>
        <w:t>Not zero but rounded to zero.</w:t>
      </w:r>
    </w:p>
    <w:p w:rsidR="009F20CF" w:rsidRDefault="009F20CF" w:rsidP="0065754F">
      <w:pPr>
        <w:pStyle w:val="Footnotes"/>
        <w:numPr>
          <w:ilvl w:val="0"/>
          <w:numId w:val="0"/>
        </w:numPr>
        <w:ind w:left="284" w:hanging="284"/>
      </w:pPr>
      <w:r w:rsidRPr="005F544A">
        <w:t>-</w:t>
      </w:r>
      <w:r w:rsidRPr="005F544A">
        <w:tab/>
        <w:t>Indicates nil.</w:t>
      </w:r>
    </w:p>
    <w:p w:rsidR="009F20CF" w:rsidRDefault="009F20CF" w:rsidP="009F20CF">
      <w:pPr>
        <w:pStyle w:val="Caption"/>
      </w:pPr>
      <w:r w:rsidRPr="002B36F1">
        <w:t xml:space="preserve">Table </w:t>
      </w:r>
      <w:r>
        <w:t>A2</w:t>
      </w:r>
      <w:r w:rsidRPr="002B36F1">
        <w:t>:</w:t>
      </w:r>
      <w:r>
        <w:t xml:space="preserve"> Not proceeding with the freeze eligibility thresholds for Australian Government payments—Underlying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9F20CF"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9F20CF" w:rsidRPr="007C2713" w:rsidRDefault="009F20CF" w:rsidP="00F7554A">
            <w:pPr>
              <w:pStyle w:val="TableText"/>
              <w:keepNext/>
              <w:keepLines/>
              <w:rPr>
                <w:b w:val="0"/>
              </w:rPr>
            </w:pPr>
            <w:r>
              <w:t>($)</w:t>
            </w:r>
          </w:p>
        </w:tc>
        <w:tc>
          <w:tcPr>
            <w:tcW w:w="689" w:type="pct"/>
            <w:vAlign w:val="center"/>
          </w:tcPr>
          <w:p w:rsidR="009F20CF" w:rsidRDefault="009F20CF" w:rsidP="00F7554A">
            <w:pPr>
              <w:pStyle w:val="TableTextRight"/>
              <w:keepNext/>
              <w:keepLines/>
              <w:rPr>
                <w:b w:val="0"/>
              </w:rPr>
            </w:pPr>
            <w:r>
              <w:t>2016–17</w:t>
            </w:r>
          </w:p>
        </w:tc>
        <w:tc>
          <w:tcPr>
            <w:tcW w:w="689" w:type="pct"/>
            <w:vAlign w:val="center"/>
          </w:tcPr>
          <w:p w:rsidR="009F20CF" w:rsidRDefault="009F20CF" w:rsidP="00F7554A">
            <w:pPr>
              <w:pStyle w:val="TableTextRight"/>
              <w:keepNext/>
              <w:keepLines/>
              <w:rPr>
                <w:b w:val="0"/>
              </w:rPr>
            </w:pPr>
            <w:r>
              <w:t>2017–18</w:t>
            </w:r>
          </w:p>
        </w:tc>
        <w:tc>
          <w:tcPr>
            <w:tcW w:w="689" w:type="pct"/>
            <w:vAlign w:val="center"/>
          </w:tcPr>
          <w:p w:rsidR="009F20CF" w:rsidRDefault="009F20CF" w:rsidP="00F7554A">
            <w:pPr>
              <w:pStyle w:val="TableTextRight"/>
              <w:keepNext/>
              <w:keepLines/>
              <w:rPr>
                <w:b w:val="0"/>
              </w:rPr>
            </w:pPr>
            <w:r>
              <w:t>2018–19</w:t>
            </w:r>
          </w:p>
        </w:tc>
        <w:tc>
          <w:tcPr>
            <w:tcW w:w="689" w:type="pct"/>
            <w:vAlign w:val="center"/>
          </w:tcPr>
          <w:p w:rsidR="009F20CF" w:rsidRDefault="009F20CF" w:rsidP="00F7554A">
            <w:pPr>
              <w:pStyle w:val="TableTextRight"/>
              <w:keepNext/>
              <w:keepLines/>
              <w:rPr>
                <w:b w:val="0"/>
              </w:rPr>
            </w:pPr>
            <w:r>
              <w:t>2019–20</w:t>
            </w:r>
          </w:p>
        </w:tc>
        <w:tc>
          <w:tcPr>
            <w:tcW w:w="690" w:type="pct"/>
            <w:vAlign w:val="center"/>
          </w:tcPr>
          <w:p w:rsidR="009F20CF" w:rsidRDefault="009F20CF" w:rsidP="00F7554A">
            <w:pPr>
              <w:pStyle w:val="TableTextRight"/>
              <w:keepNext/>
              <w:keepLines/>
            </w:pPr>
            <w:r>
              <w:t>Total to 2019–20</w:t>
            </w:r>
          </w:p>
        </w:tc>
      </w:tr>
      <w:tr w:rsidR="009F20CF" w:rsidTr="00F7554A">
        <w:tc>
          <w:tcPr>
            <w:tcW w:w="1554" w:type="pct"/>
            <w:vAlign w:val="center"/>
          </w:tcPr>
          <w:p w:rsidR="009F20CF" w:rsidRPr="003A3459" w:rsidRDefault="009F20CF" w:rsidP="00F7554A">
            <w:pPr>
              <w:pStyle w:val="TableText"/>
              <w:keepNext/>
              <w:keepLines/>
            </w:pPr>
            <w:r>
              <w:t>Newstart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-4.0</w:t>
            </w:r>
          </w:p>
        </w:tc>
        <w:tc>
          <w:tcPr>
            <w:tcW w:w="689" w:type="pct"/>
            <w:vAlign w:val="center"/>
          </w:tcPr>
          <w:p w:rsidR="009F20CF" w:rsidRPr="002662C1" w:rsidRDefault="009F20CF" w:rsidP="00F7554A">
            <w:pPr>
              <w:pStyle w:val="TableTextRight"/>
              <w:rPr>
                <w:i/>
              </w:rPr>
            </w:pPr>
            <w:r w:rsidRPr="002662C1">
              <w:rPr>
                <w:i/>
              </w:rPr>
              <w:t>-8.0</w:t>
            </w:r>
          </w:p>
        </w:tc>
        <w:tc>
          <w:tcPr>
            <w:tcW w:w="689" w:type="pct"/>
            <w:vAlign w:val="center"/>
          </w:tcPr>
          <w:p w:rsidR="009F20CF" w:rsidRPr="002662C1" w:rsidRDefault="009F20CF" w:rsidP="00F7554A">
            <w:pPr>
              <w:pStyle w:val="TableTextRight"/>
              <w:rPr>
                <w:i/>
              </w:rPr>
            </w:pPr>
            <w:r w:rsidRPr="002662C1">
              <w:rPr>
                <w:i/>
              </w:rPr>
              <w:t>-12.0</w:t>
            </w:r>
          </w:p>
        </w:tc>
        <w:tc>
          <w:tcPr>
            <w:tcW w:w="690" w:type="pct"/>
            <w:vAlign w:val="center"/>
          </w:tcPr>
          <w:p w:rsidR="009F20CF" w:rsidRPr="002662C1" w:rsidRDefault="009F20CF" w:rsidP="00F7554A">
            <w:pPr>
              <w:pStyle w:val="TableTextRight"/>
              <w:rPr>
                <w:b/>
                <w:i/>
              </w:rPr>
            </w:pPr>
            <w:r w:rsidRPr="002662C1">
              <w:rPr>
                <w:b/>
                <w:i/>
              </w:rPr>
              <w:t>-23.0</w:t>
            </w:r>
          </w:p>
        </w:tc>
      </w:tr>
      <w:tr w:rsidR="009F20CF" w:rsidTr="00F7554A">
        <w:tc>
          <w:tcPr>
            <w:tcW w:w="1554" w:type="pct"/>
            <w:vAlign w:val="center"/>
          </w:tcPr>
          <w:p w:rsidR="009F20CF" w:rsidRPr="003A3459" w:rsidRDefault="009F20CF" w:rsidP="00F7554A">
            <w:pPr>
              <w:pStyle w:val="TableText"/>
              <w:keepNext/>
              <w:keepLines/>
            </w:pPr>
            <w:r>
              <w:t>Sickness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w:t>
            </w:r>
          </w:p>
        </w:tc>
      </w:tr>
      <w:tr w:rsidR="009F20CF" w:rsidTr="00F7554A">
        <w:tc>
          <w:tcPr>
            <w:tcW w:w="1554" w:type="pct"/>
            <w:vAlign w:val="center"/>
          </w:tcPr>
          <w:p w:rsidR="009F20CF" w:rsidRPr="003A3459" w:rsidRDefault="009F20CF" w:rsidP="00F7554A">
            <w:pPr>
              <w:pStyle w:val="TableText"/>
              <w:keepNext/>
              <w:keepLines/>
            </w:pPr>
            <w:r>
              <w:t>Parenting Payment Partnered</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-2.0</w:t>
            </w:r>
          </w:p>
        </w:tc>
      </w:tr>
      <w:tr w:rsidR="009F20CF" w:rsidTr="00F7554A">
        <w:tc>
          <w:tcPr>
            <w:tcW w:w="1554" w:type="pct"/>
            <w:vAlign w:val="center"/>
          </w:tcPr>
          <w:p w:rsidR="009F20CF" w:rsidRPr="003A3459" w:rsidRDefault="009F20CF" w:rsidP="00F7554A">
            <w:pPr>
              <w:pStyle w:val="TableText"/>
              <w:keepNext/>
              <w:keepLines/>
            </w:pPr>
            <w:r>
              <w:t>Parenting Payment Single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-2.0</w:t>
            </w:r>
          </w:p>
        </w:tc>
        <w:tc>
          <w:tcPr>
            <w:tcW w:w="689" w:type="pct"/>
            <w:vAlign w:val="center"/>
          </w:tcPr>
          <w:p w:rsidR="009F20CF" w:rsidRPr="002662C1" w:rsidRDefault="009F20CF" w:rsidP="00F7554A">
            <w:pPr>
              <w:pStyle w:val="TableTextRight"/>
              <w:rPr>
                <w:i/>
              </w:rPr>
            </w:pPr>
            <w:r w:rsidRPr="002662C1">
              <w:rPr>
                <w:i/>
              </w:rPr>
              <w:t>-5.0</w:t>
            </w:r>
          </w:p>
        </w:tc>
        <w:tc>
          <w:tcPr>
            <w:tcW w:w="689" w:type="pct"/>
            <w:vAlign w:val="center"/>
          </w:tcPr>
          <w:p w:rsidR="009F20CF" w:rsidRPr="002662C1" w:rsidRDefault="009F20CF" w:rsidP="00F7554A">
            <w:pPr>
              <w:pStyle w:val="TableTextRight"/>
              <w:rPr>
                <w:i/>
              </w:rPr>
            </w:pPr>
            <w:r w:rsidRPr="002662C1">
              <w:rPr>
                <w:i/>
              </w:rPr>
              <w:t>-8.0</w:t>
            </w:r>
          </w:p>
        </w:tc>
        <w:tc>
          <w:tcPr>
            <w:tcW w:w="690" w:type="pct"/>
            <w:vAlign w:val="center"/>
          </w:tcPr>
          <w:p w:rsidR="009F20CF" w:rsidRPr="002662C1" w:rsidRDefault="009F20CF" w:rsidP="00F7554A">
            <w:pPr>
              <w:pStyle w:val="TableTextRight"/>
              <w:rPr>
                <w:b/>
                <w:i/>
              </w:rPr>
            </w:pPr>
            <w:r w:rsidRPr="002662C1">
              <w:rPr>
                <w:b/>
                <w:i/>
              </w:rPr>
              <w:t>-15.0</w:t>
            </w:r>
          </w:p>
        </w:tc>
      </w:tr>
      <w:tr w:rsidR="009F20CF" w:rsidTr="00F7554A">
        <w:tc>
          <w:tcPr>
            <w:tcW w:w="1554" w:type="pct"/>
            <w:vAlign w:val="center"/>
          </w:tcPr>
          <w:p w:rsidR="009F20CF" w:rsidRPr="003A3459" w:rsidRDefault="009F20CF" w:rsidP="00F7554A">
            <w:pPr>
              <w:pStyle w:val="TableText"/>
              <w:keepNext/>
              <w:keepLines/>
            </w:pPr>
            <w:r>
              <w:t>Partner Allowance</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w:t>
            </w:r>
          </w:p>
        </w:tc>
      </w:tr>
      <w:tr w:rsidR="009F20CF" w:rsidTr="00F7554A">
        <w:tc>
          <w:tcPr>
            <w:tcW w:w="1554" w:type="pct"/>
            <w:vAlign w:val="center"/>
          </w:tcPr>
          <w:p w:rsidR="009F20CF" w:rsidRPr="003A3459" w:rsidRDefault="009F20CF" w:rsidP="00F7554A">
            <w:pPr>
              <w:pStyle w:val="TableText"/>
              <w:keepNext/>
              <w:keepLines/>
            </w:pPr>
            <w:r>
              <w:t>Austudy</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-3.0</w:t>
            </w:r>
          </w:p>
        </w:tc>
        <w:tc>
          <w:tcPr>
            <w:tcW w:w="689" w:type="pct"/>
            <w:vAlign w:val="center"/>
          </w:tcPr>
          <w:p w:rsidR="009F20CF" w:rsidRPr="002662C1" w:rsidRDefault="009F20CF" w:rsidP="00F7554A">
            <w:pPr>
              <w:pStyle w:val="TableTextRight"/>
              <w:rPr>
                <w:i/>
              </w:rPr>
            </w:pPr>
            <w:r w:rsidRPr="002662C1">
              <w:rPr>
                <w:i/>
              </w:rPr>
              <w:t>-4.0</w:t>
            </w:r>
          </w:p>
        </w:tc>
        <w:tc>
          <w:tcPr>
            <w:tcW w:w="689" w:type="pct"/>
            <w:vAlign w:val="center"/>
          </w:tcPr>
          <w:p w:rsidR="009F20CF" w:rsidRPr="002662C1" w:rsidRDefault="009F20CF" w:rsidP="00F7554A">
            <w:pPr>
              <w:pStyle w:val="TableTextRight"/>
              <w:rPr>
                <w:i/>
              </w:rPr>
            </w:pPr>
            <w:r w:rsidRPr="002662C1">
              <w:rPr>
                <w:i/>
              </w:rPr>
              <w:t>-5.0</w:t>
            </w:r>
          </w:p>
        </w:tc>
        <w:tc>
          <w:tcPr>
            <w:tcW w:w="690" w:type="pct"/>
            <w:vAlign w:val="center"/>
          </w:tcPr>
          <w:p w:rsidR="009F20CF" w:rsidRPr="002662C1" w:rsidRDefault="009F20CF" w:rsidP="00F7554A">
            <w:pPr>
              <w:pStyle w:val="TableTextRight"/>
              <w:rPr>
                <w:b/>
                <w:i/>
              </w:rPr>
            </w:pPr>
            <w:r w:rsidRPr="002662C1">
              <w:rPr>
                <w:b/>
                <w:i/>
              </w:rPr>
              <w:t>-13.0</w:t>
            </w:r>
          </w:p>
        </w:tc>
      </w:tr>
      <w:tr w:rsidR="009F20CF" w:rsidTr="00F7554A">
        <w:tc>
          <w:tcPr>
            <w:tcW w:w="1554" w:type="pct"/>
            <w:vAlign w:val="center"/>
          </w:tcPr>
          <w:p w:rsidR="009F20CF" w:rsidRPr="003A3459" w:rsidRDefault="009F20CF" w:rsidP="00F7554A">
            <w:pPr>
              <w:pStyle w:val="TableText"/>
              <w:keepNext/>
              <w:keepLines/>
            </w:pPr>
            <w:r>
              <w:t>Youth Allowance (Student)</w:t>
            </w:r>
          </w:p>
        </w:tc>
        <w:tc>
          <w:tcPr>
            <w:tcW w:w="689" w:type="pct"/>
            <w:vAlign w:val="center"/>
          </w:tcPr>
          <w:p w:rsidR="009F20CF" w:rsidRPr="002662C1" w:rsidRDefault="009F20CF" w:rsidP="00F7554A">
            <w:pPr>
              <w:pStyle w:val="TableTextRight"/>
              <w:rPr>
                <w:i/>
              </w:rPr>
            </w:pPr>
            <w:r w:rsidRPr="002662C1">
              <w:rPr>
                <w:i/>
              </w:rPr>
              <w:t>-5.0</w:t>
            </w:r>
          </w:p>
        </w:tc>
        <w:tc>
          <w:tcPr>
            <w:tcW w:w="689" w:type="pct"/>
            <w:vAlign w:val="center"/>
          </w:tcPr>
          <w:p w:rsidR="009F20CF" w:rsidRPr="002662C1" w:rsidRDefault="009F20CF" w:rsidP="00F7554A">
            <w:pPr>
              <w:pStyle w:val="TableTextRight"/>
              <w:rPr>
                <w:i/>
              </w:rPr>
            </w:pPr>
            <w:r w:rsidRPr="002662C1">
              <w:rPr>
                <w:i/>
              </w:rPr>
              <w:t>-15.0</w:t>
            </w:r>
          </w:p>
        </w:tc>
        <w:tc>
          <w:tcPr>
            <w:tcW w:w="689" w:type="pct"/>
            <w:vAlign w:val="center"/>
          </w:tcPr>
          <w:p w:rsidR="009F20CF" w:rsidRPr="002662C1" w:rsidRDefault="009F20CF" w:rsidP="00F7554A">
            <w:pPr>
              <w:pStyle w:val="TableTextRight"/>
              <w:rPr>
                <w:i/>
              </w:rPr>
            </w:pPr>
            <w:r w:rsidRPr="002662C1">
              <w:rPr>
                <w:i/>
              </w:rPr>
              <w:t>-23.0</w:t>
            </w:r>
          </w:p>
        </w:tc>
        <w:tc>
          <w:tcPr>
            <w:tcW w:w="689" w:type="pct"/>
            <w:vAlign w:val="center"/>
          </w:tcPr>
          <w:p w:rsidR="009F20CF" w:rsidRPr="002662C1" w:rsidRDefault="009F20CF" w:rsidP="00F7554A">
            <w:pPr>
              <w:pStyle w:val="TableTextRight"/>
              <w:rPr>
                <w:i/>
              </w:rPr>
            </w:pPr>
            <w:r w:rsidRPr="002662C1">
              <w:rPr>
                <w:i/>
              </w:rPr>
              <w:t>-29.0</w:t>
            </w:r>
          </w:p>
        </w:tc>
        <w:tc>
          <w:tcPr>
            <w:tcW w:w="690" w:type="pct"/>
            <w:vAlign w:val="center"/>
          </w:tcPr>
          <w:p w:rsidR="009F20CF" w:rsidRPr="002662C1" w:rsidRDefault="009F20CF" w:rsidP="00F7554A">
            <w:pPr>
              <w:pStyle w:val="TableTextRight"/>
              <w:rPr>
                <w:b/>
                <w:i/>
              </w:rPr>
            </w:pPr>
            <w:r w:rsidRPr="002662C1">
              <w:rPr>
                <w:b/>
                <w:i/>
              </w:rPr>
              <w:t>-71.0</w:t>
            </w:r>
          </w:p>
        </w:tc>
      </w:tr>
      <w:tr w:rsidR="009F20CF" w:rsidTr="00F7554A">
        <w:tc>
          <w:tcPr>
            <w:tcW w:w="1554" w:type="pct"/>
            <w:vAlign w:val="center"/>
          </w:tcPr>
          <w:p w:rsidR="009F20CF" w:rsidRPr="003A3459" w:rsidRDefault="009F20CF" w:rsidP="00F7554A">
            <w:pPr>
              <w:pStyle w:val="TableText"/>
              <w:keepNext/>
              <w:keepLines/>
            </w:pPr>
            <w:r>
              <w:t>Abstudy</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-2.0</w:t>
            </w:r>
          </w:p>
        </w:tc>
      </w:tr>
      <w:tr w:rsidR="009F20CF" w:rsidTr="00F7554A">
        <w:tc>
          <w:tcPr>
            <w:tcW w:w="1554" w:type="pct"/>
            <w:vAlign w:val="center"/>
          </w:tcPr>
          <w:p w:rsidR="009F20CF" w:rsidRPr="003A3459" w:rsidRDefault="009F20CF" w:rsidP="00F7554A">
            <w:pPr>
              <w:pStyle w:val="TableText"/>
              <w:keepNext/>
              <w:keepLines/>
            </w:pPr>
            <w:r>
              <w:t>Child Care Benefit</w:t>
            </w:r>
          </w:p>
        </w:tc>
        <w:tc>
          <w:tcPr>
            <w:tcW w:w="689" w:type="pct"/>
            <w:vAlign w:val="center"/>
          </w:tcPr>
          <w:p w:rsidR="009F20CF" w:rsidRPr="002662C1" w:rsidRDefault="009F20CF" w:rsidP="00F7554A">
            <w:pPr>
              <w:pStyle w:val="TableTextRight"/>
              <w:rPr>
                <w:i/>
              </w:rPr>
            </w:pPr>
            <w:r w:rsidRPr="002662C1">
              <w:rPr>
                <w:i/>
              </w:rPr>
              <w:t>-70.0</w:t>
            </w:r>
          </w:p>
        </w:tc>
        <w:tc>
          <w:tcPr>
            <w:tcW w:w="689" w:type="pct"/>
            <w:vAlign w:val="center"/>
          </w:tcPr>
          <w:p w:rsidR="009F20CF" w:rsidRPr="002662C1" w:rsidRDefault="009F20CF" w:rsidP="00F7554A">
            <w:pPr>
              <w:pStyle w:val="TableTextRight"/>
              <w:rPr>
                <w:i/>
              </w:rPr>
            </w:pPr>
            <w:r w:rsidRPr="002662C1">
              <w:rPr>
                <w:i/>
              </w:rPr>
              <w:t>-101.0</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-171.0</w:t>
            </w:r>
          </w:p>
        </w:tc>
      </w:tr>
      <w:tr w:rsidR="009F20CF" w:rsidTr="00F7554A">
        <w:tc>
          <w:tcPr>
            <w:tcW w:w="1554" w:type="pct"/>
            <w:vAlign w:val="center"/>
          </w:tcPr>
          <w:p w:rsidR="009F20CF" w:rsidRPr="003A3459" w:rsidRDefault="009F20CF" w:rsidP="00F7554A">
            <w:pPr>
              <w:pStyle w:val="TableText"/>
              <w:keepNext/>
              <w:keepLines/>
            </w:pPr>
            <w:r>
              <w:t>Child Care Rebate</w:t>
            </w:r>
          </w:p>
        </w:tc>
        <w:tc>
          <w:tcPr>
            <w:tcW w:w="689" w:type="pct"/>
            <w:vAlign w:val="center"/>
          </w:tcPr>
          <w:p w:rsidR="009F20CF" w:rsidRPr="002662C1" w:rsidRDefault="009F20CF" w:rsidP="00F7554A">
            <w:pPr>
              <w:pStyle w:val="TableTextRight"/>
              <w:rPr>
                <w:i/>
              </w:rPr>
            </w:pPr>
            <w:r w:rsidRPr="002662C1">
              <w:rPr>
                <w:i/>
              </w:rPr>
              <w:t>33.0</w:t>
            </w:r>
          </w:p>
        </w:tc>
        <w:tc>
          <w:tcPr>
            <w:tcW w:w="689" w:type="pct"/>
            <w:vAlign w:val="center"/>
          </w:tcPr>
          <w:p w:rsidR="009F20CF" w:rsidRPr="002662C1" w:rsidRDefault="009F20CF" w:rsidP="00F7554A">
            <w:pPr>
              <w:pStyle w:val="TableTextRight"/>
              <w:rPr>
                <w:i/>
              </w:rPr>
            </w:pPr>
            <w:r w:rsidRPr="002662C1">
              <w:rPr>
                <w:i/>
              </w:rPr>
              <w:t>39.0</w:t>
            </w:r>
          </w:p>
        </w:tc>
        <w:tc>
          <w:tcPr>
            <w:tcW w:w="689" w:type="pct"/>
            <w:vAlign w:val="center"/>
          </w:tcPr>
          <w:p w:rsidR="009F20CF" w:rsidRPr="002662C1" w:rsidRDefault="009F20CF" w:rsidP="00F7554A">
            <w:pPr>
              <w:pStyle w:val="TableTextRight"/>
              <w:rPr>
                <w:i/>
              </w:rPr>
            </w:pPr>
            <w:r w:rsidRPr="002662C1">
              <w:rPr>
                <w:i/>
              </w:rPr>
              <w:t>-</w:t>
            </w:r>
          </w:p>
        </w:tc>
        <w:tc>
          <w:tcPr>
            <w:tcW w:w="689" w:type="pct"/>
            <w:vAlign w:val="center"/>
          </w:tcPr>
          <w:p w:rsidR="009F20CF" w:rsidRPr="002662C1" w:rsidRDefault="009F20CF" w:rsidP="00F7554A">
            <w:pPr>
              <w:pStyle w:val="TableTextRight"/>
              <w:rPr>
                <w:i/>
              </w:rPr>
            </w:pPr>
            <w:r w:rsidRPr="002662C1">
              <w:rPr>
                <w:i/>
              </w:rPr>
              <w:t>-</w:t>
            </w:r>
          </w:p>
        </w:tc>
        <w:tc>
          <w:tcPr>
            <w:tcW w:w="690" w:type="pct"/>
            <w:vAlign w:val="center"/>
          </w:tcPr>
          <w:p w:rsidR="009F20CF" w:rsidRPr="002662C1" w:rsidRDefault="009F20CF" w:rsidP="00F7554A">
            <w:pPr>
              <w:pStyle w:val="TableTextRight"/>
              <w:rPr>
                <w:b/>
                <w:i/>
              </w:rPr>
            </w:pPr>
            <w:r w:rsidRPr="002662C1">
              <w:rPr>
                <w:b/>
                <w:i/>
              </w:rPr>
              <w:t>72.0</w:t>
            </w:r>
          </w:p>
        </w:tc>
      </w:tr>
      <w:tr w:rsidR="009F20CF" w:rsidTr="00F7554A">
        <w:tc>
          <w:tcPr>
            <w:tcW w:w="1554" w:type="pct"/>
            <w:vAlign w:val="center"/>
          </w:tcPr>
          <w:p w:rsidR="009F20CF" w:rsidRPr="003A3459" w:rsidRDefault="009F20CF" w:rsidP="00F7554A">
            <w:pPr>
              <w:pStyle w:val="TableText"/>
              <w:keepNext/>
              <w:keepLines/>
            </w:pPr>
            <w:r>
              <w:t>Departmental</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2.0</w:t>
            </w:r>
          </w:p>
        </w:tc>
        <w:tc>
          <w:tcPr>
            <w:tcW w:w="689" w:type="pct"/>
            <w:vAlign w:val="center"/>
          </w:tcPr>
          <w:p w:rsidR="009F20CF" w:rsidRPr="002662C1" w:rsidRDefault="009F20CF" w:rsidP="00F7554A">
            <w:pPr>
              <w:pStyle w:val="TableTextRight"/>
              <w:rPr>
                <w:i/>
              </w:rPr>
            </w:pPr>
            <w:r w:rsidRPr="002662C1">
              <w:rPr>
                <w:i/>
              </w:rPr>
              <w:t>1.0</w:t>
            </w:r>
          </w:p>
        </w:tc>
        <w:tc>
          <w:tcPr>
            <w:tcW w:w="689" w:type="pct"/>
            <w:vAlign w:val="center"/>
          </w:tcPr>
          <w:p w:rsidR="009F20CF" w:rsidRPr="002662C1" w:rsidRDefault="009F20CF" w:rsidP="00F7554A">
            <w:pPr>
              <w:pStyle w:val="TableTextRight"/>
              <w:rPr>
                <w:i/>
              </w:rPr>
            </w:pPr>
            <w:r w:rsidRPr="002662C1">
              <w:rPr>
                <w:i/>
              </w:rPr>
              <w:t>1.0</w:t>
            </w:r>
          </w:p>
        </w:tc>
        <w:tc>
          <w:tcPr>
            <w:tcW w:w="690" w:type="pct"/>
            <w:vAlign w:val="center"/>
          </w:tcPr>
          <w:p w:rsidR="009F20CF" w:rsidRPr="002662C1" w:rsidRDefault="009F20CF" w:rsidP="00F7554A">
            <w:pPr>
              <w:pStyle w:val="TableTextRight"/>
              <w:rPr>
                <w:b/>
                <w:i/>
              </w:rPr>
            </w:pPr>
            <w:r w:rsidRPr="002662C1">
              <w:rPr>
                <w:b/>
                <w:i/>
              </w:rPr>
              <w:t>4.0</w:t>
            </w:r>
          </w:p>
        </w:tc>
      </w:tr>
      <w:tr w:rsidR="009F20CF" w:rsidRPr="007C2713" w:rsidTr="00F7554A">
        <w:tc>
          <w:tcPr>
            <w:tcW w:w="1554" w:type="pct"/>
            <w:shd w:val="clear" w:color="auto" w:fill="D7DDE9" w:themeFill="accent3"/>
            <w:vAlign w:val="center"/>
          </w:tcPr>
          <w:p w:rsidR="009F20CF" w:rsidRPr="00303D1E" w:rsidRDefault="009F20CF" w:rsidP="00F7554A">
            <w:pPr>
              <w:pStyle w:val="TableText"/>
              <w:keepNext/>
              <w:keepLines/>
              <w:rPr>
                <w:b/>
              </w:rPr>
            </w:pPr>
            <w:r w:rsidRPr="00303D1E">
              <w:rPr>
                <w:b/>
              </w:rPr>
              <w:t>Total</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-42.0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-85.0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-41.0</w:t>
            </w:r>
          </w:p>
        </w:tc>
        <w:tc>
          <w:tcPr>
            <w:tcW w:w="689" w:type="pct"/>
            <w:shd w:val="clear" w:color="auto" w:fill="D7DDE9" w:themeFill="accent3"/>
            <w:vAlign w:val="center"/>
          </w:tcPr>
          <w:p w:rsidR="009F20CF" w:rsidRPr="00303D1E" w:rsidRDefault="009F20CF" w:rsidP="00F7554A">
            <w:pPr>
              <w:pStyle w:val="TableTextRight"/>
              <w:rPr>
                <w:b/>
              </w:rPr>
            </w:pPr>
            <w:r w:rsidRPr="00303D1E">
              <w:rPr>
                <w:b/>
              </w:rPr>
              <w:t>-55.0</w:t>
            </w:r>
          </w:p>
        </w:tc>
        <w:tc>
          <w:tcPr>
            <w:tcW w:w="690" w:type="pct"/>
            <w:shd w:val="clear" w:color="auto" w:fill="D7DDE9" w:themeFill="accent3"/>
            <w:vAlign w:val="center"/>
          </w:tcPr>
          <w:p w:rsidR="009F20CF" w:rsidRPr="00303D1E" w:rsidRDefault="009F20CF" w:rsidP="00F7554A">
            <w:pPr>
              <w:pStyle w:val="TableTextRight"/>
              <w:rPr>
                <w:b/>
              </w:rPr>
            </w:pPr>
            <w:r w:rsidRPr="00303D1E">
              <w:rPr>
                <w:b/>
              </w:rPr>
              <w:t>-221.0</w:t>
            </w:r>
          </w:p>
        </w:tc>
      </w:tr>
    </w:tbl>
    <w:p w:rsidR="009F20CF" w:rsidRPr="002662C1" w:rsidRDefault="009F20CF" w:rsidP="0065754F">
      <w:pPr>
        <w:pStyle w:val="Footnotes"/>
        <w:numPr>
          <w:ilvl w:val="0"/>
          <w:numId w:val="169"/>
        </w:numPr>
        <w:ind w:left="284" w:hanging="284"/>
      </w:pPr>
      <w:r w:rsidRPr="002662C1">
        <w:t xml:space="preserve">A positive number indicates an increase in receipts or a decrease in </w:t>
      </w:r>
      <w:r w:rsidR="0080154C">
        <w:t>payments</w:t>
      </w:r>
      <w:r w:rsidRPr="002662C1">
        <w:t xml:space="preserve"> or net capital investment in cash terms.  A negative number indicates a decrease in receipts or an increase in </w:t>
      </w:r>
      <w:r w:rsidR="0080154C">
        <w:t>payments</w:t>
      </w:r>
      <w:r w:rsidRPr="002662C1">
        <w:t xml:space="preserve"> or net capital investment in cash terms.</w:t>
      </w:r>
    </w:p>
    <w:p w:rsidR="009F20CF" w:rsidRPr="005F544A" w:rsidRDefault="009F20CF" w:rsidP="0065754F">
      <w:pPr>
        <w:pStyle w:val="Footnotes"/>
        <w:spacing w:after="120"/>
        <w:ind w:left="284" w:hanging="284"/>
      </w:pPr>
      <w:r w:rsidRPr="005F544A">
        <w:t>Figures may not sum to totals due to rounding.</w:t>
      </w:r>
    </w:p>
    <w:p w:rsidR="009F20CF" w:rsidRPr="005F544A" w:rsidRDefault="009F20CF" w:rsidP="0065754F">
      <w:pPr>
        <w:pStyle w:val="Footnotes"/>
        <w:numPr>
          <w:ilvl w:val="0"/>
          <w:numId w:val="0"/>
        </w:numPr>
        <w:ind w:left="284" w:hanging="284"/>
      </w:pPr>
      <w:r w:rsidRPr="005F544A">
        <w:t>..</w:t>
      </w:r>
      <w:r w:rsidRPr="005F544A">
        <w:tab/>
        <w:t>Not zero but rounded to zero.</w:t>
      </w:r>
    </w:p>
    <w:p w:rsidR="009F20CF" w:rsidRPr="005F544A" w:rsidRDefault="009F20CF" w:rsidP="0065754F">
      <w:pPr>
        <w:pStyle w:val="Footnot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65754F">
          <w:footnotePr>
            <w:numRestart w:val="eachSect"/>
          </w:footnotePr>
          <w:pgSz w:w="11906" w:h="16838" w:code="9"/>
          <w:pgMar w:top="1361" w:right="1797" w:bottom="1474" w:left="1797" w:header="283" w:footer="454" w:gutter="0"/>
          <w:cols w:space="708"/>
          <w:docGrid w:linePitch="360"/>
        </w:sectPr>
      </w:pPr>
    </w:p>
    <w:p w:rsidR="00593999" w:rsidRDefault="00593999" w:rsidP="00593999">
      <w:pPr>
        <w:pStyle w:val="Heading5"/>
        <w:ind w:left="1080" w:hanging="1080"/>
      </w:pPr>
      <w:bookmarkStart w:id="115" w:name="_Toc455655039"/>
      <w:bookmarkStart w:id="116" w:name="_Toc458081707"/>
      <w:r>
        <w:t>ALP08</w:t>
      </w:r>
      <w:r w:rsidR="009221D1">
        <w:t>3</w:t>
      </w:r>
      <w:r>
        <w:t>: Not raising the Pension Qualifying Age to 70</w:t>
      </w:r>
      <w:bookmarkEnd w:id="115"/>
      <w:bookmarkEnd w:id="116"/>
    </w:p>
    <w:p w:rsidR="00593999" w:rsidRDefault="00593999" w:rsidP="00275C35">
      <w:pPr>
        <w:pStyle w:val="BodyText"/>
      </w:pPr>
      <w:r>
        <w:rPr>
          <w:noProof/>
          <w:lang w:eastAsia="en-AU"/>
        </w:rPr>
        <w:drawing>
          <wp:inline distT="0" distB="0" distL="0" distR="0" wp14:anchorId="0F70FB06" wp14:editId="7C5AC821">
            <wp:extent cx="2696845" cy="572135"/>
            <wp:effectExtent l="0" t="0" r="8255" b="0"/>
            <wp:docPr id="17" name="Picture 1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93999" w:rsidRDefault="00593999" w:rsidP="00593999">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93999" w:rsidRPr="00E6593E"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93999" w:rsidRPr="00E6593E" w:rsidRDefault="00593999" w:rsidP="00F7554A">
            <w:pPr>
              <w:pStyle w:val="PullOutBoxHeading"/>
              <w:rPr>
                <w:b/>
              </w:rPr>
            </w:pPr>
            <w:r w:rsidRPr="00E6593E">
              <w:rPr>
                <w:b/>
              </w:rPr>
              <w:t>Name of proposal:</w:t>
            </w:r>
          </w:p>
        </w:tc>
        <w:tc>
          <w:tcPr>
            <w:tcW w:w="3191" w:type="pct"/>
          </w:tcPr>
          <w:p w:rsidR="00593999" w:rsidRPr="00E6593E" w:rsidRDefault="00593999" w:rsidP="00F7554A">
            <w:pPr>
              <w:pStyle w:val="PullOutBoxHeading"/>
              <w:rPr>
                <w:b/>
              </w:rPr>
            </w:pPr>
            <w:r w:rsidRPr="00E6593E">
              <w:rPr>
                <w:b/>
              </w:rPr>
              <w:t>Not raising the Pension Qualifying Age to 70</w:t>
            </w:r>
          </w:p>
        </w:tc>
      </w:tr>
      <w:tr w:rsidR="00593999" w:rsidRPr="00B45F94" w:rsidTr="00F7554A">
        <w:tc>
          <w:tcPr>
            <w:tcW w:w="1809" w:type="pct"/>
          </w:tcPr>
          <w:p w:rsidR="00593999" w:rsidRPr="00B45F94" w:rsidRDefault="00593999" w:rsidP="00F7554A">
            <w:pPr>
              <w:pStyle w:val="PullOutBoxBodyText"/>
            </w:pPr>
            <w:r w:rsidRPr="00B45F94">
              <w:t>Summary of proposal:</w:t>
            </w:r>
          </w:p>
        </w:tc>
        <w:tc>
          <w:tcPr>
            <w:tcW w:w="3191" w:type="pct"/>
          </w:tcPr>
          <w:p w:rsidR="00593999" w:rsidRPr="00B45F94" w:rsidRDefault="00593999" w:rsidP="00F7554A">
            <w:pPr>
              <w:pStyle w:val="PullOutBoxBodyText"/>
            </w:pPr>
            <w:r w:rsidRPr="00897445">
              <w:t>The proposal would n</w:t>
            </w:r>
            <w:r>
              <w:t>ot proceed with raising the Age </w:t>
            </w:r>
            <w:r w:rsidRPr="00897445">
              <w:t>Pension qualifying age to 70 years of age.</w:t>
            </w:r>
          </w:p>
        </w:tc>
      </w:tr>
      <w:tr w:rsidR="00593999" w:rsidRPr="00B45F94" w:rsidTr="00F7554A">
        <w:tc>
          <w:tcPr>
            <w:tcW w:w="1809" w:type="pct"/>
          </w:tcPr>
          <w:p w:rsidR="00593999" w:rsidRPr="00B45F94" w:rsidRDefault="00593999" w:rsidP="00F7554A">
            <w:pPr>
              <w:pStyle w:val="PullOutBoxBodyText"/>
            </w:pPr>
            <w:r>
              <w:t>Party:</w:t>
            </w:r>
          </w:p>
        </w:tc>
        <w:tc>
          <w:tcPr>
            <w:tcW w:w="3191" w:type="pct"/>
          </w:tcPr>
          <w:p w:rsidR="00593999" w:rsidRPr="00B45F94" w:rsidRDefault="00593999" w:rsidP="00F7554A">
            <w:pPr>
              <w:pStyle w:val="PullOutBoxBodyText"/>
            </w:pPr>
            <w:r>
              <w:t>Australian Labor Party</w:t>
            </w:r>
          </w:p>
        </w:tc>
      </w:tr>
      <w:tr w:rsidR="00593999" w:rsidRPr="00B45F94" w:rsidTr="00F7554A">
        <w:tc>
          <w:tcPr>
            <w:tcW w:w="1809" w:type="pct"/>
          </w:tcPr>
          <w:p w:rsidR="00593999" w:rsidRPr="00B45F94" w:rsidRDefault="00593999" w:rsidP="00F7554A">
            <w:pPr>
              <w:pStyle w:val="PullOutBoxBodyText"/>
            </w:pPr>
            <w:r w:rsidRPr="00B45F94">
              <w:t>Expiry date for the costing:</w:t>
            </w:r>
          </w:p>
        </w:tc>
        <w:tc>
          <w:tcPr>
            <w:tcW w:w="3191" w:type="pct"/>
          </w:tcPr>
          <w:p w:rsidR="00593999" w:rsidRPr="00B45F94" w:rsidRDefault="00593999" w:rsidP="00F7554A">
            <w:pPr>
              <w:pStyle w:val="PullOutBoxBodyText"/>
            </w:pPr>
            <w:r>
              <w:t>Release of the next economic and fiscal update</w:t>
            </w:r>
          </w:p>
        </w:tc>
      </w:tr>
    </w:tbl>
    <w:p w:rsidR="00593999" w:rsidRDefault="00593999" w:rsidP="00593999">
      <w:pPr>
        <w:pStyle w:val="CostingsH7"/>
      </w:pPr>
      <w:r w:rsidRPr="00BF1EE6">
        <w:t>Costing overview</w:t>
      </w:r>
    </w:p>
    <w:p w:rsidR="00593999" w:rsidRDefault="00593999" w:rsidP="00593999">
      <w:pPr>
        <w:pStyle w:val="BodyText"/>
      </w:pPr>
      <w:r>
        <w:t>This proposal would not have financial implications over the 2016</w:t>
      </w:r>
      <w:r w:rsidR="00B83716">
        <w:t>-</w:t>
      </w:r>
      <w:r>
        <w:t>17 Budget forward estimates period.</w:t>
      </w:r>
    </w:p>
    <w:p w:rsidR="00593999" w:rsidRDefault="00593999" w:rsidP="00593999">
      <w:pPr>
        <w:pStyle w:val="BodyText"/>
      </w:pPr>
      <w:r>
        <w:t xml:space="preserve">The proposal would involve a net increase in expenses from 2025-26.  The net increased cost in 2025-26 is estimated to be $930.0 million and $1,200.0 million in 2026-27.  A detailed breakdown of the components of the costing to 2026-27 is at </w:t>
      </w:r>
      <w:r w:rsidRPr="00897445">
        <w:rPr>
          <w:u w:val="single"/>
        </w:rPr>
        <w:t>Attachment A</w:t>
      </w:r>
      <w:r>
        <w:t>.</w:t>
      </w:r>
    </w:p>
    <w:p w:rsidR="00593999" w:rsidRDefault="00593999" w:rsidP="00593999">
      <w:pPr>
        <w:pStyle w:val="BodyText"/>
      </w:pPr>
      <w:r>
        <w:t>From 2026</w:t>
      </w:r>
      <w:r w:rsidR="00B83716">
        <w:t>-</w:t>
      </w:r>
      <w:r>
        <w:t>27 the estimated financial impact is estimated to grow by between $50 million and $100 million per annum until 2035-36, after which time the cost would grow in line with growth in indexation and demographic factors.</w:t>
      </w:r>
    </w:p>
    <w:p w:rsidR="00593999" w:rsidRDefault="00593999" w:rsidP="00593999">
      <w:pPr>
        <w:pStyle w:val="BodyText"/>
      </w:pPr>
      <w:r>
        <w:t>This costing is considered to be of low to medium reliability.  Estimates are sensitive to changes in economic and demographic factors.</w:t>
      </w:r>
    </w:p>
    <w:p w:rsidR="00593999" w:rsidRPr="00897445" w:rsidRDefault="00593999" w:rsidP="00593999">
      <w:pPr>
        <w:pStyle w:val="BodyText"/>
      </w:pPr>
      <w:r>
        <w:t>Administered and departmental expenses have been rounded to the nearest $10 million.</w:t>
      </w:r>
    </w:p>
    <w:p w:rsidR="00593999" w:rsidRDefault="00593999" w:rsidP="00593999">
      <w:pPr>
        <w:pStyle w:val="CostingsH7"/>
      </w:pPr>
      <w:r>
        <w:t>Methodology</w:t>
      </w:r>
    </w:p>
    <w:p w:rsidR="00593999" w:rsidRDefault="00593999" w:rsidP="00593999">
      <w:pPr>
        <w:pStyle w:val="BodyText"/>
      </w:pPr>
      <w:r>
        <w:t>This proposal would have a number of revenue and expense components that have been taken into consideration.  The following discusses the methodology for calculating each component.</w:t>
      </w:r>
    </w:p>
    <w:p w:rsidR="00593999" w:rsidRDefault="00593999" w:rsidP="00593999">
      <w:pPr>
        <w:pStyle w:val="CostingsH8"/>
      </w:pPr>
      <w:r>
        <w:t xml:space="preserve">Age Pension payments </w:t>
      </w:r>
    </w:p>
    <w:p w:rsidR="00593999" w:rsidRDefault="00593999" w:rsidP="00593999">
      <w:pPr>
        <w:pStyle w:val="BodyText"/>
      </w:pPr>
      <w:r>
        <w:t>Age Pension payments were calculated by multiplying the decreased number of Age Pension recipients by the projected average pension payment rate each year.</w:t>
      </w:r>
    </w:p>
    <w:p w:rsidR="00593999" w:rsidRDefault="00593999" w:rsidP="00593999">
      <w:pPr>
        <w:pStyle w:val="BodyText"/>
      </w:pPr>
      <w:r>
        <w:t>The number of Age Pension recipients affected was determined based on the different qualification age for the Age Pension when compared to existing policy using the Australian Bureau of Statistics projected populations.</w:t>
      </w:r>
    </w:p>
    <w:p w:rsidR="00593999" w:rsidRDefault="00593999" w:rsidP="00593999">
      <w:pPr>
        <w:pStyle w:val="BodyText"/>
      </w:pPr>
      <w:r>
        <w:t>The projected average Age Pension rates over the medium term were sourced from the Department of Social Services.</w:t>
      </w:r>
    </w:p>
    <w:p w:rsidR="00593999" w:rsidRDefault="00593999" w:rsidP="00593999">
      <w:pPr>
        <w:pStyle w:val="CostingsH8"/>
      </w:pPr>
      <w:r>
        <w:t>Newstart Allowance (NSA) and Disability Support Pension (DSP)</w:t>
      </w:r>
    </w:p>
    <w:p w:rsidR="00593999" w:rsidRDefault="00593999" w:rsidP="00593999">
      <w:pPr>
        <w:pStyle w:val="BodyText"/>
      </w:pPr>
      <w:r>
        <w:t>NSA and DSP implications were calculated by multiplying the estimated increase in the number of NSA or DSP recipients (driven by the change in Age Pension recipients) by the average payment rates for those payments.</w:t>
      </w:r>
    </w:p>
    <w:p w:rsidR="00593999" w:rsidRDefault="00593999" w:rsidP="00593999">
      <w:pPr>
        <w:pStyle w:val="BodyText"/>
      </w:pPr>
      <w:r>
        <w:t>The projected average payment rates over the medium term were sourced from the Department of the Treasury.</w:t>
      </w:r>
    </w:p>
    <w:p w:rsidR="00593999" w:rsidRDefault="00593999" w:rsidP="00593999">
      <w:pPr>
        <w:pStyle w:val="BodyText"/>
      </w:pPr>
      <w:r>
        <w:t>The costing includes NSA and DSP tax revenue impacts.</w:t>
      </w:r>
    </w:p>
    <w:p w:rsidR="00593999" w:rsidRDefault="00593999" w:rsidP="00593999">
      <w:pPr>
        <w:pStyle w:val="CostingsH8"/>
      </w:pPr>
      <w:r>
        <w:t>Commonwealth Seniors Health Card (CSHC)</w:t>
      </w:r>
    </w:p>
    <w:p w:rsidR="00593999" w:rsidRPr="00897445" w:rsidRDefault="00593999" w:rsidP="00593999">
      <w:pPr>
        <w:pStyle w:val="BodyText"/>
      </w:pPr>
      <w:r>
        <w:t>The CSHC impact was estimated based on the expected reduction in CSHC recipient numbers due to the qualifying age change.  The estimated change in recipients was then multiplied by the per person average cost of CSHC concessions under the Pharmaceutical Benefits Scheme (PBS) and the Medical Benefit Scheme Bulk Billing Incentives.</w:t>
      </w:r>
    </w:p>
    <w:p w:rsidR="00593999" w:rsidRDefault="00593999" w:rsidP="00593999">
      <w:pPr>
        <w:pStyle w:val="CostingsH7"/>
      </w:pPr>
      <w:r>
        <w:t>Data sources</w:t>
      </w:r>
    </w:p>
    <w:p w:rsidR="00593999" w:rsidRDefault="00593999" w:rsidP="00593999">
      <w:pPr>
        <w:pStyle w:val="BodyText"/>
      </w:pPr>
      <w:r>
        <w:t>Department of the Treasury provided 2016-17 Budget NSA and DSP medium term estimates.</w:t>
      </w:r>
    </w:p>
    <w:p w:rsidR="00593999" w:rsidRDefault="00593999" w:rsidP="00593999">
      <w:pPr>
        <w:pStyle w:val="BodyText"/>
      </w:pPr>
      <w:r>
        <w:t>Department of Social Services provided 2016-17 Age Pension medium term estimates.</w:t>
      </w:r>
    </w:p>
    <w:p w:rsidR="00593999" w:rsidRDefault="00593999" w:rsidP="00593999">
      <w:pPr>
        <w:pStyle w:val="BodyText"/>
      </w:pPr>
      <w:r>
        <w:t>Department of Finance provided 2016-17 Budget indexation parameters.</w:t>
      </w:r>
    </w:p>
    <w:p w:rsidR="00593999" w:rsidRDefault="00593999" w:rsidP="00593999">
      <w:pPr>
        <w:pStyle w:val="BodyText"/>
      </w:pPr>
      <w:r>
        <w:t xml:space="preserve">Australian Bureau of Statistics 2013, </w:t>
      </w:r>
      <w:r w:rsidRPr="000D02F9">
        <w:rPr>
          <w:i/>
        </w:rPr>
        <w:t>Population Projections, Australia, 2012 (base) to 2101, cat. no. 3222.0</w:t>
      </w:r>
      <w:r>
        <w:t>, Canberra.</w:t>
      </w:r>
    </w:p>
    <w:p w:rsidR="00593999" w:rsidRDefault="00593999" w:rsidP="00593999">
      <w:pPr>
        <w:pStyle w:val="BodyText"/>
      </w:pPr>
      <w:r>
        <w:t>Department of Health provided 2014-15 patient co-payments data.</w:t>
      </w:r>
    </w:p>
    <w:p w:rsidR="00593999" w:rsidRDefault="00593999" w:rsidP="00593999">
      <w:pPr>
        <w:pStyle w:val="BodyText"/>
      </w:pPr>
      <w:r>
        <w:t>Department of Health provided Rural and Regional Health Australia statistics.</w:t>
      </w:r>
    </w:p>
    <w:p w:rsidR="00593999" w:rsidRDefault="00593999" w:rsidP="00593999">
      <w:pPr>
        <w:pStyle w:val="BodyText"/>
      </w:pPr>
      <w:r>
        <w:t>Department of Human Services provided Medicare Benefits Schedule statistics.</w:t>
      </w:r>
    </w:p>
    <w:p w:rsidR="00420CF4" w:rsidRPr="00951305" w:rsidRDefault="00420CF4" w:rsidP="00420CF4">
      <w:pPr>
        <w:pStyle w:val="BodyText"/>
      </w:pPr>
    </w:p>
    <w:p w:rsidR="00FE44E3" w:rsidRDefault="00FE44E3" w:rsidP="00420CF4">
      <w:pPr>
        <w:pStyle w:val="BodyText"/>
        <w:sectPr w:rsidR="00FE44E3" w:rsidSect="00967BCD">
          <w:footnotePr>
            <w:numRestart w:val="eachSect"/>
          </w:footnotePr>
          <w:pgSz w:w="11906" w:h="16838" w:code="9"/>
          <w:pgMar w:top="1361" w:right="1797" w:bottom="1474" w:left="1797" w:header="283" w:footer="454" w:gutter="0"/>
          <w:cols w:space="708"/>
          <w:docGrid w:linePitch="360"/>
        </w:sectPr>
      </w:pPr>
    </w:p>
    <w:p w:rsidR="00FE44E3" w:rsidRDefault="00FE44E3" w:rsidP="000A3B1E">
      <w:pPr>
        <w:pStyle w:val="Heading6"/>
      </w:pPr>
      <w:r w:rsidRPr="00FC6579">
        <w:t>Attachment A:</w:t>
      </w:r>
      <w:r>
        <w:t xml:space="preserve"> </w:t>
      </w:r>
      <w:r w:rsidRPr="00F51EDD">
        <w:t>Not raising the Pension Qualifying Age to 70</w:t>
      </w:r>
      <w:r>
        <w:t>—financial implications</w:t>
      </w:r>
    </w:p>
    <w:p w:rsidR="00FE44E3" w:rsidRPr="00F51EDD" w:rsidRDefault="00FE44E3" w:rsidP="00FE44E3">
      <w:pPr>
        <w:pStyle w:val="Captionheading"/>
        <w:rPr>
          <w:vertAlign w:val="superscript"/>
        </w:rPr>
      </w:pPr>
      <w:r w:rsidRPr="00FC6579">
        <w:t xml:space="preserve">Table </w:t>
      </w:r>
      <w:r>
        <w:t>A1</w:t>
      </w:r>
      <w:r w:rsidRPr="00FC6579">
        <w:t xml:space="preserve">: </w:t>
      </w:r>
      <w:r w:rsidRPr="00F51EDD">
        <w:t>Not raising the Pension Qualifying Age to 70</w:t>
      </w:r>
      <w:r>
        <w:t>—Financial Implications (outturn prices)</w:t>
      </w:r>
      <w:r>
        <w:rPr>
          <w:vertAlign w:val="superscript"/>
        </w:rPr>
        <w:t>(a)(b)</w:t>
      </w:r>
    </w:p>
    <w:tbl>
      <w:tblPr>
        <w:tblW w:w="5000" w:type="pct"/>
        <w:jc w:val="center"/>
        <w:tblCellMar>
          <w:left w:w="0" w:type="dxa"/>
          <w:right w:w="0" w:type="dxa"/>
        </w:tblCellMar>
        <w:tblLook w:val="04A0" w:firstRow="1" w:lastRow="0" w:firstColumn="1" w:lastColumn="0" w:noHBand="0" w:noVBand="1"/>
      </w:tblPr>
      <w:tblGrid>
        <w:gridCol w:w="2165"/>
        <w:gridCol w:w="850"/>
        <w:gridCol w:w="853"/>
        <w:gridCol w:w="853"/>
        <w:gridCol w:w="853"/>
        <w:gridCol w:w="854"/>
        <w:gridCol w:w="854"/>
        <w:gridCol w:w="851"/>
        <w:gridCol w:w="854"/>
        <w:gridCol w:w="854"/>
        <w:gridCol w:w="854"/>
        <w:gridCol w:w="854"/>
        <w:gridCol w:w="854"/>
        <w:gridCol w:w="851"/>
      </w:tblGrid>
      <w:tr w:rsidR="00FE44E3" w:rsidTr="00725D7C">
        <w:trPr>
          <w:trHeight w:val="113"/>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rPr>
                <w:rFonts w:ascii="Calibri" w:hAnsi="Calibri"/>
                <w:color w:val="000000"/>
                <w:sz w:val="20"/>
                <w:szCs w:val="20"/>
              </w:rPr>
            </w:pPr>
            <w:r>
              <w:rPr>
                <w:rFonts w:ascii="Calibri" w:hAnsi="Calibri"/>
                <w:color w:val="000000"/>
                <w:sz w:val="20"/>
                <w:szCs w:val="20"/>
              </w:rPr>
              <w:t>($m)</w:t>
            </w:r>
          </w:p>
        </w:tc>
        <w:tc>
          <w:tcPr>
            <w:tcW w:w="321"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2016–17</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2017–18</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2018–19</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2019–20</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b/>
                <w:bCs/>
                <w:color w:val="000000"/>
                <w:sz w:val="20"/>
                <w:szCs w:val="20"/>
              </w:rPr>
            </w:pPr>
            <w:r w:rsidRPr="00F2288C">
              <w:rPr>
                <w:rFonts w:ascii="Calibri" w:hAnsi="Calibri"/>
                <w:b/>
                <w:bCs/>
                <w:color w:val="000000"/>
                <w:sz w:val="20"/>
                <w:szCs w:val="20"/>
              </w:rPr>
              <w:t>Total to 2019–20</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2020–21</w:t>
            </w:r>
          </w:p>
        </w:tc>
        <w:tc>
          <w:tcPr>
            <w:tcW w:w="321"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2021–22</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2022–23</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2023–24</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2024–25</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2025–26</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color w:val="000000"/>
                <w:sz w:val="20"/>
                <w:szCs w:val="20"/>
              </w:rPr>
            </w:pPr>
            <w:r w:rsidRPr="00F2288C">
              <w:rPr>
                <w:rFonts w:ascii="Calibri" w:hAnsi="Calibri"/>
                <w:color w:val="000000"/>
                <w:sz w:val="20"/>
                <w:szCs w:val="20"/>
              </w:rPr>
              <w:t>2026–27</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spacing w:before="70" w:after="70" w:line="240" w:lineRule="auto"/>
              <w:ind w:left="57" w:right="57"/>
              <w:jc w:val="right"/>
              <w:rPr>
                <w:rFonts w:ascii="Calibri" w:hAnsi="Calibri"/>
                <w:b/>
                <w:bCs/>
                <w:color w:val="000000"/>
                <w:sz w:val="20"/>
                <w:szCs w:val="20"/>
              </w:rPr>
            </w:pPr>
            <w:r w:rsidRPr="00F2288C">
              <w:rPr>
                <w:rFonts w:ascii="Calibri" w:hAnsi="Calibri"/>
                <w:b/>
                <w:bCs/>
                <w:color w:val="000000"/>
                <w:sz w:val="20"/>
                <w:szCs w:val="20"/>
              </w:rPr>
              <w:t>Total to 2026–27</w:t>
            </w:r>
          </w:p>
        </w:tc>
      </w:tr>
      <w:tr w:rsidR="00FE44E3" w:rsidTr="00FE44E3">
        <w:trPr>
          <w:trHeight w:val="113"/>
          <w:jc w:val="center"/>
        </w:trPr>
        <w:tc>
          <w:tcPr>
            <w:tcW w:w="5000" w:type="pct"/>
            <w:gridSpan w:val="14"/>
            <w:tcBorders>
              <w:top w:val="single" w:sz="4" w:space="0" w:color="788184"/>
              <w:left w:val="single" w:sz="4" w:space="0" w:color="788184"/>
              <w:bottom w:val="single" w:sz="4" w:space="0" w:color="788184"/>
              <w:right w:val="single" w:sz="4" w:space="0" w:color="788184"/>
            </w:tcBorders>
            <w:shd w:val="clear" w:color="000000" w:fill="E9ECF3"/>
            <w:vAlign w:val="center"/>
            <w:hideMark/>
          </w:tcPr>
          <w:p w:rsidR="00FE44E3" w:rsidRPr="00F2288C" w:rsidRDefault="00FE44E3" w:rsidP="00FE44E3">
            <w:pPr>
              <w:spacing w:before="70" w:after="70" w:line="240" w:lineRule="auto"/>
              <w:ind w:left="57" w:right="57"/>
              <w:rPr>
                <w:rFonts w:ascii="Calibri" w:hAnsi="Calibri"/>
                <w:b/>
                <w:bCs/>
                <w:color w:val="000000"/>
                <w:sz w:val="20"/>
                <w:szCs w:val="20"/>
              </w:rPr>
            </w:pPr>
            <w:r w:rsidRPr="00F2288C">
              <w:rPr>
                <w:rFonts w:ascii="Calibri" w:hAnsi="Calibri"/>
                <w:b/>
                <w:bCs/>
                <w:color w:val="000000"/>
                <w:sz w:val="20"/>
                <w:szCs w:val="20"/>
              </w:rPr>
              <w:t>Impact on fiscal and underlying cash balances</w:t>
            </w:r>
          </w:p>
        </w:tc>
      </w:tr>
      <w:tr w:rsidR="00FE44E3" w:rsidTr="00725D7C">
        <w:trPr>
          <w:trHeight w:val="113"/>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F2288C" w:rsidRDefault="00FE44E3" w:rsidP="00FE44E3">
            <w:pPr>
              <w:spacing w:before="70" w:after="70" w:line="240" w:lineRule="auto"/>
              <w:ind w:left="57" w:right="57"/>
              <w:rPr>
                <w:rFonts w:ascii="Calibri" w:hAnsi="Calibri"/>
                <w:color w:val="000000"/>
                <w:sz w:val="20"/>
                <w:szCs w:val="20"/>
              </w:rPr>
            </w:pPr>
            <w:r>
              <w:rPr>
                <w:rFonts w:ascii="Calibri" w:hAnsi="Calibri"/>
                <w:color w:val="000000"/>
                <w:sz w:val="20"/>
                <w:szCs w:val="20"/>
              </w:rPr>
              <w:t>Revenue</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b/>
                <w:bCs/>
                <w:i/>
                <w:iCs/>
                <w:color w:val="000000"/>
                <w:sz w:val="20"/>
                <w:szCs w:val="20"/>
              </w:rPr>
            </w:pPr>
            <w:r>
              <w:rPr>
                <w:rFonts w:ascii="Calibri" w:hAnsi="Calibri"/>
                <w:b/>
                <w:bCs/>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-190.0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-250.0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b/>
                <w:bCs/>
                <w:i/>
                <w:iCs/>
                <w:color w:val="000000"/>
                <w:sz w:val="20"/>
                <w:szCs w:val="20"/>
              </w:rPr>
            </w:pPr>
            <w:r>
              <w:rPr>
                <w:rFonts w:ascii="Calibri" w:hAnsi="Calibri"/>
                <w:b/>
                <w:bCs/>
                <w:i/>
                <w:iCs/>
                <w:color w:val="000000"/>
                <w:sz w:val="20"/>
                <w:szCs w:val="20"/>
              </w:rPr>
              <w:t>-440.0</w:t>
            </w:r>
          </w:p>
        </w:tc>
      </w:tr>
      <w:tr w:rsidR="00FE44E3" w:rsidTr="00FE44E3">
        <w:trPr>
          <w:cantSplit/>
          <w:trHeight w:val="113"/>
          <w:jc w:val="center"/>
        </w:trPr>
        <w:tc>
          <w:tcPr>
            <w:tcW w:w="5000" w:type="pct"/>
            <w:gridSpan w:val="14"/>
            <w:tcBorders>
              <w:top w:val="single" w:sz="4" w:space="0" w:color="788184"/>
              <w:left w:val="single" w:sz="4" w:space="0" w:color="788184"/>
              <w:bottom w:val="single" w:sz="4" w:space="0" w:color="788184"/>
              <w:right w:val="single" w:sz="4" w:space="0" w:color="788184"/>
            </w:tcBorders>
            <w:shd w:val="clear" w:color="000000" w:fill="E9ECF3"/>
            <w:vAlign w:val="center"/>
            <w:hideMark/>
          </w:tcPr>
          <w:p w:rsidR="00FE44E3" w:rsidRPr="00F51EDD" w:rsidRDefault="00FE44E3" w:rsidP="00FE44E3">
            <w:pPr>
              <w:spacing w:before="70" w:after="70" w:line="240" w:lineRule="auto"/>
              <w:ind w:left="57" w:right="57"/>
              <w:rPr>
                <w:rFonts w:ascii="Calibri" w:hAnsi="Calibri"/>
                <w:color w:val="000000"/>
                <w:sz w:val="20"/>
                <w:szCs w:val="20"/>
              </w:rPr>
            </w:pPr>
            <w:r>
              <w:rPr>
                <w:rFonts w:ascii="Calibri" w:hAnsi="Calibri"/>
                <w:color w:val="000000"/>
                <w:sz w:val="20"/>
                <w:szCs w:val="20"/>
              </w:rPr>
              <w:t>E</w:t>
            </w:r>
            <w:r w:rsidRPr="00F2288C">
              <w:rPr>
                <w:rFonts w:ascii="Calibri" w:hAnsi="Calibri"/>
                <w:color w:val="000000"/>
                <w:sz w:val="20"/>
                <w:szCs w:val="20"/>
              </w:rPr>
              <w:t>xpense</w:t>
            </w:r>
          </w:p>
        </w:tc>
      </w:tr>
      <w:tr w:rsidR="00FE44E3" w:rsidTr="00725D7C">
        <w:trPr>
          <w:trHeight w:val="113"/>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F2288C" w:rsidRDefault="00FE44E3" w:rsidP="00FE44E3">
            <w:pPr>
              <w:spacing w:before="70" w:after="70" w:line="240" w:lineRule="auto"/>
              <w:ind w:left="57" w:right="57"/>
              <w:rPr>
                <w:rFonts w:ascii="Calibri" w:hAnsi="Calibri"/>
                <w:color w:val="000000"/>
                <w:sz w:val="20"/>
                <w:szCs w:val="20"/>
              </w:rPr>
            </w:pPr>
            <w:r>
              <w:rPr>
                <w:rFonts w:ascii="Calibri" w:hAnsi="Calibri"/>
                <w:color w:val="000000"/>
                <w:sz w:val="20"/>
                <w:szCs w:val="20"/>
              </w:rPr>
              <w:t>Administered</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i/>
                <w:iCs/>
                <w:color w:val="000000"/>
                <w:sz w:val="20"/>
                <w:szCs w:val="20"/>
              </w:rPr>
            </w:pPr>
            <w:r w:rsidRPr="00787894">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-760.0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-980.0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
                <w:iCs/>
                <w:color w:val="000000"/>
                <w:sz w:val="20"/>
                <w:szCs w:val="20"/>
              </w:rPr>
            </w:pPr>
            <w:r w:rsidRPr="00787894">
              <w:rPr>
                <w:rFonts w:ascii="Calibri" w:hAnsi="Calibri"/>
                <w:b/>
                <w:i/>
                <w:iCs/>
                <w:color w:val="000000"/>
                <w:sz w:val="20"/>
                <w:szCs w:val="20"/>
              </w:rPr>
              <w:t>-1,7</w:t>
            </w:r>
            <w:r>
              <w:rPr>
                <w:rFonts w:ascii="Calibri" w:hAnsi="Calibri"/>
                <w:b/>
                <w:i/>
                <w:iCs/>
                <w:color w:val="000000"/>
                <w:sz w:val="20"/>
                <w:szCs w:val="20"/>
              </w:rPr>
              <w:t>4</w:t>
            </w:r>
            <w:r w:rsidRPr="00787894">
              <w:rPr>
                <w:rFonts w:ascii="Calibri" w:hAnsi="Calibri"/>
                <w:b/>
                <w:i/>
                <w:iCs/>
                <w:color w:val="000000"/>
                <w:sz w:val="20"/>
                <w:szCs w:val="20"/>
              </w:rPr>
              <w:t>0.0</w:t>
            </w:r>
          </w:p>
        </w:tc>
      </w:tr>
      <w:tr w:rsidR="00FE44E3" w:rsidTr="00725D7C">
        <w:trPr>
          <w:cantSplit/>
          <w:trHeight w:val="113"/>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F2288C" w:rsidRDefault="00FE44E3" w:rsidP="00FE44E3">
            <w:pPr>
              <w:spacing w:before="70" w:after="70" w:line="240" w:lineRule="auto"/>
              <w:ind w:left="57" w:right="57"/>
              <w:rPr>
                <w:rFonts w:ascii="Calibri" w:hAnsi="Calibri"/>
                <w:color w:val="000000"/>
                <w:sz w:val="20"/>
                <w:szCs w:val="20"/>
              </w:rPr>
            </w:pPr>
            <w:r>
              <w:rPr>
                <w:rFonts w:ascii="Calibri" w:hAnsi="Calibri"/>
                <w:color w:val="000000"/>
                <w:sz w:val="20"/>
                <w:szCs w:val="20"/>
              </w:rPr>
              <w:t>Departmental</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i/>
                <w:iCs/>
                <w:color w:val="000000"/>
                <w:sz w:val="20"/>
                <w:szCs w:val="20"/>
              </w:rPr>
            </w:pPr>
            <w:r w:rsidRPr="00787894">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20.0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Default="00FE44E3" w:rsidP="00FE44E3">
            <w:pPr>
              <w:spacing w:before="70" w:after="70" w:line="240" w:lineRule="auto"/>
              <w:ind w:left="57" w:right="57"/>
              <w:jc w:val="right"/>
              <w:rPr>
                <w:rFonts w:ascii="Calibri" w:hAnsi="Calibri"/>
                <w:i/>
                <w:iCs/>
                <w:color w:val="000000"/>
                <w:sz w:val="20"/>
                <w:szCs w:val="20"/>
              </w:rPr>
            </w:pPr>
            <w:r>
              <w:rPr>
                <w:rFonts w:ascii="Calibri" w:hAnsi="Calibri"/>
                <w:i/>
                <w:iCs/>
                <w:color w:val="000000"/>
                <w:sz w:val="20"/>
                <w:szCs w:val="20"/>
              </w:rPr>
              <w:t>30.0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
                <w:iCs/>
                <w:color w:val="000000"/>
                <w:sz w:val="20"/>
                <w:szCs w:val="20"/>
              </w:rPr>
            </w:pPr>
            <w:r w:rsidRPr="00787894">
              <w:rPr>
                <w:rFonts w:ascii="Calibri" w:hAnsi="Calibri"/>
                <w:b/>
                <w:i/>
                <w:iCs/>
                <w:color w:val="000000"/>
                <w:sz w:val="20"/>
                <w:szCs w:val="20"/>
              </w:rPr>
              <w:t>50.0</w:t>
            </w:r>
          </w:p>
        </w:tc>
      </w:tr>
      <w:tr w:rsidR="00FE44E3" w:rsidRPr="00F51EDD" w:rsidTr="00725D7C">
        <w:trPr>
          <w:trHeight w:val="113"/>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F51EDD" w:rsidRDefault="00FE44E3" w:rsidP="00FE44E3">
            <w:pPr>
              <w:keepNext/>
              <w:keepLines/>
              <w:spacing w:before="70" w:after="70" w:line="240" w:lineRule="auto"/>
              <w:ind w:left="57" w:right="57"/>
              <w:rPr>
                <w:rFonts w:ascii="Calibri" w:hAnsi="Calibri"/>
                <w:b/>
                <w:color w:val="000000"/>
                <w:sz w:val="20"/>
                <w:szCs w:val="20"/>
              </w:rPr>
            </w:pPr>
            <w:r>
              <w:rPr>
                <w:rFonts w:ascii="Calibri" w:hAnsi="Calibri"/>
                <w:b/>
                <w:color w:val="000000"/>
                <w:sz w:val="20"/>
                <w:szCs w:val="20"/>
              </w:rPr>
              <w:t>E</w:t>
            </w:r>
            <w:r w:rsidRPr="00F51EDD">
              <w:rPr>
                <w:rFonts w:ascii="Calibri" w:hAnsi="Calibri"/>
                <w:b/>
                <w:color w:val="000000"/>
                <w:sz w:val="20"/>
                <w:szCs w:val="20"/>
              </w:rPr>
              <w:t xml:space="preserve">xpense - </w:t>
            </w:r>
            <w:r>
              <w:rPr>
                <w:rFonts w:ascii="Calibri" w:hAnsi="Calibri"/>
                <w:b/>
                <w:color w:val="000000"/>
                <w:sz w:val="20"/>
                <w:szCs w:val="20"/>
              </w:rPr>
              <w:t>t</w:t>
            </w:r>
            <w:r w:rsidRPr="00F51EDD">
              <w:rPr>
                <w:rFonts w:ascii="Calibri" w:hAnsi="Calibri"/>
                <w:b/>
                <w:color w:val="000000"/>
                <w:sz w:val="20"/>
                <w:szCs w:val="20"/>
              </w:rPr>
              <w:t>otal</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1"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-7</w:t>
            </w:r>
            <w:r>
              <w:rPr>
                <w:rFonts w:ascii="Calibri" w:hAnsi="Calibri"/>
                <w:b/>
                <w:iCs/>
                <w:color w:val="000000"/>
                <w:sz w:val="20"/>
                <w:szCs w:val="20"/>
              </w:rPr>
              <w:t>4</w:t>
            </w:r>
            <w:r w:rsidRPr="00787894">
              <w:rPr>
                <w:rFonts w:ascii="Calibri" w:hAnsi="Calibri"/>
                <w:b/>
                <w:iCs/>
                <w:color w:val="000000"/>
                <w:sz w:val="20"/>
                <w:szCs w:val="20"/>
              </w:rPr>
              <w:t>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-950.0</w:t>
            </w:r>
          </w:p>
        </w:tc>
        <w:tc>
          <w:tcPr>
            <w:tcW w:w="322" w:type="pct"/>
            <w:tcBorders>
              <w:top w:val="single" w:sz="4" w:space="0" w:color="788184"/>
              <w:left w:val="single" w:sz="4" w:space="0" w:color="788184"/>
              <w:bottom w:val="single" w:sz="4" w:space="0" w:color="788184"/>
              <w:right w:val="single" w:sz="4" w:space="0" w:color="788184"/>
            </w:tcBorders>
            <w:shd w:val="clear" w:color="000000" w:fill="FFFFFF"/>
            <w:vAlign w:val="center"/>
            <w:hideMark/>
          </w:tcPr>
          <w:p w:rsidR="00FE44E3" w:rsidRPr="00787894" w:rsidRDefault="00FE44E3" w:rsidP="00FE44E3">
            <w:pPr>
              <w:spacing w:before="70" w:after="70" w:line="240" w:lineRule="auto"/>
              <w:ind w:left="57" w:right="57"/>
              <w:jc w:val="right"/>
              <w:rPr>
                <w:rFonts w:ascii="Calibri" w:hAnsi="Calibri"/>
                <w:b/>
                <w:iCs/>
                <w:color w:val="000000"/>
                <w:sz w:val="20"/>
                <w:szCs w:val="20"/>
              </w:rPr>
            </w:pPr>
            <w:r w:rsidRPr="00787894">
              <w:rPr>
                <w:rFonts w:ascii="Calibri" w:hAnsi="Calibri"/>
                <w:b/>
                <w:iCs/>
                <w:color w:val="000000"/>
                <w:sz w:val="20"/>
                <w:szCs w:val="20"/>
              </w:rPr>
              <w:t>-1,700.0</w:t>
            </w:r>
          </w:p>
        </w:tc>
      </w:tr>
      <w:tr w:rsidR="00FE44E3" w:rsidRPr="00F2288C" w:rsidTr="00725D7C">
        <w:trPr>
          <w:trHeight w:val="342"/>
          <w:jc w:val="center"/>
        </w:trPr>
        <w:tc>
          <w:tcPr>
            <w:tcW w:w="817"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Pr="00F2288C" w:rsidRDefault="00FE44E3" w:rsidP="00FE44E3">
            <w:pPr>
              <w:keepNext/>
              <w:keepLines/>
              <w:spacing w:before="70" w:after="70" w:line="240" w:lineRule="auto"/>
              <w:ind w:left="57" w:right="57"/>
              <w:rPr>
                <w:rFonts w:ascii="Calibri" w:hAnsi="Calibri"/>
                <w:b/>
                <w:bCs/>
                <w:color w:val="000000"/>
                <w:sz w:val="20"/>
                <w:szCs w:val="20"/>
              </w:rPr>
            </w:pPr>
            <w:r w:rsidRPr="00F2288C">
              <w:rPr>
                <w:rFonts w:ascii="Calibri" w:hAnsi="Calibri"/>
                <w:b/>
                <w:bCs/>
                <w:color w:val="000000"/>
                <w:sz w:val="20"/>
                <w:szCs w:val="20"/>
              </w:rPr>
              <w:t>Total</w:t>
            </w:r>
          </w:p>
        </w:tc>
        <w:tc>
          <w:tcPr>
            <w:tcW w:w="321"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1"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-930.0</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-1,200.0</w:t>
            </w:r>
          </w:p>
        </w:tc>
        <w:tc>
          <w:tcPr>
            <w:tcW w:w="322" w:type="pct"/>
            <w:tcBorders>
              <w:top w:val="single" w:sz="4" w:space="0" w:color="788184"/>
              <w:left w:val="single" w:sz="4" w:space="0" w:color="788184"/>
              <w:bottom w:val="single" w:sz="4" w:space="0" w:color="788184"/>
              <w:right w:val="single" w:sz="4" w:space="0" w:color="788184"/>
            </w:tcBorders>
            <w:shd w:val="clear" w:color="000000" w:fill="D7DDE9"/>
            <w:vAlign w:val="center"/>
            <w:hideMark/>
          </w:tcPr>
          <w:p w:rsidR="00FE44E3" w:rsidRDefault="00FE44E3" w:rsidP="00FE44E3">
            <w:pPr>
              <w:spacing w:before="70" w:after="70" w:line="240" w:lineRule="auto"/>
              <w:ind w:left="57" w:right="57"/>
              <w:jc w:val="right"/>
              <w:rPr>
                <w:rFonts w:ascii="Calibri" w:hAnsi="Calibri"/>
                <w:b/>
                <w:bCs/>
                <w:color w:val="000000"/>
                <w:sz w:val="20"/>
                <w:szCs w:val="20"/>
              </w:rPr>
            </w:pPr>
            <w:r>
              <w:rPr>
                <w:rFonts w:ascii="Calibri" w:hAnsi="Calibri"/>
                <w:b/>
                <w:bCs/>
                <w:color w:val="000000"/>
                <w:sz w:val="20"/>
                <w:szCs w:val="20"/>
              </w:rPr>
              <w:t>-2,130.0</w:t>
            </w:r>
          </w:p>
        </w:tc>
      </w:tr>
    </w:tbl>
    <w:p w:rsidR="00FE44E3" w:rsidRDefault="00FE44E3" w:rsidP="00D71885">
      <w:pPr>
        <w:pStyle w:val="Footnotes"/>
        <w:numPr>
          <w:ilvl w:val="0"/>
          <w:numId w:val="222"/>
        </w:numPr>
        <w:spacing w:before="113"/>
        <w:ind w:left="284" w:hanging="284"/>
      </w:pPr>
      <w:r>
        <w:t>A positive number indicates an increase in revenue or a decrease in expenses or net capital investment in accrual and cash terms.  A negative number indicates a decrease in revenue or an increase in expenses or net capital investment in accrual and cash terms.</w:t>
      </w:r>
    </w:p>
    <w:p w:rsidR="00FE44E3" w:rsidRDefault="00FE44E3" w:rsidP="00D71885">
      <w:pPr>
        <w:pStyle w:val="Footnotes"/>
        <w:spacing w:before="113"/>
        <w:ind w:left="284" w:hanging="284"/>
      </w:pPr>
      <w:r>
        <w:t>Figures may not sum to totals due to rounding.</w:t>
      </w:r>
    </w:p>
    <w:p w:rsidR="00FE44E3" w:rsidRPr="00CA5D42" w:rsidRDefault="00FE44E3" w:rsidP="00D71885">
      <w:pPr>
        <w:pStyle w:val="Footnotes"/>
        <w:numPr>
          <w:ilvl w:val="0"/>
          <w:numId w:val="0"/>
        </w:numPr>
        <w:ind w:left="284" w:hanging="284"/>
      </w:pPr>
      <w:r w:rsidRPr="001E60C8">
        <w:t>-</w:t>
      </w:r>
      <w:r>
        <w:tab/>
        <w:t>Indicates nil.</w:t>
      </w:r>
    </w:p>
    <w:p w:rsidR="00FE44E3" w:rsidRDefault="00FE44E3" w:rsidP="00420CF4">
      <w:pPr>
        <w:pStyle w:val="BodyText"/>
      </w:pPr>
    </w:p>
    <w:p w:rsidR="00420CF4" w:rsidRDefault="00420CF4" w:rsidP="00420CF4">
      <w:pPr>
        <w:pStyle w:val="BodyText"/>
        <w:sectPr w:rsidR="00420CF4" w:rsidSect="00D71885">
          <w:headerReference w:type="even" r:id="rId197"/>
          <w:headerReference w:type="default" r:id="rId198"/>
          <w:footerReference w:type="even" r:id="rId199"/>
          <w:footerReference w:type="default" r:id="rId200"/>
          <w:footnotePr>
            <w:numRestart w:val="eachSect"/>
          </w:footnotePr>
          <w:pgSz w:w="16838" w:h="11906" w:orient="landscape" w:code="9"/>
          <w:pgMar w:top="1361" w:right="1797" w:bottom="1474" w:left="1797" w:header="283" w:footer="454" w:gutter="0"/>
          <w:cols w:space="708"/>
          <w:docGrid w:linePitch="360"/>
        </w:sectPr>
      </w:pPr>
    </w:p>
    <w:p w:rsidR="00593999" w:rsidRDefault="00593999" w:rsidP="00593999">
      <w:pPr>
        <w:pStyle w:val="Heading5"/>
        <w:ind w:left="1080" w:hanging="1080"/>
      </w:pPr>
      <w:bookmarkStart w:id="117" w:name="_Toc458081708"/>
      <w:bookmarkStart w:id="118" w:name="_Toc455655041"/>
      <w:r>
        <w:t>ALP08</w:t>
      </w:r>
      <w:r w:rsidR="009221D1">
        <w:t>4</w:t>
      </w:r>
      <w:r>
        <w:t>: Better Support for Australians with Diabetes</w:t>
      </w:r>
      <w:bookmarkEnd w:id="117"/>
    </w:p>
    <w:p w:rsidR="00275C35" w:rsidRPr="00275C35" w:rsidRDefault="00275C35" w:rsidP="00275C35">
      <w:pPr>
        <w:pStyle w:val="BodyText"/>
      </w:pPr>
      <w:r>
        <w:rPr>
          <w:noProof/>
          <w:lang w:eastAsia="en-AU"/>
        </w:rPr>
        <w:drawing>
          <wp:inline distT="0" distB="0" distL="0" distR="0" wp14:anchorId="41BC879C" wp14:editId="78AB3B9E">
            <wp:extent cx="2696845" cy="572135"/>
            <wp:effectExtent l="0" t="0" r="8255" b="0"/>
            <wp:docPr id="473" name="Picture 47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93999" w:rsidRDefault="00593999" w:rsidP="00593999">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593999" w:rsidRPr="00E6593E"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93999" w:rsidRPr="00E6593E" w:rsidRDefault="00593999" w:rsidP="00E6593E">
            <w:pPr>
              <w:pStyle w:val="PullOutBoxHeading"/>
              <w:rPr>
                <w:b/>
              </w:rPr>
            </w:pPr>
            <w:r w:rsidRPr="00E6593E">
              <w:rPr>
                <w:b/>
              </w:rPr>
              <w:t>Name of proposal:</w:t>
            </w:r>
          </w:p>
        </w:tc>
        <w:tc>
          <w:tcPr>
            <w:tcW w:w="3191" w:type="pct"/>
          </w:tcPr>
          <w:p w:rsidR="00593999" w:rsidRPr="00E6593E" w:rsidRDefault="00D43837" w:rsidP="00E6593E">
            <w:pPr>
              <w:pStyle w:val="PullOutBoxHeading"/>
              <w:rPr>
                <w:b/>
              </w:rPr>
            </w:pPr>
            <w:r w:rsidRPr="00E6593E">
              <w:rPr>
                <w:b/>
              </w:rPr>
              <w:t>Better Support for Australians with Diabetes</w:t>
            </w:r>
          </w:p>
        </w:tc>
      </w:tr>
      <w:tr w:rsidR="00593999" w:rsidRPr="00B45F94" w:rsidTr="00F7554A">
        <w:tc>
          <w:tcPr>
            <w:tcW w:w="1809" w:type="pct"/>
          </w:tcPr>
          <w:p w:rsidR="00593999" w:rsidRPr="00B45F94" w:rsidRDefault="00593999" w:rsidP="00E6593E">
            <w:pPr>
              <w:pStyle w:val="PullOutBoxBodyText"/>
            </w:pPr>
            <w:r w:rsidRPr="00B45F94">
              <w:t>Summary of proposal:</w:t>
            </w:r>
          </w:p>
        </w:tc>
        <w:tc>
          <w:tcPr>
            <w:tcW w:w="3191" w:type="pct"/>
          </w:tcPr>
          <w:p w:rsidR="00D43837" w:rsidRPr="00D43837" w:rsidRDefault="00D43837" w:rsidP="00E6593E">
            <w:pPr>
              <w:pStyle w:val="PullOutBoxBodyText"/>
            </w:pPr>
            <w:r w:rsidRPr="00D43837">
              <w:t>The proposal contains the following two components:</w:t>
            </w:r>
          </w:p>
          <w:p w:rsidR="00D43837" w:rsidRPr="00D43837" w:rsidRDefault="00D43837" w:rsidP="00E6593E">
            <w:pPr>
              <w:pStyle w:val="PullOutBoxBodyText"/>
              <w:rPr>
                <w:u w:val="single"/>
              </w:rPr>
            </w:pPr>
            <w:r w:rsidRPr="00D43837">
              <w:rPr>
                <w:u w:val="single"/>
              </w:rPr>
              <w:t>Component 1 - Con</w:t>
            </w:r>
            <w:r>
              <w:rPr>
                <w:u w:val="single"/>
              </w:rPr>
              <w:t>tinuous glucose monitors (CGM)</w:t>
            </w:r>
          </w:p>
          <w:p w:rsidR="00D43837" w:rsidRPr="00D43837" w:rsidRDefault="00D43837" w:rsidP="00E6593E">
            <w:pPr>
              <w:pStyle w:val="PullOutBoxBodyText"/>
            </w:pPr>
            <w:r w:rsidRPr="00D43837">
              <w:t>This component would provide funding over four years to fully subsidise the CGM technology for:</w:t>
            </w:r>
          </w:p>
          <w:p w:rsidR="00D43837" w:rsidRPr="00D43837" w:rsidRDefault="00D43837" w:rsidP="00D43837">
            <w:pPr>
              <w:pStyle w:val="PullOutBoxBullet"/>
            </w:pPr>
            <w:r w:rsidRPr="00D43837">
              <w:t>all children and young adults up to the age of 21</w:t>
            </w:r>
          </w:p>
          <w:p w:rsidR="00D43837" w:rsidRPr="00D43837" w:rsidRDefault="00D43837" w:rsidP="00D43837">
            <w:pPr>
              <w:pStyle w:val="PullOutBoxBullet"/>
            </w:pPr>
            <w:r w:rsidRPr="00D43837">
              <w:t>people aged 21 and over who have severe hypoglycaemia (low blood glucose) and who, for health or other reasons, have limited awareness of the warning s</w:t>
            </w:r>
            <w:r>
              <w:t>igns of impending hypoglycaemia</w:t>
            </w:r>
          </w:p>
          <w:p w:rsidR="00D43837" w:rsidRPr="00D43837" w:rsidRDefault="00D43837" w:rsidP="00D43837">
            <w:pPr>
              <w:pStyle w:val="PullOutBoxBullet"/>
            </w:pPr>
            <w:r w:rsidRPr="00D43837">
              <w:t>pregnant women.</w:t>
            </w:r>
          </w:p>
          <w:p w:rsidR="00D43837" w:rsidRPr="00E6593E" w:rsidRDefault="00D43837" w:rsidP="00E6593E">
            <w:pPr>
              <w:pStyle w:val="PullOutBoxBodyText"/>
              <w:rPr>
                <w:u w:val="single"/>
              </w:rPr>
            </w:pPr>
            <w:r w:rsidRPr="00E6593E">
              <w:rPr>
                <w:u w:val="single"/>
              </w:rPr>
              <w:t>Component 2 - Insulin pumps (IP)</w:t>
            </w:r>
          </w:p>
          <w:p w:rsidR="00D43837" w:rsidRPr="00D43837" w:rsidRDefault="00D43837" w:rsidP="00E6593E">
            <w:pPr>
              <w:pStyle w:val="PullOutBoxBodyText"/>
            </w:pPr>
            <w:r w:rsidRPr="00D43837">
              <w:t>This component would provide funding over four years to expand the IP program from the existing 68 insulin pumps a year to 200 insulin pumps distributed annually.</w:t>
            </w:r>
          </w:p>
          <w:p w:rsidR="00593999" w:rsidRPr="00B45F94" w:rsidRDefault="00D43837" w:rsidP="00E6593E">
            <w:pPr>
              <w:pStyle w:val="PullOutBoxBodyText"/>
            </w:pPr>
            <w:r w:rsidRPr="00D43837">
              <w:t>The proposal would have effect from 1 January 2017.</w:t>
            </w:r>
          </w:p>
        </w:tc>
      </w:tr>
      <w:tr w:rsidR="00593999" w:rsidRPr="00B45F94" w:rsidTr="00F7554A">
        <w:tc>
          <w:tcPr>
            <w:tcW w:w="1809" w:type="pct"/>
          </w:tcPr>
          <w:p w:rsidR="00593999" w:rsidRPr="00B45F94" w:rsidRDefault="00593999" w:rsidP="00E6593E">
            <w:pPr>
              <w:pStyle w:val="PullOutBoxBodyText"/>
            </w:pPr>
            <w:r>
              <w:t>Party:</w:t>
            </w:r>
          </w:p>
        </w:tc>
        <w:tc>
          <w:tcPr>
            <w:tcW w:w="3191" w:type="pct"/>
          </w:tcPr>
          <w:p w:rsidR="00593999" w:rsidRPr="00B45F94" w:rsidRDefault="00593999" w:rsidP="00E6593E">
            <w:pPr>
              <w:pStyle w:val="PullOutBoxBodyText"/>
            </w:pPr>
            <w:r>
              <w:t>Australian Labor Party</w:t>
            </w:r>
          </w:p>
        </w:tc>
      </w:tr>
      <w:tr w:rsidR="00593999" w:rsidRPr="00B45F94" w:rsidTr="00F7554A">
        <w:tc>
          <w:tcPr>
            <w:tcW w:w="1809" w:type="pct"/>
          </w:tcPr>
          <w:p w:rsidR="00593999" w:rsidRPr="00B45F94" w:rsidRDefault="00593999" w:rsidP="00E6593E">
            <w:pPr>
              <w:pStyle w:val="PullOutBoxBodyText"/>
            </w:pPr>
            <w:r w:rsidRPr="00B45F94">
              <w:t>Expiry date for the costing:</w:t>
            </w:r>
          </w:p>
        </w:tc>
        <w:tc>
          <w:tcPr>
            <w:tcW w:w="3191" w:type="pct"/>
          </w:tcPr>
          <w:p w:rsidR="00593999" w:rsidRPr="00B45F94" w:rsidRDefault="00593999" w:rsidP="00E6593E">
            <w:pPr>
              <w:pStyle w:val="PullOutBoxBodyText"/>
            </w:pPr>
            <w:r w:rsidRPr="00B45F94">
              <w:t xml:space="preserve">Release of the next economic and fiscal </w:t>
            </w:r>
            <w:r w:rsidR="00325E69">
              <w:t>update</w:t>
            </w:r>
          </w:p>
        </w:tc>
      </w:tr>
    </w:tbl>
    <w:p w:rsidR="00593999" w:rsidRDefault="00593999" w:rsidP="00593999">
      <w:pPr>
        <w:pStyle w:val="CostingsH7"/>
      </w:pPr>
      <w:r w:rsidRPr="00BF1EE6">
        <w:t>Costing overview</w:t>
      </w:r>
    </w:p>
    <w:p w:rsidR="00D43837" w:rsidRPr="00D43837" w:rsidRDefault="00D43837" w:rsidP="00D43837">
      <w:pPr>
        <w:pStyle w:val="BodyText"/>
      </w:pPr>
      <w:r w:rsidRPr="00D43837">
        <w:t xml:space="preserve">This proposal would be expected to decrease both the fiscal and underlying cash balances by $95.9 million over the 2016-17 Budget forward estimates period.  This impact is due to an increase in departmental expenses of $3.3 million and an increase in administered </w:t>
      </w:r>
      <w:r>
        <w:t>expenses of $92.6 million.</w:t>
      </w:r>
    </w:p>
    <w:p w:rsidR="00D43837" w:rsidRPr="00D43837" w:rsidRDefault="00D43837" w:rsidP="00D43837">
      <w:pPr>
        <w:pStyle w:val="BodyText"/>
      </w:pPr>
      <w:r w:rsidRPr="00D43837">
        <w:t xml:space="preserve">The proposal would have an ongoing impact beyond the 2016-17 Budget forward estimates period.  A breakdown of the financial implications for each component is provided at </w:t>
      </w:r>
      <w:r w:rsidRPr="00D43837">
        <w:rPr>
          <w:u w:val="single"/>
        </w:rPr>
        <w:t>Attachment A</w:t>
      </w:r>
      <w:r w:rsidRPr="00D43837">
        <w:t>.</w:t>
      </w:r>
    </w:p>
    <w:p w:rsidR="00D43837" w:rsidRDefault="00D43837" w:rsidP="00D43837">
      <w:pPr>
        <w:pStyle w:val="BodyText"/>
      </w:pPr>
      <w:r w:rsidRPr="00D43837">
        <w:t>The financial implications are considered to be of medium reliability due to the uncertainty of the size and uptake of the eligible population.</w:t>
      </w:r>
    </w:p>
    <w:p w:rsidR="00593999" w:rsidRDefault="00593999" w:rsidP="00080285">
      <w:pPr>
        <w:pStyle w:val="Caption"/>
        <w:keepLines/>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93999"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93999" w:rsidRPr="00D264E1" w:rsidRDefault="00593999" w:rsidP="00080285">
            <w:pPr>
              <w:pStyle w:val="TableHeading"/>
            </w:pPr>
            <w:r>
              <w:t>Impact on</w:t>
            </w:r>
            <w:r w:rsidR="008470E0">
              <w:t xml:space="preserve"> ($m)</w:t>
            </w:r>
          </w:p>
        </w:tc>
        <w:tc>
          <w:tcPr>
            <w:tcW w:w="721" w:type="pct"/>
          </w:tcPr>
          <w:p w:rsidR="00593999" w:rsidRPr="00FC1F1C" w:rsidRDefault="00593999" w:rsidP="00080285">
            <w:pPr>
              <w:pStyle w:val="TableHeadingRight"/>
            </w:pPr>
            <w:r>
              <w:t>2016–17</w:t>
            </w:r>
          </w:p>
        </w:tc>
        <w:tc>
          <w:tcPr>
            <w:tcW w:w="721" w:type="pct"/>
          </w:tcPr>
          <w:p w:rsidR="00593999" w:rsidRPr="00FC1F1C" w:rsidRDefault="00593999" w:rsidP="00080285">
            <w:pPr>
              <w:pStyle w:val="TableHeadingRight"/>
            </w:pPr>
            <w:r>
              <w:t>2017–18</w:t>
            </w:r>
          </w:p>
        </w:tc>
        <w:tc>
          <w:tcPr>
            <w:tcW w:w="722" w:type="pct"/>
          </w:tcPr>
          <w:p w:rsidR="00593999" w:rsidRPr="00FC1F1C" w:rsidRDefault="00593999" w:rsidP="00080285">
            <w:pPr>
              <w:pStyle w:val="TableHeadingRight"/>
            </w:pPr>
            <w:r>
              <w:t>2018–19</w:t>
            </w:r>
          </w:p>
        </w:tc>
        <w:tc>
          <w:tcPr>
            <w:tcW w:w="721" w:type="pct"/>
          </w:tcPr>
          <w:p w:rsidR="00593999" w:rsidRPr="00FC1F1C" w:rsidRDefault="00593999" w:rsidP="00080285">
            <w:pPr>
              <w:pStyle w:val="TableHeadingRight"/>
            </w:pPr>
            <w:r>
              <w:t>2019–20</w:t>
            </w:r>
          </w:p>
        </w:tc>
        <w:tc>
          <w:tcPr>
            <w:tcW w:w="722" w:type="pct"/>
          </w:tcPr>
          <w:p w:rsidR="00593999" w:rsidRDefault="00593999" w:rsidP="00080285">
            <w:pPr>
              <w:pStyle w:val="TableTextRight"/>
              <w:keepNext/>
              <w:keepLines/>
            </w:pPr>
            <w:r>
              <w:t>Total</w:t>
            </w:r>
          </w:p>
        </w:tc>
      </w:tr>
      <w:tr w:rsidR="008470E0" w:rsidTr="00BE71C3">
        <w:tc>
          <w:tcPr>
            <w:tcW w:w="1393" w:type="pct"/>
          </w:tcPr>
          <w:p w:rsidR="008470E0" w:rsidRDefault="008470E0" w:rsidP="00080285">
            <w:pPr>
              <w:pStyle w:val="TableText"/>
              <w:keepNext/>
              <w:keepLines/>
            </w:pPr>
            <w:r>
              <w:t>Fiscal balance</w:t>
            </w:r>
          </w:p>
        </w:tc>
        <w:tc>
          <w:tcPr>
            <w:tcW w:w="721" w:type="pct"/>
            <w:vAlign w:val="bottom"/>
          </w:tcPr>
          <w:p w:rsidR="008470E0" w:rsidRPr="00E938CF" w:rsidRDefault="008470E0" w:rsidP="00080285">
            <w:pPr>
              <w:pStyle w:val="TableText"/>
              <w:keepNext/>
              <w:keepLines/>
              <w:jc w:val="right"/>
            </w:pPr>
            <w:r w:rsidRPr="00E938CF">
              <w:t>-12.6</w:t>
            </w:r>
          </w:p>
        </w:tc>
        <w:tc>
          <w:tcPr>
            <w:tcW w:w="721" w:type="pct"/>
            <w:vAlign w:val="bottom"/>
          </w:tcPr>
          <w:p w:rsidR="008470E0" w:rsidRPr="00E938CF" w:rsidRDefault="008470E0" w:rsidP="00080285">
            <w:pPr>
              <w:pStyle w:val="TableText"/>
              <w:keepNext/>
              <w:keepLines/>
              <w:jc w:val="right"/>
            </w:pPr>
            <w:r w:rsidRPr="00E938CF">
              <w:t>-26.2</w:t>
            </w:r>
          </w:p>
        </w:tc>
        <w:tc>
          <w:tcPr>
            <w:tcW w:w="722" w:type="pct"/>
            <w:vAlign w:val="bottom"/>
          </w:tcPr>
          <w:p w:rsidR="008470E0" w:rsidRPr="00E938CF" w:rsidRDefault="008470E0" w:rsidP="00080285">
            <w:pPr>
              <w:pStyle w:val="TableText"/>
              <w:keepNext/>
              <w:keepLines/>
              <w:jc w:val="right"/>
            </w:pPr>
            <w:r w:rsidRPr="00E938CF">
              <w:t>-27.8</w:t>
            </w:r>
          </w:p>
        </w:tc>
        <w:tc>
          <w:tcPr>
            <w:tcW w:w="721" w:type="pct"/>
            <w:vAlign w:val="bottom"/>
          </w:tcPr>
          <w:p w:rsidR="008470E0" w:rsidRPr="00E938CF" w:rsidRDefault="008470E0" w:rsidP="00080285">
            <w:pPr>
              <w:pStyle w:val="TableText"/>
              <w:keepNext/>
              <w:keepLines/>
              <w:jc w:val="right"/>
            </w:pPr>
            <w:r w:rsidRPr="00E938CF">
              <w:t>-29.5</w:t>
            </w:r>
          </w:p>
        </w:tc>
        <w:tc>
          <w:tcPr>
            <w:tcW w:w="722" w:type="pct"/>
            <w:vAlign w:val="bottom"/>
          </w:tcPr>
          <w:p w:rsidR="008470E0" w:rsidRPr="00E938CF" w:rsidRDefault="008470E0" w:rsidP="00080285">
            <w:pPr>
              <w:pStyle w:val="TableText"/>
              <w:keepNext/>
              <w:keepLines/>
              <w:jc w:val="right"/>
              <w:rPr>
                <w:b/>
              </w:rPr>
            </w:pPr>
            <w:r w:rsidRPr="00E938CF">
              <w:rPr>
                <w:b/>
              </w:rPr>
              <w:t>-95.9</w:t>
            </w:r>
          </w:p>
        </w:tc>
      </w:tr>
      <w:tr w:rsidR="008470E0" w:rsidTr="00BE71C3">
        <w:tc>
          <w:tcPr>
            <w:tcW w:w="1393" w:type="pct"/>
          </w:tcPr>
          <w:p w:rsidR="008470E0" w:rsidRDefault="008470E0" w:rsidP="00080285">
            <w:pPr>
              <w:pStyle w:val="TableText"/>
              <w:keepNext/>
              <w:keepLines/>
            </w:pPr>
            <w:r>
              <w:t>Underlying cash balance</w:t>
            </w:r>
          </w:p>
        </w:tc>
        <w:tc>
          <w:tcPr>
            <w:tcW w:w="721" w:type="pct"/>
            <w:vAlign w:val="bottom"/>
          </w:tcPr>
          <w:p w:rsidR="008470E0" w:rsidRPr="00E938CF" w:rsidRDefault="008470E0" w:rsidP="00080285">
            <w:pPr>
              <w:pStyle w:val="TableText"/>
              <w:keepNext/>
              <w:keepLines/>
              <w:jc w:val="right"/>
            </w:pPr>
            <w:r w:rsidRPr="00E938CF">
              <w:t>-12.6</w:t>
            </w:r>
          </w:p>
        </w:tc>
        <w:tc>
          <w:tcPr>
            <w:tcW w:w="721" w:type="pct"/>
            <w:vAlign w:val="bottom"/>
          </w:tcPr>
          <w:p w:rsidR="008470E0" w:rsidRPr="00E938CF" w:rsidRDefault="008470E0" w:rsidP="00080285">
            <w:pPr>
              <w:pStyle w:val="TableText"/>
              <w:keepNext/>
              <w:keepLines/>
              <w:jc w:val="right"/>
            </w:pPr>
            <w:r w:rsidRPr="00E938CF">
              <w:t>-26.2</w:t>
            </w:r>
          </w:p>
        </w:tc>
        <w:tc>
          <w:tcPr>
            <w:tcW w:w="722" w:type="pct"/>
            <w:vAlign w:val="bottom"/>
          </w:tcPr>
          <w:p w:rsidR="008470E0" w:rsidRPr="00E938CF" w:rsidRDefault="008470E0" w:rsidP="00080285">
            <w:pPr>
              <w:pStyle w:val="TableText"/>
              <w:keepNext/>
              <w:keepLines/>
              <w:jc w:val="right"/>
            </w:pPr>
            <w:r w:rsidRPr="00E938CF">
              <w:t>-27.8</w:t>
            </w:r>
          </w:p>
        </w:tc>
        <w:tc>
          <w:tcPr>
            <w:tcW w:w="721" w:type="pct"/>
            <w:vAlign w:val="bottom"/>
          </w:tcPr>
          <w:p w:rsidR="008470E0" w:rsidRPr="00E938CF" w:rsidRDefault="008470E0" w:rsidP="00080285">
            <w:pPr>
              <w:pStyle w:val="TableText"/>
              <w:keepNext/>
              <w:keepLines/>
              <w:jc w:val="right"/>
            </w:pPr>
            <w:r w:rsidRPr="00E938CF">
              <w:t>-29.5</w:t>
            </w:r>
          </w:p>
        </w:tc>
        <w:tc>
          <w:tcPr>
            <w:tcW w:w="722" w:type="pct"/>
            <w:vAlign w:val="bottom"/>
          </w:tcPr>
          <w:p w:rsidR="008470E0" w:rsidRPr="00E938CF" w:rsidRDefault="008470E0" w:rsidP="00080285">
            <w:pPr>
              <w:pStyle w:val="TableText"/>
              <w:keepNext/>
              <w:keepLines/>
              <w:jc w:val="right"/>
              <w:rPr>
                <w:b/>
              </w:rPr>
            </w:pPr>
            <w:r w:rsidRPr="00E938CF">
              <w:rPr>
                <w:b/>
              </w:rPr>
              <w:t>-95.9</w:t>
            </w:r>
          </w:p>
        </w:tc>
      </w:tr>
    </w:tbl>
    <w:p w:rsidR="00593999" w:rsidRDefault="00593999" w:rsidP="00080285">
      <w:pPr>
        <w:pStyle w:val="Footnotes"/>
        <w:keepNext/>
        <w:keepLines/>
        <w:numPr>
          <w:ilvl w:val="0"/>
          <w:numId w:val="170"/>
        </w:numPr>
        <w:ind w:left="284" w:hanging="284"/>
      </w:pPr>
      <w:r>
        <w:t xml:space="preserve">A positive </w:t>
      </w:r>
      <w:r w:rsidRPr="00FC1F1C">
        <w:t>number indicates an increase in the relevant budget balance, a negative number a decrease.</w:t>
      </w:r>
    </w:p>
    <w:p w:rsidR="00593999" w:rsidRPr="000E063A" w:rsidRDefault="00593999" w:rsidP="00080285">
      <w:pPr>
        <w:pStyle w:val="Footnotes"/>
        <w:ind w:left="284" w:hanging="284"/>
        <w:rPr>
          <w:rStyle w:val="FootnoteReference"/>
          <w:vertAlign w:val="baseline"/>
        </w:rPr>
      </w:pPr>
      <w:r w:rsidRPr="000E063A">
        <w:t>Figures may not sum to totals due to rounding.</w:t>
      </w:r>
    </w:p>
    <w:p w:rsidR="00593999" w:rsidRDefault="00593999" w:rsidP="00593999">
      <w:pPr>
        <w:pStyle w:val="CostingsH7"/>
      </w:pPr>
      <w:r>
        <w:t>Key assumptions</w:t>
      </w:r>
    </w:p>
    <w:p w:rsidR="008470E0" w:rsidRPr="008470E0" w:rsidRDefault="008470E0" w:rsidP="008470E0">
      <w:pPr>
        <w:pStyle w:val="BodyText"/>
      </w:pPr>
      <w:r w:rsidRPr="008470E0">
        <w:t>It has been assumed that Component 1 would be partially offset by decreases in the use of blood glucose test strips.</w:t>
      </w:r>
    </w:p>
    <w:p w:rsidR="00593999" w:rsidRDefault="00593999" w:rsidP="00593999">
      <w:pPr>
        <w:pStyle w:val="CostingsH7"/>
      </w:pPr>
      <w:r>
        <w:t>Methodology</w:t>
      </w:r>
    </w:p>
    <w:p w:rsidR="008470E0" w:rsidRDefault="008470E0" w:rsidP="008470E0">
      <w:pPr>
        <w:pStyle w:val="BodyText"/>
      </w:pPr>
      <w:r>
        <w:t>For Component 1, the total CGM cost was derived by multiplying the eligible population receiving a subsidy by the unit cost of CGM.  Departmental estimates were calculated based on similar programs and estimates account for the net effect of indexation parameters and the efficiency dividend, in accordance with the Department of Finance’s costing practices.</w:t>
      </w:r>
    </w:p>
    <w:p w:rsidR="008470E0" w:rsidRPr="008470E0" w:rsidRDefault="008470E0" w:rsidP="008470E0">
      <w:pPr>
        <w:pStyle w:val="BodyText"/>
      </w:pPr>
      <w:r>
        <w:t>For Component 2, the unit cost per insulin pump was derived by dividing total funding for insulin pump subsidies by the number of insulin pumps for the existing program.  The total cost of this component was then calculated by applying the unit cost of an insulin pump to the specified increased number of insulin pumps.</w:t>
      </w:r>
    </w:p>
    <w:p w:rsidR="00593999" w:rsidRDefault="00593999" w:rsidP="00593999">
      <w:pPr>
        <w:pStyle w:val="CostingsH7"/>
      </w:pPr>
      <w:r>
        <w:t>Data sources</w:t>
      </w:r>
    </w:p>
    <w:p w:rsidR="008470E0" w:rsidRPr="008470E0" w:rsidRDefault="008470E0" w:rsidP="008470E0">
      <w:pPr>
        <w:pStyle w:val="BodyText"/>
      </w:pPr>
      <w:r w:rsidRPr="008470E0">
        <w:t>The Australian Institute of Health and Welfare (AIHW): Prevalence of Type 1 Diabetes in Australian Children, 2008.</w:t>
      </w:r>
    </w:p>
    <w:p w:rsidR="008470E0" w:rsidRPr="008470E0" w:rsidRDefault="008470E0" w:rsidP="008470E0">
      <w:pPr>
        <w:pStyle w:val="BodyText"/>
      </w:pPr>
      <w:r w:rsidRPr="008470E0">
        <w:t>The Department of Health provided the Insulin Pump Program costing model.</w:t>
      </w:r>
    </w:p>
    <w:p w:rsidR="008470E0" w:rsidRDefault="008470E0" w:rsidP="008470E0">
      <w:pPr>
        <w:pStyle w:val="BodyText"/>
      </w:pPr>
      <w:r w:rsidRPr="008470E0">
        <w:t>The Department of Finance provided indexation parameters.</w:t>
      </w:r>
    </w:p>
    <w:p w:rsidR="00080285" w:rsidRDefault="00080285" w:rsidP="008470E0">
      <w:pPr>
        <w:pStyle w:val="BodyText"/>
      </w:pPr>
    </w:p>
    <w:p w:rsidR="00080285" w:rsidRDefault="00080285" w:rsidP="008470E0">
      <w:pPr>
        <w:pStyle w:val="BodyText"/>
        <w:sectPr w:rsidR="00080285" w:rsidSect="00967BCD">
          <w:headerReference w:type="even" r:id="rId201"/>
          <w:headerReference w:type="default" r:id="rId202"/>
          <w:footerReference w:type="even" r:id="rId203"/>
          <w:footerReference w:type="default" r:id="rId204"/>
          <w:footnotePr>
            <w:numRestart w:val="eachSect"/>
          </w:footnotePr>
          <w:pgSz w:w="11906" w:h="16838" w:code="9"/>
          <w:pgMar w:top="1361" w:right="1797" w:bottom="1474" w:left="1797" w:header="283" w:footer="454" w:gutter="0"/>
          <w:cols w:space="708"/>
          <w:docGrid w:linePitch="360"/>
        </w:sectPr>
      </w:pPr>
    </w:p>
    <w:p w:rsidR="00593999" w:rsidRDefault="00593999" w:rsidP="008851BD">
      <w:pPr>
        <w:pStyle w:val="Heading6"/>
      </w:pPr>
      <w:r>
        <w:t xml:space="preserve">Attachment </w:t>
      </w:r>
      <w:r w:rsidR="008470E0" w:rsidRPr="008470E0">
        <w:t>A:  Better Support for Australians with Diabetes—financial implications</w:t>
      </w:r>
    </w:p>
    <w:p w:rsidR="00593999" w:rsidRPr="008470E0" w:rsidRDefault="00593999" w:rsidP="008851BD">
      <w:pPr>
        <w:pStyle w:val="Caption"/>
        <w:keepLines/>
        <w:rPr>
          <w:vertAlign w:val="superscript"/>
        </w:rPr>
      </w:pPr>
      <w:r w:rsidRPr="002B36F1">
        <w:t xml:space="preserve">Table </w:t>
      </w:r>
      <w:r>
        <w:t>A1</w:t>
      </w:r>
      <w:r w:rsidRPr="002B36F1">
        <w:t>:</w:t>
      </w:r>
      <w:r>
        <w:t xml:space="preserve"> </w:t>
      </w:r>
      <w:r w:rsidR="008470E0" w:rsidRPr="008470E0">
        <w:t>Better Support for Australians with Diabetes—Financial implications</w:t>
      </w:r>
      <w:r w:rsidR="008470E0" w:rsidRPr="008470E0">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93999"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93999" w:rsidRPr="008851BD" w:rsidRDefault="00593999" w:rsidP="008851BD">
            <w:pPr>
              <w:pStyle w:val="TableText"/>
              <w:keepNext/>
              <w:keepLines/>
              <w:rPr>
                <w:b w:val="0"/>
              </w:rPr>
            </w:pPr>
            <w:r w:rsidRPr="008851BD">
              <w:rPr>
                <w:b w:val="0"/>
              </w:rPr>
              <w:t>($</w:t>
            </w:r>
            <w:r w:rsidR="008470E0" w:rsidRPr="008851BD">
              <w:rPr>
                <w:b w:val="0"/>
              </w:rPr>
              <w:t>m</w:t>
            </w:r>
            <w:r w:rsidRPr="008851BD">
              <w:rPr>
                <w:b w:val="0"/>
              </w:rPr>
              <w:t>)</w:t>
            </w:r>
          </w:p>
        </w:tc>
        <w:tc>
          <w:tcPr>
            <w:tcW w:w="689" w:type="pct"/>
            <w:vAlign w:val="center"/>
          </w:tcPr>
          <w:p w:rsidR="00593999" w:rsidRPr="008851BD" w:rsidRDefault="00593999" w:rsidP="008851BD">
            <w:pPr>
              <w:pStyle w:val="TableTextRight"/>
              <w:keepNext/>
              <w:keepLines/>
              <w:rPr>
                <w:b w:val="0"/>
              </w:rPr>
            </w:pPr>
            <w:r w:rsidRPr="008851BD">
              <w:rPr>
                <w:b w:val="0"/>
              </w:rPr>
              <w:t>2016–17</w:t>
            </w:r>
          </w:p>
        </w:tc>
        <w:tc>
          <w:tcPr>
            <w:tcW w:w="689" w:type="pct"/>
            <w:vAlign w:val="center"/>
          </w:tcPr>
          <w:p w:rsidR="00593999" w:rsidRPr="008851BD" w:rsidRDefault="00593999" w:rsidP="008851BD">
            <w:pPr>
              <w:pStyle w:val="TableTextRight"/>
              <w:keepNext/>
              <w:keepLines/>
              <w:rPr>
                <w:b w:val="0"/>
              </w:rPr>
            </w:pPr>
            <w:r w:rsidRPr="008851BD">
              <w:rPr>
                <w:b w:val="0"/>
              </w:rPr>
              <w:t>2017–18</w:t>
            </w:r>
          </w:p>
        </w:tc>
        <w:tc>
          <w:tcPr>
            <w:tcW w:w="689" w:type="pct"/>
            <w:vAlign w:val="center"/>
          </w:tcPr>
          <w:p w:rsidR="00593999" w:rsidRPr="008851BD" w:rsidRDefault="00593999" w:rsidP="008851BD">
            <w:pPr>
              <w:pStyle w:val="TableTextRight"/>
              <w:keepNext/>
              <w:keepLines/>
              <w:rPr>
                <w:b w:val="0"/>
              </w:rPr>
            </w:pPr>
            <w:r w:rsidRPr="008851BD">
              <w:rPr>
                <w:b w:val="0"/>
              </w:rPr>
              <w:t>2018–19</w:t>
            </w:r>
          </w:p>
        </w:tc>
        <w:tc>
          <w:tcPr>
            <w:tcW w:w="689" w:type="pct"/>
            <w:vAlign w:val="center"/>
          </w:tcPr>
          <w:p w:rsidR="00593999" w:rsidRPr="008851BD" w:rsidRDefault="00593999" w:rsidP="008851BD">
            <w:pPr>
              <w:pStyle w:val="TableTextRight"/>
              <w:keepNext/>
              <w:keepLines/>
              <w:rPr>
                <w:b w:val="0"/>
              </w:rPr>
            </w:pPr>
            <w:r w:rsidRPr="008851BD">
              <w:rPr>
                <w:b w:val="0"/>
              </w:rPr>
              <w:t>2019–20</w:t>
            </w:r>
          </w:p>
        </w:tc>
        <w:tc>
          <w:tcPr>
            <w:tcW w:w="690" w:type="pct"/>
            <w:vAlign w:val="center"/>
          </w:tcPr>
          <w:p w:rsidR="00593999" w:rsidRDefault="00593999" w:rsidP="008851BD">
            <w:pPr>
              <w:pStyle w:val="TableTextRight"/>
              <w:keepNext/>
              <w:keepLines/>
            </w:pPr>
            <w:r>
              <w:t>Total to 2019–20</w:t>
            </w:r>
          </w:p>
        </w:tc>
      </w:tr>
      <w:tr w:rsidR="008470E0" w:rsidTr="008470E0">
        <w:tc>
          <w:tcPr>
            <w:tcW w:w="5000" w:type="pct"/>
            <w:gridSpan w:val="6"/>
            <w:shd w:val="clear" w:color="auto" w:fill="E9ECF3" w:themeFill="accent2" w:themeFillTint="33"/>
            <w:vAlign w:val="center"/>
          </w:tcPr>
          <w:p w:rsidR="008470E0" w:rsidRDefault="008470E0" w:rsidP="008851BD">
            <w:pPr>
              <w:pStyle w:val="TableTextRight"/>
              <w:keepNext/>
              <w:keepLines/>
              <w:jc w:val="left"/>
            </w:pPr>
            <w:r w:rsidRPr="00C363AE">
              <w:rPr>
                <w:b/>
              </w:rPr>
              <w:t>Fiscal and underlying cash balances</w:t>
            </w:r>
          </w:p>
        </w:tc>
      </w:tr>
      <w:tr w:rsidR="008470E0" w:rsidTr="008470E0">
        <w:tc>
          <w:tcPr>
            <w:tcW w:w="5000" w:type="pct"/>
            <w:gridSpan w:val="6"/>
            <w:vAlign w:val="center"/>
          </w:tcPr>
          <w:p w:rsidR="008470E0" w:rsidRDefault="008470E0" w:rsidP="008851BD">
            <w:pPr>
              <w:pStyle w:val="TableTextRight"/>
              <w:keepNext/>
              <w:keepLines/>
              <w:jc w:val="left"/>
            </w:pPr>
            <w:r w:rsidRPr="00C50C3D">
              <w:rPr>
                <w:b/>
                <w:szCs w:val="20"/>
              </w:rPr>
              <w:t xml:space="preserve">Continuous </w:t>
            </w:r>
            <w:r>
              <w:rPr>
                <w:b/>
                <w:szCs w:val="20"/>
              </w:rPr>
              <w:t>g</w:t>
            </w:r>
            <w:r w:rsidRPr="00C50C3D">
              <w:rPr>
                <w:b/>
                <w:szCs w:val="20"/>
              </w:rPr>
              <w:t xml:space="preserve">lucose </w:t>
            </w:r>
            <w:r>
              <w:rPr>
                <w:b/>
                <w:szCs w:val="20"/>
              </w:rPr>
              <w:t>m</w:t>
            </w:r>
            <w:r w:rsidRPr="00C50C3D">
              <w:rPr>
                <w:b/>
                <w:szCs w:val="20"/>
              </w:rPr>
              <w:t>onitors</w:t>
            </w:r>
          </w:p>
        </w:tc>
      </w:tr>
      <w:tr w:rsidR="008470E0" w:rsidRPr="008470E0" w:rsidTr="008851BD">
        <w:tc>
          <w:tcPr>
            <w:tcW w:w="1554" w:type="pct"/>
          </w:tcPr>
          <w:p w:rsidR="008470E0" w:rsidRPr="008470E0" w:rsidRDefault="008470E0" w:rsidP="008851BD">
            <w:pPr>
              <w:pStyle w:val="TableText"/>
              <w:keepNext/>
              <w:keepLines/>
              <w:rPr>
                <w:i/>
              </w:rPr>
            </w:pPr>
            <w:r w:rsidRPr="008470E0">
              <w:rPr>
                <w:i/>
              </w:rPr>
              <w:t>Administered</w:t>
            </w:r>
          </w:p>
        </w:tc>
        <w:tc>
          <w:tcPr>
            <w:tcW w:w="689" w:type="pct"/>
            <w:vAlign w:val="center"/>
          </w:tcPr>
          <w:p w:rsidR="008470E0" w:rsidRPr="008851BD" w:rsidRDefault="008470E0" w:rsidP="008851BD">
            <w:pPr>
              <w:pStyle w:val="TableTextRight"/>
              <w:rPr>
                <w:i/>
              </w:rPr>
            </w:pPr>
            <w:r w:rsidRPr="008851BD">
              <w:rPr>
                <w:i/>
              </w:rPr>
              <w:t>-11.6</w:t>
            </w:r>
          </w:p>
        </w:tc>
        <w:tc>
          <w:tcPr>
            <w:tcW w:w="689" w:type="pct"/>
            <w:vAlign w:val="center"/>
          </w:tcPr>
          <w:p w:rsidR="008470E0" w:rsidRPr="008851BD" w:rsidRDefault="008470E0" w:rsidP="008851BD">
            <w:pPr>
              <w:pStyle w:val="TableTextRight"/>
              <w:rPr>
                <w:i/>
              </w:rPr>
            </w:pPr>
            <w:r w:rsidRPr="008851BD">
              <w:rPr>
                <w:i/>
              </w:rPr>
              <w:t>-24.1</w:t>
            </w:r>
          </w:p>
        </w:tc>
        <w:tc>
          <w:tcPr>
            <w:tcW w:w="689" w:type="pct"/>
            <w:vAlign w:val="center"/>
          </w:tcPr>
          <w:p w:rsidR="008470E0" w:rsidRPr="008851BD" w:rsidRDefault="008470E0" w:rsidP="008851BD">
            <w:pPr>
              <w:pStyle w:val="TableTextRight"/>
              <w:rPr>
                <w:i/>
              </w:rPr>
            </w:pPr>
            <w:r w:rsidRPr="008851BD">
              <w:rPr>
                <w:i/>
              </w:rPr>
              <w:t>-25.8</w:t>
            </w:r>
          </w:p>
        </w:tc>
        <w:tc>
          <w:tcPr>
            <w:tcW w:w="689" w:type="pct"/>
            <w:vAlign w:val="center"/>
          </w:tcPr>
          <w:p w:rsidR="008470E0" w:rsidRPr="008851BD" w:rsidRDefault="008470E0" w:rsidP="008851BD">
            <w:pPr>
              <w:pStyle w:val="TableTextRight"/>
              <w:rPr>
                <w:i/>
              </w:rPr>
            </w:pPr>
            <w:r w:rsidRPr="008851BD">
              <w:rPr>
                <w:i/>
              </w:rPr>
              <w:t>-27.5</w:t>
            </w:r>
          </w:p>
        </w:tc>
        <w:tc>
          <w:tcPr>
            <w:tcW w:w="690" w:type="pct"/>
            <w:vAlign w:val="center"/>
          </w:tcPr>
          <w:p w:rsidR="008470E0" w:rsidRPr="008851BD" w:rsidRDefault="008470E0" w:rsidP="008851BD">
            <w:pPr>
              <w:pStyle w:val="TableTextRight"/>
              <w:rPr>
                <w:b/>
                <w:i/>
              </w:rPr>
            </w:pPr>
            <w:r w:rsidRPr="008851BD">
              <w:rPr>
                <w:b/>
                <w:i/>
              </w:rPr>
              <w:t>-89.0</w:t>
            </w:r>
          </w:p>
        </w:tc>
      </w:tr>
      <w:tr w:rsidR="008470E0" w:rsidRPr="008470E0" w:rsidTr="008851BD">
        <w:tc>
          <w:tcPr>
            <w:tcW w:w="1554" w:type="pct"/>
          </w:tcPr>
          <w:p w:rsidR="008470E0" w:rsidRPr="008470E0" w:rsidRDefault="008470E0" w:rsidP="008470E0">
            <w:pPr>
              <w:pStyle w:val="TableText"/>
              <w:rPr>
                <w:i/>
              </w:rPr>
            </w:pPr>
            <w:r w:rsidRPr="008470E0">
              <w:rPr>
                <w:i/>
              </w:rPr>
              <w:t>Departmental</w:t>
            </w:r>
          </w:p>
        </w:tc>
        <w:tc>
          <w:tcPr>
            <w:tcW w:w="689" w:type="pct"/>
            <w:vAlign w:val="center"/>
          </w:tcPr>
          <w:p w:rsidR="008470E0" w:rsidRPr="008851BD" w:rsidRDefault="008470E0" w:rsidP="008851BD">
            <w:pPr>
              <w:pStyle w:val="TableTextRight"/>
              <w:rPr>
                <w:i/>
              </w:rPr>
            </w:pPr>
            <w:r w:rsidRPr="008851BD">
              <w:rPr>
                <w:i/>
              </w:rPr>
              <w:t>-0.5</w:t>
            </w:r>
          </w:p>
        </w:tc>
        <w:tc>
          <w:tcPr>
            <w:tcW w:w="689" w:type="pct"/>
            <w:vAlign w:val="center"/>
          </w:tcPr>
          <w:p w:rsidR="008470E0" w:rsidRPr="008851BD" w:rsidRDefault="008470E0" w:rsidP="008851BD">
            <w:pPr>
              <w:pStyle w:val="TableTextRight"/>
              <w:rPr>
                <w:i/>
              </w:rPr>
            </w:pPr>
            <w:r w:rsidRPr="008851BD">
              <w:rPr>
                <w:i/>
              </w:rPr>
              <w:t>-1.0</w:t>
            </w:r>
          </w:p>
        </w:tc>
        <w:tc>
          <w:tcPr>
            <w:tcW w:w="689" w:type="pct"/>
            <w:vAlign w:val="center"/>
          </w:tcPr>
          <w:p w:rsidR="008470E0" w:rsidRPr="008851BD" w:rsidRDefault="008470E0" w:rsidP="008851BD">
            <w:pPr>
              <w:pStyle w:val="TableTextRight"/>
              <w:rPr>
                <w:i/>
              </w:rPr>
            </w:pPr>
            <w:r w:rsidRPr="008851BD">
              <w:rPr>
                <w:i/>
              </w:rPr>
              <w:t>-1.0</w:t>
            </w:r>
          </w:p>
        </w:tc>
        <w:tc>
          <w:tcPr>
            <w:tcW w:w="689" w:type="pct"/>
            <w:vAlign w:val="center"/>
          </w:tcPr>
          <w:p w:rsidR="008470E0" w:rsidRPr="008851BD" w:rsidRDefault="008470E0" w:rsidP="008851BD">
            <w:pPr>
              <w:pStyle w:val="TableTextRight"/>
              <w:rPr>
                <w:i/>
              </w:rPr>
            </w:pPr>
            <w:r w:rsidRPr="008851BD">
              <w:rPr>
                <w:i/>
              </w:rPr>
              <w:t>-1.0</w:t>
            </w:r>
          </w:p>
        </w:tc>
        <w:tc>
          <w:tcPr>
            <w:tcW w:w="690" w:type="pct"/>
            <w:vAlign w:val="center"/>
          </w:tcPr>
          <w:p w:rsidR="008470E0" w:rsidRPr="008851BD" w:rsidRDefault="008470E0" w:rsidP="008851BD">
            <w:pPr>
              <w:pStyle w:val="TableTextRight"/>
              <w:rPr>
                <w:b/>
                <w:i/>
              </w:rPr>
            </w:pPr>
            <w:r w:rsidRPr="008851BD">
              <w:rPr>
                <w:b/>
                <w:i/>
              </w:rPr>
              <w:t>-3.3</w:t>
            </w:r>
          </w:p>
        </w:tc>
      </w:tr>
      <w:tr w:rsidR="008470E0" w:rsidTr="008470E0">
        <w:tc>
          <w:tcPr>
            <w:tcW w:w="5000" w:type="pct"/>
            <w:gridSpan w:val="6"/>
            <w:vAlign w:val="center"/>
          </w:tcPr>
          <w:p w:rsidR="008470E0" w:rsidRDefault="008470E0" w:rsidP="008470E0">
            <w:pPr>
              <w:pStyle w:val="TableTextRight"/>
              <w:jc w:val="left"/>
            </w:pPr>
            <w:r w:rsidRPr="00C50C3D">
              <w:rPr>
                <w:b/>
                <w:szCs w:val="20"/>
              </w:rPr>
              <w:t xml:space="preserve">Insulin </w:t>
            </w:r>
            <w:r>
              <w:rPr>
                <w:b/>
                <w:szCs w:val="20"/>
              </w:rPr>
              <w:t>p</w:t>
            </w:r>
            <w:r w:rsidRPr="00C50C3D">
              <w:rPr>
                <w:b/>
                <w:szCs w:val="20"/>
              </w:rPr>
              <w:t>umps</w:t>
            </w:r>
          </w:p>
        </w:tc>
      </w:tr>
      <w:tr w:rsidR="008470E0" w:rsidRPr="008470E0" w:rsidTr="008851BD">
        <w:tc>
          <w:tcPr>
            <w:tcW w:w="1554" w:type="pct"/>
          </w:tcPr>
          <w:p w:rsidR="008470E0" w:rsidRPr="008470E0" w:rsidRDefault="008470E0" w:rsidP="008470E0">
            <w:pPr>
              <w:pStyle w:val="TableText"/>
              <w:rPr>
                <w:i/>
              </w:rPr>
            </w:pPr>
            <w:r w:rsidRPr="008470E0">
              <w:rPr>
                <w:i/>
              </w:rPr>
              <w:t>Administered</w:t>
            </w:r>
          </w:p>
        </w:tc>
        <w:tc>
          <w:tcPr>
            <w:tcW w:w="689" w:type="pct"/>
            <w:vAlign w:val="center"/>
          </w:tcPr>
          <w:p w:rsidR="008470E0" w:rsidRPr="008851BD" w:rsidRDefault="008470E0" w:rsidP="008851BD">
            <w:pPr>
              <w:pStyle w:val="TableTextRight"/>
              <w:rPr>
                <w:i/>
              </w:rPr>
            </w:pPr>
            <w:r w:rsidRPr="008851BD">
              <w:rPr>
                <w:i/>
              </w:rPr>
              <w:t>-0.5</w:t>
            </w:r>
          </w:p>
        </w:tc>
        <w:tc>
          <w:tcPr>
            <w:tcW w:w="689" w:type="pct"/>
            <w:vAlign w:val="center"/>
          </w:tcPr>
          <w:p w:rsidR="008470E0" w:rsidRPr="008851BD" w:rsidRDefault="008470E0" w:rsidP="008851BD">
            <w:pPr>
              <w:pStyle w:val="TableTextRight"/>
              <w:rPr>
                <w:i/>
              </w:rPr>
            </w:pPr>
            <w:r w:rsidRPr="008851BD">
              <w:rPr>
                <w:i/>
              </w:rPr>
              <w:t>-1.0</w:t>
            </w:r>
          </w:p>
        </w:tc>
        <w:tc>
          <w:tcPr>
            <w:tcW w:w="689" w:type="pct"/>
            <w:vAlign w:val="center"/>
          </w:tcPr>
          <w:p w:rsidR="008470E0" w:rsidRPr="008851BD" w:rsidRDefault="008470E0" w:rsidP="008851BD">
            <w:pPr>
              <w:pStyle w:val="TableTextRight"/>
              <w:rPr>
                <w:i/>
              </w:rPr>
            </w:pPr>
            <w:r w:rsidRPr="008851BD">
              <w:rPr>
                <w:i/>
              </w:rPr>
              <w:t>-1.0</w:t>
            </w:r>
          </w:p>
        </w:tc>
        <w:tc>
          <w:tcPr>
            <w:tcW w:w="689" w:type="pct"/>
            <w:vAlign w:val="center"/>
          </w:tcPr>
          <w:p w:rsidR="008470E0" w:rsidRPr="008851BD" w:rsidRDefault="008470E0" w:rsidP="008851BD">
            <w:pPr>
              <w:pStyle w:val="TableTextRight"/>
              <w:rPr>
                <w:i/>
              </w:rPr>
            </w:pPr>
            <w:r w:rsidRPr="008851BD">
              <w:rPr>
                <w:i/>
              </w:rPr>
              <w:t>-1.0</w:t>
            </w:r>
          </w:p>
        </w:tc>
        <w:tc>
          <w:tcPr>
            <w:tcW w:w="690" w:type="pct"/>
            <w:vAlign w:val="center"/>
          </w:tcPr>
          <w:p w:rsidR="008470E0" w:rsidRPr="008851BD" w:rsidRDefault="008470E0" w:rsidP="008851BD">
            <w:pPr>
              <w:pStyle w:val="TableTextRight"/>
              <w:rPr>
                <w:b/>
                <w:i/>
              </w:rPr>
            </w:pPr>
            <w:r w:rsidRPr="008851BD">
              <w:rPr>
                <w:b/>
                <w:i/>
              </w:rPr>
              <w:t>-3.6</w:t>
            </w:r>
          </w:p>
        </w:tc>
      </w:tr>
      <w:tr w:rsidR="008470E0" w:rsidRPr="008470E0" w:rsidTr="008851BD">
        <w:tc>
          <w:tcPr>
            <w:tcW w:w="1554" w:type="pct"/>
          </w:tcPr>
          <w:p w:rsidR="008470E0" w:rsidRPr="008470E0" w:rsidRDefault="008470E0" w:rsidP="008470E0">
            <w:pPr>
              <w:pStyle w:val="TableText"/>
              <w:rPr>
                <w:i/>
              </w:rPr>
            </w:pPr>
            <w:r w:rsidRPr="008470E0">
              <w:rPr>
                <w:i/>
              </w:rPr>
              <w:t>Departmental</w:t>
            </w:r>
          </w:p>
        </w:tc>
        <w:tc>
          <w:tcPr>
            <w:tcW w:w="689" w:type="pct"/>
            <w:vAlign w:val="center"/>
          </w:tcPr>
          <w:p w:rsidR="008470E0" w:rsidRPr="008851BD" w:rsidRDefault="008470E0" w:rsidP="008851BD">
            <w:pPr>
              <w:pStyle w:val="TableTextRight"/>
              <w:rPr>
                <w:i/>
              </w:rPr>
            </w:pPr>
            <w:r w:rsidRPr="008851BD">
              <w:rPr>
                <w:i/>
              </w:rPr>
              <w:t>-</w:t>
            </w:r>
          </w:p>
        </w:tc>
        <w:tc>
          <w:tcPr>
            <w:tcW w:w="689" w:type="pct"/>
            <w:vAlign w:val="center"/>
          </w:tcPr>
          <w:p w:rsidR="008470E0" w:rsidRPr="008851BD" w:rsidRDefault="008470E0" w:rsidP="008851BD">
            <w:pPr>
              <w:pStyle w:val="TableTextRight"/>
              <w:rPr>
                <w:i/>
              </w:rPr>
            </w:pPr>
            <w:r w:rsidRPr="008851BD">
              <w:rPr>
                <w:i/>
              </w:rPr>
              <w:t>-</w:t>
            </w:r>
          </w:p>
        </w:tc>
        <w:tc>
          <w:tcPr>
            <w:tcW w:w="689" w:type="pct"/>
            <w:vAlign w:val="center"/>
          </w:tcPr>
          <w:p w:rsidR="008470E0" w:rsidRPr="008851BD" w:rsidRDefault="008470E0" w:rsidP="008851BD">
            <w:pPr>
              <w:pStyle w:val="TableTextRight"/>
              <w:rPr>
                <w:i/>
              </w:rPr>
            </w:pPr>
            <w:r w:rsidRPr="008851BD">
              <w:rPr>
                <w:i/>
              </w:rPr>
              <w:t>-</w:t>
            </w:r>
          </w:p>
        </w:tc>
        <w:tc>
          <w:tcPr>
            <w:tcW w:w="689" w:type="pct"/>
            <w:vAlign w:val="center"/>
          </w:tcPr>
          <w:p w:rsidR="008470E0" w:rsidRPr="008851BD" w:rsidRDefault="008470E0" w:rsidP="008851BD">
            <w:pPr>
              <w:pStyle w:val="TableTextRight"/>
              <w:rPr>
                <w:i/>
              </w:rPr>
            </w:pPr>
            <w:r w:rsidRPr="008851BD">
              <w:rPr>
                <w:i/>
              </w:rPr>
              <w:t>-</w:t>
            </w:r>
          </w:p>
        </w:tc>
        <w:tc>
          <w:tcPr>
            <w:tcW w:w="690" w:type="pct"/>
            <w:vAlign w:val="center"/>
          </w:tcPr>
          <w:p w:rsidR="008470E0" w:rsidRPr="008851BD" w:rsidRDefault="008470E0" w:rsidP="008851BD">
            <w:pPr>
              <w:pStyle w:val="TableTextRight"/>
              <w:rPr>
                <w:b/>
                <w:i/>
              </w:rPr>
            </w:pPr>
            <w:r w:rsidRPr="008851BD">
              <w:rPr>
                <w:b/>
                <w:i/>
              </w:rPr>
              <w:t>-</w:t>
            </w:r>
          </w:p>
        </w:tc>
      </w:tr>
      <w:tr w:rsidR="008470E0" w:rsidRPr="007C2713" w:rsidTr="008851BD">
        <w:tc>
          <w:tcPr>
            <w:tcW w:w="1554" w:type="pct"/>
            <w:shd w:val="clear" w:color="auto" w:fill="D7DDE9" w:themeFill="accent3"/>
            <w:vAlign w:val="center"/>
          </w:tcPr>
          <w:p w:rsidR="008470E0" w:rsidRPr="007C2713" w:rsidRDefault="008470E0" w:rsidP="008470E0">
            <w:pPr>
              <w:pStyle w:val="TableText"/>
              <w:rPr>
                <w:b/>
              </w:rPr>
            </w:pPr>
            <w:r>
              <w:rPr>
                <w:b/>
              </w:rPr>
              <w:t>Total</w:t>
            </w:r>
          </w:p>
        </w:tc>
        <w:tc>
          <w:tcPr>
            <w:tcW w:w="689" w:type="pct"/>
            <w:shd w:val="clear" w:color="auto" w:fill="D7DDE9" w:themeFill="accent3"/>
            <w:vAlign w:val="center"/>
          </w:tcPr>
          <w:p w:rsidR="008470E0" w:rsidRPr="008470E0" w:rsidRDefault="008470E0" w:rsidP="008851BD">
            <w:pPr>
              <w:pStyle w:val="TableTextRight"/>
              <w:rPr>
                <w:b/>
              </w:rPr>
            </w:pPr>
            <w:r w:rsidRPr="008470E0">
              <w:rPr>
                <w:b/>
              </w:rPr>
              <w:t>-12.6</w:t>
            </w:r>
          </w:p>
        </w:tc>
        <w:tc>
          <w:tcPr>
            <w:tcW w:w="689" w:type="pct"/>
            <w:shd w:val="clear" w:color="auto" w:fill="D7DDE9" w:themeFill="accent3"/>
            <w:vAlign w:val="center"/>
          </w:tcPr>
          <w:p w:rsidR="008470E0" w:rsidRPr="008470E0" w:rsidRDefault="008470E0" w:rsidP="008851BD">
            <w:pPr>
              <w:pStyle w:val="TableTextRight"/>
              <w:rPr>
                <w:b/>
              </w:rPr>
            </w:pPr>
            <w:r w:rsidRPr="008470E0">
              <w:rPr>
                <w:b/>
              </w:rPr>
              <w:t>-26.2</w:t>
            </w:r>
          </w:p>
        </w:tc>
        <w:tc>
          <w:tcPr>
            <w:tcW w:w="689" w:type="pct"/>
            <w:shd w:val="clear" w:color="auto" w:fill="D7DDE9" w:themeFill="accent3"/>
            <w:vAlign w:val="center"/>
          </w:tcPr>
          <w:p w:rsidR="008470E0" w:rsidRPr="008470E0" w:rsidRDefault="008470E0" w:rsidP="008851BD">
            <w:pPr>
              <w:pStyle w:val="TableTextRight"/>
              <w:rPr>
                <w:b/>
              </w:rPr>
            </w:pPr>
            <w:r w:rsidRPr="008470E0">
              <w:rPr>
                <w:b/>
              </w:rPr>
              <w:t>-27.8</w:t>
            </w:r>
          </w:p>
        </w:tc>
        <w:tc>
          <w:tcPr>
            <w:tcW w:w="689" w:type="pct"/>
            <w:shd w:val="clear" w:color="auto" w:fill="D7DDE9" w:themeFill="accent3"/>
            <w:vAlign w:val="center"/>
          </w:tcPr>
          <w:p w:rsidR="008470E0" w:rsidRPr="008470E0" w:rsidRDefault="008470E0" w:rsidP="008851BD">
            <w:pPr>
              <w:pStyle w:val="TableTextRight"/>
              <w:rPr>
                <w:b/>
              </w:rPr>
            </w:pPr>
            <w:r w:rsidRPr="008470E0">
              <w:rPr>
                <w:b/>
              </w:rPr>
              <w:t>-29.5</w:t>
            </w:r>
          </w:p>
        </w:tc>
        <w:tc>
          <w:tcPr>
            <w:tcW w:w="690" w:type="pct"/>
            <w:shd w:val="clear" w:color="auto" w:fill="D7DDE9" w:themeFill="accent3"/>
            <w:vAlign w:val="center"/>
          </w:tcPr>
          <w:p w:rsidR="008470E0" w:rsidRPr="008470E0" w:rsidRDefault="008470E0" w:rsidP="008851BD">
            <w:pPr>
              <w:pStyle w:val="TableTextRight"/>
              <w:rPr>
                <w:b/>
              </w:rPr>
            </w:pPr>
            <w:r w:rsidRPr="008470E0">
              <w:rPr>
                <w:b/>
              </w:rPr>
              <w:t>-95.9</w:t>
            </w:r>
          </w:p>
        </w:tc>
      </w:tr>
    </w:tbl>
    <w:p w:rsidR="008470E0" w:rsidRPr="008470E0" w:rsidRDefault="008470E0" w:rsidP="002C43F8">
      <w:pPr>
        <w:pStyle w:val="Footnotes"/>
        <w:numPr>
          <w:ilvl w:val="0"/>
          <w:numId w:val="171"/>
        </w:numPr>
        <w:ind w:left="284" w:hanging="284"/>
      </w:pPr>
      <w:r w:rsidRPr="008470E0">
        <w:t xml:space="preserve">A positive number indicates an increase in revenue or decrease in expenses or net capital investment in accrual and cash terms. </w:t>
      </w:r>
      <w:r w:rsidR="00325E69">
        <w:t xml:space="preserve"> </w:t>
      </w:r>
      <w:r w:rsidRPr="008470E0">
        <w:t>A negative number indicates a decrease in revenue or an increase in expenses or net capital investment in accrual and cash terms.</w:t>
      </w:r>
    </w:p>
    <w:p w:rsidR="00593999" w:rsidRPr="005F544A" w:rsidRDefault="00593999" w:rsidP="008470E0">
      <w:pPr>
        <w:pStyle w:val="Footnotes"/>
        <w:spacing w:after="120"/>
        <w:ind w:left="284" w:hanging="284"/>
      </w:pPr>
      <w:r w:rsidRPr="005F544A">
        <w:t>Figures may not sum to totals due to rounding.</w:t>
      </w:r>
    </w:p>
    <w:p w:rsidR="00593999" w:rsidRPr="00951305" w:rsidRDefault="00593999" w:rsidP="008470E0">
      <w:pPr>
        <w:pStyle w:val="Footnotes"/>
        <w:numPr>
          <w:ilvl w:val="0"/>
          <w:numId w:val="0"/>
        </w:numPr>
        <w:ind w:left="284" w:hanging="284"/>
      </w:pPr>
      <w:r w:rsidRPr="005F544A">
        <w:t>-</w:t>
      </w:r>
      <w:r w:rsidRPr="005F544A">
        <w:tab/>
        <w:t>Indicates nil.</w:t>
      </w:r>
    </w:p>
    <w:p w:rsidR="00593999" w:rsidRDefault="00593999" w:rsidP="00593999">
      <w:pPr>
        <w:pStyle w:val="BodyText"/>
        <w:sectPr w:rsidR="00593999" w:rsidSect="00967BCD">
          <w:footnotePr>
            <w:numRestart w:val="eachSect"/>
          </w:footnotePr>
          <w:pgSz w:w="11906" w:h="16838" w:code="9"/>
          <w:pgMar w:top="1361" w:right="1797" w:bottom="1474" w:left="1797" w:header="283" w:footer="454" w:gutter="0"/>
          <w:cols w:space="708"/>
          <w:docGrid w:linePitch="360"/>
        </w:sectPr>
      </w:pPr>
    </w:p>
    <w:p w:rsidR="00593999" w:rsidRDefault="00593999" w:rsidP="00593999">
      <w:pPr>
        <w:pStyle w:val="Heading5"/>
        <w:ind w:left="1080" w:hanging="1080"/>
      </w:pPr>
      <w:bookmarkStart w:id="119" w:name="_Toc458081709"/>
      <w:r>
        <w:t>ALP0</w:t>
      </w:r>
      <w:r w:rsidR="009221D1">
        <w:t>85</w:t>
      </w:r>
      <w:r>
        <w:t>: Not proceeding with PBS co-payment increase</w:t>
      </w:r>
      <w:bookmarkEnd w:id="118"/>
      <w:bookmarkEnd w:id="119"/>
    </w:p>
    <w:p w:rsidR="00593999" w:rsidRDefault="00593999" w:rsidP="00275C35">
      <w:pPr>
        <w:pStyle w:val="BodyText"/>
      </w:pPr>
      <w:r>
        <w:rPr>
          <w:noProof/>
          <w:lang w:eastAsia="en-AU"/>
        </w:rPr>
        <w:drawing>
          <wp:inline distT="0" distB="0" distL="0" distR="0" wp14:anchorId="5C1B1555" wp14:editId="160E3E2A">
            <wp:extent cx="2696845" cy="572135"/>
            <wp:effectExtent l="0" t="0" r="8255" b="0"/>
            <wp:docPr id="15" name="Picture 15"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93999" w:rsidRDefault="00593999" w:rsidP="00593999">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93999" w:rsidRPr="008851BD"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93999" w:rsidRPr="008851BD" w:rsidRDefault="00593999" w:rsidP="00F7554A">
            <w:pPr>
              <w:pStyle w:val="PullOutBoxHeading"/>
              <w:rPr>
                <w:b/>
              </w:rPr>
            </w:pPr>
            <w:r w:rsidRPr="008851BD">
              <w:rPr>
                <w:b/>
              </w:rPr>
              <w:t>Name of proposal:</w:t>
            </w:r>
          </w:p>
        </w:tc>
        <w:tc>
          <w:tcPr>
            <w:tcW w:w="3191" w:type="pct"/>
          </w:tcPr>
          <w:p w:rsidR="00593999" w:rsidRPr="008851BD" w:rsidRDefault="00593999" w:rsidP="00F7554A">
            <w:pPr>
              <w:pStyle w:val="PullOutBoxHeading"/>
              <w:rPr>
                <w:b/>
              </w:rPr>
            </w:pPr>
            <w:r w:rsidRPr="008851BD">
              <w:rPr>
                <w:b/>
              </w:rPr>
              <w:t>Not proceeding with PBS co-payment increase</w:t>
            </w:r>
          </w:p>
        </w:tc>
      </w:tr>
      <w:tr w:rsidR="00593999" w:rsidRPr="00357328" w:rsidTr="00F7554A">
        <w:tc>
          <w:tcPr>
            <w:tcW w:w="1809" w:type="pct"/>
          </w:tcPr>
          <w:p w:rsidR="00593999" w:rsidRPr="00357328" w:rsidRDefault="00593999" w:rsidP="00F7554A">
            <w:pPr>
              <w:pStyle w:val="PullOutBoxBodyText"/>
            </w:pPr>
            <w:r w:rsidRPr="00357328">
              <w:t>Summary of proposal:</w:t>
            </w:r>
          </w:p>
        </w:tc>
        <w:tc>
          <w:tcPr>
            <w:tcW w:w="3191" w:type="pct"/>
          </w:tcPr>
          <w:p w:rsidR="00593999" w:rsidRPr="00357328" w:rsidRDefault="00593999" w:rsidP="00F7554A">
            <w:pPr>
              <w:pStyle w:val="PullOutBoxBodyText"/>
            </w:pPr>
            <w:r w:rsidRPr="00357328">
              <w:t xml:space="preserve">The proposal would reverse the 2014-15 Budget measure, </w:t>
            </w:r>
            <w:r w:rsidRPr="00357328">
              <w:rPr>
                <w:i/>
              </w:rPr>
              <w:t>Increase in Pharmaceutical Benefits Scheme co-payments and safety net thresholds</w:t>
            </w:r>
            <w:r>
              <w:t>.</w:t>
            </w:r>
          </w:p>
          <w:p w:rsidR="00593999" w:rsidRPr="00357328" w:rsidRDefault="00593999" w:rsidP="00F7554A">
            <w:pPr>
              <w:pStyle w:val="PullOutBoxBodyText"/>
            </w:pPr>
            <w:r w:rsidRPr="00357328">
              <w:t>The proposal would have effect from 1 July 2016.</w:t>
            </w:r>
          </w:p>
        </w:tc>
      </w:tr>
      <w:tr w:rsidR="00593999" w:rsidRPr="00357328" w:rsidTr="00F7554A">
        <w:tc>
          <w:tcPr>
            <w:tcW w:w="1809" w:type="pct"/>
          </w:tcPr>
          <w:p w:rsidR="00593999" w:rsidRPr="00357328" w:rsidRDefault="00593999" w:rsidP="00F7554A">
            <w:pPr>
              <w:pStyle w:val="PullOutBoxBodyText"/>
            </w:pPr>
            <w:r w:rsidRPr="00357328">
              <w:t>Party:</w:t>
            </w:r>
          </w:p>
        </w:tc>
        <w:tc>
          <w:tcPr>
            <w:tcW w:w="3191" w:type="pct"/>
          </w:tcPr>
          <w:p w:rsidR="00593999" w:rsidRPr="00357328" w:rsidRDefault="00593999" w:rsidP="00F7554A">
            <w:pPr>
              <w:pStyle w:val="PullOutBoxBodyText"/>
            </w:pPr>
            <w:r w:rsidRPr="00357328">
              <w:t>Australian Labor Party</w:t>
            </w:r>
          </w:p>
        </w:tc>
      </w:tr>
      <w:tr w:rsidR="00593999" w:rsidRPr="00357328" w:rsidTr="00F7554A">
        <w:tc>
          <w:tcPr>
            <w:tcW w:w="1809" w:type="pct"/>
          </w:tcPr>
          <w:p w:rsidR="00593999" w:rsidRPr="00357328" w:rsidRDefault="00593999" w:rsidP="00F7554A">
            <w:pPr>
              <w:pStyle w:val="PullOutBoxBodyText"/>
            </w:pPr>
            <w:r w:rsidRPr="00357328">
              <w:t>Expiry date for the costing:</w:t>
            </w:r>
          </w:p>
        </w:tc>
        <w:tc>
          <w:tcPr>
            <w:tcW w:w="3191" w:type="pct"/>
          </w:tcPr>
          <w:p w:rsidR="00593999" w:rsidRPr="00357328" w:rsidRDefault="00593999" w:rsidP="00F7554A">
            <w:pPr>
              <w:pStyle w:val="PullOutBoxBodyText"/>
            </w:pPr>
            <w:r w:rsidRPr="00357328">
              <w:t>Release of the next economic and fiscal update</w:t>
            </w:r>
          </w:p>
        </w:tc>
      </w:tr>
    </w:tbl>
    <w:p w:rsidR="00593999" w:rsidRDefault="00593999" w:rsidP="00593999">
      <w:pPr>
        <w:pStyle w:val="CostingsH7"/>
      </w:pPr>
      <w:r w:rsidRPr="00BF1EE6">
        <w:t>Costing overview</w:t>
      </w:r>
    </w:p>
    <w:p w:rsidR="00593999" w:rsidRDefault="00593999" w:rsidP="00593999">
      <w:pPr>
        <w:pStyle w:val="BodyText"/>
      </w:pPr>
      <w:r>
        <w:t xml:space="preserve">The 2014-15 Budget measure, Increase in </w:t>
      </w:r>
      <w:r w:rsidRPr="00357328">
        <w:rPr>
          <w:i/>
        </w:rPr>
        <w:t>Pharmaceutical Benefits Scheme co-payments and safety net thresholds</w:t>
      </w:r>
      <w:r>
        <w:t xml:space="preserve"> (the measure) was to commence on 1 January 2015, however it is subject to the passage of legislation and as this legislation is yet to be passed the earliest date on which the measure could be implemented is 1 January 2017.</w:t>
      </w:r>
    </w:p>
    <w:p w:rsidR="00593999" w:rsidRDefault="00593999" w:rsidP="00593999">
      <w:pPr>
        <w:pStyle w:val="BodyText"/>
      </w:pPr>
      <w:r>
        <w:t>This proposal, to reverse the measure, would be expected to decrease the fiscal balance by $993.9 million and decrease the underlying cash balance by $980.4 million over the 2016</w:t>
      </w:r>
      <w:r>
        <w:noBreakHyphen/>
        <w:t>17 Budget forward estimates period.</w:t>
      </w:r>
    </w:p>
    <w:p w:rsidR="00593999" w:rsidRDefault="00593999" w:rsidP="00593999">
      <w:pPr>
        <w:pStyle w:val="BodyText"/>
      </w:pPr>
      <w:r>
        <w:t>The proposal would not have an impact on departmental expenses as there would no longer be any administrative changes.</w:t>
      </w:r>
    </w:p>
    <w:p w:rsidR="00593999" w:rsidRDefault="00593999" w:rsidP="00593999">
      <w:pPr>
        <w:pStyle w:val="BodyText"/>
      </w:pPr>
      <w:r>
        <w:t>The proposal would have an ongoing impact that extends beyond the 2016</w:t>
      </w:r>
      <w:r>
        <w:noBreakHyphen/>
        <w:t xml:space="preserve">17 Budget forward estimates period.  A breakdown of the impact over the 2016-17 Budget forward estimates period is provided at </w:t>
      </w:r>
      <w:r w:rsidRPr="00357328">
        <w:rPr>
          <w:u w:val="single"/>
        </w:rPr>
        <w:t>Attachment A</w:t>
      </w:r>
      <w:r>
        <w:t>.</w:t>
      </w:r>
    </w:p>
    <w:p w:rsidR="00593999" w:rsidRDefault="00593999" w:rsidP="00593999">
      <w:pPr>
        <w:pStyle w:val="BodyText"/>
      </w:pPr>
      <w:r>
        <w:t>The proposal has a different impact on the fiscal and underlying cash balances due to a lag between when services are provided and when payments are made under the Pharmaceutical Benefits Schedule.</w:t>
      </w:r>
    </w:p>
    <w:p w:rsidR="00593999" w:rsidRPr="00357328" w:rsidRDefault="00593999" w:rsidP="00593999">
      <w:pPr>
        <w:pStyle w:val="BodyText"/>
      </w:pPr>
      <w:r>
        <w:t>This costing is considered to be of medium reliability as, while the estimates are based on estimates for the measure as at the 2014-15 Budget, assumptions have been applied to account for a revised start date for the measure.</w:t>
      </w:r>
    </w:p>
    <w:p w:rsidR="00593999" w:rsidRDefault="00593999" w:rsidP="0000595E">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93999"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93999" w:rsidRPr="00D264E1" w:rsidRDefault="00593999" w:rsidP="0000595E">
            <w:pPr>
              <w:pStyle w:val="TableHeading"/>
            </w:pPr>
            <w:r>
              <w:t>Impact on ($m)</w:t>
            </w:r>
          </w:p>
        </w:tc>
        <w:tc>
          <w:tcPr>
            <w:tcW w:w="721" w:type="pct"/>
          </w:tcPr>
          <w:p w:rsidR="00593999" w:rsidRPr="00FC1F1C" w:rsidRDefault="00593999" w:rsidP="0000595E">
            <w:pPr>
              <w:pStyle w:val="TableHeadingRight"/>
            </w:pPr>
            <w:r>
              <w:t>2016–17</w:t>
            </w:r>
          </w:p>
        </w:tc>
        <w:tc>
          <w:tcPr>
            <w:tcW w:w="721" w:type="pct"/>
          </w:tcPr>
          <w:p w:rsidR="00593999" w:rsidRPr="00FC1F1C" w:rsidRDefault="00593999" w:rsidP="0000595E">
            <w:pPr>
              <w:pStyle w:val="TableHeadingRight"/>
            </w:pPr>
            <w:r>
              <w:t>2017–18</w:t>
            </w:r>
          </w:p>
        </w:tc>
        <w:tc>
          <w:tcPr>
            <w:tcW w:w="722" w:type="pct"/>
          </w:tcPr>
          <w:p w:rsidR="00593999" w:rsidRPr="00FC1F1C" w:rsidRDefault="00593999" w:rsidP="0000595E">
            <w:pPr>
              <w:pStyle w:val="TableHeadingRight"/>
            </w:pPr>
            <w:r>
              <w:t>2018–19</w:t>
            </w:r>
          </w:p>
        </w:tc>
        <w:tc>
          <w:tcPr>
            <w:tcW w:w="721" w:type="pct"/>
          </w:tcPr>
          <w:p w:rsidR="00593999" w:rsidRPr="00FC1F1C" w:rsidRDefault="00593999" w:rsidP="0000595E">
            <w:pPr>
              <w:pStyle w:val="TableHeadingRight"/>
            </w:pPr>
            <w:r>
              <w:t>2019–20</w:t>
            </w:r>
          </w:p>
        </w:tc>
        <w:tc>
          <w:tcPr>
            <w:tcW w:w="722" w:type="pct"/>
          </w:tcPr>
          <w:p w:rsidR="00593999" w:rsidRPr="00EE2B06" w:rsidRDefault="00593999" w:rsidP="0000595E">
            <w:pPr>
              <w:pStyle w:val="TableHeadingRight"/>
              <w:rPr>
                <w:b/>
              </w:rPr>
            </w:pPr>
            <w:r w:rsidRPr="00EE2B06">
              <w:t>Total</w:t>
            </w:r>
          </w:p>
        </w:tc>
      </w:tr>
      <w:tr w:rsidR="00593999" w:rsidTr="00F7554A">
        <w:tc>
          <w:tcPr>
            <w:tcW w:w="1393" w:type="pct"/>
          </w:tcPr>
          <w:p w:rsidR="00593999" w:rsidRDefault="00593999" w:rsidP="0000595E">
            <w:pPr>
              <w:pStyle w:val="TableText"/>
              <w:keepNext/>
              <w:keepLines/>
            </w:pPr>
            <w:r>
              <w:t>Fiscal balance</w:t>
            </w:r>
          </w:p>
        </w:tc>
        <w:tc>
          <w:tcPr>
            <w:tcW w:w="721" w:type="pct"/>
            <w:vAlign w:val="center"/>
          </w:tcPr>
          <w:p w:rsidR="00593999" w:rsidRPr="001B6E50" w:rsidRDefault="00593999" w:rsidP="0000595E">
            <w:pPr>
              <w:pStyle w:val="TableTextRight"/>
              <w:keepNext/>
              <w:keepLines/>
            </w:pPr>
            <w:r>
              <w:t>-</w:t>
            </w:r>
            <w:r w:rsidRPr="001B6E50">
              <w:t>142.6</w:t>
            </w:r>
          </w:p>
        </w:tc>
        <w:tc>
          <w:tcPr>
            <w:tcW w:w="721" w:type="pct"/>
            <w:vAlign w:val="center"/>
          </w:tcPr>
          <w:p w:rsidR="00593999" w:rsidRPr="001B6E50" w:rsidRDefault="00593999" w:rsidP="0000595E">
            <w:pPr>
              <w:pStyle w:val="TableTextRight"/>
              <w:keepNext/>
              <w:keepLines/>
            </w:pPr>
            <w:r>
              <w:t>-</w:t>
            </w:r>
            <w:r w:rsidRPr="001B6E50">
              <w:t>275.4</w:t>
            </w:r>
          </w:p>
        </w:tc>
        <w:tc>
          <w:tcPr>
            <w:tcW w:w="722" w:type="pct"/>
            <w:vAlign w:val="center"/>
          </w:tcPr>
          <w:p w:rsidR="00593999" w:rsidRPr="001B6E50" w:rsidRDefault="00593999" w:rsidP="0000595E">
            <w:pPr>
              <w:pStyle w:val="TableTextRight"/>
              <w:keepNext/>
              <w:keepLines/>
            </w:pPr>
            <w:r>
              <w:t>-</w:t>
            </w:r>
            <w:r w:rsidRPr="001B6E50">
              <w:t>280.5</w:t>
            </w:r>
          </w:p>
        </w:tc>
        <w:tc>
          <w:tcPr>
            <w:tcW w:w="721" w:type="pct"/>
            <w:vAlign w:val="center"/>
          </w:tcPr>
          <w:p w:rsidR="00593999" w:rsidRPr="001B6E50" w:rsidRDefault="00593999" w:rsidP="0000595E">
            <w:pPr>
              <w:pStyle w:val="TableTextRight"/>
              <w:keepNext/>
              <w:keepLines/>
            </w:pPr>
            <w:r>
              <w:t>-</w:t>
            </w:r>
            <w:r w:rsidRPr="001B6E50">
              <w:t>295.5</w:t>
            </w:r>
          </w:p>
        </w:tc>
        <w:tc>
          <w:tcPr>
            <w:tcW w:w="722" w:type="pct"/>
            <w:vAlign w:val="center"/>
          </w:tcPr>
          <w:p w:rsidR="00593999" w:rsidRPr="00EE2B06" w:rsidRDefault="00593999" w:rsidP="0000595E">
            <w:pPr>
              <w:pStyle w:val="TableTextRight"/>
              <w:keepNext/>
              <w:keepLines/>
              <w:rPr>
                <w:b/>
              </w:rPr>
            </w:pPr>
            <w:r w:rsidRPr="00EE2B06">
              <w:rPr>
                <w:b/>
              </w:rPr>
              <w:t>-993.9</w:t>
            </w:r>
          </w:p>
        </w:tc>
      </w:tr>
      <w:tr w:rsidR="00593999" w:rsidTr="00F7554A">
        <w:tc>
          <w:tcPr>
            <w:tcW w:w="1393" w:type="pct"/>
          </w:tcPr>
          <w:p w:rsidR="00593999" w:rsidRDefault="00593999" w:rsidP="0000595E">
            <w:pPr>
              <w:pStyle w:val="TableText"/>
              <w:keepNext/>
              <w:keepLines/>
            </w:pPr>
            <w:r>
              <w:t>Underlying cash balance</w:t>
            </w:r>
          </w:p>
        </w:tc>
        <w:tc>
          <w:tcPr>
            <w:tcW w:w="721" w:type="pct"/>
            <w:vAlign w:val="center"/>
          </w:tcPr>
          <w:p w:rsidR="00593999" w:rsidRPr="001B6E50" w:rsidRDefault="00593999" w:rsidP="0000595E">
            <w:pPr>
              <w:pStyle w:val="TableTextRight"/>
              <w:keepNext/>
              <w:keepLines/>
            </w:pPr>
            <w:r>
              <w:t>-</w:t>
            </w:r>
            <w:r w:rsidRPr="001B6E50">
              <w:t>136.3</w:t>
            </w:r>
          </w:p>
        </w:tc>
        <w:tc>
          <w:tcPr>
            <w:tcW w:w="721" w:type="pct"/>
            <w:vAlign w:val="center"/>
          </w:tcPr>
          <w:p w:rsidR="00593999" w:rsidRPr="001B6E50" w:rsidRDefault="00593999" w:rsidP="0000595E">
            <w:pPr>
              <w:pStyle w:val="TableTextRight"/>
              <w:keepNext/>
              <w:keepLines/>
            </w:pPr>
            <w:r>
              <w:t>-</w:t>
            </w:r>
            <w:r w:rsidRPr="001B6E50">
              <w:t>269.2</w:t>
            </w:r>
          </w:p>
        </w:tc>
        <w:tc>
          <w:tcPr>
            <w:tcW w:w="722" w:type="pct"/>
            <w:vAlign w:val="center"/>
          </w:tcPr>
          <w:p w:rsidR="00593999" w:rsidRPr="001B6E50" w:rsidRDefault="00593999" w:rsidP="0000595E">
            <w:pPr>
              <w:pStyle w:val="TableTextRight"/>
              <w:keepNext/>
              <w:keepLines/>
            </w:pPr>
            <w:r>
              <w:t>-</w:t>
            </w:r>
            <w:r w:rsidRPr="001B6E50">
              <w:t>280.0</w:t>
            </w:r>
          </w:p>
        </w:tc>
        <w:tc>
          <w:tcPr>
            <w:tcW w:w="721" w:type="pct"/>
            <w:vAlign w:val="center"/>
          </w:tcPr>
          <w:p w:rsidR="00593999" w:rsidRPr="001B6E50" w:rsidRDefault="00593999" w:rsidP="0000595E">
            <w:pPr>
              <w:pStyle w:val="TableTextRight"/>
              <w:keepNext/>
              <w:keepLines/>
            </w:pPr>
            <w:r>
              <w:t>-</w:t>
            </w:r>
            <w:r w:rsidRPr="001B6E50">
              <w:t>294.8</w:t>
            </w:r>
          </w:p>
        </w:tc>
        <w:tc>
          <w:tcPr>
            <w:tcW w:w="722" w:type="pct"/>
            <w:vAlign w:val="center"/>
          </w:tcPr>
          <w:p w:rsidR="00593999" w:rsidRPr="00EE2B06" w:rsidRDefault="00593999" w:rsidP="0000595E">
            <w:pPr>
              <w:pStyle w:val="TableTextRight"/>
              <w:keepNext/>
              <w:keepLines/>
              <w:rPr>
                <w:b/>
              </w:rPr>
            </w:pPr>
            <w:r w:rsidRPr="00EE2B06">
              <w:rPr>
                <w:b/>
              </w:rPr>
              <w:t>-980.4</w:t>
            </w:r>
          </w:p>
        </w:tc>
      </w:tr>
    </w:tbl>
    <w:p w:rsidR="00593999" w:rsidRDefault="00593999" w:rsidP="002C43F8">
      <w:pPr>
        <w:pStyle w:val="Footnotes"/>
        <w:keepNext/>
        <w:keepLines/>
        <w:numPr>
          <w:ilvl w:val="0"/>
          <w:numId w:val="172"/>
        </w:numPr>
        <w:ind w:left="284" w:hanging="284"/>
      </w:pPr>
      <w:r>
        <w:t xml:space="preserve">A positive </w:t>
      </w:r>
      <w:r w:rsidRPr="00FC1F1C">
        <w:t>number indicates an increase in the relevant budget balance, a negative number a decrease.</w:t>
      </w:r>
    </w:p>
    <w:p w:rsidR="00593999" w:rsidRPr="000E063A" w:rsidRDefault="00593999" w:rsidP="00080285">
      <w:pPr>
        <w:pStyle w:val="Footnotes"/>
        <w:ind w:left="284" w:hanging="284"/>
        <w:rPr>
          <w:rStyle w:val="FootnoteReference"/>
          <w:vertAlign w:val="baseline"/>
        </w:rPr>
      </w:pPr>
      <w:r w:rsidRPr="000E063A">
        <w:t>Figures may not sum to totals due to rounding.</w:t>
      </w:r>
    </w:p>
    <w:p w:rsidR="00593999" w:rsidRDefault="00593999" w:rsidP="00593999">
      <w:pPr>
        <w:pStyle w:val="CostingsH7"/>
      </w:pPr>
      <w:r>
        <w:t>Methodology</w:t>
      </w:r>
    </w:p>
    <w:p w:rsidR="00593999" w:rsidRPr="00EE2B06" w:rsidRDefault="00593999" w:rsidP="00593999">
      <w:pPr>
        <w:pStyle w:val="BodyText"/>
      </w:pPr>
      <w:r w:rsidRPr="00EE2B06">
        <w:t>The impact of the proposal was derived by reversing the impact of the updated estimates of the measure to take account of changes to underlying parameters since the measure was pu</w:t>
      </w:r>
      <w:r>
        <w:t>blished in the 2014-15 Budget.</w:t>
      </w:r>
    </w:p>
    <w:p w:rsidR="00593999" w:rsidRDefault="00593999" w:rsidP="00593999">
      <w:pPr>
        <w:pStyle w:val="CostingsH7"/>
      </w:pPr>
      <w:r>
        <w:t>Data sources</w:t>
      </w:r>
    </w:p>
    <w:p w:rsidR="00593999" w:rsidRDefault="00593999" w:rsidP="00593999">
      <w:pPr>
        <w:pStyle w:val="BodyText"/>
      </w:pPr>
      <w:r>
        <w:t>Department of Veterans’ Affairs provided costing models related to the 2014</w:t>
      </w:r>
      <w:r>
        <w:noBreakHyphen/>
        <w:t>15 Budget measure, Increase in Pharmaceutical Benefits Scheme co-payments and safety net thresholds.</w:t>
      </w:r>
    </w:p>
    <w:p w:rsidR="00593999" w:rsidRDefault="00593999" w:rsidP="00593999">
      <w:pPr>
        <w:pStyle w:val="BodyText"/>
      </w:pPr>
      <w:r>
        <w:t xml:space="preserve">Parliamentary Budget Office 2016, </w:t>
      </w:r>
      <w:r w:rsidRPr="00EE2B06">
        <w:rPr>
          <w:i/>
        </w:rPr>
        <w:t>Unlegislated measures carried forward in the budget estimates – June 2016 update</w:t>
      </w:r>
      <w:r w:rsidRPr="00EE2B06">
        <w:t>, PBO, Canberra</w:t>
      </w:r>
      <w:r>
        <w:t>.</w:t>
      </w:r>
    </w:p>
    <w:p w:rsidR="00C63C5D" w:rsidRDefault="00C63C5D" w:rsidP="00593999">
      <w:pPr>
        <w:pStyle w:val="BodyText"/>
      </w:pPr>
    </w:p>
    <w:p w:rsidR="00C63C5D" w:rsidRDefault="00C63C5D" w:rsidP="00593999">
      <w:pPr>
        <w:pStyle w:val="BodyText"/>
        <w:sectPr w:rsidR="00C63C5D" w:rsidSect="00967BCD">
          <w:footnotePr>
            <w:numRestart w:val="eachSect"/>
          </w:footnotePr>
          <w:pgSz w:w="11906" w:h="16838" w:code="9"/>
          <w:pgMar w:top="1361" w:right="1797" w:bottom="1474" w:left="1797" w:header="283" w:footer="454" w:gutter="0"/>
          <w:cols w:space="708"/>
          <w:docGrid w:linePitch="360"/>
        </w:sectPr>
      </w:pPr>
    </w:p>
    <w:p w:rsidR="00593999" w:rsidRPr="00EE2B06" w:rsidRDefault="00593999" w:rsidP="00593999">
      <w:pPr>
        <w:pStyle w:val="Heading6"/>
      </w:pPr>
      <w:r w:rsidRPr="00EE2B06">
        <w:t>Attachment A: Not proceeding with PBS co-payment increase—</w:t>
      </w:r>
      <w:r w:rsidR="0080154C">
        <w:t>financial implications</w:t>
      </w:r>
    </w:p>
    <w:p w:rsidR="00593999" w:rsidRDefault="00593999" w:rsidP="00593999">
      <w:pPr>
        <w:pStyle w:val="Caption"/>
        <w:keepLines/>
      </w:pPr>
      <w:r w:rsidRPr="002B36F1">
        <w:t xml:space="preserve">Table </w:t>
      </w:r>
      <w:r>
        <w:t>A1</w:t>
      </w:r>
      <w:r w:rsidRPr="002B36F1">
        <w:t>:</w:t>
      </w:r>
      <w:r>
        <w:t xml:space="preserve"> Not proceeding with PBS co-payment increase—Fiscal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93999"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93999" w:rsidRPr="007C2713" w:rsidRDefault="00593999" w:rsidP="00F7554A">
            <w:pPr>
              <w:pStyle w:val="TableText"/>
              <w:keepNext/>
              <w:keepLines/>
              <w:rPr>
                <w:b w:val="0"/>
              </w:rPr>
            </w:pPr>
            <w:r>
              <w:t>($)</w:t>
            </w:r>
          </w:p>
        </w:tc>
        <w:tc>
          <w:tcPr>
            <w:tcW w:w="689" w:type="pct"/>
            <w:vAlign w:val="center"/>
          </w:tcPr>
          <w:p w:rsidR="00593999" w:rsidRDefault="00593999" w:rsidP="00F7554A">
            <w:pPr>
              <w:pStyle w:val="TableTextRight"/>
              <w:keepNext/>
              <w:keepLines/>
              <w:rPr>
                <w:b w:val="0"/>
              </w:rPr>
            </w:pPr>
            <w:r>
              <w:t>2016–17</w:t>
            </w:r>
          </w:p>
        </w:tc>
        <w:tc>
          <w:tcPr>
            <w:tcW w:w="689" w:type="pct"/>
            <w:vAlign w:val="center"/>
          </w:tcPr>
          <w:p w:rsidR="00593999" w:rsidRDefault="00593999" w:rsidP="00F7554A">
            <w:pPr>
              <w:pStyle w:val="TableTextRight"/>
              <w:keepNext/>
              <w:keepLines/>
              <w:rPr>
                <w:b w:val="0"/>
              </w:rPr>
            </w:pPr>
            <w:r>
              <w:t>2017–18</w:t>
            </w:r>
          </w:p>
        </w:tc>
        <w:tc>
          <w:tcPr>
            <w:tcW w:w="689" w:type="pct"/>
            <w:vAlign w:val="center"/>
          </w:tcPr>
          <w:p w:rsidR="00593999" w:rsidRDefault="00593999" w:rsidP="00F7554A">
            <w:pPr>
              <w:pStyle w:val="TableTextRight"/>
              <w:keepNext/>
              <w:keepLines/>
              <w:rPr>
                <w:b w:val="0"/>
              </w:rPr>
            </w:pPr>
            <w:r>
              <w:t>2018–19</w:t>
            </w:r>
          </w:p>
        </w:tc>
        <w:tc>
          <w:tcPr>
            <w:tcW w:w="689" w:type="pct"/>
            <w:vAlign w:val="center"/>
          </w:tcPr>
          <w:p w:rsidR="00593999" w:rsidRDefault="00593999" w:rsidP="00F7554A">
            <w:pPr>
              <w:pStyle w:val="TableTextRight"/>
              <w:keepNext/>
              <w:keepLines/>
              <w:rPr>
                <w:b w:val="0"/>
              </w:rPr>
            </w:pPr>
            <w:r>
              <w:t>2019–20</w:t>
            </w:r>
          </w:p>
        </w:tc>
        <w:tc>
          <w:tcPr>
            <w:tcW w:w="690" w:type="pct"/>
            <w:vAlign w:val="center"/>
          </w:tcPr>
          <w:p w:rsidR="00593999" w:rsidRDefault="00593999" w:rsidP="00F7554A">
            <w:pPr>
              <w:pStyle w:val="TableTextRight"/>
              <w:keepNext/>
              <w:keepLines/>
            </w:pPr>
            <w:r>
              <w:t>Total to 2019–20</w:t>
            </w:r>
          </w:p>
        </w:tc>
      </w:tr>
      <w:tr w:rsidR="00593999" w:rsidTr="00F7554A">
        <w:tc>
          <w:tcPr>
            <w:tcW w:w="1554" w:type="pct"/>
          </w:tcPr>
          <w:p w:rsidR="00593999" w:rsidRPr="003A3459" w:rsidRDefault="00593999" w:rsidP="00F7554A">
            <w:pPr>
              <w:pStyle w:val="TableTextCentred"/>
              <w:keepNext/>
              <w:keepLines/>
              <w:jc w:val="left"/>
              <w:rPr>
                <w:szCs w:val="20"/>
              </w:rPr>
            </w:pPr>
            <w:r>
              <w:rPr>
                <w:szCs w:val="20"/>
              </w:rPr>
              <w:t>Department of Health</w:t>
            </w:r>
          </w:p>
        </w:tc>
        <w:tc>
          <w:tcPr>
            <w:tcW w:w="689" w:type="pct"/>
            <w:vAlign w:val="center"/>
          </w:tcPr>
          <w:p w:rsidR="00593999" w:rsidRPr="00EE2B06" w:rsidRDefault="00593999" w:rsidP="00F7554A">
            <w:pPr>
              <w:pStyle w:val="TableTextRight"/>
              <w:keepNext/>
              <w:keepLines/>
              <w:rPr>
                <w:i/>
              </w:rPr>
            </w:pPr>
            <w:r w:rsidRPr="00EE2B06">
              <w:rPr>
                <w:i/>
              </w:rPr>
              <w:t>-139.1</w:t>
            </w:r>
          </w:p>
        </w:tc>
        <w:tc>
          <w:tcPr>
            <w:tcW w:w="689" w:type="pct"/>
            <w:vAlign w:val="center"/>
          </w:tcPr>
          <w:p w:rsidR="00593999" w:rsidRPr="00EE2B06" w:rsidRDefault="00593999" w:rsidP="00F7554A">
            <w:pPr>
              <w:pStyle w:val="TableTextRight"/>
              <w:keepNext/>
              <w:keepLines/>
              <w:rPr>
                <w:i/>
              </w:rPr>
            </w:pPr>
            <w:r w:rsidRPr="00EE2B06">
              <w:rPr>
                <w:i/>
              </w:rPr>
              <w:t>-268.4</w:t>
            </w:r>
          </w:p>
        </w:tc>
        <w:tc>
          <w:tcPr>
            <w:tcW w:w="689" w:type="pct"/>
            <w:vAlign w:val="center"/>
          </w:tcPr>
          <w:p w:rsidR="00593999" w:rsidRPr="00EE2B06" w:rsidRDefault="00593999" w:rsidP="00F7554A">
            <w:pPr>
              <w:pStyle w:val="TableTextRight"/>
              <w:keepNext/>
              <w:keepLines/>
              <w:rPr>
                <w:i/>
              </w:rPr>
            </w:pPr>
            <w:r w:rsidRPr="00EE2B06">
              <w:rPr>
                <w:i/>
              </w:rPr>
              <w:t>-273.8</w:t>
            </w:r>
          </w:p>
        </w:tc>
        <w:tc>
          <w:tcPr>
            <w:tcW w:w="689" w:type="pct"/>
            <w:vAlign w:val="center"/>
          </w:tcPr>
          <w:p w:rsidR="00593999" w:rsidRPr="00EE2B06" w:rsidRDefault="00593999" w:rsidP="00F7554A">
            <w:pPr>
              <w:pStyle w:val="TableTextRight"/>
              <w:keepNext/>
              <w:keepLines/>
              <w:rPr>
                <w:i/>
              </w:rPr>
            </w:pPr>
            <w:r w:rsidRPr="00EE2B06">
              <w:rPr>
                <w:i/>
              </w:rPr>
              <w:t>-289.1</w:t>
            </w:r>
          </w:p>
        </w:tc>
        <w:tc>
          <w:tcPr>
            <w:tcW w:w="690" w:type="pct"/>
            <w:vAlign w:val="center"/>
          </w:tcPr>
          <w:p w:rsidR="00593999" w:rsidRPr="00EE2B06" w:rsidRDefault="00593999" w:rsidP="00F7554A">
            <w:pPr>
              <w:pStyle w:val="TableTextRight"/>
              <w:keepNext/>
              <w:keepLines/>
              <w:rPr>
                <w:b/>
                <w:i/>
              </w:rPr>
            </w:pPr>
            <w:r w:rsidRPr="00EE2B06">
              <w:rPr>
                <w:b/>
                <w:i/>
              </w:rPr>
              <w:t>-970.4</w:t>
            </w:r>
          </w:p>
        </w:tc>
      </w:tr>
      <w:tr w:rsidR="00593999" w:rsidTr="00F7554A">
        <w:tc>
          <w:tcPr>
            <w:tcW w:w="1554" w:type="pct"/>
          </w:tcPr>
          <w:p w:rsidR="00593999" w:rsidRPr="003A3459" w:rsidRDefault="00593999" w:rsidP="00F7554A">
            <w:pPr>
              <w:pStyle w:val="TableTextCentred"/>
              <w:keepNext/>
              <w:keepLines/>
              <w:jc w:val="left"/>
              <w:rPr>
                <w:szCs w:val="20"/>
              </w:rPr>
            </w:pPr>
            <w:r>
              <w:rPr>
                <w:szCs w:val="20"/>
              </w:rPr>
              <w:t>Department of Veterans’ Affairs</w:t>
            </w:r>
          </w:p>
        </w:tc>
        <w:tc>
          <w:tcPr>
            <w:tcW w:w="689" w:type="pct"/>
            <w:vAlign w:val="center"/>
          </w:tcPr>
          <w:p w:rsidR="00593999" w:rsidRPr="00EE2B06" w:rsidRDefault="00593999" w:rsidP="00F7554A">
            <w:pPr>
              <w:pStyle w:val="TableTextRight"/>
              <w:keepNext/>
              <w:keepLines/>
              <w:rPr>
                <w:i/>
              </w:rPr>
            </w:pPr>
            <w:r w:rsidRPr="00EE2B06">
              <w:rPr>
                <w:i/>
              </w:rPr>
              <w:t>-3.5</w:t>
            </w:r>
          </w:p>
        </w:tc>
        <w:tc>
          <w:tcPr>
            <w:tcW w:w="689" w:type="pct"/>
            <w:vAlign w:val="center"/>
          </w:tcPr>
          <w:p w:rsidR="00593999" w:rsidRPr="00EE2B06" w:rsidRDefault="00593999" w:rsidP="00F7554A">
            <w:pPr>
              <w:pStyle w:val="TableTextRight"/>
              <w:keepNext/>
              <w:keepLines/>
              <w:rPr>
                <w:i/>
              </w:rPr>
            </w:pPr>
            <w:r w:rsidRPr="00EE2B06">
              <w:rPr>
                <w:i/>
              </w:rPr>
              <w:t>-6.9</w:t>
            </w:r>
          </w:p>
        </w:tc>
        <w:tc>
          <w:tcPr>
            <w:tcW w:w="689" w:type="pct"/>
            <w:vAlign w:val="center"/>
          </w:tcPr>
          <w:p w:rsidR="00593999" w:rsidRPr="00EE2B06" w:rsidRDefault="00593999" w:rsidP="00F7554A">
            <w:pPr>
              <w:pStyle w:val="TableTextRight"/>
              <w:keepNext/>
              <w:keepLines/>
              <w:rPr>
                <w:i/>
              </w:rPr>
            </w:pPr>
            <w:r w:rsidRPr="00EE2B06">
              <w:rPr>
                <w:i/>
              </w:rPr>
              <w:t>-6.7</w:t>
            </w:r>
          </w:p>
        </w:tc>
        <w:tc>
          <w:tcPr>
            <w:tcW w:w="689" w:type="pct"/>
            <w:vAlign w:val="center"/>
          </w:tcPr>
          <w:p w:rsidR="00593999" w:rsidRPr="00EE2B06" w:rsidRDefault="00593999" w:rsidP="00F7554A">
            <w:pPr>
              <w:pStyle w:val="TableTextRight"/>
              <w:keepNext/>
              <w:keepLines/>
              <w:rPr>
                <w:i/>
              </w:rPr>
            </w:pPr>
            <w:r w:rsidRPr="00EE2B06">
              <w:rPr>
                <w:i/>
              </w:rPr>
              <w:t>-6.4</w:t>
            </w:r>
          </w:p>
        </w:tc>
        <w:tc>
          <w:tcPr>
            <w:tcW w:w="690" w:type="pct"/>
            <w:vAlign w:val="center"/>
          </w:tcPr>
          <w:p w:rsidR="00593999" w:rsidRPr="00EE2B06" w:rsidRDefault="00593999" w:rsidP="00F7554A">
            <w:pPr>
              <w:pStyle w:val="TableTextRight"/>
              <w:keepNext/>
              <w:keepLines/>
              <w:rPr>
                <w:b/>
                <w:i/>
              </w:rPr>
            </w:pPr>
            <w:r w:rsidRPr="00EE2B06">
              <w:rPr>
                <w:b/>
                <w:i/>
              </w:rPr>
              <w:t>-23.6</w:t>
            </w:r>
          </w:p>
        </w:tc>
      </w:tr>
      <w:tr w:rsidR="00593999" w:rsidTr="00F7554A">
        <w:tc>
          <w:tcPr>
            <w:tcW w:w="1554" w:type="pct"/>
            <w:shd w:val="clear" w:color="auto" w:fill="D7DDE9" w:themeFill="accent3"/>
          </w:tcPr>
          <w:p w:rsidR="00593999" w:rsidRPr="0055406D" w:rsidRDefault="00593999" w:rsidP="00F7554A">
            <w:pPr>
              <w:pStyle w:val="TableTextCentred"/>
              <w:keepNext/>
              <w:keepLines/>
              <w:jc w:val="left"/>
              <w:rPr>
                <w:b/>
                <w:szCs w:val="20"/>
              </w:rPr>
            </w:pPr>
            <w:r w:rsidRPr="0055406D">
              <w:rPr>
                <w:b/>
                <w:szCs w:val="20"/>
              </w:rPr>
              <w:t>Total</w:t>
            </w:r>
          </w:p>
        </w:tc>
        <w:tc>
          <w:tcPr>
            <w:tcW w:w="689" w:type="pct"/>
            <w:shd w:val="clear" w:color="auto" w:fill="D7DDE9" w:themeFill="accent3"/>
            <w:vAlign w:val="center"/>
          </w:tcPr>
          <w:p w:rsidR="00593999" w:rsidRPr="00EE2B06" w:rsidRDefault="00593999" w:rsidP="00F7554A">
            <w:pPr>
              <w:pStyle w:val="TableTextRight"/>
              <w:keepNext/>
              <w:keepLines/>
              <w:rPr>
                <w:b/>
                <w:bCs/>
              </w:rPr>
            </w:pPr>
            <w:r w:rsidRPr="00EE2B06">
              <w:rPr>
                <w:b/>
                <w:bCs/>
              </w:rPr>
              <w:t>-142.6</w:t>
            </w:r>
          </w:p>
        </w:tc>
        <w:tc>
          <w:tcPr>
            <w:tcW w:w="689" w:type="pct"/>
            <w:shd w:val="clear" w:color="auto" w:fill="D7DDE9" w:themeFill="accent3"/>
            <w:vAlign w:val="center"/>
          </w:tcPr>
          <w:p w:rsidR="00593999" w:rsidRPr="00EE2B06" w:rsidRDefault="00593999" w:rsidP="00F7554A">
            <w:pPr>
              <w:pStyle w:val="TableTextRight"/>
              <w:keepNext/>
              <w:keepLines/>
              <w:rPr>
                <w:b/>
                <w:bCs/>
              </w:rPr>
            </w:pPr>
            <w:r w:rsidRPr="00EE2B06">
              <w:rPr>
                <w:b/>
                <w:bCs/>
              </w:rPr>
              <w:t>-275.4</w:t>
            </w:r>
          </w:p>
        </w:tc>
        <w:tc>
          <w:tcPr>
            <w:tcW w:w="689" w:type="pct"/>
            <w:shd w:val="clear" w:color="auto" w:fill="D7DDE9" w:themeFill="accent3"/>
            <w:vAlign w:val="center"/>
          </w:tcPr>
          <w:p w:rsidR="00593999" w:rsidRPr="00EE2B06" w:rsidRDefault="00593999" w:rsidP="00F7554A">
            <w:pPr>
              <w:pStyle w:val="TableTextRight"/>
              <w:keepNext/>
              <w:keepLines/>
              <w:rPr>
                <w:b/>
                <w:bCs/>
              </w:rPr>
            </w:pPr>
            <w:r w:rsidRPr="00EE2B06">
              <w:rPr>
                <w:b/>
                <w:bCs/>
              </w:rPr>
              <w:t>-280.5</w:t>
            </w:r>
          </w:p>
        </w:tc>
        <w:tc>
          <w:tcPr>
            <w:tcW w:w="689" w:type="pct"/>
            <w:shd w:val="clear" w:color="auto" w:fill="D7DDE9" w:themeFill="accent3"/>
            <w:vAlign w:val="center"/>
          </w:tcPr>
          <w:p w:rsidR="00593999" w:rsidRPr="00EE2B06" w:rsidRDefault="00593999" w:rsidP="00F7554A">
            <w:pPr>
              <w:pStyle w:val="TableTextRight"/>
              <w:keepNext/>
              <w:keepLines/>
              <w:rPr>
                <w:b/>
                <w:bCs/>
              </w:rPr>
            </w:pPr>
            <w:r w:rsidRPr="00EE2B06">
              <w:rPr>
                <w:b/>
                <w:bCs/>
              </w:rPr>
              <w:t>-295.5</w:t>
            </w:r>
          </w:p>
        </w:tc>
        <w:tc>
          <w:tcPr>
            <w:tcW w:w="690" w:type="pct"/>
            <w:shd w:val="clear" w:color="auto" w:fill="D7DDE9" w:themeFill="accent3"/>
            <w:vAlign w:val="center"/>
          </w:tcPr>
          <w:p w:rsidR="00593999" w:rsidRPr="00EE2B06" w:rsidRDefault="00593999" w:rsidP="00F7554A">
            <w:pPr>
              <w:pStyle w:val="TableTextRight"/>
              <w:keepNext/>
              <w:keepLines/>
              <w:rPr>
                <w:b/>
                <w:bCs/>
              </w:rPr>
            </w:pPr>
            <w:r w:rsidRPr="00EE2B06">
              <w:rPr>
                <w:b/>
                <w:bCs/>
              </w:rPr>
              <w:t>-993.9</w:t>
            </w:r>
          </w:p>
        </w:tc>
      </w:tr>
    </w:tbl>
    <w:p w:rsidR="00593999" w:rsidRPr="00EE2B06" w:rsidRDefault="00593999" w:rsidP="00C63C5D">
      <w:pPr>
        <w:pStyle w:val="Footnotes"/>
        <w:keepNext/>
        <w:keepLines/>
        <w:numPr>
          <w:ilvl w:val="0"/>
          <w:numId w:val="173"/>
        </w:numPr>
        <w:ind w:left="284" w:hanging="284"/>
      </w:pPr>
      <w:r w:rsidRPr="00EE2B06">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593999" w:rsidRPr="005F544A" w:rsidRDefault="00593999" w:rsidP="00C63C5D">
      <w:pPr>
        <w:pStyle w:val="Footnotes"/>
        <w:keepNext/>
        <w:keepLines/>
        <w:spacing w:after="120"/>
        <w:ind w:left="284" w:hanging="284"/>
      </w:pPr>
      <w:r w:rsidRPr="005F544A">
        <w:t>Figures may not sum to totals due to rounding.</w:t>
      </w:r>
    </w:p>
    <w:p w:rsidR="00593999" w:rsidRDefault="00593999" w:rsidP="00C63C5D">
      <w:pPr>
        <w:pStyle w:val="Footnotes"/>
        <w:keepNext/>
        <w:keepLines/>
        <w:numPr>
          <w:ilvl w:val="0"/>
          <w:numId w:val="0"/>
        </w:numPr>
        <w:ind w:left="284" w:hanging="284"/>
      </w:pPr>
      <w:r w:rsidRPr="005F544A">
        <w:t>-</w:t>
      </w:r>
      <w:r w:rsidRPr="005F544A">
        <w:tab/>
        <w:t>Indicates nil.</w:t>
      </w:r>
    </w:p>
    <w:p w:rsidR="00593999" w:rsidRDefault="00593999" w:rsidP="0000595E">
      <w:pPr>
        <w:pStyle w:val="Caption"/>
        <w:keepLines/>
      </w:pPr>
      <w:r w:rsidRPr="002B36F1">
        <w:t xml:space="preserve">Table </w:t>
      </w:r>
      <w:r>
        <w:t>A2</w:t>
      </w:r>
      <w:r w:rsidRPr="002B36F1">
        <w:t>:</w:t>
      </w:r>
      <w:r>
        <w:t xml:space="preserve"> Not proceeding with PBS co-payment increase—Underlying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93999"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93999" w:rsidRPr="007C2713" w:rsidRDefault="00593999" w:rsidP="0000595E">
            <w:pPr>
              <w:pStyle w:val="TableText"/>
              <w:keepNext/>
              <w:keepLines/>
              <w:rPr>
                <w:b w:val="0"/>
              </w:rPr>
            </w:pPr>
            <w:r>
              <w:t>($)</w:t>
            </w:r>
          </w:p>
        </w:tc>
        <w:tc>
          <w:tcPr>
            <w:tcW w:w="689" w:type="pct"/>
            <w:vAlign w:val="center"/>
          </w:tcPr>
          <w:p w:rsidR="00593999" w:rsidRDefault="00593999" w:rsidP="0000595E">
            <w:pPr>
              <w:pStyle w:val="TableTextRight"/>
              <w:keepNext/>
              <w:keepLines/>
              <w:rPr>
                <w:b w:val="0"/>
              </w:rPr>
            </w:pPr>
            <w:r>
              <w:t>2016–17</w:t>
            </w:r>
          </w:p>
        </w:tc>
        <w:tc>
          <w:tcPr>
            <w:tcW w:w="689" w:type="pct"/>
            <w:vAlign w:val="center"/>
          </w:tcPr>
          <w:p w:rsidR="00593999" w:rsidRDefault="00593999" w:rsidP="0000595E">
            <w:pPr>
              <w:pStyle w:val="TableTextRight"/>
              <w:keepNext/>
              <w:keepLines/>
              <w:rPr>
                <w:b w:val="0"/>
              </w:rPr>
            </w:pPr>
            <w:r>
              <w:t>2017–18</w:t>
            </w:r>
          </w:p>
        </w:tc>
        <w:tc>
          <w:tcPr>
            <w:tcW w:w="689" w:type="pct"/>
            <w:vAlign w:val="center"/>
          </w:tcPr>
          <w:p w:rsidR="00593999" w:rsidRDefault="00593999" w:rsidP="0000595E">
            <w:pPr>
              <w:pStyle w:val="TableTextRight"/>
              <w:keepNext/>
              <w:keepLines/>
              <w:rPr>
                <w:b w:val="0"/>
              </w:rPr>
            </w:pPr>
            <w:r>
              <w:t>2018–19</w:t>
            </w:r>
          </w:p>
        </w:tc>
        <w:tc>
          <w:tcPr>
            <w:tcW w:w="689" w:type="pct"/>
            <w:vAlign w:val="center"/>
          </w:tcPr>
          <w:p w:rsidR="00593999" w:rsidRDefault="00593999" w:rsidP="0000595E">
            <w:pPr>
              <w:pStyle w:val="TableTextRight"/>
              <w:keepNext/>
              <w:keepLines/>
              <w:rPr>
                <w:b w:val="0"/>
              </w:rPr>
            </w:pPr>
            <w:r>
              <w:t>2019–20</w:t>
            </w:r>
          </w:p>
        </w:tc>
        <w:tc>
          <w:tcPr>
            <w:tcW w:w="690" w:type="pct"/>
            <w:vAlign w:val="center"/>
          </w:tcPr>
          <w:p w:rsidR="00593999" w:rsidRDefault="00593999" w:rsidP="0000595E">
            <w:pPr>
              <w:pStyle w:val="TableTextRight"/>
              <w:keepNext/>
              <w:keepLines/>
            </w:pPr>
            <w:r>
              <w:t>Total to 2019–20</w:t>
            </w:r>
          </w:p>
        </w:tc>
      </w:tr>
      <w:tr w:rsidR="00593999" w:rsidTr="00F7554A">
        <w:tc>
          <w:tcPr>
            <w:tcW w:w="1554" w:type="pct"/>
          </w:tcPr>
          <w:p w:rsidR="00593999" w:rsidRPr="003A3459" w:rsidRDefault="00593999" w:rsidP="0000595E">
            <w:pPr>
              <w:pStyle w:val="TableText"/>
              <w:keepNext/>
              <w:keepLines/>
            </w:pPr>
            <w:r>
              <w:t>Department of Health</w:t>
            </w:r>
          </w:p>
        </w:tc>
        <w:tc>
          <w:tcPr>
            <w:tcW w:w="689" w:type="pct"/>
            <w:vAlign w:val="center"/>
          </w:tcPr>
          <w:p w:rsidR="00593999" w:rsidRPr="00EE2B06" w:rsidRDefault="00593999" w:rsidP="0000595E">
            <w:pPr>
              <w:pStyle w:val="TableTextRight"/>
              <w:keepNext/>
              <w:keepLines/>
              <w:rPr>
                <w:i/>
              </w:rPr>
            </w:pPr>
            <w:r w:rsidRPr="00EE2B06">
              <w:rPr>
                <w:i/>
              </w:rPr>
              <w:t>-133.0</w:t>
            </w:r>
          </w:p>
        </w:tc>
        <w:tc>
          <w:tcPr>
            <w:tcW w:w="689" w:type="pct"/>
            <w:vAlign w:val="center"/>
          </w:tcPr>
          <w:p w:rsidR="00593999" w:rsidRPr="00EE2B06" w:rsidRDefault="00593999" w:rsidP="0000595E">
            <w:pPr>
              <w:pStyle w:val="TableTextRight"/>
              <w:keepNext/>
              <w:keepLines/>
              <w:rPr>
                <w:i/>
              </w:rPr>
            </w:pPr>
            <w:r w:rsidRPr="00EE2B06">
              <w:rPr>
                <w:i/>
              </w:rPr>
              <w:t>-262.5</w:t>
            </w:r>
          </w:p>
        </w:tc>
        <w:tc>
          <w:tcPr>
            <w:tcW w:w="689" w:type="pct"/>
            <w:vAlign w:val="center"/>
          </w:tcPr>
          <w:p w:rsidR="00593999" w:rsidRPr="00EE2B06" w:rsidRDefault="00593999" w:rsidP="0000595E">
            <w:pPr>
              <w:pStyle w:val="TableTextRight"/>
              <w:keepNext/>
              <w:keepLines/>
              <w:rPr>
                <w:i/>
              </w:rPr>
            </w:pPr>
            <w:r w:rsidRPr="00EE2B06">
              <w:rPr>
                <w:i/>
              </w:rPr>
              <w:t>-273.3</w:t>
            </w:r>
          </w:p>
        </w:tc>
        <w:tc>
          <w:tcPr>
            <w:tcW w:w="689" w:type="pct"/>
            <w:vAlign w:val="center"/>
          </w:tcPr>
          <w:p w:rsidR="00593999" w:rsidRPr="00EE2B06" w:rsidRDefault="00593999" w:rsidP="0000595E">
            <w:pPr>
              <w:pStyle w:val="TableTextRight"/>
              <w:keepNext/>
              <w:keepLines/>
              <w:rPr>
                <w:i/>
              </w:rPr>
            </w:pPr>
            <w:r w:rsidRPr="00EE2B06">
              <w:rPr>
                <w:i/>
              </w:rPr>
              <w:t>-288.4</w:t>
            </w:r>
          </w:p>
        </w:tc>
        <w:tc>
          <w:tcPr>
            <w:tcW w:w="690" w:type="pct"/>
            <w:vAlign w:val="center"/>
          </w:tcPr>
          <w:p w:rsidR="00593999" w:rsidRPr="00EE2B06" w:rsidRDefault="00593999" w:rsidP="0000595E">
            <w:pPr>
              <w:pStyle w:val="TableTextRight"/>
              <w:keepNext/>
              <w:keepLines/>
              <w:rPr>
                <w:b/>
                <w:i/>
              </w:rPr>
            </w:pPr>
            <w:r w:rsidRPr="00EE2B06">
              <w:rPr>
                <w:b/>
                <w:i/>
              </w:rPr>
              <w:t>-957.1</w:t>
            </w:r>
          </w:p>
        </w:tc>
      </w:tr>
      <w:tr w:rsidR="00593999" w:rsidTr="00F7554A">
        <w:tc>
          <w:tcPr>
            <w:tcW w:w="1554" w:type="pct"/>
          </w:tcPr>
          <w:p w:rsidR="00593999" w:rsidRPr="003A3459" w:rsidRDefault="00593999" w:rsidP="0000595E">
            <w:pPr>
              <w:pStyle w:val="TableText"/>
              <w:keepNext/>
              <w:keepLines/>
            </w:pPr>
            <w:r>
              <w:t>Department of Veterans’ Affairs</w:t>
            </w:r>
          </w:p>
        </w:tc>
        <w:tc>
          <w:tcPr>
            <w:tcW w:w="689" w:type="pct"/>
            <w:vAlign w:val="center"/>
          </w:tcPr>
          <w:p w:rsidR="00593999" w:rsidRPr="00EE2B06" w:rsidRDefault="00593999" w:rsidP="0000595E">
            <w:pPr>
              <w:pStyle w:val="TableTextRight"/>
              <w:keepNext/>
              <w:keepLines/>
              <w:rPr>
                <w:i/>
              </w:rPr>
            </w:pPr>
            <w:r w:rsidRPr="00EE2B06">
              <w:rPr>
                <w:i/>
              </w:rPr>
              <w:t>-3.4</w:t>
            </w:r>
          </w:p>
        </w:tc>
        <w:tc>
          <w:tcPr>
            <w:tcW w:w="689" w:type="pct"/>
            <w:vAlign w:val="center"/>
          </w:tcPr>
          <w:p w:rsidR="00593999" w:rsidRPr="00EE2B06" w:rsidRDefault="00593999" w:rsidP="0000595E">
            <w:pPr>
              <w:pStyle w:val="TableTextRight"/>
              <w:keepNext/>
              <w:keepLines/>
              <w:rPr>
                <w:i/>
              </w:rPr>
            </w:pPr>
            <w:r w:rsidRPr="00EE2B06">
              <w:rPr>
                <w:i/>
              </w:rPr>
              <w:t>-6.8</w:t>
            </w:r>
          </w:p>
        </w:tc>
        <w:tc>
          <w:tcPr>
            <w:tcW w:w="689" w:type="pct"/>
            <w:vAlign w:val="center"/>
          </w:tcPr>
          <w:p w:rsidR="00593999" w:rsidRPr="00EE2B06" w:rsidRDefault="00593999" w:rsidP="0000595E">
            <w:pPr>
              <w:pStyle w:val="TableTextRight"/>
              <w:keepNext/>
              <w:keepLines/>
              <w:rPr>
                <w:i/>
              </w:rPr>
            </w:pPr>
            <w:r w:rsidRPr="00EE2B06">
              <w:rPr>
                <w:i/>
              </w:rPr>
              <w:t>-6.7</w:t>
            </w:r>
          </w:p>
        </w:tc>
        <w:tc>
          <w:tcPr>
            <w:tcW w:w="689" w:type="pct"/>
            <w:vAlign w:val="center"/>
          </w:tcPr>
          <w:p w:rsidR="00593999" w:rsidRPr="00EE2B06" w:rsidRDefault="00593999" w:rsidP="0000595E">
            <w:pPr>
              <w:pStyle w:val="TableTextRight"/>
              <w:keepNext/>
              <w:keepLines/>
              <w:rPr>
                <w:i/>
              </w:rPr>
            </w:pPr>
            <w:r w:rsidRPr="00EE2B06">
              <w:rPr>
                <w:i/>
              </w:rPr>
              <w:t>-6.4</w:t>
            </w:r>
          </w:p>
        </w:tc>
        <w:tc>
          <w:tcPr>
            <w:tcW w:w="690" w:type="pct"/>
            <w:vAlign w:val="center"/>
          </w:tcPr>
          <w:p w:rsidR="00593999" w:rsidRPr="00EE2B06" w:rsidRDefault="00593999" w:rsidP="0000595E">
            <w:pPr>
              <w:pStyle w:val="TableTextRight"/>
              <w:keepNext/>
              <w:keepLines/>
              <w:rPr>
                <w:b/>
                <w:i/>
              </w:rPr>
            </w:pPr>
            <w:r w:rsidRPr="00EE2B06">
              <w:rPr>
                <w:b/>
                <w:i/>
              </w:rPr>
              <w:t>-23.3</w:t>
            </w:r>
          </w:p>
        </w:tc>
      </w:tr>
      <w:tr w:rsidR="00593999" w:rsidRPr="007C2713" w:rsidTr="00F7554A">
        <w:tc>
          <w:tcPr>
            <w:tcW w:w="1554" w:type="pct"/>
            <w:shd w:val="clear" w:color="auto" w:fill="D7DDE9" w:themeFill="accent3"/>
          </w:tcPr>
          <w:p w:rsidR="00593999" w:rsidRPr="0055406D" w:rsidRDefault="00593999" w:rsidP="0000595E">
            <w:pPr>
              <w:pStyle w:val="TableText"/>
              <w:keepNext/>
              <w:keepLines/>
              <w:rPr>
                <w:b/>
              </w:rPr>
            </w:pPr>
            <w:r w:rsidRPr="0055406D">
              <w:rPr>
                <w:b/>
              </w:rPr>
              <w:t>Total</w:t>
            </w:r>
          </w:p>
        </w:tc>
        <w:tc>
          <w:tcPr>
            <w:tcW w:w="689" w:type="pct"/>
            <w:shd w:val="clear" w:color="auto" w:fill="D7DDE9" w:themeFill="accent3"/>
            <w:vAlign w:val="center"/>
          </w:tcPr>
          <w:p w:rsidR="00593999" w:rsidRDefault="00593999" w:rsidP="0000595E">
            <w:pPr>
              <w:pStyle w:val="TableTextRight"/>
              <w:keepNext/>
              <w:keepLines/>
              <w:rPr>
                <w:b/>
                <w:bCs/>
              </w:rPr>
            </w:pPr>
            <w:r>
              <w:rPr>
                <w:b/>
                <w:bCs/>
              </w:rPr>
              <w:t>-136.3</w:t>
            </w:r>
          </w:p>
        </w:tc>
        <w:tc>
          <w:tcPr>
            <w:tcW w:w="689" w:type="pct"/>
            <w:shd w:val="clear" w:color="auto" w:fill="D7DDE9" w:themeFill="accent3"/>
            <w:vAlign w:val="center"/>
          </w:tcPr>
          <w:p w:rsidR="00593999" w:rsidRDefault="00593999" w:rsidP="0000595E">
            <w:pPr>
              <w:pStyle w:val="TableTextRight"/>
              <w:keepNext/>
              <w:keepLines/>
              <w:rPr>
                <w:b/>
                <w:bCs/>
              </w:rPr>
            </w:pPr>
            <w:r>
              <w:rPr>
                <w:b/>
                <w:bCs/>
              </w:rPr>
              <w:t>-269.2</w:t>
            </w:r>
          </w:p>
        </w:tc>
        <w:tc>
          <w:tcPr>
            <w:tcW w:w="689" w:type="pct"/>
            <w:shd w:val="clear" w:color="auto" w:fill="D7DDE9" w:themeFill="accent3"/>
            <w:vAlign w:val="center"/>
          </w:tcPr>
          <w:p w:rsidR="00593999" w:rsidRDefault="00593999" w:rsidP="0000595E">
            <w:pPr>
              <w:pStyle w:val="TableTextRight"/>
              <w:keepNext/>
              <w:keepLines/>
              <w:rPr>
                <w:b/>
                <w:bCs/>
              </w:rPr>
            </w:pPr>
            <w:r>
              <w:rPr>
                <w:b/>
                <w:bCs/>
              </w:rPr>
              <w:t>-280.0</w:t>
            </w:r>
          </w:p>
        </w:tc>
        <w:tc>
          <w:tcPr>
            <w:tcW w:w="689" w:type="pct"/>
            <w:shd w:val="clear" w:color="auto" w:fill="D7DDE9" w:themeFill="accent3"/>
            <w:vAlign w:val="center"/>
          </w:tcPr>
          <w:p w:rsidR="00593999" w:rsidRDefault="00593999" w:rsidP="0000595E">
            <w:pPr>
              <w:pStyle w:val="TableTextRight"/>
              <w:keepNext/>
              <w:keepLines/>
              <w:rPr>
                <w:b/>
                <w:bCs/>
              </w:rPr>
            </w:pPr>
            <w:r>
              <w:rPr>
                <w:b/>
                <w:bCs/>
              </w:rPr>
              <w:t>-294.8</w:t>
            </w:r>
          </w:p>
        </w:tc>
        <w:tc>
          <w:tcPr>
            <w:tcW w:w="690" w:type="pct"/>
            <w:shd w:val="clear" w:color="auto" w:fill="D7DDE9" w:themeFill="accent3"/>
            <w:vAlign w:val="center"/>
          </w:tcPr>
          <w:p w:rsidR="00593999" w:rsidRPr="00EF5420" w:rsidRDefault="00593999" w:rsidP="0000595E">
            <w:pPr>
              <w:pStyle w:val="TableTextRight"/>
              <w:keepNext/>
              <w:keepLines/>
              <w:rPr>
                <w:b/>
                <w:bCs/>
              </w:rPr>
            </w:pPr>
            <w:r w:rsidRPr="00EF5420">
              <w:rPr>
                <w:b/>
                <w:bCs/>
              </w:rPr>
              <w:t>-980.4</w:t>
            </w:r>
          </w:p>
        </w:tc>
      </w:tr>
    </w:tbl>
    <w:p w:rsidR="00593999" w:rsidRPr="00EE2B06" w:rsidRDefault="00593999" w:rsidP="00C63C5D">
      <w:pPr>
        <w:pStyle w:val="Footnotes"/>
        <w:keepNext/>
        <w:keepLines/>
        <w:numPr>
          <w:ilvl w:val="0"/>
          <w:numId w:val="174"/>
        </w:numPr>
        <w:ind w:left="284" w:hanging="284"/>
      </w:pPr>
      <w:r w:rsidRPr="00EE2B06">
        <w:t xml:space="preserve">A positive number for the underlying cash balance indicates an increase in receipts or a decrease in </w:t>
      </w:r>
      <w:r w:rsidR="0080154C">
        <w:t>payments</w:t>
      </w:r>
      <w:r w:rsidRPr="00EE2B06">
        <w:t xml:space="preserve"> or net capital investment in cash terms.  A negative number for the underlying cash balance indicates a decrease in receipts or an increase in </w:t>
      </w:r>
      <w:r w:rsidR="0080154C">
        <w:t>payments</w:t>
      </w:r>
      <w:r w:rsidRPr="00EE2B06">
        <w:t xml:space="preserve"> or net capital investment in cash terms.</w:t>
      </w:r>
    </w:p>
    <w:p w:rsidR="00593999" w:rsidRPr="005F544A" w:rsidRDefault="00593999" w:rsidP="00C63C5D">
      <w:pPr>
        <w:pStyle w:val="Footnotes"/>
        <w:keepNext/>
        <w:keepLines/>
        <w:spacing w:after="120"/>
        <w:ind w:left="284" w:hanging="284"/>
      </w:pPr>
      <w:r w:rsidRPr="005F544A">
        <w:t>Figures may not sum to totals due to rounding.</w:t>
      </w:r>
    </w:p>
    <w:p w:rsidR="00593999" w:rsidRPr="005F544A" w:rsidRDefault="00593999" w:rsidP="00C63C5D">
      <w:pPr>
        <w:pStyle w:val="Footnotes"/>
        <w:keepNext/>
        <w:keepLines/>
        <w:numPr>
          <w:ilvl w:val="0"/>
          <w:numId w:val="0"/>
        </w:numPr>
        <w:ind w:left="284" w:hanging="284"/>
      </w:pPr>
      <w:r w:rsidRPr="005F544A">
        <w:t>-</w:t>
      </w:r>
      <w:r w:rsidRPr="005F544A">
        <w:tab/>
        <w:t>Indicates nil.</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593999" w:rsidRDefault="00593999" w:rsidP="00593999">
      <w:pPr>
        <w:pStyle w:val="Heading5"/>
        <w:ind w:left="1080" w:hanging="1080"/>
      </w:pPr>
      <w:bookmarkStart w:id="120" w:name="_Toc455655042"/>
      <w:bookmarkStart w:id="121" w:name="_Toc458081710"/>
      <w:r>
        <w:t>ALP0</w:t>
      </w:r>
      <w:r w:rsidR="009221D1">
        <w:t>86</w:t>
      </w:r>
      <w:r>
        <w:t>: Pathology and Radiology</w:t>
      </w:r>
      <w:bookmarkEnd w:id="120"/>
      <w:bookmarkEnd w:id="121"/>
    </w:p>
    <w:p w:rsidR="00593999" w:rsidRDefault="00593999" w:rsidP="00275C35">
      <w:pPr>
        <w:pStyle w:val="BodyText"/>
      </w:pPr>
      <w:r>
        <w:rPr>
          <w:noProof/>
          <w:lang w:eastAsia="en-AU"/>
        </w:rPr>
        <w:drawing>
          <wp:inline distT="0" distB="0" distL="0" distR="0" wp14:anchorId="3B739465" wp14:editId="5C10B6F0">
            <wp:extent cx="2696845" cy="572135"/>
            <wp:effectExtent l="0" t="0" r="8255" b="0"/>
            <wp:docPr id="14" name="Picture 14"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93999" w:rsidRDefault="00593999" w:rsidP="00593999">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593999" w:rsidRPr="008851BD"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593999" w:rsidRPr="008851BD" w:rsidRDefault="00593999" w:rsidP="00F7554A">
            <w:pPr>
              <w:pStyle w:val="PullOutBoxHeading"/>
              <w:rPr>
                <w:b/>
              </w:rPr>
            </w:pPr>
            <w:r w:rsidRPr="008851BD">
              <w:rPr>
                <w:b/>
              </w:rPr>
              <w:t>Name of proposal:</w:t>
            </w:r>
          </w:p>
        </w:tc>
        <w:tc>
          <w:tcPr>
            <w:tcW w:w="3191" w:type="pct"/>
          </w:tcPr>
          <w:p w:rsidR="00593999" w:rsidRPr="008851BD" w:rsidRDefault="00593999" w:rsidP="00F7554A">
            <w:pPr>
              <w:pStyle w:val="PullOutBoxHeading"/>
              <w:rPr>
                <w:b/>
              </w:rPr>
            </w:pPr>
            <w:r w:rsidRPr="008851BD">
              <w:rPr>
                <w:b/>
              </w:rPr>
              <w:t>Pathology and Radiology</w:t>
            </w:r>
          </w:p>
        </w:tc>
      </w:tr>
      <w:tr w:rsidR="00593999" w:rsidRPr="00B45F94" w:rsidTr="00F7554A">
        <w:tc>
          <w:tcPr>
            <w:tcW w:w="1809" w:type="pct"/>
          </w:tcPr>
          <w:p w:rsidR="00593999" w:rsidRPr="00B45F94" w:rsidRDefault="00593999" w:rsidP="00F7554A">
            <w:pPr>
              <w:pStyle w:val="PullOutBoxBodyText"/>
            </w:pPr>
            <w:r w:rsidRPr="00B45F94">
              <w:t>Summary of proposal:</w:t>
            </w:r>
          </w:p>
        </w:tc>
        <w:tc>
          <w:tcPr>
            <w:tcW w:w="3191" w:type="pct"/>
          </w:tcPr>
          <w:p w:rsidR="00593999" w:rsidRDefault="00593999" w:rsidP="00F7554A">
            <w:pPr>
              <w:pStyle w:val="PullOutBoxBodyText"/>
            </w:pPr>
            <w:r>
              <w:t xml:space="preserve">The proposal would reverse the 2015-16 Mid-Year Economic and Fiscal Outlook (MYEFO) measure, </w:t>
            </w:r>
            <w:r w:rsidRPr="00296B6D">
              <w:rPr>
                <w:i/>
              </w:rPr>
              <w:t>Medicare Benefits Schedule – changes to diagnostic imaging and pathology services bulk-billing incentives</w:t>
            </w:r>
            <w:r>
              <w:t>.</w:t>
            </w:r>
          </w:p>
          <w:p w:rsidR="00593999" w:rsidRPr="00B45F94" w:rsidRDefault="00593999" w:rsidP="00F7554A">
            <w:pPr>
              <w:pStyle w:val="PullOutBoxBodyText"/>
            </w:pPr>
            <w:r>
              <w:t>The proposal would have effect from 1 July 2016.</w:t>
            </w:r>
          </w:p>
        </w:tc>
      </w:tr>
      <w:tr w:rsidR="00593999" w:rsidRPr="00B45F94" w:rsidTr="00F7554A">
        <w:tc>
          <w:tcPr>
            <w:tcW w:w="1809" w:type="pct"/>
          </w:tcPr>
          <w:p w:rsidR="00593999" w:rsidRPr="00B45F94" w:rsidRDefault="00593999" w:rsidP="00F7554A">
            <w:pPr>
              <w:pStyle w:val="PullOutBoxBodyText"/>
            </w:pPr>
            <w:r>
              <w:t>Party:</w:t>
            </w:r>
          </w:p>
        </w:tc>
        <w:tc>
          <w:tcPr>
            <w:tcW w:w="3191" w:type="pct"/>
          </w:tcPr>
          <w:p w:rsidR="00593999" w:rsidRPr="00B45F94" w:rsidRDefault="00593999" w:rsidP="00F7554A">
            <w:pPr>
              <w:pStyle w:val="PullOutBoxBodyText"/>
            </w:pPr>
            <w:r>
              <w:t>Australian Labor Party</w:t>
            </w:r>
          </w:p>
        </w:tc>
      </w:tr>
      <w:tr w:rsidR="00593999" w:rsidRPr="00B45F94" w:rsidTr="00F7554A">
        <w:tc>
          <w:tcPr>
            <w:tcW w:w="1809" w:type="pct"/>
          </w:tcPr>
          <w:p w:rsidR="00593999" w:rsidRPr="00B45F94" w:rsidRDefault="00593999" w:rsidP="00F7554A">
            <w:pPr>
              <w:pStyle w:val="PullOutBoxBodyText"/>
            </w:pPr>
            <w:r w:rsidRPr="00B45F94">
              <w:t>Expiry date for the costing:</w:t>
            </w:r>
          </w:p>
        </w:tc>
        <w:tc>
          <w:tcPr>
            <w:tcW w:w="3191" w:type="pct"/>
          </w:tcPr>
          <w:p w:rsidR="00593999" w:rsidRPr="00B45F94" w:rsidRDefault="00593999" w:rsidP="00F7554A">
            <w:pPr>
              <w:pStyle w:val="PullOutBoxBodyText"/>
            </w:pPr>
            <w:r>
              <w:t>Release of the next economic and fiscal update</w:t>
            </w:r>
          </w:p>
        </w:tc>
      </w:tr>
    </w:tbl>
    <w:p w:rsidR="00593999" w:rsidRDefault="00593999" w:rsidP="00593999">
      <w:pPr>
        <w:pStyle w:val="CostingsH7"/>
      </w:pPr>
      <w:r w:rsidRPr="00BF1EE6">
        <w:t>Costing overview</w:t>
      </w:r>
    </w:p>
    <w:p w:rsidR="00593999" w:rsidRDefault="00593999" w:rsidP="00593999">
      <w:pPr>
        <w:pStyle w:val="BodyText"/>
      </w:pPr>
      <w:r>
        <w:t>Changes to diagnostic imaging and pathology services bulk-billing incentives were announced in the 2015-16 MYEFO.  These changes included:</w:t>
      </w:r>
    </w:p>
    <w:p w:rsidR="00593999" w:rsidRDefault="00593999" w:rsidP="00593999">
      <w:pPr>
        <w:pStyle w:val="ListBullet"/>
      </w:pPr>
      <w:r>
        <w:t>removing bulk-billing incentives for pathology services</w:t>
      </w:r>
    </w:p>
    <w:p w:rsidR="00593999" w:rsidRDefault="00593999" w:rsidP="00593999">
      <w:pPr>
        <w:pStyle w:val="ListBullet"/>
      </w:pPr>
      <w:r>
        <w:t>aligning bulk-billing incentives for diagnostic imaging services with those that apply to general practitioner services</w:t>
      </w:r>
    </w:p>
    <w:p w:rsidR="00593999" w:rsidRDefault="00593999" w:rsidP="00593999">
      <w:pPr>
        <w:pStyle w:val="ListBullet"/>
      </w:pPr>
      <w:r>
        <w:t>reducing the bulk-billing incentive for Magnetic Resonance Imaging (MRI) services from 15 per cent to 10 per cent of the Medicare Benefits Schedule fee, aligning it with other diagnostic imaging services.</w:t>
      </w:r>
    </w:p>
    <w:p w:rsidR="00593999" w:rsidRDefault="00593999" w:rsidP="00593999">
      <w:pPr>
        <w:pStyle w:val="BodyText"/>
      </w:pPr>
      <w:r>
        <w:t>These changes were scheduled to take effect from 1 July 2016.  Bulk-billing incentives for diagnostic imaging services would continue to apply for patients with concession cards and children under 16 years of age.</w:t>
      </w:r>
    </w:p>
    <w:p w:rsidR="00593999" w:rsidRDefault="00593999" w:rsidP="00593999">
      <w:pPr>
        <w:pStyle w:val="BodyText"/>
      </w:pPr>
      <w:r>
        <w:t>This proposal would be expected to decrease the fiscal balance by $896.1 million and the underlying cash balance by $884.2 million over the 2016</w:t>
      </w:r>
      <w:r w:rsidR="0000595E">
        <w:t>-</w:t>
      </w:r>
      <w:r>
        <w:t>17 Budget forward estimates period.  This impact is the net effect of an increase in administrated expenses for the Department of Health and a decrease in departmental expenses for the Department of Human Services (DHS).</w:t>
      </w:r>
    </w:p>
    <w:p w:rsidR="00593999" w:rsidRDefault="00593999" w:rsidP="00593999">
      <w:pPr>
        <w:pStyle w:val="BodyText"/>
      </w:pPr>
      <w:r>
        <w:t>The proposal would be expected to decrease the departmental expenses for DHS due to a reversal of the increase in patient-billed services and decrease in bulk billed services reflected in the 2015-16 MYEFO measure.  As the reversal of the measure would occur after the implementation of the changes there would be no savings associated with upfront costs.</w:t>
      </w:r>
    </w:p>
    <w:p w:rsidR="00593999" w:rsidRDefault="00593999" w:rsidP="00593999">
      <w:pPr>
        <w:pStyle w:val="BodyText"/>
      </w:pPr>
      <w:r>
        <w:t>The proposal has different impacts on the fiscal and underlying cash balances due to a lag between when services are provided and when payments are made under the Medicare Benefits Schedule.</w:t>
      </w:r>
    </w:p>
    <w:p w:rsidR="00593999" w:rsidRDefault="00593999" w:rsidP="00593999">
      <w:pPr>
        <w:pStyle w:val="BodyText"/>
      </w:pPr>
      <w:r>
        <w:t>The proposal would have an ongoing impact that extends beyond the 2016</w:t>
      </w:r>
      <w:r>
        <w:noBreakHyphen/>
        <w:t xml:space="preserve">17 Budget forward estimates period.  A breakdown of the impact over the 2016-17 Budget forward estimates period is provided at </w:t>
      </w:r>
      <w:r w:rsidRPr="00296B6D">
        <w:rPr>
          <w:u w:val="single"/>
        </w:rPr>
        <w:t>Attachment A</w:t>
      </w:r>
      <w:r>
        <w:t>.</w:t>
      </w:r>
    </w:p>
    <w:p w:rsidR="00593999" w:rsidRPr="00296B6D" w:rsidRDefault="00593999" w:rsidP="00593999">
      <w:pPr>
        <w:pStyle w:val="BodyText"/>
      </w:pPr>
      <w:r>
        <w:t>The financial implications are considered to be of high reliability as the estimates are based on the 2015-16 MYEFO measure.</w:t>
      </w:r>
    </w:p>
    <w:p w:rsidR="00593999" w:rsidRDefault="00593999" w:rsidP="00593999">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593999"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593999" w:rsidRPr="00D264E1" w:rsidRDefault="00593999" w:rsidP="00F7554A">
            <w:pPr>
              <w:pStyle w:val="TableHeading"/>
            </w:pPr>
            <w:r>
              <w:t>Impact on ($m)</w:t>
            </w:r>
          </w:p>
        </w:tc>
        <w:tc>
          <w:tcPr>
            <w:tcW w:w="721" w:type="pct"/>
          </w:tcPr>
          <w:p w:rsidR="00593999" w:rsidRPr="00FC1F1C" w:rsidRDefault="00593999" w:rsidP="00F7554A">
            <w:pPr>
              <w:pStyle w:val="TableHeadingRight"/>
            </w:pPr>
            <w:r>
              <w:t>2016–17</w:t>
            </w:r>
          </w:p>
        </w:tc>
        <w:tc>
          <w:tcPr>
            <w:tcW w:w="721" w:type="pct"/>
          </w:tcPr>
          <w:p w:rsidR="00593999" w:rsidRPr="00FC1F1C" w:rsidRDefault="00593999" w:rsidP="00F7554A">
            <w:pPr>
              <w:pStyle w:val="TableHeadingRight"/>
            </w:pPr>
            <w:r>
              <w:t>2017–18</w:t>
            </w:r>
          </w:p>
        </w:tc>
        <w:tc>
          <w:tcPr>
            <w:tcW w:w="722" w:type="pct"/>
          </w:tcPr>
          <w:p w:rsidR="00593999" w:rsidRPr="00FC1F1C" w:rsidRDefault="00593999" w:rsidP="00F7554A">
            <w:pPr>
              <w:pStyle w:val="TableHeadingRight"/>
            </w:pPr>
            <w:r>
              <w:t>2018–19</w:t>
            </w:r>
          </w:p>
        </w:tc>
        <w:tc>
          <w:tcPr>
            <w:tcW w:w="721" w:type="pct"/>
          </w:tcPr>
          <w:p w:rsidR="00593999" w:rsidRPr="00FC1F1C" w:rsidRDefault="00593999" w:rsidP="00F7554A">
            <w:pPr>
              <w:pStyle w:val="TableHeadingRight"/>
            </w:pPr>
            <w:r>
              <w:t>2019–20</w:t>
            </w:r>
          </w:p>
        </w:tc>
        <w:tc>
          <w:tcPr>
            <w:tcW w:w="722" w:type="pct"/>
          </w:tcPr>
          <w:p w:rsidR="00593999" w:rsidRPr="00FC1F1C" w:rsidRDefault="00593999" w:rsidP="00F7554A">
            <w:pPr>
              <w:pStyle w:val="TableHeadingRight"/>
              <w:rPr>
                <w:b/>
              </w:rPr>
            </w:pPr>
            <w:r w:rsidRPr="00FC1F1C">
              <w:t>Total</w:t>
            </w:r>
          </w:p>
        </w:tc>
      </w:tr>
      <w:tr w:rsidR="00593999" w:rsidTr="00F7554A">
        <w:tc>
          <w:tcPr>
            <w:tcW w:w="1393" w:type="pct"/>
          </w:tcPr>
          <w:p w:rsidR="00593999" w:rsidRDefault="00593999" w:rsidP="00F7554A">
            <w:pPr>
              <w:pStyle w:val="TableText"/>
            </w:pPr>
            <w:r>
              <w:t>Fiscal balance</w:t>
            </w:r>
          </w:p>
        </w:tc>
        <w:tc>
          <w:tcPr>
            <w:tcW w:w="721" w:type="pct"/>
            <w:vAlign w:val="center"/>
          </w:tcPr>
          <w:p w:rsidR="00593999" w:rsidRPr="00A844CE" w:rsidRDefault="00593999" w:rsidP="00F7554A">
            <w:pPr>
              <w:pStyle w:val="TableTextRight"/>
            </w:pPr>
            <w:r w:rsidRPr="00A844CE">
              <w:t>-207.9</w:t>
            </w:r>
          </w:p>
        </w:tc>
        <w:tc>
          <w:tcPr>
            <w:tcW w:w="721" w:type="pct"/>
            <w:vAlign w:val="center"/>
          </w:tcPr>
          <w:p w:rsidR="00593999" w:rsidRPr="00A844CE" w:rsidRDefault="00593999" w:rsidP="00F7554A">
            <w:pPr>
              <w:pStyle w:val="TableTextRight"/>
            </w:pPr>
            <w:r w:rsidRPr="00A844CE">
              <w:t>-218.2</w:t>
            </w:r>
          </w:p>
        </w:tc>
        <w:tc>
          <w:tcPr>
            <w:tcW w:w="722" w:type="pct"/>
            <w:vAlign w:val="center"/>
          </w:tcPr>
          <w:p w:rsidR="00593999" w:rsidRPr="00A844CE" w:rsidRDefault="00593999" w:rsidP="00F7554A">
            <w:pPr>
              <w:pStyle w:val="TableTextRight"/>
            </w:pPr>
            <w:r w:rsidRPr="00A844CE">
              <w:t>-228.9</w:t>
            </w:r>
          </w:p>
        </w:tc>
        <w:tc>
          <w:tcPr>
            <w:tcW w:w="721" w:type="pct"/>
            <w:vAlign w:val="center"/>
          </w:tcPr>
          <w:p w:rsidR="00593999" w:rsidRPr="00A844CE" w:rsidRDefault="00593999" w:rsidP="00F7554A">
            <w:pPr>
              <w:pStyle w:val="TableTextRight"/>
            </w:pPr>
            <w:r w:rsidRPr="00A844CE">
              <w:t>-241.1</w:t>
            </w:r>
          </w:p>
        </w:tc>
        <w:tc>
          <w:tcPr>
            <w:tcW w:w="722" w:type="pct"/>
            <w:vAlign w:val="center"/>
          </w:tcPr>
          <w:p w:rsidR="00593999" w:rsidRPr="00A844CE" w:rsidRDefault="00593999" w:rsidP="00F7554A">
            <w:pPr>
              <w:pStyle w:val="TableTextRight"/>
              <w:rPr>
                <w:b/>
              </w:rPr>
            </w:pPr>
            <w:r w:rsidRPr="00A844CE">
              <w:rPr>
                <w:b/>
              </w:rPr>
              <w:t>-896.1</w:t>
            </w:r>
          </w:p>
        </w:tc>
      </w:tr>
      <w:tr w:rsidR="00593999" w:rsidTr="00F7554A">
        <w:tc>
          <w:tcPr>
            <w:tcW w:w="1393" w:type="pct"/>
          </w:tcPr>
          <w:p w:rsidR="00593999" w:rsidRDefault="00593999" w:rsidP="00F7554A">
            <w:pPr>
              <w:pStyle w:val="TableText"/>
            </w:pPr>
            <w:r>
              <w:t>Underlying cash balance</w:t>
            </w:r>
          </w:p>
        </w:tc>
        <w:tc>
          <w:tcPr>
            <w:tcW w:w="721" w:type="pct"/>
            <w:vAlign w:val="center"/>
          </w:tcPr>
          <w:p w:rsidR="00593999" w:rsidRPr="00A844CE" w:rsidRDefault="00593999" w:rsidP="00F7554A">
            <w:pPr>
              <w:pStyle w:val="TableTextRight"/>
            </w:pPr>
            <w:r w:rsidRPr="00A844CE">
              <w:t>-197.4</w:t>
            </w:r>
          </w:p>
        </w:tc>
        <w:tc>
          <w:tcPr>
            <w:tcW w:w="721" w:type="pct"/>
            <w:vAlign w:val="center"/>
          </w:tcPr>
          <w:p w:rsidR="00593999" w:rsidRPr="00A844CE" w:rsidRDefault="00593999" w:rsidP="00F7554A">
            <w:pPr>
              <w:pStyle w:val="TableTextRight"/>
            </w:pPr>
            <w:r w:rsidRPr="00A844CE">
              <w:t>-217.9</w:t>
            </w:r>
          </w:p>
        </w:tc>
        <w:tc>
          <w:tcPr>
            <w:tcW w:w="722" w:type="pct"/>
            <w:vAlign w:val="center"/>
          </w:tcPr>
          <w:p w:rsidR="00593999" w:rsidRPr="00A844CE" w:rsidRDefault="00593999" w:rsidP="00F7554A">
            <w:pPr>
              <w:pStyle w:val="TableTextRight"/>
            </w:pPr>
            <w:r w:rsidRPr="00A844CE">
              <w:t>-228.5</w:t>
            </w:r>
          </w:p>
        </w:tc>
        <w:tc>
          <w:tcPr>
            <w:tcW w:w="721" w:type="pct"/>
            <w:vAlign w:val="center"/>
          </w:tcPr>
          <w:p w:rsidR="00593999" w:rsidRPr="00A844CE" w:rsidRDefault="00593999" w:rsidP="00F7554A">
            <w:pPr>
              <w:pStyle w:val="TableTextRight"/>
            </w:pPr>
            <w:r w:rsidRPr="00A844CE">
              <w:t>-240.5</w:t>
            </w:r>
          </w:p>
        </w:tc>
        <w:tc>
          <w:tcPr>
            <w:tcW w:w="722" w:type="pct"/>
            <w:vAlign w:val="center"/>
          </w:tcPr>
          <w:p w:rsidR="00593999" w:rsidRPr="00A844CE" w:rsidRDefault="00593999" w:rsidP="00F7554A">
            <w:pPr>
              <w:pStyle w:val="TableTextRight"/>
              <w:rPr>
                <w:b/>
              </w:rPr>
            </w:pPr>
            <w:r w:rsidRPr="00A844CE">
              <w:rPr>
                <w:b/>
              </w:rPr>
              <w:t>-884.2</w:t>
            </w:r>
          </w:p>
        </w:tc>
      </w:tr>
    </w:tbl>
    <w:p w:rsidR="00593999" w:rsidRDefault="00593999" w:rsidP="002C43F8">
      <w:pPr>
        <w:pStyle w:val="Footnotes"/>
        <w:numPr>
          <w:ilvl w:val="0"/>
          <w:numId w:val="175"/>
        </w:numPr>
        <w:ind w:left="284" w:hanging="284"/>
      </w:pPr>
      <w:r>
        <w:t xml:space="preserve">A positive </w:t>
      </w:r>
      <w:r w:rsidRPr="00FC1F1C">
        <w:t>number indicates an increase in the relevant budget balance, a negative number a decrease.</w:t>
      </w:r>
    </w:p>
    <w:p w:rsidR="00593999" w:rsidRPr="000E063A" w:rsidRDefault="00593999" w:rsidP="00C63C5D">
      <w:pPr>
        <w:pStyle w:val="Footnotes"/>
        <w:ind w:left="284" w:hanging="284"/>
        <w:rPr>
          <w:rStyle w:val="FootnoteReference"/>
          <w:vertAlign w:val="baseline"/>
        </w:rPr>
      </w:pPr>
      <w:r w:rsidRPr="000E063A">
        <w:t>Figures may not sum to totals due to rounding.</w:t>
      </w:r>
    </w:p>
    <w:p w:rsidR="00593999" w:rsidRDefault="00593999" w:rsidP="00593999">
      <w:pPr>
        <w:pStyle w:val="CostingsH7"/>
      </w:pPr>
      <w:r>
        <w:t>Key assumptions</w:t>
      </w:r>
    </w:p>
    <w:p w:rsidR="00593999" w:rsidRPr="0056212D" w:rsidRDefault="00593999" w:rsidP="00593999">
      <w:pPr>
        <w:pStyle w:val="BodyText"/>
      </w:pPr>
      <w:r w:rsidRPr="0056212D">
        <w:t>In costing this proposal it has been assumed that the number of bulk-billed and patient billed services would be at the same level as before the introduction of the 2015-16 MYEFO measure.</w:t>
      </w:r>
    </w:p>
    <w:p w:rsidR="00593999" w:rsidRDefault="00593999" w:rsidP="00593999">
      <w:pPr>
        <w:pStyle w:val="CostingsH7"/>
      </w:pPr>
      <w:r>
        <w:t>Methodology</w:t>
      </w:r>
    </w:p>
    <w:p w:rsidR="00593999" w:rsidRPr="0056212D" w:rsidRDefault="00593999" w:rsidP="00593999">
      <w:pPr>
        <w:pStyle w:val="BodyText"/>
      </w:pPr>
      <w:r w:rsidRPr="0056212D">
        <w:t xml:space="preserve">The 2015-16 MYEFO measure was updated by applying the annual growth rates of number of services underpinning the Parliamentary Budget Office report, </w:t>
      </w:r>
      <w:r w:rsidRPr="001B36ED">
        <w:rPr>
          <w:i/>
        </w:rPr>
        <w:t>Report no. 04/201</w:t>
      </w:r>
      <w:r>
        <w:rPr>
          <w:i/>
        </w:rPr>
        <w:t>5</w:t>
      </w:r>
      <w:r w:rsidRPr="001B36ED">
        <w:rPr>
          <w:i/>
        </w:rPr>
        <w:t xml:space="preserve">: </w:t>
      </w:r>
      <w:r w:rsidRPr="0056212D">
        <w:rPr>
          <w:i/>
        </w:rPr>
        <w:t>Medicare Benefits Schedule: Spending trends and projections</w:t>
      </w:r>
      <w:r w:rsidRPr="0056212D">
        <w:t>.  The impact of the proposal was then derived by reversing the impact of the measure.</w:t>
      </w:r>
    </w:p>
    <w:p w:rsidR="00593999" w:rsidRDefault="00593999" w:rsidP="00593999">
      <w:pPr>
        <w:pStyle w:val="CostingsH7"/>
      </w:pPr>
      <w:r>
        <w:t>Data sources</w:t>
      </w:r>
    </w:p>
    <w:p w:rsidR="00593999" w:rsidRDefault="00593999" w:rsidP="00593999">
      <w:r>
        <w:t xml:space="preserve">DHS provided the 2015-16 MYEFO measure, </w:t>
      </w:r>
      <w:r w:rsidRPr="00D80E5C">
        <w:rPr>
          <w:i/>
        </w:rPr>
        <w:t>Medicare Benefits Schedule – changes to diagnostic imaging and pathology services bulk-billing incentives</w:t>
      </w:r>
      <w:r w:rsidRPr="00D65121">
        <w:t xml:space="preserve"> costing model</w:t>
      </w:r>
      <w:r>
        <w:t xml:space="preserve"> over 2015</w:t>
      </w:r>
      <w:r>
        <w:noBreakHyphen/>
        <w:t>16 to 2019</w:t>
      </w:r>
      <w:r>
        <w:noBreakHyphen/>
        <w:t>20.</w:t>
      </w:r>
    </w:p>
    <w:p w:rsidR="00593999" w:rsidRPr="006B63AC" w:rsidRDefault="00593999" w:rsidP="00593999">
      <w:r>
        <w:t>Parliamentary Budget Office 2015,</w:t>
      </w:r>
      <w:r w:rsidRPr="003B614E">
        <w:rPr>
          <w:i/>
        </w:rPr>
        <w:t xml:space="preserve"> </w:t>
      </w:r>
      <w:r>
        <w:rPr>
          <w:i/>
        </w:rPr>
        <w:t xml:space="preserve">Report no. 04/2015: </w:t>
      </w:r>
      <w:r w:rsidRPr="003B614E">
        <w:rPr>
          <w:i/>
        </w:rPr>
        <w:t>Medicare Benefits Schedule: Spending trends and projections</w:t>
      </w:r>
      <w:r w:rsidRPr="0056212D">
        <w:t>, PBO, Canberra</w:t>
      </w:r>
      <w:r>
        <w:rPr>
          <w:i/>
        </w:rPr>
        <w:t>.</w:t>
      </w:r>
    </w:p>
    <w:p w:rsidR="006B63AC" w:rsidRPr="006B63AC" w:rsidRDefault="006B63AC" w:rsidP="00593999"/>
    <w:p w:rsidR="006B63AC" w:rsidRDefault="006B63AC" w:rsidP="00593999">
      <w:pPr>
        <w:sectPr w:rsidR="006B63AC" w:rsidSect="00967BCD">
          <w:footnotePr>
            <w:numRestart w:val="eachSect"/>
          </w:footnotePr>
          <w:pgSz w:w="11906" w:h="16838" w:code="9"/>
          <w:pgMar w:top="1361" w:right="1797" w:bottom="1474" w:left="1797" w:header="283" w:footer="454" w:gutter="0"/>
          <w:cols w:space="708"/>
          <w:docGrid w:linePitch="360"/>
        </w:sectPr>
      </w:pPr>
    </w:p>
    <w:p w:rsidR="00593999" w:rsidRDefault="00593999" w:rsidP="00593999">
      <w:pPr>
        <w:pStyle w:val="Heading6"/>
        <w:numPr>
          <w:ilvl w:val="0"/>
          <w:numId w:val="10"/>
        </w:numPr>
        <w:tabs>
          <w:tab w:val="right" w:pos="1418"/>
          <w:tab w:val="right" w:pos="1701"/>
          <w:tab w:val="right" w:pos="1985"/>
        </w:tabs>
        <w:spacing w:before="480"/>
      </w:pPr>
      <w:r>
        <w:t>Attachment A: Pathology and Radiology—</w:t>
      </w:r>
      <w:r w:rsidR="0080154C">
        <w:t>financial implications</w:t>
      </w:r>
    </w:p>
    <w:p w:rsidR="00593999" w:rsidRDefault="00593999" w:rsidP="00593999">
      <w:pPr>
        <w:pStyle w:val="Caption"/>
        <w:keepLines/>
      </w:pPr>
      <w:r w:rsidRPr="002B36F1">
        <w:t xml:space="preserve">Table </w:t>
      </w:r>
      <w:r>
        <w:t>A1</w:t>
      </w:r>
      <w:r w:rsidRPr="002B36F1">
        <w:t>:</w:t>
      </w:r>
      <w:r>
        <w:t xml:space="preserve"> Pathology and Radiology—Fiscal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93999"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93999" w:rsidRPr="007C2713" w:rsidRDefault="00593999" w:rsidP="00F7554A">
            <w:pPr>
              <w:pStyle w:val="TableText"/>
              <w:keepNext/>
              <w:keepLines/>
              <w:rPr>
                <w:b w:val="0"/>
              </w:rPr>
            </w:pPr>
            <w:r>
              <w:t>($)</w:t>
            </w:r>
          </w:p>
        </w:tc>
        <w:tc>
          <w:tcPr>
            <w:tcW w:w="689" w:type="pct"/>
            <w:vAlign w:val="center"/>
          </w:tcPr>
          <w:p w:rsidR="00593999" w:rsidRDefault="00593999" w:rsidP="00F7554A">
            <w:pPr>
              <w:pStyle w:val="TableTextRight"/>
              <w:keepNext/>
              <w:keepLines/>
              <w:rPr>
                <w:b w:val="0"/>
              </w:rPr>
            </w:pPr>
            <w:r>
              <w:t>2016–17</w:t>
            </w:r>
          </w:p>
        </w:tc>
        <w:tc>
          <w:tcPr>
            <w:tcW w:w="689" w:type="pct"/>
            <w:vAlign w:val="center"/>
          </w:tcPr>
          <w:p w:rsidR="00593999" w:rsidRDefault="00593999" w:rsidP="00F7554A">
            <w:pPr>
              <w:pStyle w:val="TableTextRight"/>
              <w:keepNext/>
              <w:keepLines/>
              <w:rPr>
                <w:b w:val="0"/>
              </w:rPr>
            </w:pPr>
            <w:r>
              <w:t>2017–18</w:t>
            </w:r>
          </w:p>
        </w:tc>
        <w:tc>
          <w:tcPr>
            <w:tcW w:w="689" w:type="pct"/>
            <w:vAlign w:val="center"/>
          </w:tcPr>
          <w:p w:rsidR="00593999" w:rsidRDefault="00593999" w:rsidP="00F7554A">
            <w:pPr>
              <w:pStyle w:val="TableTextRight"/>
              <w:keepNext/>
              <w:keepLines/>
              <w:rPr>
                <w:b w:val="0"/>
              </w:rPr>
            </w:pPr>
            <w:r>
              <w:t>2018–19</w:t>
            </w:r>
          </w:p>
        </w:tc>
        <w:tc>
          <w:tcPr>
            <w:tcW w:w="689" w:type="pct"/>
            <w:vAlign w:val="center"/>
          </w:tcPr>
          <w:p w:rsidR="00593999" w:rsidRDefault="00593999" w:rsidP="00F7554A">
            <w:pPr>
              <w:pStyle w:val="TableTextRight"/>
              <w:keepNext/>
              <w:keepLines/>
              <w:rPr>
                <w:b w:val="0"/>
              </w:rPr>
            </w:pPr>
            <w:r>
              <w:t>2019–20</w:t>
            </w:r>
          </w:p>
        </w:tc>
        <w:tc>
          <w:tcPr>
            <w:tcW w:w="690" w:type="pct"/>
            <w:vAlign w:val="center"/>
          </w:tcPr>
          <w:p w:rsidR="00593999" w:rsidRDefault="00593999" w:rsidP="00F7554A">
            <w:pPr>
              <w:pStyle w:val="TableTextRight"/>
              <w:keepNext/>
              <w:keepLines/>
            </w:pPr>
            <w:r>
              <w:t>Total to 2019–20</w:t>
            </w:r>
          </w:p>
        </w:tc>
      </w:tr>
      <w:tr w:rsidR="00593999" w:rsidTr="00F7554A">
        <w:tc>
          <w:tcPr>
            <w:tcW w:w="1554" w:type="pct"/>
            <w:vAlign w:val="center"/>
          </w:tcPr>
          <w:p w:rsidR="00593999" w:rsidRPr="00EE7CF8" w:rsidRDefault="00593999" w:rsidP="00F7554A">
            <w:pPr>
              <w:pStyle w:val="TableText"/>
            </w:pPr>
            <w:r w:rsidRPr="00EE7CF8">
              <w:t>Administered</w:t>
            </w:r>
            <w:r>
              <w:t xml:space="preserve"> – Department of Health</w:t>
            </w:r>
          </w:p>
        </w:tc>
        <w:tc>
          <w:tcPr>
            <w:tcW w:w="689" w:type="pct"/>
            <w:vAlign w:val="center"/>
          </w:tcPr>
          <w:p w:rsidR="00593999" w:rsidRPr="0056212D" w:rsidRDefault="00593999" w:rsidP="00F7554A">
            <w:pPr>
              <w:pStyle w:val="TableTextRight"/>
              <w:rPr>
                <w:i/>
              </w:rPr>
            </w:pPr>
            <w:r w:rsidRPr="0056212D">
              <w:rPr>
                <w:i/>
              </w:rPr>
              <w:t>-215.8</w:t>
            </w:r>
          </w:p>
        </w:tc>
        <w:tc>
          <w:tcPr>
            <w:tcW w:w="689" w:type="pct"/>
            <w:vAlign w:val="center"/>
          </w:tcPr>
          <w:p w:rsidR="00593999" w:rsidRPr="0056212D" w:rsidRDefault="00593999" w:rsidP="00F7554A">
            <w:pPr>
              <w:pStyle w:val="TableTextRight"/>
              <w:rPr>
                <w:i/>
              </w:rPr>
            </w:pPr>
            <w:r w:rsidRPr="0056212D">
              <w:rPr>
                <w:i/>
              </w:rPr>
              <w:t>-225.2</w:t>
            </w:r>
          </w:p>
        </w:tc>
        <w:tc>
          <w:tcPr>
            <w:tcW w:w="689" w:type="pct"/>
            <w:vAlign w:val="center"/>
          </w:tcPr>
          <w:p w:rsidR="00593999" w:rsidRPr="0056212D" w:rsidRDefault="00593999" w:rsidP="00F7554A">
            <w:pPr>
              <w:pStyle w:val="TableTextRight"/>
              <w:rPr>
                <w:i/>
              </w:rPr>
            </w:pPr>
            <w:r w:rsidRPr="0056212D">
              <w:rPr>
                <w:i/>
              </w:rPr>
              <w:t>-234.6</w:t>
            </w:r>
          </w:p>
        </w:tc>
        <w:tc>
          <w:tcPr>
            <w:tcW w:w="689" w:type="pct"/>
            <w:vAlign w:val="center"/>
          </w:tcPr>
          <w:p w:rsidR="00593999" w:rsidRPr="0056212D" w:rsidRDefault="00593999" w:rsidP="00F7554A">
            <w:pPr>
              <w:pStyle w:val="TableTextRight"/>
              <w:rPr>
                <w:i/>
              </w:rPr>
            </w:pPr>
            <w:r w:rsidRPr="0056212D">
              <w:rPr>
                <w:i/>
              </w:rPr>
              <w:t>-247.0</w:t>
            </w:r>
          </w:p>
        </w:tc>
        <w:tc>
          <w:tcPr>
            <w:tcW w:w="690" w:type="pct"/>
            <w:vAlign w:val="center"/>
          </w:tcPr>
          <w:p w:rsidR="00593999" w:rsidRPr="0056212D" w:rsidRDefault="00593999" w:rsidP="00F7554A">
            <w:pPr>
              <w:pStyle w:val="TableTextRight"/>
              <w:rPr>
                <w:b/>
                <w:i/>
              </w:rPr>
            </w:pPr>
            <w:r>
              <w:rPr>
                <w:b/>
                <w:i/>
              </w:rPr>
              <w:t>-922.6</w:t>
            </w:r>
          </w:p>
        </w:tc>
      </w:tr>
      <w:tr w:rsidR="00593999" w:rsidTr="00F7554A">
        <w:tc>
          <w:tcPr>
            <w:tcW w:w="1554" w:type="pct"/>
            <w:vAlign w:val="center"/>
          </w:tcPr>
          <w:p w:rsidR="00593999" w:rsidRPr="00EE7CF8" w:rsidRDefault="00593999" w:rsidP="00F7554A">
            <w:pPr>
              <w:pStyle w:val="TableText"/>
            </w:pPr>
            <w:r w:rsidRPr="00EE7CF8">
              <w:t>Departmental</w:t>
            </w:r>
            <w:r>
              <w:t xml:space="preserve"> – DHS</w:t>
            </w:r>
          </w:p>
        </w:tc>
        <w:tc>
          <w:tcPr>
            <w:tcW w:w="689" w:type="pct"/>
            <w:vAlign w:val="center"/>
          </w:tcPr>
          <w:p w:rsidR="00593999" w:rsidRPr="0056212D" w:rsidRDefault="00593999" w:rsidP="00F7554A">
            <w:pPr>
              <w:pStyle w:val="TableTextRight"/>
              <w:rPr>
                <w:i/>
              </w:rPr>
            </w:pPr>
            <w:r w:rsidRPr="0056212D">
              <w:rPr>
                <w:i/>
              </w:rPr>
              <w:t>7.9</w:t>
            </w:r>
          </w:p>
        </w:tc>
        <w:tc>
          <w:tcPr>
            <w:tcW w:w="689" w:type="pct"/>
            <w:vAlign w:val="center"/>
          </w:tcPr>
          <w:p w:rsidR="00593999" w:rsidRPr="0056212D" w:rsidRDefault="00593999" w:rsidP="00F7554A">
            <w:pPr>
              <w:pStyle w:val="TableTextRight"/>
              <w:rPr>
                <w:i/>
              </w:rPr>
            </w:pPr>
            <w:r w:rsidRPr="0056212D">
              <w:rPr>
                <w:i/>
              </w:rPr>
              <w:t>7.0</w:t>
            </w:r>
          </w:p>
        </w:tc>
        <w:tc>
          <w:tcPr>
            <w:tcW w:w="689" w:type="pct"/>
            <w:vAlign w:val="center"/>
          </w:tcPr>
          <w:p w:rsidR="00593999" w:rsidRPr="0056212D" w:rsidRDefault="00593999" w:rsidP="00F7554A">
            <w:pPr>
              <w:pStyle w:val="TableTextRight"/>
              <w:rPr>
                <w:i/>
              </w:rPr>
            </w:pPr>
            <w:r w:rsidRPr="0056212D">
              <w:rPr>
                <w:i/>
              </w:rPr>
              <w:t>5.7</w:t>
            </w:r>
          </w:p>
        </w:tc>
        <w:tc>
          <w:tcPr>
            <w:tcW w:w="689" w:type="pct"/>
            <w:vAlign w:val="center"/>
          </w:tcPr>
          <w:p w:rsidR="00593999" w:rsidRPr="0056212D" w:rsidRDefault="00593999" w:rsidP="00F7554A">
            <w:pPr>
              <w:pStyle w:val="TableTextRight"/>
              <w:rPr>
                <w:i/>
              </w:rPr>
            </w:pPr>
            <w:r w:rsidRPr="0056212D">
              <w:rPr>
                <w:i/>
              </w:rPr>
              <w:t>6.0</w:t>
            </w:r>
          </w:p>
        </w:tc>
        <w:tc>
          <w:tcPr>
            <w:tcW w:w="690" w:type="pct"/>
            <w:vAlign w:val="center"/>
          </w:tcPr>
          <w:p w:rsidR="00593999" w:rsidRPr="0056212D" w:rsidRDefault="00593999" w:rsidP="00F7554A">
            <w:pPr>
              <w:pStyle w:val="TableTextRight"/>
              <w:rPr>
                <w:b/>
                <w:i/>
              </w:rPr>
            </w:pPr>
            <w:r w:rsidRPr="0056212D">
              <w:rPr>
                <w:b/>
                <w:i/>
              </w:rPr>
              <w:t>26.6</w:t>
            </w:r>
          </w:p>
        </w:tc>
      </w:tr>
      <w:tr w:rsidR="00593999" w:rsidRPr="007C2713" w:rsidTr="00F7554A">
        <w:tc>
          <w:tcPr>
            <w:tcW w:w="1554" w:type="pct"/>
            <w:shd w:val="clear" w:color="auto" w:fill="D7DDE9" w:themeFill="accent3"/>
            <w:vAlign w:val="center"/>
          </w:tcPr>
          <w:p w:rsidR="00593999" w:rsidRPr="00EE7CF8" w:rsidRDefault="00593999" w:rsidP="00F7554A">
            <w:pPr>
              <w:pStyle w:val="TableText"/>
              <w:rPr>
                <w:b/>
              </w:rPr>
            </w:pPr>
            <w:r w:rsidRPr="00EE7CF8">
              <w:rPr>
                <w:b/>
              </w:rPr>
              <w:t>Total</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-207.9</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-218.2</w:t>
            </w:r>
          </w:p>
        </w:tc>
        <w:tc>
          <w:tcPr>
            <w:tcW w:w="689" w:type="pct"/>
            <w:shd w:val="clear" w:color="auto" w:fill="D7DDE9" w:themeFill="accent3"/>
            <w:vAlign w:val="center"/>
          </w:tcPr>
          <w:p w:rsidR="00593999" w:rsidRPr="00F21665" w:rsidRDefault="00593999" w:rsidP="00F7554A">
            <w:pPr>
              <w:pStyle w:val="TableTextRight"/>
              <w:rPr>
                <w:b/>
              </w:rPr>
            </w:pPr>
            <w:r>
              <w:rPr>
                <w:b/>
              </w:rPr>
              <w:t>-228.9</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-241.1</w:t>
            </w:r>
          </w:p>
        </w:tc>
        <w:tc>
          <w:tcPr>
            <w:tcW w:w="690" w:type="pct"/>
            <w:shd w:val="clear" w:color="auto" w:fill="D7DDE9" w:themeFill="accent3"/>
            <w:vAlign w:val="center"/>
          </w:tcPr>
          <w:p w:rsidR="00593999" w:rsidRPr="00F21665" w:rsidRDefault="00593999" w:rsidP="00F7554A">
            <w:pPr>
              <w:pStyle w:val="TableTextRight"/>
              <w:rPr>
                <w:b/>
              </w:rPr>
            </w:pPr>
            <w:r w:rsidRPr="00F21665">
              <w:rPr>
                <w:b/>
              </w:rPr>
              <w:t>-896.1</w:t>
            </w:r>
          </w:p>
        </w:tc>
      </w:tr>
    </w:tbl>
    <w:p w:rsidR="00593999" w:rsidRPr="0056212D" w:rsidRDefault="00593999" w:rsidP="002C43F8">
      <w:pPr>
        <w:pStyle w:val="Footnotes"/>
        <w:numPr>
          <w:ilvl w:val="0"/>
          <w:numId w:val="176"/>
        </w:numPr>
        <w:ind w:left="284" w:hanging="284"/>
      </w:pPr>
      <w:r w:rsidRPr="0056212D">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593999" w:rsidRPr="005F544A" w:rsidRDefault="00593999" w:rsidP="00CE041D">
      <w:pPr>
        <w:pStyle w:val="Footnotes"/>
        <w:spacing w:after="120"/>
        <w:ind w:left="284" w:hanging="284"/>
      </w:pPr>
      <w:r w:rsidRPr="005F544A">
        <w:t>Figures may not sum to totals due to rounding.</w:t>
      </w:r>
    </w:p>
    <w:p w:rsidR="00593999" w:rsidRDefault="00593999" w:rsidP="00593999">
      <w:pPr>
        <w:pStyle w:val="Caption"/>
      </w:pPr>
      <w:r w:rsidRPr="002B36F1">
        <w:t xml:space="preserve">Table </w:t>
      </w:r>
      <w:r>
        <w:t>A2</w:t>
      </w:r>
      <w:r w:rsidRPr="002B36F1">
        <w:t>:</w:t>
      </w:r>
      <w:r>
        <w:t xml:space="preserve"> Pathology and Radiology—Underlying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593999"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593999" w:rsidRPr="007C2713" w:rsidRDefault="00593999" w:rsidP="00F7554A">
            <w:pPr>
              <w:pStyle w:val="TableText"/>
              <w:rPr>
                <w:b w:val="0"/>
              </w:rPr>
            </w:pPr>
            <w:r>
              <w:t>($)</w:t>
            </w:r>
          </w:p>
        </w:tc>
        <w:tc>
          <w:tcPr>
            <w:tcW w:w="689" w:type="pct"/>
            <w:vAlign w:val="center"/>
          </w:tcPr>
          <w:p w:rsidR="00593999" w:rsidRDefault="00593999" w:rsidP="00F7554A">
            <w:pPr>
              <w:pStyle w:val="TableTextRight"/>
              <w:rPr>
                <w:b w:val="0"/>
              </w:rPr>
            </w:pPr>
            <w:r>
              <w:t>2016–17</w:t>
            </w:r>
          </w:p>
        </w:tc>
        <w:tc>
          <w:tcPr>
            <w:tcW w:w="689" w:type="pct"/>
            <w:vAlign w:val="center"/>
          </w:tcPr>
          <w:p w:rsidR="00593999" w:rsidRDefault="00593999" w:rsidP="00F7554A">
            <w:pPr>
              <w:pStyle w:val="TableTextRight"/>
              <w:rPr>
                <w:b w:val="0"/>
              </w:rPr>
            </w:pPr>
            <w:r>
              <w:t>2017–18</w:t>
            </w:r>
          </w:p>
        </w:tc>
        <w:tc>
          <w:tcPr>
            <w:tcW w:w="689" w:type="pct"/>
            <w:vAlign w:val="center"/>
          </w:tcPr>
          <w:p w:rsidR="00593999" w:rsidRDefault="00593999" w:rsidP="00F7554A">
            <w:pPr>
              <w:pStyle w:val="TableTextRight"/>
              <w:rPr>
                <w:b w:val="0"/>
              </w:rPr>
            </w:pPr>
            <w:r>
              <w:t>2018–19</w:t>
            </w:r>
          </w:p>
        </w:tc>
        <w:tc>
          <w:tcPr>
            <w:tcW w:w="689" w:type="pct"/>
            <w:vAlign w:val="center"/>
          </w:tcPr>
          <w:p w:rsidR="00593999" w:rsidRDefault="00593999" w:rsidP="00F7554A">
            <w:pPr>
              <w:pStyle w:val="TableTextRight"/>
              <w:rPr>
                <w:b w:val="0"/>
              </w:rPr>
            </w:pPr>
            <w:r>
              <w:t>2019–20</w:t>
            </w:r>
          </w:p>
        </w:tc>
        <w:tc>
          <w:tcPr>
            <w:tcW w:w="690" w:type="pct"/>
            <w:vAlign w:val="center"/>
          </w:tcPr>
          <w:p w:rsidR="00593999" w:rsidRDefault="00593999" w:rsidP="00F7554A">
            <w:pPr>
              <w:pStyle w:val="TableTextRight"/>
            </w:pPr>
            <w:r>
              <w:t>Total to 2019–20</w:t>
            </w:r>
          </w:p>
        </w:tc>
      </w:tr>
      <w:tr w:rsidR="00593999" w:rsidTr="00F7554A">
        <w:tc>
          <w:tcPr>
            <w:tcW w:w="1554" w:type="pct"/>
            <w:vAlign w:val="center"/>
          </w:tcPr>
          <w:p w:rsidR="00593999" w:rsidRPr="00EE7CF8" w:rsidRDefault="00593999" w:rsidP="00F7554A">
            <w:pPr>
              <w:pStyle w:val="TableText"/>
            </w:pPr>
            <w:r w:rsidRPr="00EE7CF8">
              <w:t>Administered</w:t>
            </w:r>
            <w:r>
              <w:t xml:space="preserve"> – Department of Health</w:t>
            </w:r>
          </w:p>
        </w:tc>
        <w:tc>
          <w:tcPr>
            <w:tcW w:w="689" w:type="pct"/>
            <w:vAlign w:val="center"/>
          </w:tcPr>
          <w:p w:rsidR="00593999" w:rsidRPr="0056212D" w:rsidRDefault="00593999" w:rsidP="00F7554A">
            <w:pPr>
              <w:pStyle w:val="TableTextRight"/>
              <w:rPr>
                <w:i/>
              </w:rPr>
            </w:pPr>
            <w:r w:rsidRPr="0056212D">
              <w:rPr>
                <w:i/>
              </w:rPr>
              <w:t xml:space="preserve">-205.3 </w:t>
            </w:r>
          </w:p>
        </w:tc>
        <w:tc>
          <w:tcPr>
            <w:tcW w:w="689" w:type="pct"/>
            <w:vAlign w:val="center"/>
          </w:tcPr>
          <w:p w:rsidR="00593999" w:rsidRPr="0056212D" w:rsidRDefault="00593999" w:rsidP="00F7554A">
            <w:pPr>
              <w:pStyle w:val="TableTextRight"/>
              <w:rPr>
                <w:i/>
              </w:rPr>
            </w:pPr>
            <w:r w:rsidRPr="0056212D">
              <w:rPr>
                <w:i/>
              </w:rPr>
              <w:t xml:space="preserve">-224.9 </w:t>
            </w:r>
          </w:p>
        </w:tc>
        <w:tc>
          <w:tcPr>
            <w:tcW w:w="689" w:type="pct"/>
            <w:vAlign w:val="center"/>
          </w:tcPr>
          <w:p w:rsidR="00593999" w:rsidRPr="0056212D" w:rsidRDefault="00593999" w:rsidP="00F7554A">
            <w:pPr>
              <w:pStyle w:val="TableTextRight"/>
              <w:rPr>
                <w:i/>
              </w:rPr>
            </w:pPr>
            <w:r w:rsidRPr="0056212D">
              <w:rPr>
                <w:i/>
              </w:rPr>
              <w:t xml:space="preserve">-234.2 </w:t>
            </w:r>
          </w:p>
        </w:tc>
        <w:tc>
          <w:tcPr>
            <w:tcW w:w="689" w:type="pct"/>
            <w:vAlign w:val="center"/>
          </w:tcPr>
          <w:p w:rsidR="00593999" w:rsidRPr="0056212D" w:rsidRDefault="00593999" w:rsidP="00F7554A">
            <w:pPr>
              <w:pStyle w:val="TableTextRight"/>
              <w:rPr>
                <w:i/>
              </w:rPr>
            </w:pPr>
            <w:r w:rsidRPr="0056212D">
              <w:rPr>
                <w:i/>
              </w:rPr>
              <w:t xml:space="preserve">-246.4 </w:t>
            </w:r>
          </w:p>
        </w:tc>
        <w:tc>
          <w:tcPr>
            <w:tcW w:w="690" w:type="pct"/>
            <w:vAlign w:val="center"/>
          </w:tcPr>
          <w:p w:rsidR="00593999" w:rsidRPr="0056212D" w:rsidRDefault="00593999" w:rsidP="00F7554A">
            <w:pPr>
              <w:pStyle w:val="TableTextRight"/>
              <w:rPr>
                <w:b/>
                <w:i/>
              </w:rPr>
            </w:pPr>
            <w:r w:rsidRPr="0056212D">
              <w:rPr>
                <w:b/>
                <w:i/>
              </w:rPr>
              <w:t xml:space="preserve">-910.8 </w:t>
            </w:r>
          </w:p>
        </w:tc>
      </w:tr>
      <w:tr w:rsidR="00593999" w:rsidTr="00F7554A">
        <w:tc>
          <w:tcPr>
            <w:tcW w:w="1554" w:type="pct"/>
            <w:vAlign w:val="center"/>
          </w:tcPr>
          <w:p w:rsidR="00593999" w:rsidRPr="00EE7CF8" w:rsidRDefault="00593999" w:rsidP="00F7554A">
            <w:pPr>
              <w:pStyle w:val="TableText"/>
            </w:pPr>
            <w:r w:rsidRPr="00EE7CF8">
              <w:t>Departmental</w:t>
            </w:r>
            <w:r>
              <w:t xml:space="preserve"> – DHS</w:t>
            </w:r>
          </w:p>
        </w:tc>
        <w:tc>
          <w:tcPr>
            <w:tcW w:w="689" w:type="pct"/>
            <w:vAlign w:val="center"/>
          </w:tcPr>
          <w:p w:rsidR="00593999" w:rsidRPr="0056212D" w:rsidRDefault="00593999" w:rsidP="00F7554A">
            <w:pPr>
              <w:pStyle w:val="TableTextRight"/>
              <w:rPr>
                <w:i/>
              </w:rPr>
            </w:pPr>
            <w:r w:rsidRPr="0056212D">
              <w:rPr>
                <w:i/>
              </w:rPr>
              <w:t xml:space="preserve"> 7.9 </w:t>
            </w:r>
          </w:p>
        </w:tc>
        <w:tc>
          <w:tcPr>
            <w:tcW w:w="689" w:type="pct"/>
            <w:vAlign w:val="center"/>
          </w:tcPr>
          <w:p w:rsidR="00593999" w:rsidRPr="0056212D" w:rsidRDefault="00593999" w:rsidP="00F7554A">
            <w:pPr>
              <w:pStyle w:val="TableTextRight"/>
              <w:rPr>
                <w:i/>
              </w:rPr>
            </w:pPr>
            <w:r w:rsidRPr="0056212D">
              <w:rPr>
                <w:i/>
              </w:rPr>
              <w:t xml:space="preserve"> 7.0 </w:t>
            </w:r>
          </w:p>
        </w:tc>
        <w:tc>
          <w:tcPr>
            <w:tcW w:w="689" w:type="pct"/>
            <w:vAlign w:val="center"/>
          </w:tcPr>
          <w:p w:rsidR="00593999" w:rsidRPr="0056212D" w:rsidRDefault="00593999" w:rsidP="00F7554A">
            <w:pPr>
              <w:pStyle w:val="TableTextRight"/>
              <w:rPr>
                <w:i/>
              </w:rPr>
            </w:pPr>
            <w:r w:rsidRPr="0056212D">
              <w:rPr>
                <w:i/>
              </w:rPr>
              <w:t xml:space="preserve"> 5.7 </w:t>
            </w:r>
          </w:p>
        </w:tc>
        <w:tc>
          <w:tcPr>
            <w:tcW w:w="689" w:type="pct"/>
            <w:vAlign w:val="center"/>
          </w:tcPr>
          <w:p w:rsidR="00593999" w:rsidRPr="0056212D" w:rsidRDefault="00593999" w:rsidP="00F7554A">
            <w:pPr>
              <w:pStyle w:val="TableTextRight"/>
              <w:rPr>
                <w:i/>
              </w:rPr>
            </w:pPr>
            <w:r w:rsidRPr="0056212D">
              <w:rPr>
                <w:i/>
              </w:rPr>
              <w:t xml:space="preserve"> 6.0 </w:t>
            </w:r>
          </w:p>
        </w:tc>
        <w:tc>
          <w:tcPr>
            <w:tcW w:w="690" w:type="pct"/>
            <w:vAlign w:val="center"/>
          </w:tcPr>
          <w:p w:rsidR="00593999" w:rsidRPr="0056212D" w:rsidRDefault="00593999" w:rsidP="00F7554A">
            <w:pPr>
              <w:pStyle w:val="TableTextRight"/>
              <w:rPr>
                <w:b/>
                <w:i/>
              </w:rPr>
            </w:pPr>
            <w:r w:rsidRPr="0056212D">
              <w:rPr>
                <w:b/>
                <w:i/>
              </w:rPr>
              <w:t xml:space="preserve"> 26.6 </w:t>
            </w:r>
          </w:p>
        </w:tc>
      </w:tr>
      <w:tr w:rsidR="00593999" w:rsidRPr="007C2713" w:rsidTr="00F7554A">
        <w:tc>
          <w:tcPr>
            <w:tcW w:w="1554" w:type="pct"/>
            <w:shd w:val="clear" w:color="auto" w:fill="D7DDE9" w:themeFill="accent3"/>
            <w:vAlign w:val="center"/>
          </w:tcPr>
          <w:p w:rsidR="00593999" w:rsidRPr="00EE7CF8" w:rsidRDefault="00593999" w:rsidP="00F7554A">
            <w:pPr>
              <w:pStyle w:val="TableText"/>
              <w:rPr>
                <w:b/>
              </w:rPr>
            </w:pPr>
            <w:r w:rsidRPr="00EE7CF8">
              <w:rPr>
                <w:b/>
              </w:rPr>
              <w:t>Total</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 xml:space="preserve">-197.4 </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 xml:space="preserve">-217.9 </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 xml:space="preserve">-228.5 </w:t>
            </w:r>
          </w:p>
        </w:tc>
        <w:tc>
          <w:tcPr>
            <w:tcW w:w="689" w:type="pct"/>
            <w:shd w:val="clear" w:color="auto" w:fill="D7DDE9" w:themeFill="accent3"/>
            <w:vAlign w:val="center"/>
          </w:tcPr>
          <w:p w:rsidR="00593999" w:rsidRPr="00F21665" w:rsidRDefault="00593999" w:rsidP="00F7554A">
            <w:pPr>
              <w:pStyle w:val="TableTextRight"/>
              <w:rPr>
                <w:b/>
              </w:rPr>
            </w:pPr>
            <w:r w:rsidRPr="00F21665">
              <w:rPr>
                <w:b/>
              </w:rPr>
              <w:t xml:space="preserve">-240.5 </w:t>
            </w:r>
          </w:p>
        </w:tc>
        <w:tc>
          <w:tcPr>
            <w:tcW w:w="690" w:type="pct"/>
            <w:shd w:val="clear" w:color="auto" w:fill="D7DDE9" w:themeFill="accent3"/>
            <w:vAlign w:val="center"/>
          </w:tcPr>
          <w:p w:rsidR="00593999" w:rsidRPr="00F21665" w:rsidRDefault="00593999" w:rsidP="00F7554A">
            <w:pPr>
              <w:pStyle w:val="TableTextRight"/>
              <w:rPr>
                <w:b/>
              </w:rPr>
            </w:pPr>
            <w:r w:rsidRPr="00F21665">
              <w:rPr>
                <w:b/>
              </w:rPr>
              <w:t xml:space="preserve">-884.2 </w:t>
            </w:r>
          </w:p>
        </w:tc>
      </w:tr>
    </w:tbl>
    <w:p w:rsidR="00593999" w:rsidRPr="0056212D" w:rsidRDefault="00593999" w:rsidP="002C43F8">
      <w:pPr>
        <w:pStyle w:val="Footnotes"/>
        <w:numPr>
          <w:ilvl w:val="0"/>
          <w:numId w:val="177"/>
        </w:numPr>
        <w:ind w:left="284" w:hanging="284"/>
      </w:pPr>
      <w:r w:rsidRPr="0056212D">
        <w:t xml:space="preserve">A positive number for the underlying cash balance indicates an increase in receipts or a decrease in </w:t>
      </w:r>
      <w:r w:rsidR="0080154C">
        <w:t>payments</w:t>
      </w:r>
      <w:r w:rsidRPr="0056212D">
        <w:t xml:space="preserve"> or net capital investment in cash terms.  A negative number for the underlying cash balance indicates a decrease in receipts or an increase in </w:t>
      </w:r>
      <w:r w:rsidR="0080154C">
        <w:t>payments</w:t>
      </w:r>
      <w:r w:rsidRPr="0056212D">
        <w:t xml:space="preserve"> or net capital investment in cash terms.</w:t>
      </w:r>
    </w:p>
    <w:p w:rsidR="00593999" w:rsidRPr="005F544A" w:rsidRDefault="00593999" w:rsidP="00CE041D">
      <w:pPr>
        <w:pStyle w:val="Footnotes"/>
        <w:spacing w:after="120"/>
        <w:ind w:left="284" w:hanging="284"/>
      </w:pPr>
      <w:r w:rsidRPr="005F544A">
        <w:t>Figures may not sum to totals due to rounding.</w:t>
      </w:r>
    </w:p>
    <w:p w:rsidR="00420CF4" w:rsidRPr="00951305" w:rsidRDefault="00420CF4" w:rsidP="00420CF4">
      <w:pPr>
        <w:pStyle w:val="BodyText"/>
      </w:pPr>
    </w:p>
    <w:p w:rsidR="00420CF4" w:rsidRDefault="00420CF4" w:rsidP="00420CF4">
      <w:pPr>
        <w:pStyle w:val="BodyText"/>
        <w:sectPr w:rsidR="00420CF4" w:rsidSect="00967BCD">
          <w:footnotePr>
            <w:numRestart w:val="eachSect"/>
          </w:footnotePr>
          <w:pgSz w:w="11906" w:h="16838" w:code="9"/>
          <w:pgMar w:top="1361" w:right="1797" w:bottom="1474" w:left="1797" w:header="283" w:footer="454" w:gutter="0"/>
          <w:cols w:space="708"/>
          <w:docGrid w:linePitch="360"/>
        </w:sectPr>
      </w:pPr>
    </w:p>
    <w:p w:rsidR="00593999" w:rsidRDefault="00593999" w:rsidP="00593999">
      <w:pPr>
        <w:pStyle w:val="Heading5"/>
        <w:ind w:left="1080" w:hanging="1080"/>
      </w:pPr>
      <w:bookmarkStart w:id="122" w:name="_Toc455655043"/>
      <w:bookmarkStart w:id="123" w:name="_Toc458081711"/>
      <w:r>
        <w:t>ALP0</w:t>
      </w:r>
      <w:r w:rsidR="009221D1">
        <w:t>87</w:t>
      </w:r>
      <w:r>
        <w:t>: Resume indexation of the Medicare Benefits Schedule</w:t>
      </w:r>
      <w:bookmarkEnd w:id="122"/>
      <w:bookmarkEnd w:id="123"/>
    </w:p>
    <w:p w:rsidR="00593999" w:rsidRDefault="00593999" w:rsidP="00275C35">
      <w:pPr>
        <w:pStyle w:val="BodyText"/>
      </w:pPr>
      <w:r>
        <w:rPr>
          <w:noProof/>
          <w:lang w:eastAsia="en-AU"/>
        </w:rPr>
        <w:drawing>
          <wp:inline distT="0" distB="0" distL="0" distR="0" wp14:anchorId="084703A3" wp14:editId="27632DA7">
            <wp:extent cx="2696845" cy="572135"/>
            <wp:effectExtent l="0" t="0" r="8255" b="0"/>
            <wp:docPr id="13" name="Picture 13"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593999" w:rsidRDefault="00593999" w:rsidP="00593999">
      <w:pPr>
        <w:pStyle w:val="Heading6"/>
        <w:numPr>
          <w:ilvl w:val="0"/>
          <w:numId w:val="10"/>
        </w:numPr>
        <w:tabs>
          <w:tab w:val="right" w:pos="1418"/>
          <w:tab w:val="right" w:pos="1701"/>
          <w:tab w:val="right" w:pos="1985"/>
        </w:tabs>
      </w:pPr>
      <w:r>
        <w:t>Policy costing</w:t>
      </w:r>
      <w:r w:rsidRPr="00C61291">
        <w:t>—</w:t>
      </w:r>
      <w:r>
        <w:t>2016 post-election report</w:t>
      </w:r>
    </w:p>
    <w:tbl>
      <w:tblPr>
        <w:tblStyle w:val="Style11"/>
        <w:tblW w:w="5000" w:type="pct"/>
        <w:tblLook w:val="04A0" w:firstRow="1" w:lastRow="0" w:firstColumn="1" w:lastColumn="0" w:noHBand="0" w:noVBand="1"/>
      </w:tblPr>
      <w:tblGrid>
        <w:gridCol w:w="3080"/>
        <w:gridCol w:w="5448"/>
      </w:tblGrid>
      <w:tr w:rsidR="00407FAE" w:rsidRPr="00407FAE" w:rsidTr="00B22C44">
        <w:trPr>
          <w:cnfStyle w:val="100000000000" w:firstRow="1" w:lastRow="0" w:firstColumn="0" w:lastColumn="0" w:oddVBand="0" w:evenVBand="0" w:oddHBand="0" w:evenHBand="0" w:firstRowFirstColumn="0" w:firstRowLastColumn="0" w:lastRowFirstColumn="0" w:lastRowLastColumn="0"/>
        </w:trPr>
        <w:tc>
          <w:tcPr>
            <w:tcW w:w="1806"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Name of proposal:</w:t>
            </w:r>
          </w:p>
        </w:tc>
        <w:tc>
          <w:tcPr>
            <w:tcW w:w="3194"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Resume indexation of the Medicare Benefits Schedule</w:t>
            </w:r>
          </w:p>
        </w:tc>
      </w:tr>
      <w:tr w:rsidR="00407FAE" w:rsidRPr="00407FAE" w:rsidTr="00B22C44">
        <w:tc>
          <w:tcPr>
            <w:tcW w:w="1806"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Summary of proposal:</w:t>
            </w:r>
          </w:p>
        </w:tc>
        <w:tc>
          <w:tcPr>
            <w:tcW w:w="3194"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 xml:space="preserve">The proposal would resume the indexation of the Medicare Benefits Schedule (MBS) for all services provided by general practitioners (GPs), medical specialists, allied health and other health practitioners. </w:t>
            </w:r>
          </w:p>
          <w:p w:rsidR="00407FAE" w:rsidRPr="00407FAE" w:rsidRDefault="00407FAE" w:rsidP="00407FAE">
            <w:pPr>
              <w:spacing w:before="114" w:after="114"/>
              <w:ind w:left="57" w:right="57"/>
              <w:rPr>
                <w:rFonts w:eastAsia="Calibri" w:cs="Times New Roman"/>
              </w:rPr>
            </w:pPr>
            <w:r w:rsidRPr="00407FAE">
              <w:rPr>
                <w:rFonts w:eastAsia="Calibri" w:cs="Times New Roman"/>
              </w:rPr>
              <w:t>The proposal would have the effect of reversing:</w:t>
            </w:r>
            <w:r w:rsidRPr="00407FAE">
              <w:rPr>
                <w:rFonts w:eastAsia="Calibri" w:cs="Times New Roman"/>
                <w:vertAlign w:val="superscript"/>
              </w:rPr>
              <w:footnoteReference w:id="25"/>
            </w:r>
            <w:r w:rsidRPr="00407FAE">
              <w:rPr>
                <w:rFonts w:eastAsia="Calibri" w:cs="Times New Roman"/>
              </w:rPr>
              <w:t xml:space="preserve"> </w:t>
            </w:r>
          </w:p>
          <w:p w:rsidR="003B6499" w:rsidRPr="00725D7C" w:rsidRDefault="00407FAE" w:rsidP="00725D7C">
            <w:pPr>
              <w:pStyle w:val="ListParagraph"/>
              <w:keepLines/>
              <w:numPr>
                <w:ilvl w:val="0"/>
                <w:numId w:val="230"/>
              </w:numPr>
              <w:spacing w:after="113"/>
              <w:ind w:left="414" w:hanging="357"/>
              <w:contextualSpacing w:val="0"/>
              <w:rPr>
                <w:rFonts w:eastAsia="Times New Roman" w:cs="Times New Roman"/>
                <w:lang w:eastAsia="en-AU"/>
              </w:rPr>
            </w:pPr>
            <w:r w:rsidRPr="00725D7C">
              <w:rPr>
                <w:rFonts w:eastAsia="Times New Roman" w:cs="Times New Roman"/>
                <w:lang w:eastAsia="en-AU"/>
              </w:rPr>
              <w:t xml:space="preserve">the component of the 2014-15 Mid-Year Economic and Fiscal Outlook (MYEFO) measure, </w:t>
            </w:r>
            <w:r w:rsidRPr="00725D7C">
              <w:rPr>
                <w:rFonts w:eastAsia="Times New Roman" w:cs="Times New Roman"/>
                <w:i/>
                <w:lang w:eastAsia="en-AU"/>
              </w:rPr>
              <w:t>A strong and sustainable Medicare</w:t>
            </w:r>
            <w:r w:rsidRPr="00725D7C">
              <w:rPr>
                <w:rFonts w:eastAsia="Times New Roman" w:cs="Times New Roman"/>
                <w:lang w:eastAsia="en-AU"/>
              </w:rPr>
              <w:t>, which kept MBS fees for all services provided by GPs, medical specialists, allied health and other health practitioners at their current levels until 30 June 2018</w:t>
            </w:r>
          </w:p>
          <w:p w:rsidR="00407FAE" w:rsidRPr="00725D7C" w:rsidRDefault="00407FAE" w:rsidP="00725D7C">
            <w:pPr>
              <w:pStyle w:val="ListParagraph"/>
              <w:keepLines/>
              <w:numPr>
                <w:ilvl w:val="0"/>
                <w:numId w:val="230"/>
              </w:numPr>
              <w:spacing w:after="113"/>
              <w:ind w:left="414" w:hanging="357"/>
              <w:contextualSpacing w:val="0"/>
              <w:rPr>
                <w:rFonts w:eastAsia="Times New Roman" w:cs="Times New Roman"/>
                <w:lang w:eastAsia="en-AU"/>
              </w:rPr>
            </w:pPr>
            <w:r w:rsidRPr="00725D7C">
              <w:rPr>
                <w:rFonts w:eastAsia="Times New Roman" w:cs="Times New Roman"/>
                <w:lang w:eastAsia="en-AU"/>
              </w:rPr>
              <w:t xml:space="preserve">the 2016-17 Budget measure, </w:t>
            </w:r>
            <w:r w:rsidRPr="00725D7C">
              <w:rPr>
                <w:rFonts w:eastAsia="Times New Roman" w:cs="Times New Roman"/>
                <w:i/>
                <w:lang w:eastAsia="en-AU"/>
              </w:rPr>
              <w:t>Medicare Benefits Schedule - pause indexation</w:t>
            </w:r>
            <w:r w:rsidRPr="00725D7C">
              <w:rPr>
                <w:rFonts w:eastAsia="Times New Roman" w:cs="Times New Roman"/>
                <w:lang w:eastAsia="en-AU"/>
              </w:rPr>
              <w:t>, which will extend the freezing of MBS fees for all services provided by GPs, medical specialists, allied health and other health practitioners at their current levels until 30 June 2020.</w:t>
            </w:r>
          </w:p>
          <w:p w:rsidR="00407FAE" w:rsidRPr="00407FAE" w:rsidRDefault="00407FAE" w:rsidP="00407FAE">
            <w:pPr>
              <w:keepLines/>
              <w:spacing w:before="114" w:after="114"/>
              <w:ind w:left="57" w:right="57"/>
              <w:rPr>
                <w:rFonts w:eastAsia="Times New Roman" w:cs="Times New Roman"/>
                <w:lang w:eastAsia="en-AU"/>
              </w:rPr>
            </w:pPr>
            <w:r w:rsidRPr="00407FAE">
              <w:rPr>
                <w:rFonts w:eastAsia="Times New Roman" w:cs="Times New Roman"/>
                <w:lang w:eastAsia="en-AU"/>
              </w:rPr>
              <w:t>The proposal would have effect from 1 January 2017.</w:t>
            </w:r>
          </w:p>
        </w:tc>
      </w:tr>
      <w:tr w:rsidR="00407FAE" w:rsidRPr="00407FAE" w:rsidTr="00B22C44">
        <w:tc>
          <w:tcPr>
            <w:tcW w:w="1806"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Party:</w:t>
            </w:r>
          </w:p>
        </w:tc>
        <w:tc>
          <w:tcPr>
            <w:tcW w:w="3194"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Australian Labor Party</w:t>
            </w:r>
          </w:p>
        </w:tc>
      </w:tr>
      <w:tr w:rsidR="00407FAE" w:rsidRPr="00407FAE" w:rsidTr="00B22C44">
        <w:tc>
          <w:tcPr>
            <w:tcW w:w="1806"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Expiry date for the costing:</w:t>
            </w:r>
          </w:p>
        </w:tc>
        <w:tc>
          <w:tcPr>
            <w:tcW w:w="3194" w:type="pct"/>
          </w:tcPr>
          <w:p w:rsidR="00407FAE" w:rsidRPr="00407FAE" w:rsidRDefault="00407FAE" w:rsidP="00407FAE">
            <w:pPr>
              <w:spacing w:before="114" w:after="114"/>
              <w:ind w:left="57" w:right="57"/>
              <w:rPr>
                <w:rFonts w:eastAsia="Calibri" w:cs="Times New Roman"/>
              </w:rPr>
            </w:pPr>
            <w:r w:rsidRPr="00407FAE">
              <w:rPr>
                <w:rFonts w:eastAsia="Calibri" w:cs="Times New Roman"/>
              </w:rPr>
              <w:t>Release of the next economic and fiscal update</w:t>
            </w:r>
          </w:p>
        </w:tc>
      </w:tr>
    </w:tbl>
    <w:p w:rsidR="00407FAE" w:rsidRPr="00407FAE" w:rsidRDefault="00407FAE" w:rsidP="00691FD8">
      <w:pPr>
        <w:pStyle w:val="CostingsH7"/>
        <w:rPr>
          <w:rFonts w:eastAsia="Calibri"/>
        </w:rPr>
      </w:pPr>
      <w:r w:rsidRPr="00407FAE">
        <w:rPr>
          <w:rFonts w:eastAsia="Calibri"/>
        </w:rPr>
        <w:t>Costing overview</w:t>
      </w:r>
    </w:p>
    <w:p w:rsidR="00407FAE" w:rsidRPr="00407FAE" w:rsidRDefault="00407FAE" w:rsidP="00407FAE">
      <w:pPr>
        <w:keepLines/>
        <w:spacing w:before="114" w:after="114"/>
        <w:rPr>
          <w:rFonts w:ascii="Calibri" w:eastAsia="Calibri" w:hAnsi="Calibri" w:cs="Times New Roman"/>
        </w:rPr>
      </w:pPr>
      <w:r w:rsidRPr="00407FAE">
        <w:rPr>
          <w:rFonts w:ascii="Calibri" w:eastAsia="Calibri" w:hAnsi="Calibri" w:cs="Times New Roman"/>
        </w:rPr>
        <w:t xml:space="preserve">This proposal would be expected to decrease the fiscal balance by $2,470 million and the underlying cash balance by $2,425 million over the 2016-17 Budget forward estimates period.  In underlying cash terms, this impact reflects an increase in administered expenditures of $2,470 million and a small increase in departmental funding for the Department of Human Services (DHS). </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 xml:space="preserve">This proposal would have an impact that extends beyond the 2016-17 Budget forward estimates and a breakdown of the financial impacts over the period 2016-17 to 2026-27 is included at </w:t>
      </w:r>
      <w:r w:rsidRPr="00407FAE">
        <w:rPr>
          <w:rFonts w:ascii="Calibri" w:eastAsia="Calibri" w:hAnsi="Calibri" w:cs="Times New Roman"/>
          <w:u w:val="single"/>
        </w:rPr>
        <w:t>Attachment A</w:t>
      </w:r>
      <w:r w:rsidRPr="00407FAE">
        <w:rPr>
          <w:rFonts w:ascii="Calibri" w:eastAsia="Calibri" w:hAnsi="Calibri" w:cs="Times New Roman"/>
        </w:rPr>
        <w:t>.</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This proposal has a different impact on the underlying cash and fiscal balances due to a lag between when services are provided and when payments are made under the MBS.</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This proposal is not expected to require significant additional departmental expenses for the Department of Health or the Department of Veterans’ Affairs (DVA).   However, the costing includes a small amount of departmental funding for DHS for the first year of the proposal related to administrative changes.</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 xml:space="preserve">The financial implications are considered to be of medium reliability as the estimates are based on projections of the growth in the number and prices of MBS services.  </w:t>
      </w:r>
    </w:p>
    <w:p w:rsidR="00407FAE" w:rsidRPr="00407FAE" w:rsidRDefault="00407FAE" w:rsidP="00407FAE">
      <w:pPr>
        <w:keepNext/>
        <w:spacing w:before="340" w:after="114"/>
        <w:rPr>
          <w:rFonts w:ascii="Calibri" w:eastAsia="Calibri" w:hAnsi="Calibri" w:cs="Times New Roman"/>
          <w:b/>
          <w:bCs/>
          <w:color w:val="1F497D"/>
          <w:spacing w:val="-4"/>
        </w:rPr>
      </w:pPr>
      <w:r w:rsidRPr="00407FAE">
        <w:rPr>
          <w:rFonts w:ascii="Calibri" w:eastAsia="Calibri" w:hAnsi="Calibri" w:cs="Times New Roman"/>
          <w:b/>
          <w:bCs/>
          <w:color w:val="1F497D"/>
          <w:spacing w:val="-4"/>
        </w:rPr>
        <w:t>Table 1: Financial implications (outturn prices)</w:t>
      </w:r>
      <w:r w:rsidRPr="00407FAE">
        <w:rPr>
          <w:rFonts w:ascii="Calibri" w:eastAsia="Calibri" w:hAnsi="Calibri" w:cs="Times New Roman"/>
          <w:b/>
          <w:bCs/>
          <w:color w:val="1F497D"/>
          <w:spacing w:val="-4"/>
          <w:vertAlign w:val="superscript"/>
        </w:rPr>
        <w:t>(a)(b)</w:t>
      </w:r>
    </w:p>
    <w:tbl>
      <w:tblPr>
        <w:tblStyle w:val="TableGrid49"/>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407FAE" w:rsidRPr="00407FAE" w:rsidTr="00B22C4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rPr>
                <w:szCs w:val="20"/>
              </w:rPr>
            </w:pPr>
            <w:r w:rsidRPr="00407FAE">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07FAE">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07FAE">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407FAE">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07FAE">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407FAE" w:rsidRPr="00407FAE" w:rsidRDefault="00407FAE" w:rsidP="00407FAE">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407FAE">
              <w:rPr>
                <w:b/>
                <w:szCs w:val="20"/>
              </w:rPr>
              <w:t>Total</w:t>
            </w:r>
          </w:p>
        </w:tc>
      </w:tr>
      <w:tr w:rsidR="00407FAE" w:rsidRPr="00407FAE"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rPr>
                <w:szCs w:val="20"/>
              </w:rPr>
            </w:pPr>
            <w:r w:rsidRPr="00407FAE">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07FAE">
              <w:rPr>
                <w:rFonts w:ascii="Calibri" w:hAnsi="Calibri"/>
                <w:sz w:val="20"/>
              </w:rPr>
              <w:t>-145</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07FAE">
              <w:rPr>
                <w:rFonts w:ascii="Calibri" w:hAnsi="Calibri"/>
                <w:sz w:val="20"/>
              </w:rPr>
              <w:t>-445</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07FAE">
              <w:rPr>
                <w:rFonts w:ascii="Calibri" w:hAnsi="Calibri"/>
                <w:sz w:val="20"/>
              </w:rPr>
              <w:t>-760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407FAE">
              <w:rPr>
                <w:rFonts w:ascii="Calibri" w:hAnsi="Calibri"/>
                <w:sz w:val="20"/>
              </w:rPr>
              <w:t>-1,115</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jc w:val="right"/>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407FAE">
              <w:rPr>
                <w:rFonts w:ascii="Calibri" w:hAnsi="Calibri"/>
                <w:b/>
                <w:sz w:val="20"/>
              </w:rPr>
              <w:t>-2,470</w:t>
            </w:r>
          </w:p>
        </w:tc>
      </w:tr>
      <w:tr w:rsidR="00407FAE" w:rsidRPr="00407FAE"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rPr>
                <w:szCs w:val="20"/>
              </w:rPr>
            </w:pPr>
            <w:r w:rsidRPr="00407FAE">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407FAE">
              <w:t>-140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407FAE">
              <w:t>-440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407FAE">
              <w:t>-750</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szCs w:val="20"/>
              </w:rPr>
            </w:pPr>
            <w:r w:rsidRPr="00407FAE">
              <w:t>-1,100</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407FAE" w:rsidRPr="00407FAE" w:rsidRDefault="00407FAE" w:rsidP="00407FAE">
            <w:pPr>
              <w:keepNext/>
              <w:keepLines/>
              <w:spacing w:line="240" w:lineRule="auto"/>
              <w:ind w:left="57" w:right="57"/>
              <w:cnfStyle w:val="000000010000" w:firstRow="0" w:lastRow="0" w:firstColumn="0" w:lastColumn="0" w:oddVBand="0" w:evenVBand="0" w:oddHBand="0" w:evenHBand="1" w:firstRowFirstColumn="0" w:firstRowLastColumn="0" w:lastRowFirstColumn="0" w:lastRowLastColumn="0"/>
              <w:rPr>
                <w:b/>
                <w:szCs w:val="20"/>
              </w:rPr>
            </w:pPr>
            <w:r w:rsidRPr="00407FAE">
              <w:rPr>
                <w:b/>
              </w:rPr>
              <w:t>-2,425</w:t>
            </w:r>
          </w:p>
        </w:tc>
      </w:tr>
    </w:tbl>
    <w:p w:rsidR="00407FAE" w:rsidRPr="005527C4" w:rsidRDefault="00407FAE" w:rsidP="005527C4">
      <w:pPr>
        <w:pStyle w:val="Footnotes"/>
        <w:numPr>
          <w:ilvl w:val="0"/>
          <w:numId w:val="223"/>
        </w:numPr>
        <w:ind w:left="284" w:hanging="284"/>
        <w:rPr>
          <w:rFonts w:ascii="Calibri" w:eastAsia="Calibri" w:hAnsi="Calibri" w:cs="Times New Roman"/>
        </w:rPr>
      </w:pPr>
      <w:r w:rsidRPr="005527C4">
        <w:rPr>
          <w:rFonts w:ascii="Calibri" w:eastAsia="Calibri" w:hAnsi="Calibri" w:cs="Times New Roman"/>
        </w:rPr>
        <w:t>A positive number indicates an increase in the relevant budget balance, a negative number a decrease.</w:t>
      </w:r>
    </w:p>
    <w:p w:rsidR="00407FAE" w:rsidRPr="00407FAE" w:rsidRDefault="00407FAE" w:rsidP="005527C4">
      <w:pPr>
        <w:pStyle w:val="Footnotes"/>
        <w:ind w:left="284" w:hanging="284"/>
        <w:rPr>
          <w:rFonts w:ascii="Calibri" w:eastAsia="Calibri" w:hAnsi="Calibri" w:cs="Times New Roman"/>
        </w:rPr>
      </w:pPr>
      <w:r w:rsidRPr="00407FAE">
        <w:rPr>
          <w:rFonts w:ascii="Calibri" w:eastAsia="Calibri" w:hAnsi="Calibri" w:cs="Times New Roman"/>
        </w:rPr>
        <w:t>Figures may not sum to totals due to rounding.</w:t>
      </w:r>
    </w:p>
    <w:p w:rsidR="00407FAE" w:rsidRPr="00407FAE" w:rsidRDefault="00407FAE" w:rsidP="00691FD8">
      <w:pPr>
        <w:pStyle w:val="CostingsH7"/>
        <w:rPr>
          <w:rFonts w:eastAsia="Calibri"/>
        </w:rPr>
      </w:pPr>
      <w:r w:rsidRPr="00407FAE">
        <w:rPr>
          <w:rFonts w:eastAsia="Calibri"/>
        </w:rPr>
        <w:t>Key assumptions</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In undertaking this costing it has been assumed that in order to implement the start date of 1 January 2017, the timing of applying indexation would be changed for this instance to 1 January 2017, and indexation would resume being applied on 1 July each year thereafter (including on 1 July 2017).</w:t>
      </w:r>
    </w:p>
    <w:p w:rsidR="00407FAE" w:rsidRPr="00407FAE" w:rsidRDefault="00407FAE" w:rsidP="00691FD8">
      <w:pPr>
        <w:pStyle w:val="CostingsH7"/>
        <w:rPr>
          <w:rFonts w:eastAsia="Calibri"/>
        </w:rPr>
      </w:pPr>
      <w:r w:rsidRPr="00407FAE">
        <w:rPr>
          <w:rFonts w:eastAsia="Calibri"/>
        </w:rPr>
        <w:t>Methodology</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 xml:space="preserve">The forward estimates impact of the freeze on the MBS fee indexation component of the </w:t>
      </w:r>
      <w:r w:rsidRPr="00407FAE">
        <w:rPr>
          <w:rFonts w:ascii="Calibri" w:eastAsia="Times New Roman" w:hAnsi="Calibri" w:cs="Times New Roman"/>
          <w:lang w:eastAsia="en-AU"/>
        </w:rPr>
        <w:br/>
        <w:t>2014-15 MYEFO measure was updated to reflect parameter changes.</w:t>
      </w:r>
    </w:p>
    <w:p w:rsidR="00407FAE" w:rsidRPr="00407FAE" w:rsidRDefault="00407FAE" w:rsidP="00407FAE">
      <w:pPr>
        <w:spacing w:before="114" w:after="114"/>
        <w:rPr>
          <w:rFonts w:ascii="Calibri" w:eastAsia="Calibri" w:hAnsi="Calibri" w:cs="Times New Roman"/>
        </w:rPr>
      </w:pPr>
      <w:r w:rsidRPr="00407FAE">
        <w:rPr>
          <w:rFonts w:ascii="Calibri" w:eastAsia="Calibri" w:hAnsi="Calibri" w:cs="Times New Roman"/>
        </w:rPr>
        <w:t xml:space="preserve">The impacts of the 2014-15 MYEFO measure and the 2016-17 Budget measure were projected for the Department of Health and DVA by growing the last year of estimates by the combined impact of the projected change in price, population (veteran population for DVA) and trends in service numbers.  </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 xml:space="preserve">The impact of lifting the freeze under this proposal on administered expenditures was then derived by reversing the savings to the budget from the sum of the measures, less the savings that would remain.  </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Administered expenditures have been rounded to the nearest $5 million and departmental expenditures have been rounded to the nearest $1 million.</w:t>
      </w:r>
    </w:p>
    <w:p w:rsidR="00407FAE" w:rsidRPr="00407FAE" w:rsidRDefault="00407FAE" w:rsidP="00691FD8">
      <w:pPr>
        <w:pStyle w:val="CostingsH7"/>
        <w:rPr>
          <w:rFonts w:eastAsia="Calibri"/>
        </w:rPr>
      </w:pPr>
      <w:r w:rsidRPr="00407FAE">
        <w:rPr>
          <w:rFonts w:eastAsia="Calibri"/>
        </w:rPr>
        <w:t>Data sources</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The Department of Finance provided indexation and efficiency dividend parameters and extracts from the Central Budget Management System for the 2016-17 Budget.</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 xml:space="preserve">The Department of Health provided the 2014-15 MYEFO measure, </w:t>
      </w:r>
      <w:r w:rsidRPr="00407FAE">
        <w:rPr>
          <w:rFonts w:ascii="Calibri" w:eastAsia="Times New Roman" w:hAnsi="Calibri" w:cs="Times New Roman"/>
          <w:i/>
          <w:lang w:eastAsia="en-AU"/>
        </w:rPr>
        <w:t>A strong and sustainable Medicare</w:t>
      </w:r>
      <w:r w:rsidRPr="00407FAE">
        <w:rPr>
          <w:rFonts w:ascii="Calibri" w:eastAsia="Times New Roman" w:hAnsi="Calibri" w:cs="Times New Roman"/>
          <w:lang w:eastAsia="en-AU"/>
        </w:rPr>
        <w:t xml:space="preserve"> estimates over 2014-15 to 2018-19.</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 xml:space="preserve">The Department of Veterans’ Affairs provided the 2014-15 MYEFO measure, </w:t>
      </w:r>
      <w:r w:rsidRPr="00407FAE">
        <w:rPr>
          <w:rFonts w:ascii="Calibri" w:eastAsia="Times New Roman" w:hAnsi="Calibri" w:cs="Times New Roman"/>
          <w:i/>
          <w:lang w:eastAsia="en-AU"/>
        </w:rPr>
        <w:t>A strong and sustainable Medicare</w:t>
      </w:r>
      <w:r w:rsidRPr="00407FAE">
        <w:rPr>
          <w:rFonts w:ascii="Calibri" w:eastAsia="Times New Roman" w:hAnsi="Calibri" w:cs="Times New Roman"/>
          <w:lang w:eastAsia="en-AU"/>
        </w:rPr>
        <w:t xml:space="preserve"> estimates over 2014-15 to 2018-19.</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 xml:space="preserve">The Department of Human Services provided the 2014-15 MYEFO measure, </w:t>
      </w:r>
      <w:r w:rsidRPr="00407FAE">
        <w:rPr>
          <w:rFonts w:ascii="Calibri" w:eastAsia="Times New Roman" w:hAnsi="Calibri" w:cs="Times New Roman"/>
          <w:i/>
          <w:lang w:eastAsia="en-AU"/>
        </w:rPr>
        <w:t>A strong and sustainable Medicare</w:t>
      </w:r>
      <w:r w:rsidRPr="00407FAE">
        <w:rPr>
          <w:rFonts w:ascii="Calibri" w:eastAsia="Times New Roman" w:hAnsi="Calibri" w:cs="Times New Roman"/>
          <w:lang w:eastAsia="en-AU"/>
        </w:rPr>
        <w:t xml:space="preserve"> estimates over 2014-15 to 2017-18.</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The Department of Finance provided the 2014-15 MYEFO and 2016-17 Budget estimates and indexation rates.</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The Department of the Treasury provided Consumer Price Index projections and the Intergenerational Report population projections.</w:t>
      </w:r>
    </w:p>
    <w:p w:rsidR="00407FAE" w:rsidRPr="00407FAE" w:rsidRDefault="00407FAE" w:rsidP="00407FAE">
      <w:pPr>
        <w:keepLines/>
        <w:spacing w:after="113"/>
        <w:rPr>
          <w:rFonts w:ascii="Calibri" w:eastAsia="Times New Roman" w:hAnsi="Calibri" w:cs="Times New Roman"/>
          <w:lang w:eastAsia="en-AU"/>
        </w:rPr>
      </w:pPr>
      <w:r w:rsidRPr="00407FAE">
        <w:rPr>
          <w:rFonts w:ascii="Calibri" w:eastAsia="Times New Roman" w:hAnsi="Calibri" w:cs="Times New Roman"/>
          <w:lang w:eastAsia="en-AU"/>
        </w:rPr>
        <w:t>Historical Medicare data was obtained from the Department of Health’s website.</w:t>
      </w:r>
    </w:p>
    <w:p w:rsidR="00407FAE" w:rsidRPr="00407FAE" w:rsidRDefault="00407FAE" w:rsidP="00407FAE">
      <w:pPr>
        <w:spacing w:before="70" w:after="70" w:line="260" w:lineRule="atLeast"/>
        <w:ind w:left="284" w:right="113" w:hanging="171"/>
        <w:rPr>
          <w:rFonts w:ascii="Calibri" w:eastAsia="Calibri" w:hAnsi="Calibri" w:cs="Times New Roman"/>
          <w:sz w:val="20"/>
          <w:highlight w:val="yellow"/>
        </w:rPr>
      </w:pPr>
    </w:p>
    <w:p w:rsidR="00407FAE" w:rsidRPr="00407FAE" w:rsidRDefault="00407FAE" w:rsidP="00407FAE">
      <w:pPr>
        <w:spacing w:before="113" w:after="113" w:line="260" w:lineRule="atLeast"/>
        <w:ind w:left="360" w:hanging="360"/>
        <w:rPr>
          <w:rFonts w:ascii="Calibri" w:eastAsia="Calibri" w:hAnsi="Calibri" w:cs="Times New Roman"/>
          <w:sz w:val="20"/>
          <w:szCs w:val="20"/>
          <w:highlight w:val="yellow"/>
        </w:rPr>
        <w:sectPr w:rsidR="00407FAE" w:rsidRPr="00407FAE" w:rsidSect="00712B79">
          <w:headerReference w:type="even" r:id="rId205"/>
          <w:headerReference w:type="default" r:id="rId206"/>
          <w:footerReference w:type="even" r:id="rId207"/>
          <w:footerReference w:type="default" r:id="rId208"/>
          <w:headerReference w:type="first" r:id="rId209"/>
          <w:footerReference w:type="first" r:id="rId210"/>
          <w:pgSz w:w="11906" w:h="16838"/>
          <w:pgMar w:top="1361" w:right="1797" w:bottom="1474" w:left="1797" w:header="283" w:footer="454" w:gutter="0"/>
          <w:cols w:space="708"/>
          <w:docGrid w:linePitch="360"/>
        </w:sectPr>
      </w:pPr>
    </w:p>
    <w:p w:rsidR="00407FAE" w:rsidRPr="00407FAE" w:rsidRDefault="00407FAE" w:rsidP="00691FD8">
      <w:pPr>
        <w:pStyle w:val="Heading6"/>
        <w:rPr>
          <w:rFonts w:eastAsia="Calibri"/>
        </w:rPr>
      </w:pPr>
      <w:r w:rsidRPr="00407FAE">
        <w:rPr>
          <w:rFonts w:eastAsia="Calibri"/>
        </w:rPr>
        <w:t>Attachment A: Resume indexation of the Medicare Benefits Schedule—financial implications</w:t>
      </w:r>
    </w:p>
    <w:p w:rsidR="00407FAE" w:rsidRPr="00407FAE" w:rsidRDefault="00407FAE" w:rsidP="00407FAE">
      <w:pPr>
        <w:keepNext/>
        <w:spacing w:before="300" w:after="114"/>
        <w:rPr>
          <w:rFonts w:ascii="Calibri" w:eastAsia="Calibri" w:hAnsi="Calibri" w:cs="Times New Roman"/>
          <w:b/>
          <w:bCs/>
          <w:color w:val="1F497D"/>
          <w:spacing w:val="-4"/>
          <w:vertAlign w:val="superscript"/>
        </w:rPr>
      </w:pPr>
      <w:r w:rsidRPr="00407FAE">
        <w:rPr>
          <w:rFonts w:ascii="Calibri" w:eastAsia="Calibri" w:hAnsi="Calibri" w:cs="Times New Roman"/>
          <w:b/>
          <w:bCs/>
          <w:color w:val="1F497D"/>
          <w:spacing w:val="-4"/>
        </w:rPr>
        <w:t>Table A1:</w:t>
      </w:r>
      <w:r w:rsidRPr="00407FAE" w:rsidDel="00A075EA">
        <w:rPr>
          <w:rFonts w:ascii="Calibri" w:eastAsia="Calibri" w:hAnsi="Calibri" w:cs="Times New Roman"/>
          <w:b/>
          <w:bCs/>
          <w:color w:val="1F497D"/>
          <w:spacing w:val="-4"/>
        </w:rPr>
        <w:t xml:space="preserve"> </w:t>
      </w:r>
      <w:r w:rsidRPr="00407FAE">
        <w:rPr>
          <w:rFonts w:ascii="Calibri" w:eastAsia="Calibri" w:hAnsi="Calibri" w:cs="Times New Roman"/>
          <w:b/>
          <w:bCs/>
          <w:color w:val="1F497D"/>
          <w:spacing w:val="-4"/>
        </w:rPr>
        <w:t>Resume indexation of the Medicare Benefits Schedule—Fiscal balance</w:t>
      </w:r>
      <w:r w:rsidRPr="00407FAE">
        <w:rPr>
          <w:rFonts w:ascii="Calibri" w:eastAsia="Calibri" w:hAnsi="Calibri" w:cs="Times New Roman"/>
          <w:b/>
          <w:bCs/>
          <w:color w:val="1F497D"/>
          <w:spacing w:val="-4"/>
          <w:vertAlign w:val="superscript"/>
        </w:rPr>
        <w:t>(a)(b)</w:t>
      </w:r>
    </w:p>
    <w:tbl>
      <w:tblPr>
        <w:tblStyle w:val="TableGrid110"/>
        <w:tblW w:w="4948"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1446"/>
        <w:gridCol w:w="898"/>
        <w:gridCol w:w="898"/>
        <w:gridCol w:w="898"/>
        <w:gridCol w:w="898"/>
        <w:gridCol w:w="898"/>
        <w:gridCol w:w="898"/>
        <w:gridCol w:w="898"/>
        <w:gridCol w:w="898"/>
        <w:gridCol w:w="898"/>
        <w:gridCol w:w="897"/>
        <w:gridCol w:w="897"/>
        <w:gridCol w:w="897"/>
        <w:gridCol w:w="897"/>
      </w:tblGrid>
      <w:tr w:rsidR="003B6499" w:rsidRPr="00407FAE" w:rsidTr="003B6499">
        <w:trPr>
          <w:cantSplit/>
          <w:trHeight w:val="872"/>
        </w:trPr>
        <w:tc>
          <w:tcPr>
            <w:cnfStyle w:val="001000000000" w:firstRow="0" w:lastRow="0" w:firstColumn="1" w:lastColumn="0" w:oddVBand="0" w:evenVBand="0" w:oddHBand="0" w:evenHBand="0" w:firstRowFirstColumn="0" w:firstRowLastColumn="0" w:lastRowFirstColumn="0" w:lastRowLastColumn="0"/>
            <w:tcW w:w="551" w:type="pct"/>
            <w:shd w:val="clear" w:color="auto" w:fill="D7DDE9"/>
          </w:tcPr>
          <w:p w:rsidR="00407FAE" w:rsidRPr="00407FAE" w:rsidRDefault="00407FAE" w:rsidP="00407FAE">
            <w:pPr>
              <w:keepNext/>
              <w:spacing w:line="240" w:lineRule="auto"/>
              <w:ind w:left="57"/>
              <w:rPr>
                <w:b/>
                <w:bCs/>
                <w:color w:val="1F497D"/>
                <w:spacing w:val="-4"/>
              </w:rPr>
            </w:pPr>
            <w:r w:rsidRPr="00407FAE">
              <w:rPr>
                <w:b/>
                <w:bCs/>
                <w:color w:val="1F497D"/>
                <w:spacing w:val="-4"/>
              </w:rPr>
              <w:t>($m)</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2016–17</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2017–18</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2018–19</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2019–20</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Total to 2019–20</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2020–21</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2021–22</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2022–23</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2023–24</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2024–25</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2025–26</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407FAE">
              <w:rPr>
                <w:rFonts w:ascii="Calibri" w:hAnsi="Calibri"/>
                <w:sz w:val="20"/>
              </w:rPr>
              <w:t>2026–27</w:t>
            </w:r>
          </w:p>
        </w:tc>
        <w:tc>
          <w:tcPr>
            <w:tcW w:w="342" w:type="pct"/>
            <w:shd w:val="clear" w:color="auto" w:fill="D7DDE9"/>
          </w:tcPr>
          <w:p w:rsidR="00407FAE" w:rsidRPr="00407FAE" w:rsidRDefault="00407FAE" w:rsidP="00407FAE">
            <w:pPr>
              <w:keepNext/>
              <w:keepLines/>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Total to 2026–27</w:t>
            </w:r>
          </w:p>
        </w:tc>
      </w:tr>
      <w:tr w:rsidR="003B6499" w:rsidRPr="00407FAE" w:rsidTr="00725D7C">
        <w:trPr>
          <w:cantSplit/>
          <w:trHeight w:val="376"/>
        </w:trPr>
        <w:tc>
          <w:tcPr>
            <w:cnfStyle w:val="001000000000" w:firstRow="0" w:lastRow="0" w:firstColumn="1" w:lastColumn="0" w:oddVBand="0" w:evenVBand="0" w:oddHBand="0" w:evenHBand="0" w:firstRowFirstColumn="0" w:firstRowLastColumn="0" w:lastRowFirstColumn="0" w:lastRowLastColumn="0"/>
            <w:tcW w:w="551" w:type="pct"/>
          </w:tcPr>
          <w:p w:rsidR="00407FAE" w:rsidRPr="00407FAE" w:rsidRDefault="00407FAE" w:rsidP="00407FAE">
            <w:pPr>
              <w:keepNext/>
              <w:keepLines/>
              <w:spacing w:line="240" w:lineRule="auto"/>
              <w:ind w:left="57"/>
            </w:pPr>
            <w:r w:rsidRPr="00407FAE">
              <w:t>Administered</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-145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-445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-760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-1,115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407FAE">
              <w:rPr>
                <w:rFonts w:ascii="Calibri" w:hAnsi="Calibri"/>
                <w:b/>
                <w:i/>
                <w:sz w:val="20"/>
                <w:szCs w:val="20"/>
              </w:rPr>
              <w:t>-2,470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-1,180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-1,255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-1,330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-1,405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-1,490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-1,575</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szCs w:val="20"/>
              </w:rPr>
            </w:pPr>
            <w:r w:rsidRPr="00407FAE">
              <w:rPr>
                <w:rFonts w:ascii="Calibri" w:hAnsi="Calibri"/>
                <w:i/>
                <w:sz w:val="20"/>
                <w:szCs w:val="20"/>
              </w:rPr>
              <w:t>-1,660</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407FAE">
              <w:rPr>
                <w:rFonts w:ascii="Calibri" w:hAnsi="Calibri"/>
                <w:b/>
                <w:i/>
                <w:sz w:val="20"/>
                <w:szCs w:val="20"/>
              </w:rPr>
              <w:t>-12,360</w:t>
            </w:r>
          </w:p>
        </w:tc>
      </w:tr>
      <w:tr w:rsidR="003B6499" w:rsidRPr="00407FAE" w:rsidTr="00725D7C">
        <w:trPr>
          <w:cantSplit/>
          <w:trHeight w:val="344"/>
        </w:trPr>
        <w:tc>
          <w:tcPr>
            <w:cnfStyle w:val="001000000000" w:firstRow="0" w:lastRow="0" w:firstColumn="1" w:lastColumn="0" w:oddVBand="0" w:evenVBand="0" w:oddHBand="0" w:evenHBand="0" w:firstRowFirstColumn="0" w:firstRowLastColumn="0" w:lastRowFirstColumn="0" w:lastRowLastColumn="0"/>
            <w:tcW w:w="551" w:type="pct"/>
          </w:tcPr>
          <w:p w:rsidR="00407FAE" w:rsidRPr="00407FAE" w:rsidRDefault="00407FAE" w:rsidP="00407FAE">
            <w:pPr>
              <w:keepNext/>
              <w:keepLines/>
              <w:spacing w:line="240" w:lineRule="auto"/>
              <w:ind w:left="57"/>
            </w:pPr>
            <w:r w:rsidRPr="00407FAE">
              <w:t>Departmental</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rPr>
            </w:pPr>
            <w:r w:rsidRPr="00407FAE">
              <w:rPr>
                <w:rFonts w:ascii="Calibri" w:hAnsi="Calibri"/>
                <w:b/>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i/>
                <w:sz w:val="20"/>
              </w:rPr>
            </w:pPr>
            <w:r w:rsidRPr="00407FAE">
              <w:rPr>
                <w:rFonts w:ascii="Calibri" w:hAnsi="Calibri"/>
                <w:i/>
                <w:sz w:val="20"/>
              </w:rPr>
              <w:t>-</w:t>
            </w:r>
          </w:p>
        </w:tc>
        <w:tc>
          <w:tcPr>
            <w:tcW w:w="342" w:type="pct"/>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i/>
                <w:sz w:val="20"/>
                <w:szCs w:val="20"/>
              </w:rPr>
            </w:pPr>
            <w:r w:rsidRPr="00407FAE">
              <w:rPr>
                <w:rFonts w:ascii="Calibri" w:hAnsi="Calibri"/>
                <w:b/>
                <w:i/>
                <w:sz w:val="20"/>
                <w:szCs w:val="20"/>
              </w:rPr>
              <w:t>..</w:t>
            </w:r>
          </w:p>
        </w:tc>
      </w:tr>
      <w:tr w:rsidR="00ED1D90" w:rsidRPr="00407FAE" w:rsidTr="003B6499">
        <w:trPr>
          <w:cantSplit/>
          <w:trHeight w:val="312"/>
        </w:trPr>
        <w:tc>
          <w:tcPr>
            <w:cnfStyle w:val="001000000000" w:firstRow="0" w:lastRow="0" w:firstColumn="1" w:lastColumn="0" w:oddVBand="0" w:evenVBand="0" w:oddHBand="0" w:evenHBand="0" w:firstRowFirstColumn="0" w:firstRowLastColumn="0" w:lastRowFirstColumn="0" w:lastRowLastColumn="0"/>
            <w:tcW w:w="551" w:type="pct"/>
            <w:shd w:val="clear" w:color="auto" w:fill="D7DDE9"/>
          </w:tcPr>
          <w:p w:rsidR="00407FAE" w:rsidRPr="00407FAE" w:rsidRDefault="00407FAE" w:rsidP="00407FAE">
            <w:pPr>
              <w:keepNext/>
              <w:keepLines/>
              <w:spacing w:line="240" w:lineRule="auto"/>
              <w:ind w:left="57"/>
              <w:rPr>
                <w:b/>
              </w:rPr>
            </w:pPr>
            <w:r w:rsidRPr="00407FAE">
              <w:rPr>
                <w:b/>
              </w:rPr>
              <w:t>Total</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-145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-445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-760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-1,115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-2,470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-1,180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-1,255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-1,330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-1,405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-1,490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-1,575</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rPr>
            </w:pPr>
            <w:r w:rsidRPr="00407FAE">
              <w:rPr>
                <w:rFonts w:ascii="Calibri" w:hAnsi="Calibri"/>
                <w:b/>
                <w:sz w:val="20"/>
              </w:rPr>
              <w:t>-1,660</w:t>
            </w:r>
          </w:p>
        </w:tc>
        <w:tc>
          <w:tcPr>
            <w:tcW w:w="342" w:type="pct"/>
            <w:shd w:val="clear" w:color="auto" w:fill="D7DDE9"/>
          </w:tcPr>
          <w:p w:rsidR="00407FAE" w:rsidRPr="00407FAE" w:rsidRDefault="00407FAE" w:rsidP="00407FAE">
            <w:pPr>
              <w:spacing w:line="240" w:lineRule="auto"/>
              <w:ind w:left="57"/>
              <w:jc w:val="right"/>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407FAE">
              <w:rPr>
                <w:rFonts w:ascii="Calibri" w:hAnsi="Calibri"/>
                <w:b/>
                <w:sz w:val="20"/>
                <w:szCs w:val="20"/>
              </w:rPr>
              <w:t>-12,360</w:t>
            </w:r>
          </w:p>
        </w:tc>
      </w:tr>
    </w:tbl>
    <w:p w:rsidR="00691FD8" w:rsidRPr="00691FD8" w:rsidRDefault="00407FAE" w:rsidP="00691FD8">
      <w:pPr>
        <w:pStyle w:val="Footnotes"/>
        <w:numPr>
          <w:ilvl w:val="0"/>
          <w:numId w:val="224"/>
        </w:numPr>
        <w:spacing w:before="113" w:after="113"/>
        <w:ind w:left="284" w:hanging="284"/>
        <w:rPr>
          <w:rFonts w:ascii="Calibri" w:eastAsia="Calibri" w:hAnsi="Calibri" w:cs="Times New Roman"/>
        </w:rPr>
      </w:pPr>
      <w:r w:rsidRPr="00691FD8">
        <w:rPr>
          <w:rFonts w:ascii="Calibri" w:eastAsia="Calibri" w:hAnsi="Calibri" w:cs="Times New Roman"/>
        </w:rPr>
        <w:t>A positive number indicates an increase in revenue or decrease in expenses or net capital investment in accrual and cash terms. A negative number indicates a decrease in revenue or an increase in expenses or net capital investment in accrual and cash terms.</w:t>
      </w:r>
    </w:p>
    <w:p w:rsidR="00407FAE" w:rsidRPr="00691FD8" w:rsidRDefault="00407FAE" w:rsidP="00407FAE">
      <w:pPr>
        <w:pStyle w:val="Footnotes"/>
        <w:spacing w:before="113" w:after="113"/>
        <w:ind w:left="284" w:hanging="284"/>
        <w:rPr>
          <w:rFonts w:ascii="Calibri" w:eastAsia="Calibri" w:hAnsi="Calibri" w:cs="Times New Roman"/>
        </w:rPr>
      </w:pPr>
      <w:r w:rsidRPr="00691FD8">
        <w:rPr>
          <w:rFonts w:ascii="Calibri" w:eastAsia="Calibri" w:hAnsi="Calibri" w:cs="Times New Roman"/>
        </w:rPr>
        <w:t>Figures may not sum to totals due to rounding.</w:t>
      </w:r>
    </w:p>
    <w:p w:rsidR="00407FAE" w:rsidRPr="00407FAE" w:rsidRDefault="00407FAE" w:rsidP="00691FD8">
      <w:pPr>
        <w:pStyle w:val="Footnotes"/>
        <w:numPr>
          <w:ilvl w:val="0"/>
          <w:numId w:val="0"/>
        </w:numPr>
        <w:ind w:left="284" w:hanging="284"/>
      </w:pPr>
      <w:r w:rsidRPr="00407FAE">
        <w:t>..</w:t>
      </w:r>
      <w:r w:rsidR="00691FD8">
        <w:tab/>
      </w:r>
      <w:r w:rsidRPr="00407FAE">
        <w:t>Not zero but rounded to zero.</w:t>
      </w:r>
    </w:p>
    <w:p w:rsidR="00407FAE" w:rsidRPr="00407FAE" w:rsidRDefault="00407FAE" w:rsidP="00691FD8">
      <w:pPr>
        <w:pStyle w:val="Footnotes"/>
        <w:numPr>
          <w:ilvl w:val="0"/>
          <w:numId w:val="33"/>
        </w:numPr>
        <w:ind w:left="284" w:hanging="284"/>
      </w:pPr>
      <w:r w:rsidRPr="00407FAE">
        <w:t>Indicates nil.</w:t>
      </w:r>
    </w:p>
    <w:p w:rsidR="00EB19E8" w:rsidRDefault="00EB19E8" w:rsidP="00691FD8">
      <w:pPr>
        <w:pStyle w:val="Captionheading"/>
        <w:keepLines/>
        <w:spacing w:before="300"/>
        <w:rPr>
          <w:vertAlign w:val="superscript"/>
        </w:rPr>
      </w:pPr>
      <w:r w:rsidRPr="00FC6579">
        <w:t xml:space="preserve">Table </w:t>
      </w:r>
      <w:r>
        <w:t>A2</w:t>
      </w:r>
      <w:r w:rsidRPr="00FC6579">
        <w:t>:</w:t>
      </w:r>
      <w:r w:rsidRPr="004E006B">
        <w:t xml:space="preserve"> Resume indexation of the Medicare Benefits Schedule</w:t>
      </w:r>
      <w:r>
        <w:t>—Underlying cash balance</w:t>
      </w:r>
      <w:r>
        <w:rPr>
          <w:vertAlign w:val="superscript"/>
        </w:rPr>
        <w:t>(a)(b)</w:t>
      </w:r>
    </w:p>
    <w:tbl>
      <w:tblPr>
        <w:tblStyle w:val="TableGrid2"/>
        <w:tblW w:w="5000" w:type="pct"/>
        <w:tblBorders>
          <w:top w:val="single" w:sz="4" w:space="0" w:color="788184"/>
          <w:left w:val="single" w:sz="4" w:space="0" w:color="788184"/>
          <w:bottom w:val="single" w:sz="4" w:space="0" w:color="788184"/>
          <w:right w:val="single" w:sz="4" w:space="0" w:color="788184"/>
          <w:insideH w:val="single" w:sz="4" w:space="0" w:color="788184"/>
          <w:insideV w:val="single" w:sz="4" w:space="0" w:color="788184"/>
        </w:tblBorders>
        <w:tblLook w:val="0680" w:firstRow="0" w:lastRow="0" w:firstColumn="1" w:lastColumn="0" w:noHBand="1" w:noVBand="1"/>
      </w:tblPr>
      <w:tblGrid>
        <w:gridCol w:w="1374"/>
        <w:gridCol w:w="930"/>
        <w:gridCol w:w="930"/>
        <w:gridCol w:w="930"/>
        <w:gridCol w:w="930"/>
        <w:gridCol w:w="930"/>
        <w:gridCol w:w="930"/>
        <w:gridCol w:w="930"/>
        <w:gridCol w:w="929"/>
        <w:gridCol w:w="929"/>
        <w:gridCol w:w="929"/>
        <w:gridCol w:w="929"/>
        <w:gridCol w:w="929"/>
        <w:gridCol w:w="931"/>
      </w:tblGrid>
      <w:tr w:rsidR="003B6499" w:rsidRPr="00EB19E8" w:rsidTr="00725D7C">
        <w:trPr>
          <w:cantSplit/>
        </w:trPr>
        <w:tc>
          <w:tcPr>
            <w:tcW w:w="509" w:type="pct"/>
            <w:shd w:val="clear" w:color="auto" w:fill="D7DDE9"/>
            <w:vAlign w:val="center"/>
          </w:tcPr>
          <w:p w:rsidR="00EB19E8" w:rsidRPr="00EB19E8" w:rsidRDefault="00EB19E8" w:rsidP="00691FD8">
            <w:pPr>
              <w:pStyle w:val="Captionheading"/>
              <w:spacing w:before="70" w:after="70"/>
              <w:ind w:left="57" w:right="57"/>
              <w:rPr>
                <w:sz w:val="20"/>
                <w:szCs w:val="20"/>
              </w:rPr>
            </w:pPr>
            <w:r w:rsidRPr="00EB19E8">
              <w:rPr>
                <w:sz w:val="20"/>
                <w:szCs w:val="20"/>
              </w:rPr>
              <w:t>($m)</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2016–17</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2017–18</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2018–19</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2019–20</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b/>
                <w:sz w:val="20"/>
                <w:lang w:eastAsia="en-AU"/>
              </w:rPr>
            </w:pPr>
            <w:r w:rsidRPr="00407FAE">
              <w:rPr>
                <w:rFonts w:ascii="Calibri" w:eastAsia="Times New Roman" w:hAnsi="Calibri" w:cs="Times New Roman"/>
                <w:b/>
                <w:sz w:val="20"/>
                <w:lang w:eastAsia="en-AU"/>
              </w:rPr>
              <w:t>Total to 2019–20</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2020–21</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2021–22</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2022–23</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2023–24</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2024–25</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2025–26</w:t>
            </w:r>
          </w:p>
        </w:tc>
        <w:tc>
          <w:tcPr>
            <w:tcW w:w="345" w:type="pct"/>
            <w:shd w:val="clear" w:color="auto" w:fill="D7DDE9"/>
            <w:vAlign w:val="center"/>
          </w:tcPr>
          <w:p w:rsidR="00EB19E8" w:rsidRPr="00407FAE" w:rsidRDefault="00EB19E8" w:rsidP="00691FD8">
            <w:pPr>
              <w:spacing w:before="70" w:after="70"/>
              <w:jc w:val="center"/>
              <w:rPr>
                <w:rFonts w:ascii="Calibri" w:eastAsia="Times New Roman" w:hAnsi="Calibri" w:cs="Times New Roman"/>
                <w:sz w:val="20"/>
                <w:lang w:eastAsia="en-AU"/>
              </w:rPr>
            </w:pPr>
            <w:r w:rsidRPr="00407FAE">
              <w:rPr>
                <w:rFonts w:ascii="Calibri" w:eastAsia="Times New Roman" w:hAnsi="Calibri" w:cs="Times New Roman"/>
                <w:sz w:val="20"/>
                <w:lang w:eastAsia="en-AU"/>
              </w:rPr>
              <w:t>2026–27</w:t>
            </w:r>
          </w:p>
        </w:tc>
        <w:tc>
          <w:tcPr>
            <w:tcW w:w="346" w:type="pct"/>
            <w:shd w:val="clear" w:color="auto" w:fill="D7DDE9"/>
            <w:vAlign w:val="center"/>
          </w:tcPr>
          <w:p w:rsidR="00EB19E8" w:rsidRPr="00407FAE" w:rsidRDefault="00EB19E8" w:rsidP="00691FD8">
            <w:pPr>
              <w:spacing w:before="70" w:after="70"/>
              <w:jc w:val="center"/>
              <w:rPr>
                <w:rFonts w:ascii="Calibri" w:eastAsia="Times New Roman" w:hAnsi="Calibri" w:cs="Times New Roman"/>
                <w:b/>
                <w:sz w:val="20"/>
                <w:lang w:eastAsia="en-AU"/>
              </w:rPr>
            </w:pPr>
            <w:r w:rsidRPr="00407FAE">
              <w:rPr>
                <w:rFonts w:ascii="Calibri" w:eastAsia="Times New Roman" w:hAnsi="Calibri" w:cs="Times New Roman"/>
                <w:b/>
                <w:sz w:val="20"/>
                <w:lang w:eastAsia="en-AU"/>
              </w:rPr>
              <w:t>Total to 2026–27</w:t>
            </w:r>
          </w:p>
        </w:tc>
      </w:tr>
      <w:tr w:rsidR="003B6499" w:rsidRPr="00EB19E8" w:rsidTr="00725D7C">
        <w:trPr>
          <w:cantSplit/>
        </w:trPr>
        <w:tc>
          <w:tcPr>
            <w:tcW w:w="509" w:type="pct"/>
          </w:tcPr>
          <w:p w:rsidR="00EB19E8" w:rsidRPr="00EB19E8" w:rsidRDefault="00EB19E8" w:rsidP="00725D7C">
            <w:pPr>
              <w:spacing w:before="70" w:after="70"/>
              <w:rPr>
                <w:sz w:val="20"/>
                <w:szCs w:val="20"/>
              </w:rPr>
            </w:pPr>
            <w:r w:rsidRPr="00EB19E8">
              <w:rPr>
                <w:sz w:val="20"/>
                <w:szCs w:val="20"/>
              </w:rPr>
              <w:t>Administered</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-140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-440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-750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-1,100</w:t>
            </w:r>
          </w:p>
        </w:tc>
        <w:tc>
          <w:tcPr>
            <w:tcW w:w="345" w:type="pct"/>
          </w:tcPr>
          <w:p w:rsidR="00EB19E8" w:rsidRPr="00EB19E8" w:rsidRDefault="00EB19E8" w:rsidP="00691FD8">
            <w:pPr>
              <w:pStyle w:val="TableTextRight"/>
              <w:spacing w:line="240" w:lineRule="auto"/>
              <w:ind w:left="0" w:right="0"/>
              <w:rPr>
                <w:b/>
                <w:i/>
                <w:szCs w:val="20"/>
              </w:rPr>
            </w:pPr>
            <w:r w:rsidRPr="00EB19E8">
              <w:rPr>
                <w:b/>
                <w:i/>
                <w:szCs w:val="20"/>
              </w:rPr>
              <w:t>-2,425</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-1,165</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-1,240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-1,315</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-1,390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-1,475</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-1,560</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-1,645</w:t>
            </w:r>
          </w:p>
        </w:tc>
        <w:tc>
          <w:tcPr>
            <w:tcW w:w="346" w:type="pct"/>
          </w:tcPr>
          <w:p w:rsidR="00EB19E8" w:rsidRPr="00EB19E8" w:rsidRDefault="00EB19E8" w:rsidP="00691FD8">
            <w:pPr>
              <w:spacing w:before="70" w:after="70"/>
              <w:jc w:val="right"/>
              <w:rPr>
                <w:b/>
                <w:bCs/>
                <w:i/>
                <w:color w:val="000000"/>
                <w:sz w:val="20"/>
                <w:szCs w:val="20"/>
              </w:rPr>
            </w:pPr>
            <w:r w:rsidRPr="00EB19E8">
              <w:rPr>
                <w:b/>
                <w:i/>
                <w:sz w:val="20"/>
                <w:szCs w:val="20"/>
              </w:rPr>
              <w:t>-12,215</w:t>
            </w:r>
          </w:p>
        </w:tc>
      </w:tr>
      <w:tr w:rsidR="003B6499" w:rsidRPr="00EB19E8" w:rsidTr="00725D7C">
        <w:trPr>
          <w:cantSplit/>
        </w:trPr>
        <w:tc>
          <w:tcPr>
            <w:tcW w:w="509" w:type="pct"/>
          </w:tcPr>
          <w:p w:rsidR="00EB19E8" w:rsidRPr="00EB19E8" w:rsidRDefault="00EB19E8" w:rsidP="00725D7C">
            <w:pPr>
              <w:spacing w:before="70" w:after="70"/>
              <w:rPr>
                <w:sz w:val="20"/>
                <w:szCs w:val="20"/>
              </w:rPr>
            </w:pPr>
            <w:r w:rsidRPr="00EB19E8">
              <w:rPr>
                <w:sz w:val="20"/>
                <w:szCs w:val="20"/>
              </w:rPr>
              <w:t>Departmental</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b/>
                <w:i/>
                <w:szCs w:val="20"/>
              </w:rPr>
            </w:pPr>
            <w:r w:rsidRPr="00EB19E8">
              <w:rPr>
                <w:b/>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5" w:type="pct"/>
          </w:tcPr>
          <w:p w:rsidR="00EB19E8" w:rsidRPr="00EB19E8" w:rsidRDefault="00EB19E8" w:rsidP="00691FD8">
            <w:pPr>
              <w:pStyle w:val="TableTextRight"/>
              <w:spacing w:line="240" w:lineRule="auto"/>
              <w:ind w:left="0" w:right="0"/>
              <w:rPr>
                <w:i/>
                <w:szCs w:val="20"/>
              </w:rPr>
            </w:pPr>
            <w:r w:rsidRPr="00EB19E8">
              <w:rPr>
                <w:i/>
                <w:szCs w:val="20"/>
              </w:rPr>
              <w:t>-</w:t>
            </w:r>
          </w:p>
        </w:tc>
        <w:tc>
          <w:tcPr>
            <w:tcW w:w="346" w:type="pct"/>
            <w:vAlign w:val="bottom"/>
          </w:tcPr>
          <w:p w:rsidR="00EB19E8" w:rsidRPr="00EB19E8" w:rsidRDefault="00EB19E8" w:rsidP="00691FD8">
            <w:pPr>
              <w:spacing w:before="70" w:after="70"/>
              <w:jc w:val="right"/>
              <w:rPr>
                <w:b/>
                <w:bCs/>
                <w:i/>
                <w:color w:val="000000"/>
                <w:sz w:val="20"/>
                <w:szCs w:val="20"/>
              </w:rPr>
            </w:pPr>
            <w:r w:rsidRPr="00EB19E8">
              <w:rPr>
                <w:b/>
                <w:bCs/>
                <w:i/>
                <w:color w:val="000000"/>
                <w:sz w:val="20"/>
                <w:szCs w:val="20"/>
              </w:rPr>
              <w:t>..</w:t>
            </w:r>
          </w:p>
        </w:tc>
      </w:tr>
      <w:tr w:rsidR="003B6499" w:rsidRPr="00EB19E8" w:rsidTr="00725D7C">
        <w:trPr>
          <w:cantSplit/>
        </w:trPr>
        <w:tc>
          <w:tcPr>
            <w:tcW w:w="509" w:type="pct"/>
            <w:shd w:val="clear" w:color="auto" w:fill="D7DDE9"/>
          </w:tcPr>
          <w:p w:rsidR="00EB19E8" w:rsidRPr="00EB19E8" w:rsidRDefault="00EB19E8" w:rsidP="00691FD8">
            <w:pPr>
              <w:spacing w:before="70" w:after="70"/>
              <w:ind w:left="57" w:right="57"/>
              <w:rPr>
                <w:b/>
                <w:sz w:val="20"/>
                <w:szCs w:val="20"/>
              </w:rPr>
            </w:pPr>
            <w:r w:rsidRPr="00EB19E8">
              <w:rPr>
                <w:b/>
                <w:sz w:val="20"/>
                <w:szCs w:val="20"/>
              </w:rPr>
              <w:t>Total</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-140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-440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-750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-1,100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-2,425</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-1,165</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-1,240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-1,315</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-1,390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-1,475</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-1,560</w:t>
            </w:r>
          </w:p>
        </w:tc>
        <w:tc>
          <w:tcPr>
            <w:tcW w:w="345" w:type="pct"/>
            <w:shd w:val="clear" w:color="auto" w:fill="D7DDE9"/>
          </w:tcPr>
          <w:p w:rsidR="00EB19E8" w:rsidRPr="00EB19E8" w:rsidRDefault="00EB19E8" w:rsidP="00691FD8">
            <w:pPr>
              <w:pStyle w:val="TableTextRight"/>
              <w:spacing w:line="240" w:lineRule="auto"/>
              <w:ind w:left="0" w:right="0"/>
              <w:rPr>
                <w:b/>
                <w:szCs w:val="20"/>
              </w:rPr>
            </w:pPr>
            <w:r w:rsidRPr="00EB19E8">
              <w:rPr>
                <w:b/>
                <w:szCs w:val="20"/>
              </w:rPr>
              <w:t>-1,645</w:t>
            </w:r>
          </w:p>
        </w:tc>
        <w:tc>
          <w:tcPr>
            <w:tcW w:w="346" w:type="pct"/>
            <w:shd w:val="clear" w:color="auto" w:fill="D7DDE9"/>
          </w:tcPr>
          <w:p w:rsidR="00EB19E8" w:rsidRPr="00EB19E8" w:rsidRDefault="00EB19E8" w:rsidP="00691FD8">
            <w:pPr>
              <w:spacing w:before="70" w:after="70"/>
              <w:jc w:val="right"/>
              <w:rPr>
                <w:b/>
                <w:bCs/>
                <w:color w:val="000000"/>
                <w:sz w:val="20"/>
                <w:szCs w:val="20"/>
              </w:rPr>
            </w:pPr>
            <w:r w:rsidRPr="00EB19E8">
              <w:rPr>
                <w:b/>
                <w:bCs/>
                <w:color w:val="000000"/>
                <w:sz w:val="20"/>
                <w:szCs w:val="20"/>
              </w:rPr>
              <w:t>-12,215</w:t>
            </w:r>
          </w:p>
        </w:tc>
      </w:tr>
    </w:tbl>
    <w:p w:rsidR="00EB19E8" w:rsidRDefault="00EB19E8" w:rsidP="00691FD8">
      <w:pPr>
        <w:pStyle w:val="Footnotes"/>
        <w:keepNext/>
        <w:keepLines/>
        <w:numPr>
          <w:ilvl w:val="0"/>
          <w:numId w:val="225"/>
        </w:numPr>
        <w:spacing w:before="113" w:after="113"/>
        <w:ind w:left="284" w:hanging="284"/>
      </w:pPr>
      <w:r>
        <w:t xml:space="preserve">A </w:t>
      </w:r>
      <w:r w:rsidRPr="007F2231">
        <w:t>positive number for the underlying cash balance indicates an increase in receipts or a decrease in outlays or net capital investment in cash terms.</w:t>
      </w:r>
      <w:r>
        <w:t xml:space="preserve"> </w:t>
      </w:r>
      <w:r w:rsidRPr="007F2231">
        <w:t xml:space="preserve"> A negative number for the underlying cash balance indicates a decrease in receipts or an increase in outlays or net capital investment in cash terms.</w:t>
      </w:r>
      <w:r w:rsidRPr="0043430F">
        <w:t xml:space="preserve"> </w:t>
      </w:r>
    </w:p>
    <w:p w:rsidR="00EB19E8" w:rsidRPr="005328F3" w:rsidRDefault="00EB19E8" w:rsidP="00691FD8">
      <w:pPr>
        <w:pStyle w:val="Footnotes"/>
        <w:keepNext/>
        <w:keepLines/>
        <w:spacing w:before="113" w:after="113"/>
        <w:ind w:left="284" w:hanging="284"/>
      </w:pPr>
      <w:r w:rsidRPr="005328F3">
        <w:t>Figures may not sum to totals due to rounding.</w:t>
      </w:r>
    </w:p>
    <w:p w:rsidR="00EB19E8" w:rsidRPr="005328F3" w:rsidRDefault="00EB19E8" w:rsidP="00691FD8">
      <w:pPr>
        <w:pStyle w:val="Footnotes"/>
        <w:keepNext/>
        <w:keepLines/>
        <w:numPr>
          <w:ilvl w:val="0"/>
          <w:numId w:val="0"/>
        </w:numPr>
        <w:ind w:left="284" w:hanging="284"/>
      </w:pPr>
      <w:r w:rsidRPr="005328F3">
        <w:t>..</w:t>
      </w:r>
      <w:r w:rsidR="00691FD8">
        <w:tab/>
      </w:r>
      <w:r w:rsidRPr="005328F3">
        <w:t>Not zero but rounded to zero.</w:t>
      </w:r>
    </w:p>
    <w:p w:rsidR="00EB19E8" w:rsidRPr="005328F3" w:rsidRDefault="00EB19E8" w:rsidP="00691FD8">
      <w:pPr>
        <w:pStyle w:val="Footnotes"/>
        <w:numPr>
          <w:ilvl w:val="0"/>
          <w:numId w:val="211"/>
        </w:numPr>
        <w:spacing w:before="113" w:after="113"/>
        <w:ind w:left="284" w:hanging="284"/>
      </w:pPr>
      <w:r w:rsidRPr="005328F3">
        <w:t>Indicates nil</w:t>
      </w:r>
      <w:r>
        <w:t>.</w:t>
      </w:r>
    </w:p>
    <w:p w:rsidR="00420CF4" w:rsidRDefault="00420CF4" w:rsidP="00420CF4">
      <w:pPr>
        <w:pStyle w:val="BodyText"/>
        <w:sectPr w:rsidR="00420CF4" w:rsidSect="00691FD8">
          <w:headerReference w:type="even" r:id="rId211"/>
          <w:headerReference w:type="default" r:id="rId212"/>
          <w:footerReference w:type="even" r:id="rId213"/>
          <w:footerReference w:type="default" r:id="rId214"/>
          <w:footnotePr>
            <w:numRestart w:val="eachSect"/>
          </w:footnotePr>
          <w:pgSz w:w="16838" w:h="11906" w:orient="landscape" w:code="9"/>
          <w:pgMar w:top="1361" w:right="1797" w:bottom="1474" w:left="1797" w:header="283" w:footer="454" w:gutter="0"/>
          <w:cols w:space="708"/>
          <w:docGrid w:linePitch="360"/>
        </w:sectPr>
      </w:pPr>
    </w:p>
    <w:p w:rsidR="004C2EF8" w:rsidRDefault="004C2EF8" w:rsidP="004C2EF8">
      <w:pPr>
        <w:pStyle w:val="Heading5"/>
        <w:ind w:left="1080" w:hanging="1080"/>
      </w:pPr>
      <w:bookmarkStart w:id="124" w:name="_Toc455655044"/>
      <w:bookmarkStart w:id="125" w:name="_Toc458081712"/>
      <w:r>
        <w:t>ALP0</w:t>
      </w:r>
      <w:r w:rsidR="009221D1">
        <w:t>88</w:t>
      </w:r>
      <w:r>
        <w:t>: Not proceeding with changes to the Medicare Safety Nets</w:t>
      </w:r>
      <w:bookmarkEnd w:id="124"/>
      <w:bookmarkEnd w:id="125"/>
    </w:p>
    <w:p w:rsidR="004C2EF8" w:rsidRDefault="004C2EF8" w:rsidP="00275C35">
      <w:pPr>
        <w:pStyle w:val="BodyText"/>
      </w:pPr>
      <w:r>
        <w:rPr>
          <w:noProof/>
          <w:lang w:eastAsia="en-AU"/>
        </w:rPr>
        <w:drawing>
          <wp:inline distT="0" distB="0" distL="0" distR="0" wp14:anchorId="22DB244E" wp14:editId="4C0C867F">
            <wp:extent cx="2696845" cy="572135"/>
            <wp:effectExtent l="0" t="0" r="8255" b="0"/>
            <wp:docPr id="12" name="Picture 1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C2EF8" w:rsidRDefault="004C2EF8" w:rsidP="004C2EF8">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4C2EF8" w:rsidRPr="008851BD"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4C2EF8" w:rsidRPr="008851BD" w:rsidRDefault="004C2EF8" w:rsidP="00F7554A">
            <w:pPr>
              <w:pStyle w:val="PullOutBoxHeading"/>
              <w:rPr>
                <w:b/>
              </w:rPr>
            </w:pPr>
            <w:r w:rsidRPr="008851BD">
              <w:rPr>
                <w:b/>
              </w:rPr>
              <w:t>Name of proposal:</w:t>
            </w:r>
          </w:p>
        </w:tc>
        <w:tc>
          <w:tcPr>
            <w:tcW w:w="3191" w:type="pct"/>
          </w:tcPr>
          <w:p w:rsidR="004C2EF8" w:rsidRPr="008851BD" w:rsidRDefault="004C2EF8" w:rsidP="00F7554A">
            <w:pPr>
              <w:pStyle w:val="PullOutBoxHeading"/>
              <w:rPr>
                <w:b/>
              </w:rPr>
            </w:pPr>
            <w:r w:rsidRPr="008851BD">
              <w:rPr>
                <w:b/>
              </w:rPr>
              <w:t>Not proceeding with changes to the Medicare Safety Nets</w:t>
            </w:r>
          </w:p>
        </w:tc>
      </w:tr>
      <w:tr w:rsidR="004C2EF8" w:rsidRPr="00B45F94" w:rsidTr="00F7554A">
        <w:tc>
          <w:tcPr>
            <w:tcW w:w="1809" w:type="pct"/>
          </w:tcPr>
          <w:p w:rsidR="004C2EF8" w:rsidRPr="00B45F94" w:rsidRDefault="004C2EF8" w:rsidP="007B1C9A">
            <w:pPr>
              <w:pStyle w:val="PullOutBoxBodyText"/>
            </w:pPr>
            <w:r w:rsidRPr="00B45F94">
              <w:t>Summary of proposal:</w:t>
            </w:r>
          </w:p>
        </w:tc>
        <w:tc>
          <w:tcPr>
            <w:tcW w:w="3191" w:type="pct"/>
          </w:tcPr>
          <w:p w:rsidR="004C2EF8" w:rsidRDefault="004C2EF8" w:rsidP="007B1C9A">
            <w:pPr>
              <w:pStyle w:val="PullOutBoxBodyText"/>
            </w:pPr>
            <w:r>
              <w:t>The proposal would reverse the 2014-15 Budget measure, Simplifying Medicare safety net arrangements.</w:t>
            </w:r>
          </w:p>
          <w:p w:rsidR="004C2EF8" w:rsidRPr="00B45F94" w:rsidRDefault="004C2EF8" w:rsidP="007B1C9A">
            <w:pPr>
              <w:pStyle w:val="PullOutBoxBodyText"/>
            </w:pPr>
            <w:r>
              <w:t>The proposal would have effect from 1 July 2016.</w:t>
            </w:r>
          </w:p>
        </w:tc>
      </w:tr>
      <w:tr w:rsidR="004C2EF8" w:rsidRPr="00B45F94" w:rsidTr="00F7554A">
        <w:tc>
          <w:tcPr>
            <w:tcW w:w="1809" w:type="pct"/>
          </w:tcPr>
          <w:p w:rsidR="004C2EF8" w:rsidRPr="00B45F94" w:rsidRDefault="004C2EF8" w:rsidP="007B1C9A">
            <w:pPr>
              <w:pStyle w:val="PullOutBoxBodyText"/>
            </w:pPr>
            <w:r>
              <w:t>Party:</w:t>
            </w:r>
          </w:p>
        </w:tc>
        <w:tc>
          <w:tcPr>
            <w:tcW w:w="3191" w:type="pct"/>
          </w:tcPr>
          <w:p w:rsidR="004C2EF8" w:rsidRPr="00B45F94" w:rsidRDefault="004C2EF8" w:rsidP="007B1C9A">
            <w:pPr>
              <w:pStyle w:val="PullOutBoxBodyText"/>
            </w:pPr>
            <w:r>
              <w:t>Australian Labor Party</w:t>
            </w:r>
          </w:p>
        </w:tc>
      </w:tr>
      <w:tr w:rsidR="004C2EF8" w:rsidRPr="00B45F94" w:rsidTr="00F7554A">
        <w:tc>
          <w:tcPr>
            <w:tcW w:w="1809" w:type="pct"/>
          </w:tcPr>
          <w:p w:rsidR="004C2EF8" w:rsidRPr="00B45F94" w:rsidRDefault="004C2EF8" w:rsidP="007B1C9A">
            <w:pPr>
              <w:pStyle w:val="PullOutBoxBodyText"/>
            </w:pPr>
            <w:r w:rsidRPr="00B45F94">
              <w:t>Expiry date for the costing:</w:t>
            </w:r>
          </w:p>
        </w:tc>
        <w:tc>
          <w:tcPr>
            <w:tcW w:w="3191" w:type="pct"/>
          </w:tcPr>
          <w:p w:rsidR="004C2EF8" w:rsidRPr="00B45F94" w:rsidRDefault="004C2EF8" w:rsidP="007B1C9A">
            <w:pPr>
              <w:pStyle w:val="PullOutBoxBodyText"/>
            </w:pPr>
            <w:r>
              <w:t>Release of the next economic and fiscal update</w:t>
            </w:r>
          </w:p>
        </w:tc>
      </w:tr>
    </w:tbl>
    <w:p w:rsidR="004C2EF8" w:rsidRDefault="004C2EF8" w:rsidP="004C2EF8">
      <w:pPr>
        <w:pStyle w:val="CostingsH7"/>
      </w:pPr>
      <w:r w:rsidRPr="00BF1EE6">
        <w:t>Costing overview</w:t>
      </w:r>
    </w:p>
    <w:p w:rsidR="004C2EF8" w:rsidRDefault="004C2EF8" w:rsidP="004C2EF8">
      <w:pPr>
        <w:pStyle w:val="BodyText"/>
      </w:pPr>
      <w:r>
        <w:t xml:space="preserve">The 2014-15 Budget measure, </w:t>
      </w:r>
      <w:r w:rsidRPr="00973DCE">
        <w:rPr>
          <w:i/>
        </w:rPr>
        <w:t>Simplifying Medicare safety net arrangements</w:t>
      </w:r>
      <w:r>
        <w:t xml:space="preserve"> was to commence on 1 January 2016, however it is subject to the passage of legislation.</w:t>
      </w:r>
    </w:p>
    <w:p w:rsidR="004C2EF8" w:rsidRDefault="004C2EF8" w:rsidP="004C2EF8">
      <w:pPr>
        <w:pStyle w:val="BodyText"/>
      </w:pPr>
      <w:r>
        <w:t>This proposal would be expected to decrease the fiscal balance by $422.8 million and the underlying cash balance by $420.8 million over the 2016-17 Budget forward estimates period.  This impact is the net effect of an increase in administrated expenses for the Department of Health and an increase in departmental expenses for the Department of Human Services, and a relatively small offset from a decrease in departmental expenses for the Department of Health.</w:t>
      </w:r>
    </w:p>
    <w:p w:rsidR="004C2EF8" w:rsidRDefault="004C2EF8" w:rsidP="004C2EF8">
      <w:pPr>
        <w:pStyle w:val="BodyText"/>
      </w:pPr>
      <w:r>
        <w:t>The proposal would have an ongoing impact that extends beyond the 2016</w:t>
      </w:r>
      <w:r>
        <w:noBreakHyphen/>
        <w:t xml:space="preserve">17 Budget forward estimates period.  A breakdown of the impact over the 2016-17 Budget forward estimates period is provided at </w:t>
      </w:r>
      <w:r w:rsidRPr="00973DCE">
        <w:rPr>
          <w:u w:val="single"/>
        </w:rPr>
        <w:t>Attachment A</w:t>
      </w:r>
      <w:r>
        <w:t>.</w:t>
      </w:r>
    </w:p>
    <w:p w:rsidR="004C2EF8" w:rsidRDefault="004C2EF8" w:rsidP="004C2EF8">
      <w:pPr>
        <w:pStyle w:val="BodyText"/>
      </w:pPr>
      <w:r>
        <w:t>The proposal has a different impact on the fiscal and underlying cash balances due to a lag between when services are provided and when payments are made under the Medicare Benefits Schedule.</w:t>
      </w:r>
    </w:p>
    <w:p w:rsidR="004C2EF8" w:rsidRPr="00C17F0B" w:rsidRDefault="004C2EF8" w:rsidP="004C2EF8">
      <w:pPr>
        <w:pStyle w:val="BodyText"/>
      </w:pPr>
      <w:r>
        <w:t>The financial implications are considered to be of a medium reliability as, while the estimates are based on the 2014-15 Budget measure, assumptions have been applied to account for a revised start date for the measure.</w:t>
      </w:r>
    </w:p>
    <w:p w:rsidR="004C2EF8" w:rsidRDefault="004C2EF8" w:rsidP="004C2EF8">
      <w:pPr>
        <w:pStyle w:val="Caption"/>
        <w:keepLines/>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C2EF8"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4C2EF8" w:rsidRPr="00D264E1" w:rsidRDefault="004C2EF8" w:rsidP="00F7554A">
            <w:pPr>
              <w:pStyle w:val="TableHeading"/>
            </w:pPr>
            <w:r>
              <w:t>Impact on ($m)</w:t>
            </w:r>
          </w:p>
        </w:tc>
        <w:tc>
          <w:tcPr>
            <w:tcW w:w="721" w:type="pct"/>
          </w:tcPr>
          <w:p w:rsidR="004C2EF8" w:rsidRPr="00FC1F1C" w:rsidRDefault="004C2EF8" w:rsidP="00F7554A">
            <w:pPr>
              <w:pStyle w:val="TableHeadingRight"/>
            </w:pPr>
            <w:r>
              <w:t>2016–17</w:t>
            </w:r>
          </w:p>
        </w:tc>
        <w:tc>
          <w:tcPr>
            <w:tcW w:w="721" w:type="pct"/>
          </w:tcPr>
          <w:p w:rsidR="004C2EF8" w:rsidRPr="00FC1F1C" w:rsidRDefault="004C2EF8" w:rsidP="00F7554A">
            <w:pPr>
              <w:pStyle w:val="TableHeadingRight"/>
            </w:pPr>
            <w:r>
              <w:t>2017–18</w:t>
            </w:r>
          </w:p>
        </w:tc>
        <w:tc>
          <w:tcPr>
            <w:tcW w:w="722" w:type="pct"/>
          </w:tcPr>
          <w:p w:rsidR="004C2EF8" w:rsidRPr="00FC1F1C" w:rsidRDefault="004C2EF8" w:rsidP="00F7554A">
            <w:pPr>
              <w:pStyle w:val="TableHeadingRight"/>
            </w:pPr>
            <w:r>
              <w:t>2018–19</w:t>
            </w:r>
          </w:p>
        </w:tc>
        <w:tc>
          <w:tcPr>
            <w:tcW w:w="721" w:type="pct"/>
          </w:tcPr>
          <w:p w:rsidR="004C2EF8" w:rsidRPr="00FC1F1C" w:rsidRDefault="004C2EF8" w:rsidP="00F7554A">
            <w:pPr>
              <w:pStyle w:val="TableHeadingRight"/>
            </w:pPr>
            <w:r>
              <w:t>2019–20</w:t>
            </w:r>
          </w:p>
        </w:tc>
        <w:tc>
          <w:tcPr>
            <w:tcW w:w="722" w:type="pct"/>
          </w:tcPr>
          <w:p w:rsidR="004C2EF8" w:rsidRPr="00FC1F1C" w:rsidRDefault="004C2EF8" w:rsidP="00F7554A">
            <w:pPr>
              <w:pStyle w:val="TableHeadingRight"/>
              <w:rPr>
                <w:b/>
              </w:rPr>
            </w:pPr>
            <w:r w:rsidRPr="00FC1F1C">
              <w:t>Total</w:t>
            </w:r>
          </w:p>
        </w:tc>
      </w:tr>
      <w:tr w:rsidR="004C2EF8" w:rsidTr="00F7554A">
        <w:tc>
          <w:tcPr>
            <w:tcW w:w="1393" w:type="pct"/>
          </w:tcPr>
          <w:p w:rsidR="004C2EF8" w:rsidRDefault="004C2EF8" w:rsidP="00F7554A">
            <w:pPr>
              <w:pStyle w:val="TableText"/>
              <w:keepNext/>
              <w:keepLines/>
            </w:pPr>
            <w:r>
              <w:t>Fiscal balance</w:t>
            </w:r>
          </w:p>
        </w:tc>
        <w:tc>
          <w:tcPr>
            <w:tcW w:w="721" w:type="pct"/>
            <w:vAlign w:val="center"/>
          </w:tcPr>
          <w:p w:rsidR="004C2EF8" w:rsidRPr="009B4D2B" w:rsidRDefault="004C2EF8" w:rsidP="00F7554A">
            <w:pPr>
              <w:pStyle w:val="TableTextRight"/>
              <w:keepNext/>
              <w:keepLines/>
            </w:pPr>
            <w:r>
              <w:t>-</w:t>
            </w:r>
            <w:r w:rsidRPr="009B4D2B">
              <w:t>67.2</w:t>
            </w:r>
          </w:p>
        </w:tc>
        <w:tc>
          <w:tcPr>
            <w:tcW w:w="721" w:type="pct"/>
            <w:vAlign w:val="center"/>
          </w:tcPr>
          <w:p w:rsidR="004C2EF8" w:rsidRPr="009B4D2B" w:rsidRDefault="004C2EF8" w:rsidP="00F7554A">
            <w:pPr>
              <w:pStyle w:val="TableTextRight"/>
              <w:keepNext/>
              <w:keepLines/>
            </w:pPr>
            <w:r>
              <w:t>-</w:t>
            </w:r>
            <w:r w:rsidRPr="009B4D2B">
              <w:t>118.1</w:t>
            </w:r>
          </w:p>
        </w:tc>
        <w:tc>
          <w:tcPr>
            <w:tcW w:w="722" w:type="pct"/>
            <w:vAlign w:val="center"/>
          </w:tcPr>
          <w:p w:rsidR="004C2EF8" w:rsidRPr="009B4D2B" w:rsidRDefault="004C2EF8" w:rsidP="00F7554A">
            <w:pPr>
              <w:pStyle w:val="TableTextRight"/>
              <w:keepNext/>
              <w:keepLines/>
            </w:pPr>
            <w:r>
              <w:t>-</w:t>
            </w:r>
            <w:r w:rsidRPr="009B4D2B">
              <w:t>118.1</w:t>
            </w:r>
          </w:p>
        </w:tc>
        <w:tc>
          <w:tcPr>
            <w:tcW w:w="721" w:type="pct"/>
            <w:vAlign w:val="center"/>
          </w:tcPr>
          <w:p w:rsidR="004C2EF8" w:rsidRPr="009B4D2B" w:rsidRDefault="004C2EF8" w:rsidP="00F7554A">
            <w:pPr>
              <w:pStyle w:val="TableTextRight"/>
              <w:keepNext/>
              <w:keepLines/>
            </w:pPr>
            <w:r>
              <w:t>-</w:t>
            </w:r>
            <w:r w:rsidRPr="009B4D2B">
              <w:t>119.4</w:t>
            </w:r>
          </w:p>
        </w:tc>
        <w:tc>
          <w:tcPr>
            <w:tcW w:w="722" w:type="pct"/>
            <w:vAlign w:val="center"/>
          </w:tcPr>
          <w:p w:rsidR="004C2EF8" w:rsidRPr="009B4D2B" w:rsidRDefault="004C2EF8" w:rsidP="00F7554A">
            <w:pPr>
              <w:pStyle w:val="TableTextRight"/>
              <w:keepNext/>
              <w:keepLines/>
              <w:rPr>
                <w:b/>
              </w:rPr>
            </w:pPr>
            <w:r>
              <w:rPr>
                <w:b/>
              </w:rPr>
              <w:t>-</w:t>
            </w:r>
            <w:r w:rsidRPr="009B4D2B">
              <w:rPr>
                <w:b/>
              </w:rPr>
              <w:t>422.8</w:t>
            </w:r>
          </w:p>
        </w:tc>
      </w:tr>
      <w:tr w:rsidR="004C2EF8" w:rsidTr="00F7554A">
        <w:tc>
          <w:tcPr>
            <w:tcW w:w="1393" w:type="pct"/>
          </w:tcPr>
          <w:p w:rsidR="004C2EF8" w:rsidRDefault="004C2EF8" w:rsidP="00F7554A">
            <w:pPr>
              <w:pStyle w:val="TableText"/>
              <w:keepNext/>
              <w:keepLines/>
            </w:pPr>
            <w:r>
              <w:t>Underlying cash balance</w:t>
            </w:r>
          </w:p>
        </w:tc>
        <w:tc>
          <w:tcPr>
            <w:tcW w:w="721" w:type="pct"/>
            <w:vAlign w:val="center"/>
          </w:tcPr>
          <w:p w:rsidR="004C2EF8" w:rsidRPr="009B4D2B" w:rsidRDefault="004C2EF8" w:rsidP="00F7554A">
            <w:pPr>
              <w:pStyle w:val="TableTextRight"/>
              <w:keepNext/>
              <w:keepLines/>
            </w:pPr>
            <w:r>
              <w:t>-</w:t>
            </w:r>
            <w:r w:rsidRPr="009B4D2B">
              <w:t>65.5</w:t>
            </w:r>
          </w:p>
        </w:tc>
        <w:tc>
          <w:tcPr>
            <w:tcW w:w="721" w:type="pct"/>
            <w:vAlign w:val="center"/>
          </w:tcPr>
          <w:p w:rsidR="004C2EF8" w:rsidRPr="009B4D2B" w:rsidRDefault="004C2EF8" w:rsidP="00F7554A">
            <w:pPr>
              <w:pStyle w:val="TableTextRight"/>
              <w:keepNext/>
              <w:keepLines/>
            </w:pPr>
            <w:r>
              <w:t>-</w:t>
            </w:r>
            <w:r w:rsidRPr="009B4D2B">
              <w:t>117.8</w:t>
            </w:r>
          </w:p>
        </w:tc>
        <w:tc>
          <w:tcPr>
            <w:tcW w:w="722" w:type="pct"/>
            <w:vAlign w:val="center"/>
          </w:tcPr>
          <w:p w:rsidR="004C2EF8" w:rsidRPr="009B4D2B" w:rsidRDefault="004C2EF8" w:rsidP="00F7554A">
            <w:pPr>
              <w:pStyle w:val="TableTextRight"/>
              <w:keepNext/>
              <w:keepLines/>
            </w:pPr>
            <w:r>
              <w:t>-</w:t>
            </w:r>
            <w:r w:rsidRPr="009B4D2B">
              <w:t>118.1</w:t>
            </w:r>
          </w:p>
        </w:tc>
        <w:tc>
          <w:tcPr>
            <w:tcW w:w="721" w:type="pct"/>
            <w:vAlign w:val="center"/>
          </w:tcPr>
          <w:p w:rsidR="004C2EF8" w:rsidRPr="009B4D2B" w:rsidRDefault="004C2EF8" w:rsidP="00F7554A">
            <w:pPr>
              <w:pStyle w:val="TableTextRight"/>
              <w:keepNext/>
              <w:keepLines/>
            </w:pPr>
            <w:r>
              <w:t>-</w:t>
            </w:r>
            <w:r w:rsidRPr="009B4D2B">
              <w:t>119.4</w:t>
            </w:r>
          </w:p>
        </w:tc>
        <w:tc>
          <w:tcPr>
            <w:tcW w:w="722" w:type="pct"/>
            <w:vAlign w:val="center"/>
          </w:tcPr>
          <w:p w:rsidR="004C2EF8" w:rsidRPr="009B4D2B" w:rsidRDefault="004C2EF8" w:rsidP="00F7554A">
            <w:pPr>
              <w:pStyle w:val="TableTextRight"/>
              <w:keepNext/>
              <w:keepLines/>
              <w:rPr>
                <w:b/>
              </w:rPr>
            </w:pPr>
            <w:r>
              <w:rPr>
                <w:b/>
              </w:rPr>
              <w:t>-</w:t>
            </w:r>
            <w:r w:rsidRPr="009B4D2B">
              <w:rPr>
                <w:b/>
              </w:rPr>
              <w:t>420.8</w:t>
            </w:r>
          </w:p>
        </w:tc>
      </w:tr>
    </w:tbl>
    <w:p w:rsidR="004C2EF8" w:rsidRDefault="004C2EF8" w:rsidP="00520C39">
      <w:pPr>
        <w:pStyle w:val="Footnotes"/>
        <w:numPr>
          <w:ilvl w:val="0"/>
          <w:numId w:val="178"/>
        </w:numPr>
        <w:ind w:left="284" w:hanging="284"/>
      </w:pPr>
      <w:r>
        <w:t xml:space="preserve">A positive </w:t>
      </w:r>
      <w:r w:rsidRPr="00FC1F1C">
        <w:t>number indicates an increase in the relevant budget balance, a negative number a decrease.</w:t>
      </w:r>
    </w:p>
    <w:p w:rsidR="004C2EF8" w:rsidRPr="000E063A" w:rsidRDefault="004C2EF8" w:rsidP="00520C39">
      <w:pPr>
        <w:pStyle w:val="Footnotes"/>
        <w:ind w:left="284" w:hanging="284"/>
        <w:rPr>
          <w:rStyle w:val="FootnoteReference"/>
          <w:vertAlign w:val="baseline"/>
        </w:rPr>
      </w:pPr>
      <w:r w:rsidRPr="000E063A">
        <w:t>Figures may not sum to totals due to rounding.</w:t>
      </w:r>
    </w:p>
    <w:p w:rsidR="004C2EF8" w:rsidRDefault="004C2EF8" w:rsidP="004C2EF8">
      <w:pPr>
        <w:pStyle w:val="CostingsH7"/>
      </w:pPr>
      <w:r>
        <w:t>Key assumptions</w:t>
      </w:r>
    </w:p>
    <w:p w:rsidR="004C2EF8" w:rsidRDefault="004C2EF8" w:rsidP="004C2EF8">
      <w:pPr>
        <w:pStyle w:val="BodyText"/>
      </w:pPr>
      <w:r>
        <w:t>In costing this proposal it has been assumed that:</w:t>
      </w:r>
    </w:p>
    <w:p w:rsidR="004C2EF8" w:rsidRDefault="004C2EF8" w:rsidP="004C2EF8">
      <w:pPr>
        <w:pStyle w:val="ListBullet"/>
      </w:pPr>
      <w:r>
        <w:t>as 1 January 2016 has now past, the impacts have been updated for a 1 January 2017 implementation date (safety net calculations are undertaken on a calendar year basis)</w:t>
      </w:r>
    </w:p>
    <w:p w:rsidR="004C2EF8" w:rsidRPr="001B36ED" w:rsidRDefault="004C2EF8" w:rsidP="004C2EF8">
      <w:pPr>
        <w:pStyle w:val="ListBullet"/>
      </w:pPr>
      <w:r>
        <w:t>there would be no departmental impacts beyond the forward estimates as there would be no expenses once the measure was implemented.</w:t>
      </w:r>
    </w:p>
    <w:p w:rsidR="004C2EF8" w:rsidRDefault="004C2EF8" w:rsidP="004C2EF8">
      <w:pPr>
        <w:pStyle w:val="CostingsH7"/>
      </w:pPr>
      <w:r>
        <w:t>Methodology</w:t>
      </w:r>
    </w:p>
    <w:p w:rsidR="004C2EF8" w:rsidRPr="001B36ED" w:rsidRDefault="004C2EF8" w:rsidP="004C2EF8">
      <w:pPr>
        <w:pStyle w:val="BodyText"/>
      </w:pPr>
      <w:r w:rsidRPr="001B36ED">
        <w:t>Financial implications reflect a reversal of the 2014-15 Budget measure, adjusted to reflect indexation and demographic parameters as at the 2016-17 Budget and an assumed implemen</w:t>
      </w:r>
      <w:r>
        <w:t>tation date of 1 January 2017.</w:t>
      </w:r>
    </w:p>
    <w:p w:rsidR="004C2EF8" w:rsidRDefault="004C2EF8" w:rsidP="004C2EF8">
      <w:pPr>
        <w:pStyle w:val="CostingsH7"/>
      </w:pPr>
      <w:r>
        <w:t>Data sources</w:t>
      </w:r>
    </w:p>
    <w:p w:rsidR="004C2EF8" w:rsidRDefault="004C2EF8" w:rsidP="004C2EF8">
      <w:pPr>
        <w:pStyle w:val="BodyText"/>
      </w:pPr>
      <w:r>
        <w:t xml:space="preserve">Parliamentary Budget Office 2016, </w:t>
      </w:r>
      <w:r w:rsidRPr="001B36ED">
        <w:rPr>
          <w:i/>
        </w:rPr>
        <w:t>Unlegislated measures carried forward in the budget estimates – June 2016 update</w:t>
      </w:r>
      <w:r>
        <w:t>, PBO, Canberra.</w:t>
      </w:r>
    </w:p>
    <w:p w:rsidR="00520C39" w:rsidRDefault="00520C39" w:rsidP="004C2EF8">
      <w:pPr>
        <w:pStyle w:val="BodyText"/>
      </w:pPr>
    </w:p>
    <w:p w:rsidR="00520C39" w:rsidRDefault="00520C39" w:rsidP="004C2EF8">
      <w:pPr>
        <w:pStyle w:val="BodyText"/>
        <w:sectPr w:rsidR="00520C39" w:rsidSect="00085CBF">
          <w:headerReference w:type="even" r:id="rId215"/>
          <w:headerReference w:type="default" r:id="rId216"/>
          <w:footerReference w:type="even" r:id="rId217"/>
          <w:footerReference w:type="default" r:id="rId218"/>
          <w:footnotePr>
            <w:numRestart w:val="eachSect"/>
          </w:footnotePr>
          <w:pgSz w:w="11906" w:h="16838" w:code="9"/>
          <w:pgMar w:top="1361" w:right="1797" w:bottom="1474" w:left="1797" w:header="283" w:footer="454" w:gutter="0"/>
          <w:cols w:space="708"/>
          <w:docGrid w:linePitch="360"/>
        </w:sectPr>
      </w:pPr>
    </w:p>
    <w:p w:rsidR="004C2EF8" w:rsidRDefault="00AE0074" w:rsidP="004C2EF8">
      <w:pPr>
        <w:pStyle w:val="Heading6"/>
        <w:numPr>
          <w:ilvl w:val="0"/>
          <w:numId w:val="10"/>
        </w:numPr>
        <w:tabs>
          <w:tab w:val="right" w:pos="1418"/>
          <w:tab w:val="right" w:pos="1701"/>
          <w:tab w:val="right" w:pos="1985"/>
        </w:tabs>
        <w:spacing w:before="480"/>
      </w:pPr>
      <w:r>
        <w:t xml:space="preserve">Attachment </w:t>
      </w:r>
      <w:r w:rsidR="004C2EF8">
        <w:t>A:</w:t>
      </w:r>
      <w:r w:rsidR="004C2EF8" w:rsidRPr="00F93D5A">
        <w:t xml:space="preserve"> </w:t>
      </w:r>
      <w:r w:rsidR="004C2EF8">
        <w:t>Not proceeding with changes to the Medicare Safety Nets—</w:t>
      </w:r>
      <w:r w:rsidR="0080154C">
        <w:t>financial implications</w:t>
      </w:r>
    </w:p>
    <w:p w:rsidR="004C2EF8" w:rsidRDefault="004C2EF8" w:rsidP="004C2EF8">
      <w:pPr>
        <w:pStyle w:val="Caption"/>
      </w:pPr>
      <w:r w:rsidRPr="002B36F1">
        <w:t xml:space="preserve">Table </w:t>
      </w:r>
      <w:r>
        <w:t>A1</w:t>
      </w:r>
      <w:r w:rsidRPr="002B36F1">
        <w:t>:</w:t>
      </w:r>
      <w:r>
        <w:t xml:space="preserve"> Not proceeding with changes to the Medicare Safety Nets—Fiscal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C2EF8"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C2EF8" w:rsidRPr="007C2713" w:rsidRDefault="004C2EF8" w:rsidP="00F7554A">
            <w:pPr>
              <w:pStyle w:val="TableText"/>
              <w:keepNext/>
              <w:keepLines/>
              <w:rPr>
                <w:b w:val="0"/>
              </w:rPr>
            </w:pPr>
            <w:r>
              <w:t>($</w:t>
            </w:r>
            <w:r w:rsidR="00F4218C">
              <w:t>m</w:t>
            </w:r>
            <w:r>
              <w:t>)</w:t>
            </w:r>
          </w:p>
        </w:tc>
        <w:tc>
          <w:tcPr>
            <w:tcW w:w="689" w:type="pct"/>
            <w:vAlign w:val="center"/>
          </w:tcPr>
          <w:p w:rsidR="004C2EF8" w:rsidRDefault="004C2EF8" w:rsidP="00F7554A">
            <w:pPr>
              <w:pStyle w:val="TableTextRight"/>
              <w:keepNext/>
              <w:keepLines/>
              <w:rPr>
                <w:b w:val="0"/>
              </w:rPr>
            </w:pPr>
            <w:r>
              <w:t>2016–17</w:t>
            </w:r>
          </w:p>
        </w:tc>
        <w:tc>
          <w:tcPr>
            <w:tcW w:w="689" w:type="pct"/>
            <w:vAlign w:val="center"/>
          </w:tcPr>
          <w:p w:rsidR="004C2EF8" w:rsidRDefault="004C2EF8" w:rsidP="00F7554A">
            <w:pPr>
              <w:pStyle w:val="TableTextRight"/>
              <w:keepNext/>
              <w:keepLines/>
              <w:rPr>
                <w:b w:val="0"/>
              </w:rPr>
            </w:pPr>
            <w:r>
              <w:t>2017–18</w:t>
            </w:r>
          </w:p>
        </w:tc>
        <w:tc>
          <w:tcPr>
            <w:tcW w:w="689" w:type="pct"/>
            <w:vAlign w:val="center"/>
          </w:tcPr>
          <w:p w:rsidR="004C2EF8" w:rsidRDefault="004C2EF8" w:rsidP="00F7554A">
            <w:pPr>
              <w:pStyle w:val="TableTextRight"/>
              <w:keepNext/>
              <w:keepLines/>
              <w:rPr>
                <w:b w:val="0"/>
              </w:rPr>
            </w:pPr>
            <w:r>
              <w:t>2018–19</w:t>
            </w:r>
          </w:p>
        </w:tc>
        <w:tc>
          <w:tcPr>
            <w:tcW w:w="689" w:type="pct"/>
            <w:vAlign w:val="center"/>
          </w:tcPr>
          <w:p w:rsidR="004C2EF8" w:rsidRDefault="004C2EF8" w:rsidP="00F7554A">
            <w:pPr>
              <w:pStyle w:val="TableTextRight"/>
              <w:keepNext/>
              <w:keepLines/>
              <w:rPr>
                <w:b w:val="0"/>
              </w:rPr>
            </w:pPr>
            <w:r>
              <w:t>2019–20</w:t>
            </w:r>
          </w:p>
        </w:tc>
        <w:tc>
          <w:tcPr>
            <w:tcW w:w="690" w:type="pct"/>
            <w:vAlign w:val="center"/>
          </w:tcPr>
          <w:p w:rsidR="004C2EF8" w:rsidRDefault="004C2EF8" w:rsidP="00F7554A">
            <w:pPr>
              <w:pStyle w:val="TableTextRight"/>
              <w:keepNext/>
              <w:keepLines/>
            </w:pPr>
            <w:r>
              <w:t>Total to 2019–20</w:t>
            </w:r>
          </w:p>
        </w:tc>
      </w:tr>
      <w:tr w:rsidR="004C2EF8" w:rsidTr="00F7554A">
        <w:tc>
          <w:tcPr>
            <w:tcW w:w="1554" w:type="pct"/>
            <w:vAlign w:val="center"/>
          </w:tcPr>
          <w:p w:rsidR="004C2EF8" w:rsidRPr="003A3459" w:rsidRDefault="004C2EF8" w:rsidP="00F7554A">
            <w:pPr>
              <w:pStyle w:val="TableText"/>
              <w:keepNext/>
              <w:keepLines/>
            </w:pPr>
            <w:r>
              <w:t>Administered - Department of Health</w:t>
            </w:r>
          </w:p>
        </w:tc>
        <w:tc>
          <w:tcPr>
            <w:tcW w:w="689" w:type="pct"/>
            <w:vAlign w:val="center"/>
          </w:tcPr>
          <w:p w:rsidR="004C2EF8" w:rsidRPr="00F93D5A" w:rsidRDefault="004C2EF8" w:rsidP="00F7554A">
            <w:pPr>
              <w:pStyle w:val="TableTextRight"/>
              <w:keepNext/>
              <w:keepLines/>
              <w:rPr>
                <w:i/>
              </w:rPr>
            </w:pPr>
            <w:r w:rsidRPr="00F93D5A">
              <w:rPr>
                <w:i/>
              </w:rPr>
              <w:t>-57.8</w:t>
            </w:r>
          </w:p>
        </w:tc>
        <w:tc>
          <w:tcPr>
            <w:tcW w:w="689" w:type="pct"/>
            <w:vAlign w:val="center"/>
          </w:tcPr>
          <w:p w:rsidR="004C2EF8" w:rsidRPr="00F93D5A" w:rsidRDefault="004C2EF8" w:rsidP="00F7554A">
            <w:pPr>
              <w:pStyle w:val="TableTextRight"/>
              <w:keepNext/>
              <w:keepLines/>
              <w:rPr>
                <w:i/>
              </w:rPr>
            </w:pPr>
            <w:r w:rsidRPr="00F93D5A">
              <w:rPr>
                <w:i/>
              </w:rPr>
              <w:t>-117.0</w:t>
            </w:r>
          </w:p>
        </w:tc>
        <w:tc>
          <w:tcPr>
            <w:tcW w:w="689" w:type="pct"/>
            <w:vAlign w:val="center"/>
          </w:tcPr>
          <w:p w:rsidR="004C2EF8" w:rsidRPr="00F93D5A" w:rsidRDefault="004C2EF8" w:rsidP="00F7554A">
            <w:pPr>
              <w:pStyle w:val="TableTextRight"/>
              <w:keepNext/>
              <w:keepLines/>
              <w:rPr>
                <w:i/>
              </w:rPr>
            </w:pPr>
            <w:r w:rsidRPr="00F93D5A">
              <w:rPr>
                <w:i/>
              </w:rPr>
              <w:t>-118.5</w:t>
            </w:r>
          </w:p>
        </w:tc>
        <w:tc>
          <w:tcPr>
            <w:tcW w:w="689" w:type="pct"/>
            <w:vAlign w:val="center"/>
          </w:tcPr>
          <w:p w:rsidR="004C2EF8" w:rsidRPr="00F93D5A" w:rsidRDefault="004C2EF8" w:rsidP="00F7554A">
            <w:pPr>
              <w:pStyle w:val="TableTextRight"/>
              <w:keepNext/>
              <w:keepLines/>
              <w:rPr>
                <w:i/>
              </w:rPr>
            </w:pPr>
            <w:r w:rsidRPr="00F93D5A">
              <w:rPr>
                <w:i/>
              </w:rPr>
              <w:t>-120.0</w:t>
            </w:r>
          </w:p>
        </w:tc>
        <w:tc>
          <w:tcPr>
            <w:tcW w:w="690" w:type="pct"/>
            <w:vAlign w:val="center"/>
          </w:tcPr>
          <w:p w:rsidR="004C2EF8" w:rsidRPr="00F93D5A" w:rsidRDefault="004C2EF8" w:rsidP="00F7554A">
            <w:pPr>
              <w:pStyle w:val="TableTextRight"/>
              <w:keepNext/>
              <w:keepLines/>
              <w:rPr>
                <w:b/>
                <w:i/>
              </w:rPr>
            </w:pPr>
            <w:r w:rsidRPr="00F93D5A">
              <w:rPr>
                <w:b/>
                <w:i/>
              </w:rPr>
              <w:t>-413.3</w:t>
            </w:r>
          </w:p>
        </w:tc>
      </w:tr>
      <w:tr w:rsidR="004C2EF8" w:rsidTr="00F7554A">
        <w:tc>
          <w:tcPr>
            <w:tcW w:w="1554" w:type="pct"/>
            <w:vAlign w:val="center"/>
          </w:tcPr>
          <w:p w:rsidR="004C2EF8" w:rsidRPr="003A3459" w:rsidRDefault="004C2EF8" w:rsidP="00F7554A">
            <w:pPr>
              <w:pStyle w:val="TableText"/>
              <w:keepNext/>
              <w:keepLines/>
            </w:pPr>
            <w:r>
              <w:t>Departmental - Department of Health</w:t>
            </w:r>
          </w:p>
        </w:tc>
        <w:tc>
          <w:tcPr>
            <w:tcW w:w="689" w:type="pct"/>
            <w:vAlign w:val="center"/>
          </w:tcPr>
          <w:p w:rsidR="004C2EF8" w:rsidRPr="00F93D5A" w:rsidRDefault="004C2EF8" w:rsidP="00F7554A">
            <w:pPr>
              <w:pStyle w:val="TableTextRight"/>
              <w:keepNext/>
              <w:keepLines/>
              <w:rPr>
                <w:i/>
              </w:rPr>
            </w:pPr>
            <w:r w:rsidRPr="00F93D5A">
              <w:rPr>
                <w:i/>
              </w:rPr>
              <w:t>0.9</w:t>
            </w:r>
          </w:p>
        </w:tc>
        <w:tc>
          <w:tcPr>
            <w:tcW w:w="689" w:type="pct"/>
            <w:vAlign w:val="center"/>
          </w:tcPr>
          <w:p w:rsidR="004C2EF8" w:rsidRPr="00F93D5A" w:rsidRDefault="004C2EF8" w:rsidP="00F7554A">
            <w:pPr>
              <w:pStyle w:val="TableTextRight"/>
              <w:keepNext/>
              <w:keepLines/>
              <w:rPr>
                <w:i/>
              </w:rPr>
            </w:pPr>
            <w:r w:rsidRPr="00F93D5A">
              <w:rPr>
                <w:i/>
              </w:rPr>
              <w:t>0.8</w:t>
            </w:r>
          </w:p>
        </w:tc>
        <w:tc>
          <w:tcPr>
            <w:tcW w:w="689" w:type="pct"/>
            <w:vAlign w:val="center"/>
          </w:tcPr>
          <w:p w:rsidR="004C2EF8" w:rsidRPr="00F93D5A" w:rsidRDefault="004C2EF8" w:rsidP="00F7554A">
            <w:pPr>
              <w:pStyle w:val="TableTextRight"/>
              <w:keepNext/>
              <w:keepLines/>
              <w:rPr>
                <w:i/>
              </w:rPr>
            </w:pPr>
            <w:r w:rsidRPr="00F93D5A">
              <w:rPr>
                <w:i/>
              </w:rPr>
              <w:t>0.6</w:t>
            </w:r>
          </w:p>
        </w:tc>
        <w:tc>
          <w:tcPr>
            <w:tcW w:w="689" w:type="pct"/>
            <w:vAlign w:val="center"/>
          </w:tcPr>
          <w:p w:rsidR="004C2EF8" w:rsidRPr="00F93D5A" w:rsidRDefault="004C2EF8" w:rsidP="00F7554A">
            <w:pPr>
              <w:pStyle w:val="TableTextRight"/>
              <w:keepNext/>
              <w:keepLines/>
              <w:rPr>
                <w:i/>
              </w:rPr>
            </w:pPr>
            <w:r w:rsidRPr="00F93D5A">
              <w:rPr>
                <w:i/>
              </w:rPr>
              <w:t>0.7</w:t>
            </w:r>
          </w:p>
        </w:tc>
        <w:tc>
          <w:tcPr>
            <w:tcW w:w="690" w:type="pct"/>
            <w:vAlign w:val="center"/>
          </w:tcPr>
          <w:p w:rsidR="004C2EF8" w:rsidRPr="00F93D5A" w:rsidRDefault="004C2EF8" w:rsidP="00F7554A">
            <w:pPr>
              <w:pStyle w:val="TableTextRight"/>
              <w:keepNext/>
              <w:keepLines/>
              <w:rPr>
                <w:b/>
                <w:i/>
              </w:rPr>
            </w:pPr>
            <w:r w:rsidRPr="00F93D5A">
              <w:rPr>
                <w:b/>
                <w:i/>
              </w:rPr>
              <w:t>2.9</w:t>
            </w:r>
          </w:p>
        </w:tc>
      </w:tr>
      <w:tr w:rsidR="004C2EF8" w:rsidTr="00F7554A">
        <w:tc>
          <w:tcPr>
            <w:tcW w:w="1554" w:type="pct"/>
            <w:vAlign w:val="center"/>
          </w:tcPr>
          <w:p w:rsidR="004C2EF8" w:rsidRPr="003A3459" w:rsidRDefault="004C2EF8" w:rsidP="00F7554A">
            <w:pPr>
              <w:pStyle w:val="TableText"/>
              <w:keepNext/>
              <w:keepLines/>
            </w:pPr>
            <w:r>
              <w:t>Departmental - Department of Human Services</w:t>
            </w:r>
          </w:p>
        </w:tc>
        <w:tc>
          <w:tcPr>
            <w:tcW w:w="689" w:type="pct"/>
            <w:vAlign w:val="center"/>
          </w:tcPr>
          <w:p w:rsidR="004C2EF8" w:rsidRPr="00F93D5A" w:rsidRDefault="004C2EF8" w:rsidP="00F7554A">
            <w:pPr>
              <w:pStyle w:val="TableTextRight"/>
              <w:keepNext/>
              <w:keepLines/>
              <w:rPr>
                <w:i/>
              </w:rPr>
            </w:pPr>
            <w:r w:rsidRPr="00F93D5A">
              <w:rPr>
                <w:i/>
              </w:rPr>
              <w:t>-10.4</w:t>
            </w:r>
          </w:p>
        </w:tc>
        <w:tc>
          <w:tcPr>
            <w:tcW w:w="689" w:type="pct"/>
            <w:vAlign w:val="center"/>
          </w:tcPr>
          <w:p w:rsidR="004C2EF8" w:rsidRPr="00F93D5A" w:rsidRDefault="004C2EF8" w:rsidP="00F7554A">
            <w:pPr>
              <w:pStyle w:val="TableTextRight"/>
              <w:keepNext/>
              <w:keepLines/>
              <w:rPr>
                <w:i/>
              </w:rPr>
            </w:pPr>
            <w:r w:rsidRPr="00F93D5A">
              <w:rPr>
                <w:i/>
              </w:rPr>
              <w:t>-1.8</w:t>
            </w:r>
          </w:p>
        </w:tc>
        <w:tc>
          <w:tcPr>
            <w:tcW w:w="689" w:type="pct"/>
            <w:vAlign w:val="center"/>
          </w:tcPr>
          <w:p w:rsidR="004C2EF8" w:rsidRPr="00F93D5A" w:rsidRDefault="004C2EF8" w:rsidP="00F7554A">
            <w:pPr>
              <w:pStyle w:val="TableTextRight"/>
              <w:keepNext/>
              <w:keepLines/>
              <w:rPr>
                <w:i/>
              </w:rPr>
            </w:pPr>
            <w:r w:rsidRPr="00F93D5A">
              <w:rPr>
                <w:i/>
              </w:rPr>
              <w:t>-0.2</w:t>
            </w:r>
          </w:p>
        </w:tc>
        <w:tc>
          <w:tcPr>
            <w:tcW w:w="689" w:type="pct"/>
            <w:vAlign w:val="center"/>
          </w:tcPr>
          <w:p w:rsidR="004C2EF8" w:rsidRPr="00F93D5A" w:rsidRDefault="004C2EF8" w:rsidP="00F7554A">
            <w:pPr>
              <w:pStyle w:val="TableTextRight"/>
              <w:keepNext/>
              <w:keepLines/>
              <w:rPr>
                <w:i/>
              </w:rPr>
            </w:pPr>
            <w:r w:rsidRPr="00F93D5A">
              <w:rPr>
                <w:i/>
              </w:rPr>
              <w:t>-</w:t>
            </w:r>
          </w:p>
        </w:tc>
        <w:tc>
          <w:tcPr>
            <w:tcW w:w="690" w:type="pct"/>
            <w:vAlign w:val="center"/>
          </w:tcPr>
          <w:p w:rsidR="004C2EF8" w:rsidRPr="00F93D5A" w:rsidRDefault="004C2EF8" w:rsidP="00F7554A">
            <w:pPr>
              <w:pStyle w:val="TableTextRight"/>
              <w:keepNext/>
              <w:keepLines/>
              <w:rPr>
                <w:b/>
                <w:i/>
              </w:rPr>
            </w:pPr>
            <w:r w:rsidRPr="00F93D5A">
              <w:rPr>
                <w:b/>
                <w:i/>
              </w:rPr>
              <w:t>-12.4</w:t>
            </w:r>
          </w:p>
        </w:tc>
      </w:tr>
      <w:tr w:rsidR="004C2EF8" w:rsidRPr="007C2713" w:rsidTr="00F7554A">
        <w:tc>
          <w:tcPr>
            <w:tcW w:w="1554" w:type="pct"/>
            <w:shd w:val="clear" w:color="auto" w:fill="D7DDE9" w:themeFill="accent3"/>
            <w:vAlign w:val="center"/>
          </w:tcPr>
          <w:p w:rsidR="004C2EF8" w:rsidRPr="0055406D" w:rsidRDefault="004C2EF8" w:rsidP="00F7554A">
            <w:pPr>
              <w:pStyle w:val="TableText"/>
              <w:keepNext/>
              <w:keepLines/>
              <w:rPr>
                <w:b/>
              </w:rPr>
            </w:pPr>
            <w:r w:rsidRPr="0055406D">
              <w:rPr>
                <w:b/>
              </w:rPr>
              <w:t>Total</w:t>
            </w:r>
          </w:p>
        </w:tc>
        <w:tc>
          <w:tcPr>
            <w:tcW w:w="689" w:type="pct"/>
            <w:shd w:val="clear" w:color="auto" w:fill="D7DDE9" w:themeFill="accent3"/>
            <w:vAlign w:val="center"/>
          </w:tcPr>
          <w:p w:rsidR="004C2EF8" w:rsidRPr="00FD3830" w:rsidRDefault="004C2EF8" w:rsidP="00F7554A">
            <w:pPr>
              <w:pStyle w:val="TableTextRight"/>
              <w:keepNext/>
              <w:keepLines/>
              <w:rPr>
                <w:b/>
              </w:rPr>
            </w:pPr>
            <w:r>
              <w:rPr>
                <w:b/>
              </w:rPr>
              <w:t>-</w:t>
            </w:r>
            <w:r w:rsidRPr="00FD3830">
              <w:rPr>
                <w:b/>
              </w:rPr>
              <w:t>67.2</w:t>
            </w:r>
          </w:p>
        </w:tc>
        <w:tc>
          <w:tcPr>
            <w:tcW w:w="689" w:type="pct"/>
            <w:shd w:val="clear" w:color="auto" w:fill="D7DDE9" w:themeFill="accent3"/>
            <w:vAlign w:val="center"/>
          </w:tcPr>
          <w:p w:rsidR="004C2EF8" w:rsidRPr="00FD3830" w:rsidRDefault="004C2EF8" w:rsidP="00F7554A">
            <w:pPr>
              <w:pStyle w:val="TableTextRight"/>
              <w:keepNext/>
              <w:keepLines/>
              <w:rPr>
                <w:b/>
              </w:rPr>
            </w:pPr>
            <w:r>
              <w:rPr>
                <w:b/>
              </w:rPr>
              <w:t>-</w:t>
            </w:r>
            <w:r w:rsidRPr="00FD3830">
              <w:rPr>
                <w:b/>
              </w:rPr>
              <w:t>118.1</w:t>
            </w:r>
          </w:p>
        </w:tc>
        <w:tc>
          <w:tcPr>
            <w:tcW w:w="689" w:type="pct"/>
            <w:shd w:val="clear" w:color="auto" w:fill="D7DDE9" w:themeFill="accent3"/>
            <w:vAlign w:val="center"/>
          </w:tcPr>
          <w:p w:rsidR="004C2EF8" w:rsidRPr="00FD3830" w:rsidRDefault="004C2EF8" w:rsidP="00F7554A">
            <w:pPr>
              <w:pStyle w:val="TableTextRight"/>
              <w:keepNext/>
              <w:keepLines/>
              <w:rPr>
                <w:b/>
              </w:rPr>
            </w:pPr>
            <w:r>
              <w:rPr>
                <w:b/>
              </w:rPr>
              <w:t>-</w:t>
            </w:r>
            <w:r w:rsidRPr="00FD3830">
              <w:rPr>
                <w:b/>
              </w:rPr>
              <w:t>118.1</w:t>
            </w:r>
          </w:p>
        </w:tc>
        <w:tc>
          <w:tcPr>
            <w:tcW w:w="689" w:type="pct"/>
            <w:shd w:val="clear" w:color="auto" w:fill="D7DDE9" w:themeFill="accent3"/>
            <w:vAlign w:val="center"/>
          </w:tcPr>
          <w:p w:rsidR="004C2EF8" w:rsidRPr="00FD3830" w:rsidRDefault="004C2EF8" w:rsidP="00F7554A">
            <w:pPr>
              <w:pStyle w:val="TableTextRight"/>
              <w:keepNext/>
              <w:keepLines/>
              <w:rPr>
                <w:b/>
              </w:rPr>
            </w:pPr>
            <w:r>
              <w:rPr>
                <w:b/>
              </w:rPr>
              <w:t>-</w:t>
            </w:r>
            <w:r w:rsidRPr="00FD3830">
              <w:rPr>
                <w:b/>
              </w:rPr>
              <w:t>119.4</w:t>
            </w:r>
          </w:p>
        </w:tc>
        <w:tc>
          <w:tcPr>
            <w:tcW w:w="690" w:type="pct"/>
            <w:shd w:val="clear" w:color="auto" w:fill="D7DDE9" w:themeFill="accent3"/>
            <w:vAlign w:val="center"/>
          </w:tcPr>
          <w:p w:rsidR="004C2EF8" w:rsidRPr="00FD3830" w:rsidRDefault="004C2EF8" w:rsidP="00F7554A">
            <w:pPr>
              <w:pStyle w:val="TableTextRight"/>
              <w:keepNext/>
              <w:keepLines/>
              <w:rPr>
                <w:b/>
              </w:rPr>
            </w:pPr>
            <w:r>
              <w:rPr>
                <w:b/>
              </w:rPr>
              <w:t>-</w:t>
            </w:r>
            <w:r w:rsidRPr="00FD3830">
              <w:rPr>
                <w:b/>
              </w:rPr>
              <w:t>422.8</w:t>
            </w:r>
          </w:p>
        </w:tc>
      </w:tr>
    </w:tbl>
    <w:p w:rsidR="004C2EF8" w:rsidRPr="00F93D5A" w:rsidRDefault="004C2EF8" w:rsidP="00520C39">
      <w:pPr>
        <w:pStyle w:val="Footnotes"/>
        <w:numPr>
          <w:ilvl w:val="0"/>
          <w:numId w:val="179"/>
        </w:numPr>
        <w:ind w:left="284" w:hanging="284"/>
      </w:pPr>
      <w:r w:rsidRPr="00F93D5A">
        <w:t>A positive number for the fiscal balance indicates an increase in revenue or a decrease in expenses or net capital investment in accrual terms.  A negative number for the fiscal balance indicates a decrease in revenue or an increase in expenses or net capital investment in accrual terms.</w:t>
      </w:r>
    </w:p>
    <w:p w:rsidR="004C2EF8" w:rsidRPr="005F544A" w:rsidRDefault="004C2EF8" w:rsidP="00520C39">
      <w:pPr>
        <w:pStyle w:val="Footnotes"/>
        <w:spacing w:after="120"/>
        <w:ind w:left="284" w:hanging="284"/>
      </w:pPr>
      <w:r w:rsidRPr="005F544A">
        <w:t>Figures may not sum to totals due to rounding.</w:t>
      </w:r>
    </w:p>
    <w:p w:rsidR="004C2EF8" w:rsidRPr="005F544A" w:rsidRDefault="004C2EF8" w:rsidP="00520C39">
      <w:pPr>
        <w:pStyle w:val="Footnotes"/>
        <w:numPr>
          <w:ilvl w:val="0"/>
          <w:numId w:val="0"/>
        </w:numPr>
        <w:ind w:left="284" w:hanging="284"/>
      </w:pPr>
      <w:r w:rsidRPr="005F544A">
        <w:t>..</w:t>
      </w:r>
      <w:r w:rsidRPr="005F544A">
        <w:tab/>
        <w:t>Not zero but rounded to zero.</w:t>
      </w:r>
    </w:p>
    <w:p w:rsidR="004C2EF8" w:rsidRDefault="004C2EF8" w:rsidP="00520C39">
      <w:pPr>
        <w:pStyle w:val="Footnotes"/>
        <w:numPr>
          <w:ilvl w:val="0"/>
          <w:numId w:val="0"/>
        </w:numPr>
        <w:ind w:left="284" w:hanging="284"/>
      </w:pPr>
      <w:r w:rsidRPr="005F544A">
        <w:t>-</w:t>
      </w:r>
      <w:r w:rsidRPr="005F544A">
        <w:tab/>
        <w:t>Indicates nil.</w:t>
      </w:r>
    </w:p>
    <w:p w:rsidR="004C2EF8" w:rsidRDefault="004C2EF8" w:rsidP="004C2EF8">
      <w:pPr>
        <w:pStyle w:val="Caption"/>
      </w:pPr>
      <w:r w:rsidRPr="002B36F1">
        <w:t xml:space="preserve">Table </w:t>
      </w:r>
      <w:r>
        <w:t>A2</w:t>
      </w:r>
      <w:r w:rsidRPr="002B36F1">
        <w:t>:</w:t>
      </w:r>
      <w:r>
        <w:t xml:space="preserve"> Not proceeding with changes to the Medicare Safety Nets—Underlying cash balance</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C2EF8"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4C2EF8" w:rsidRPr="007C2713" w:rsidRDefault="004C2EF8" w:rsidP="00F7554A">
            <w:pPr>
              <w:pStyle w:val="TableText"/>
              <w:rPr>
                <w:b w:val="0"/>
              </w:rPr>
            </w:pPr>
            <w:r>
              <w:t>($</w:t>
            </w:r>
            <w:r w:rsidR="00F4218C">
              <w:t>m</w:t>
            </w:r>
            <w:r>
              <w:t>)</w:t>
            </w:r>
          </w:p>
        </w:tc>
        <w:tc>
          <w:tcPr>
            <w:tcW w:w="689" w:type="pct"/>
            <w:vAlign w:val="center"/>
          </w:tcPr>
          <w:p w:rsidR="004C2EF8" w:rsidRDefault="004C2EF8" w:rsidP="00F7554A">
            <w:pPr>
              <w:pStyle w:val="TableTextRight"/>
              <w:rPr>
                <w:b w:val="0"/>
              </w:rPr>
            </w:pPr>
            <w:r>
              <w:t>2016–17</w:t>
            </w:r>
          </w:p>
        </w:tc>
        <w:tc>
          <w:tcPr>
            <w:tcW w:w="689" w:type="pct"/>
            <w:vAlign w:val="center"/>
          </w:tcPr>
          <w:p w:rsidR="004C2EF8" w:rsidRDefault="004C2EF8" w:rsidP="00F7554A">
            <w:pPr>
              <w:pStyle w:val="TableTextRight"/>
              <w:rPr>
                <w:b w:val="0"/>
              </w:rPr>
            </w:pPr>
            <w:r>
              <w:t>2017–18</w:t>
            </w:r>
          </w:p>
        </w:tc>
        <w:tc>
          <w:tcPr>
            <w:tcW w:w="689" w:type="pct"/>
            <w:vAlign w:val="center"/>
          </w:tcPr>
          <w:p w:rsidR="004C2EF8" w:rsidRDefault="004C2EF8" w:rsidP="00F7554A">
            <w:pPr>
              <w:pStyle w:val="TableTextRight"/>
              <w:rPr>
                <w:b w:val="0"/>
              </w:rPr>
            </w:pPr>
            <w:r>
              <w:t>2018–19</w:t>
            </w:r>
          </w:p>
        </w:tc>
        <w:tc>
          <w:tcPr>
            <w:tcW w:w="689" w:type="pct"/>
            <w:vAlign w:val="center"/>
          </w:tcPr>
          <w:p w:rsidR="004C2EF8" w:rsidRDefault="004C2EF8" w:rsidP="00F7554A">
            <w:pPr>
              <w:pStyle w:val="TableTextRight"/>
              <w:rPr>
                <w:b w:val="0"/>
              </w:rPr>
            </w:pPr>
            <w:r>
              <w:t>2019–20</w:t>
            </w:r>
          </w:p>
        </w:tc>
        <w:tc>
          <w:tcPr>
            <w:tcW w:w="690" w:type="pct"/>
            <w:vAlign w:val="center"/>
          </w:tcPr>
          <w:p w:rsidR="004C2EF8" w:rsidRDefault="004C2EF8" w:rsidP="00F7554A">
            <w:pPr>
              <w:pStyle w:val="TableTextRight"/>
            </w:pPr>
            <w:r>
              <w:t>Total to 2019–20</w:t>
            </w:r>
          </w:p>
        </w:tc>
      </w:tr>
      <w:tr w:rsidR="004C2EF8" w:rsidTr="00F7554A">
        <w:tc>
          <w:tcPr>
            <w:tcW w:w="1554" w:type="pct"/>
            <w:vAlign w:val="center"/>
          </w:tcPr>
          <w:p w:rsidR="004C2EF8" w:rsidRPr="003A3459" w:rsidRDefault="004C2EF8" w:rsidP="00F7554A">
            <w:pPr>
              <w:pStyle w:val="TableText"/>
            </w:pPr>
            <w:r>
              <w:t>Administered - Department of Health</w:t>
            </w:r>
          </w:p>
        </w:tc>
        <w:tc>
          <w:tcPr>
            <w:tcW w:w="689" w:type="pct"/>
            <w:vAlign w:val="center"/>
          </w:tcPr>
          <w:p w:rsidR="004C2EF8" w:rsidRPr="00820414" w:rsidRDefault="004C2EF8" w:rsidP="00F7554A">
            <w:pPr>
              <w:pStyle w:val="TableTextRight"/>
            </w:pPr>
            <w:r w:rsidRPr="00820414">
              <w:t>-56.2</w:t>
            </w:r>
          </w:p>
        </w:tc>
        <w:tc>
          <w:tcPr>
            <w:tcW w:w="689" w:type="pct"/>
            <w:vAlign w:val="center"/>
          </w:tcPr>
          <w:p w:rsidR="004C2EF8" w:rsidRPr="00820414" w:rsidRDefault="004C2EF8" w:rsidP="00F7554A">
            <w:pPr>
              <w:pStyle w:val="TableTextRight"/>
            </w:pPr>
            <w:r w:rsidRPr="00820414">
              <w:t>-116.8</w:t>
            </w:r>
          </w:p>
        </w:tc>
        <w:tc>
          <w:tcPr>
            <w:tcW w:w="689" w:type="pct"/>
            <w:vAlign w:val="center"/>
          </w:tcPr>
          <w:p w:rsidR="004C2EF8" w:rsidRPr="00820414" w:rsidRDefault="004C2EF8" w:rsidP="00F7554A">
            <w:pPr>
              <w:pStyle w:val="TableTextRight"/>
            </w:pPr>
            <w:r w:rsidRPr="00820414">
              <w:t>-118.5</w:t>
            </w:r>
          </w:p>
        </w:tc>
        <w:tc>
          <w:tcPr>
            <w:tcW w:w="689" w:type="pct"/>
            <w:vAlign w:val="center"/>
          </w:tcPr>
          <w:p w:rsidR="004C2EF8" w:rsidRPr="00820414" w:rsidRDefault="004C2EF8" w:rsidP="00F7554A">
            <w:pPr>
              <w:pStyle w:val="TableTextRight"/>
            </w:pPr>
            <w:r w:rsidRPr="00820414">
              <w:t>-120.0</w:t>
            </w:r>
          </w:p>
        </w:tc>
        <w:tc>
          <w:tcPr>
            <w:tcW w:w="690" w:type="pct"/>
            <w:vAlign w:val="center"/>
          </w:tcPr>
          <w:p w:rsidR="004C2EF8" w:rsidRPr="00820414" w:rsidRDefault="004C2EF8" w:rsidP="00F7554A">
            <w:pPr>
              <w:pStyle w:val="TableTextRight"/>
              <w:rPr>
                <w:b/>
              </w:rPr>
            </w:pPr>
            <w:r w:rsidRPr="00820414">
              <w:rPr>
                <w:b/>
              </w:rPr>
              <w:t>-411.5</w:t>
            </w:r>
          </w:p>
        </w:tc>
      </w:tr>
      <w:tr w:rsidR="004C2EF8" w:rsidTr="00F7554A">
        <w:tc>
          <w:tcPr>
            <w:tcW w:w="1554" w:type="pct"/>
            <w:vAlign w:val="center"/>
          </w:tcPr>
          <w:p w:rsidR="004C2EF8" w:rsidRPr="003A3459" w:rsidRDefault="004C2EF8" w:rsidP="00F7554A">
            <w:pPr>
              <w:pStyle w:val="TableText"/>
            </w:pPr>
            <w:r>
              <w:t>Departmental - Department of Health</w:t>
            </w:r>
          </w:p>
        </w:tc>
        <w:tc>
          <w:tcPr>
            <w:tcW w:w="689" w:type="pct"/>
            <w:vAlign w:val="center"/>
          </w:tcPr>
          <w:p w:rsidR="004C2EF8" w:rsidRPr="00820414" w:rsidRDefault="004C2EF8" w:rsidP="00F7554A">
            <w:pPr>
              <w:pStyle w:val="TableTextRight"/>
            </w:pPr>
            <w:r w:rsidRPr="00820414">
              <w:t>0.9</w:t>
            </w:r>
          </w:p>
        </w:tc>
        <w:tc>
          <w:tcPr>
            <w:tcW w:w="689" w:type="pct"/>
            <w:vAlign w:val="center"/>
          </w:tcPr>
          <w:p w:rsidR="004C2EF8" w:rsidRPr="00820414" w:rsidRDefault="004C2EF8" w:rsidP="00F7554A">
            <w:pPr>
              <w:pStyle w:val="TableTextRight"/>
            </w:pPr>
            <w:r w:rsidRPr="00820414">
              <w:t>0.8</w:t>
            </w:r>
          </w:p>
        </w:tc>
        <w:tc>
          <w:tcPr>
            <w:tcW w:w="689" w:type="pct"/>
            <w:vAlign w:val="center"/>
          </w:tcPr>
          <w:p w:rsidR="004C2EF8" w:rsidRPr="00820414" w:rsidRDefault="004C2EF8" w:rsidP="00F7554A">
            <w:pPr>
              <w:pStyle w:val="TableTextRight"/>
            </w:pPr>
            <w:r w:rsidRPr="00820414">
              <w:t>0.6</w:t>
            </w:r>
          </w:p>
        </w:tc>
        <w:tc>
          <w:tcPr>
            <w:tcW w:w="689" w:type="pct"/>
            <w:vAlign w:val="center"/>
          </w:tcPr>
          <w:p w:rsidR="004C2EF8" w:rsidRPr="00820414" w:rsidRDefault="004C2EF8" w:rsidP="00F7554A">
            <w:pPr>
              <w:pStyle w:val="TableTextRight"/>
            </w:pPr>
            <w:r w:rsidRPr="00820414">
              <w:t>0.7</w:t>
            </w:r>
          </w:p>
        </w:tc>
        <w:tc>
          <w:tcPr>
            <w:tcW w:w="690" w:type="pct"/>
            <w:vAlign w:val="center"/>
          </w:tcPr>
          <w:p w:rsidR="004C2EF8" w:rsidRPr="00820414" w:rsidRDefault="004C2EF8" w:rsidP="00F7554A">
            <w:pPr>
              <w:pStyle w:val="TableTextRight"/>
              <w:rPr>
                <w:b/>
              </w:rPr>
            </w:pPr>
            <w:r w:rsidRPr="00820414">
              <w:rPr>
                <w:b/>
              </w:rPr>
              <w:t>-2.9</w:t>
            </w:r>
          </w:p>
        </w:tc>
      </w:tr>
      <w:tr w:rsidR="004C2EF8" w:rsidTr="00F7554A">
        <w:tc>
          <w:tcPr>
            <w:tcW w:w="1554" w:type="pct"/>
            <w:vAlign w:val="center"/>
          </w:tcPr>
          <w:p w:rsidR="004C2EF8" w:rsidRPr="003A3459" w:rsidRDefault="004C2EF8" w:rsidP="00F7554A">
            <w:pPr>
              <w:pStyle w:val="TableText"/>
            </w:pPr>
            <w:r>
              <w:t>Departmental - Department of Human Services</w:t>
            </w:r>
          </w:p>
        </w:tc>
        <w:tc>
          <w:tcPr>
            <w:tcW w:w="689" w:type="pct"/>
            <w:vAlign w:val="center"/>
          </w:tcPr>
          <w:p w:rsidR="004C2EF8" w:rsidRPr="00820414" w:rsidRDefault="004C2EF8" w:rsidP="00F7554A">
            <w:pPr>
              <w:pStyle w:val="TableTextRight"/>
            </w:pPr>
            <w:r w:rsidRPr="00820414">
              <w:t>-10.2</w:t>
            </w:r>
          </w:p>
        </w:tc>
        <w:tc>
          <w:tcPr>
            <w:tcW w:w="689" w:type="pct"/>
            <w:vAlign w:val="center"/>
          </w:tcPr>
          <w:p w:rsidR="004C2EF8" w:rsidRPr="00820414" w:rsidRDefault="004C2EF8" w:rsidP="00F7554A">
            <w:pPr>
              <w:pStyle w:val="TableTextRight"/>
            </w:pPr>
            <w:r w:rsidRPr="00820414">
              <w:t>-1.8</w:t>
            </w:r>
          </w:p>
        </w:tc>
        <w:tc>
          <w:tcPr>
            <w:tcW w:w="689" w:type="pct"/>
            <w:vAlign w:val="center"/>
          </w:tcPr>
          <w:p w:rsidR="004C2EF8" w:rsidRPr="00820414" w:rsidRDefault="004C2EF8" w:rsidP="00F7554A">
            <w:pPr>
              <w:pStyle w:val="TableTextRight"/>
            </w:pPr>
            <w:r w:rsidRPr="00820414">
              <w:t>-0.2</w:t>
            </w:r>
          </w:p>
        </w:tc>
        <w:tc>
          <w:tcPr>
            <w:tcW w:w="689" w:type="pct"/>
            <w:vAlign w:val="center"/>
          </w:tcPr>
          <w:p w:rsidR="004C2EF8" w:rsidRPr="00820414" w:rsidRDefault="004C2EF8" w:rsidP="00F7554A">
            <w:pPr>
              <w:pStyle w:val="TableTextRight"/>
            </w:pPr>
            <w:r w:rsidRPr="00820414">
              <w:t>-</w:t>
            </w:r>
          </w:p>
        </w:tc>
        <w:tc>
          <w:tcPr>
            <w:tcW w:w="690" w:type="pct"/>
            <w:vAlign w:val="center"/>
          </w:tcPr>
          <w:p w:rsidR="004C2EF8" w:rsidRPr="00820414" w:rsidRDefault="004C2EF8" w:rsidP="00F7554A">
            <w:pPr>
              <w:pStyle w:val="TableTextRight"/>
              <w:rPr>
                <w:b/>
              </w:rPr>
            </w:pPr>
            <w:r w:rsidRPr="00820414">
              <w:rPr>
                <w:b/>
              </w:rPr>
              <w:t>-12.3</w:t>
            </w:r>
          </w:p>
        </w:tc>
      </w:tr>
      <w:tr w:rsidR="004C2EF8" w:rsidRPr="007C2713" w:rsidTr="00F7554A">
        <w:tc>
          <w:tcPr>
            <w:tcW w:w="1554" w:type="pct"/>
            <w:shd w:val="clear" w:color="auto" w:fill="D7DDE9" w:themeFill="accent3"/>
            <w:vAlign w:val="center"/>
          </w:tcPr>
          <w:p w:rsidR="004C2EF8" w:rsidRPr="0055406D" w:rsidRDefault="004C2EF8" w:rsidP="00F7554A">
            <w:pPr>
              <w:pStyle w:val="TableText"/>
              <w:rPr>
                <w:b/>
              </w:rPr>
            </w:pPr>
            <w:r w:rsidRPr="0055406D">
              <w:rPr>
                <w:b/>
              </w:rPr>
              <w:t>Total</w:t>
            </w:r>
          </w:p>
        </w:tc>
        <w:tc>
          <w:tcPr>
            <w:tcW w:w="689" w:type="pct"/>
            <w:shd w:val="clear" w:color="auto" w:fill="D7DDE9" w:themeFill="accent3"/>
            <w:vAlign w:val="center"/>
          </w:tcPr>
          <w:p w:rsidR="004C2EF8" w:rsidRPr="00FD3830" w:rsidRDefault="004C2EF8" w:rsidP="00F7554A">
            <w:pPr>
              <w:pStyle w:val="TableTextRight"/>
              <w:rPr>
                <w:b/>
              </w:rPr>
            </w:pPr>
            <w:r>
              <w:rPr>
                <w:b/>
              </w:rPr>
              <w:t>-</w:t>
            </w:r>
            <w:r w:rsidRPr="00FD3830">
              <w:rPr>
                <w:b/>
              </w:rPr>
              <w:t>65.5</w:t>
            </w:r>
          </w:p>
        </w:tc>
        <w:tc>
          <w:tcPr>
            <w:tcW w:w="689" w:type="pct"/>
            <w:shd w:val="clear" w:color="auto" w:fill="D7DDE9" w:themeFill="accent3"/>
            <w:vAlign w:val="center"/>
          </w:tcPr>
          <w:p w:rsidR="004C2EF8" w:rsidRPr="00FD3830" w:rsidRDefault="004C2EF8" w:rsidP="00F7554A">
            <w:pPr>
              <w:pStyle w:val="TableTextRight"/>
              <w:rPr>
                <w:b/>
              </w:rPr>
            </w:pPr>
            <w:r>
              <w:rPr>
                <w:b/>
              </w:rPr>
              <w:t>-</w:t>
            </w:r>
            <w:r w:rsidRPr="00FD3830">
              <w:rPr>
                <w:b/>
              </w:rPr>
              <w:t>117.8</w:t>
            </w:r>
          </w:p>
        </w:tc>
        <w:tc>
          <w:tcPr>
            <w:tcW w:w="689" w:type="pct"/>
            <w:shd w:val="clear" w:color="auto" w:fill="D7DDE9" w:themeFill="accent3"/>
            <w:vAlign w:val="center"/>
          </w:tcPr>
          <w:p w:rsidR="004C2EF8" w:rsidRPr="00FD3830" w:rsidRDefault="004C2EF8" w:rsidP="00F7554A">
            <w:pPr>
              <w:pStyle w:val="TableTextRight"/>
              <w:rPr>
                <w:b/>
              </w:rPr>
            </w:pPr>
            <w:r>
              <w:rPr>
                <w:b/>
              </w:rPr>
              <w:t>-</w:t>
            </w:r>
            <w:r w:rsidRPr="00FD3830">
              <w:rPr>
                <w:b/>
              </w:rPr>
              <w:t>118.1</w:t>
            </w:r>
          </w:p>
        </w:tc>
        <w:tc>
          <w:tcPr>
            <w:tcW w:w="689" w:type="pct"/>
            <w:shd w:val="clear" w:color="auto" w:fill="D7DDE9" w:themeFill="accent3"/>
            <w:vAlign w:val="center"/>
          </w:tcPr>
          <w:p w:rsidR="004C2EF8" w:rsidRPr="00FD3830" w:rsidRDefault="004C2EF8" w:rsidP="00F7554A">
            <w:pPr>
              <w:pStyle w:val="TableTextRight"/>
              <w:rPr>
                <w:b/>
              </w:rPr>
            </w:pPr>
            <w:r>
              <w:rPr>
                <w:b/>
              </w:rPr>
              <w:t>-</w:t>
            </w:r>
            <w:r w:rsidRPr="00FD3830">
              <w:rPr>
                <w:b/>
              </w:rPr>
              <w:t>119.4</w:t>
            </w:r>
          </w:p>
        </w:tc>
        <w:tc>
          <w:tcPr>
            <w:tcW w:w="690" w:type="pct"/>
            <w:shd w:val="clear" w:color="auto" w:fill="D7DDE9" w:themeFill="accent3"/>
            <w:vAlign w:val="center"/>
          </w:tcPr>
          <w:p w:rsidR="004C2EF8" w:rsidRPr="00FD3830" w:rsidRDefault="004C2EF8" w:rsidP="00F7554A">
            <w:pPr>
              <w:pStyle w:val="TableTextRight"/>
              <w:rPr>
                <w:b/>
              </w:rPr>
            </w:pPr>
            <w:r>
              <w:rPr>
                <w:b/>
              </w:rPr>
              <w:t>-</w:t>
            </w:r>
            <w:r w:rsidRPr="00FD3830">
              <w:rPr>
                <w:b/>
              </w:rPr>
              <w:t>420.8</w:t>
            </w:r>
          </w:p>
        </w:tc>
      </w:tr>
    </w:tbl>
    <w:p w:rsidR="004C2EF8" w:rsidRPr="00F93D5A" w:rsidRDefault="004C2EF8" w:rsidP="00520C39">
      <w:pPr>
        <w:pStyle w:val="Footnotes"/>
        <w:numPr>
          <w:ilvl w:val="0"/>
          <w:numId w:val="180"/>
        </w:numPr>
        <w:ind w:left="284" w:hanging="284"/>
      </w:pPr>
      <w:r w:rsidRPr="00F93D5A">
        <w:t xml:space="preserve">A positive number for the underlying cash balance indicates an increase in receipts or a decrease in </w:t>
      </w:r>
      <w:r w:rsidR="0080154C">
        <w:t>payments</w:t>
      </w:r>
      <w:r w:rsidRPr="00F93D5A">
        <w:t xml:space="preserve"> or net capital investment in cash terms.  A negative number for the underlying cash balance indicates a decrease in receipts or an increase in </w:t>
      </w:r>
      <w:r w:rsidR="0080154C">
        <w:t>payments</w:t>
      </w:r>
      <w:r w:rsidRPr="00F93D5A">
        <w:t xml:space="preserve"> or net capital investment in cash terms.</w:t>
      </w:r>
    </w:p>
    <w:p w:rsidR="004C2EF8" w:rsidRPr="005F544A" w:rsidRDefault="004C2EF8" w:rsidP="00520C39">
      <w:pPr>
        <w:pStyle w:val="Footnotes"/>
        <w:spacing w:after="120"/>
        <w:ind w:left="284" w:hanging="284"/>
      </w:pPr>
      <w:r w:rsidRPr="005F544A">
        <w:t>Figures may not sum to totals due to rounding.</w:t>
      </w:r>
    </w:p>
    <w:p w:rsidR="004C2EF8" w:rsidRPr="005F544A" w:rsidRDefault="004C2EF8" w:rsidP="00520C39">
      <w:pPr>
        <w:pStyle w:val="Footnotes"/>
        <w:numPr>
          <w:ilvl w:val="0"/>
          <w:numId w:val="0"/>
        </w:numPr>
        <w:ind w:left="284" w:hanging="284"/>
      </w:pPr>
      <w:r w:rsidRPr="005F544A">
        <w:t>..</w:t>
      </w:r>
      <w:r w:rsidRPr="005F544A">
        <w:tab/>
        <w:t>Not zero but rounded to zero.</w:t>
      </w:r>
    </w:p>
    <w:p w:rsidR="004C2EF8" w:rsidRPr="005F544A" w:rsidRDefault="004C2EF8" w:rsidP="00520C39">
      <w:pPr>
        <w:pStyle w:val="Footnotes"/>
        <w:numPr>
          <w:ilvl w:val="0"/>
          <w:numId w:val="0"/>
        </w:numPr>
        <w:ind w:left="284" w:hanging="284"/>
      </w:pPr>
      <w:r w:rsidRPr="005F544A">
        <w:t>-</w:t>
      </w:r>
      <w:r w:rsidRPr="005F544A">
        <w:tab/>
        <w:t>Indicates nil.</w:t>
      </w:r>
    </w:p>
    <w:p w:rsidR="004C2EF8" w:rsidRPr="00951305" w:rsidRDefault="004C2EF8" w:rsidP="004C2EF8">
      <w:pPr>
        <w:pStyle w:val="BodyText"/>
      </w:pPr>
      <w:bookmarkStart w:id="126" w:name="_Toc455655045"/>
    </w:p>
    <w:p w:rsidR="004C2EF8" w:rsidRDefault="004C2EF8" w:rsidP="004C2EF8">
      <w:pPr>
        <w:pStyle w:val="BodyText"/>
        <w:sectPr w:rsidR="004C2EF8" w:rsidSect="00085CBF">
          <w:footnotePr>
            <w:numRestart w:val="eachSect"/>
          </w:footnotePr>
          <w:pgSz w:w="11906" w:h="16838" w:code="9"/>
          <w:pgMar w:top="1361" w:right="1797" w:bottom="1474" w:left="1797" w:header="283" w:footer="454" w:gutter="0"/>
          <w:cols w:space="708"/>
          <w:docGrid w:linePitch="360"/>
        </w:sectPr>
      </w:pPr>
    </w:p>
    <w:p w:rsidR="004C2EF8" w:rsidRDefault="008851BD" w:rsidP="004C2EF8">
      <w:pPr>
        <w:pStyle w:val="Heading5"/>
        <w:ind w:left="1080" w:hanging="1080"/>
      </w:pPr>
      <w:bookmarkStart w:id="127" w:name="_Toc458081713"/>
      <w:r>
        <w:t>A</w:t>
      </w:r>
      <w:r w:rsidR="004C2EF8">
        <w:t>LP0</w:t>
      </w:r>
      <w:r w:rsidR="009221D1">
        <w:t>89</w:t>
      </w:r>
      <w:r w:rsidR="004C2EF8">
        <w:t>:</w:t>
      </w:r>
      <w:r w:rsidR="00593999">
        <w:t xml:space="preserve"> </w:t>
      </w:r>
      <w:r w:rsidR="004C2EF8">
        <w:t>Strengthening Hospitals</w:t>
      </w:r>
      <w:bookmarkEnd w:id="127"/>
    </w:p>
    <w:p w:rsidR="00275C35" w:rsidRDefault="00275C35" w:rsidP="00275C35">
      <w:pPr>
        <w:pStyle w:val="BodyText"/>
      </w:pPr>
      <w:r>
        <w:rPr>
          <w:noProof/>
          <w:lang w:eastAsia="en-AU"/>
        </w:rPr>
        <w:drawing>
          <wp:inline distT="0" distB="0" distL="0" distR="0" wp14:anchorId="7AFA3738" wp14:editId="6C256683">
            <wp:extent cx="2696845" cy="572135"/>
            <wp:effectExtent l="0" t="0" r="8255" b="0"/>
            <wp:docPr id="452" name="Picture 452"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4C2EF8" w:rsidRDefault="004C2EF8" w:rsidP="004C2EF8">
      <w:pPr>
        <w:pStyle w:val="Heading6"/>
        <w:numPr>
          <w:ilvl w:val="0"/>
          <w:numId w:val="10"/>
        </w:numPr>
        <w:tabs>
          <w:tab w:val="right" w:pos="1418"/>
          <w:tab w:val="right" w:pos="1701"/>
          <w:tab w:val="right" w:pos="1985"/>
        </w:tabs>
      </w:pPr>
      <w:r w:rsidRPr="00C61291">
        <w:t>Policy costing—</w:t>
      </w:r>
      <w:r>
        <w:t>2016 post-election report</w:t>
      </w:r>
    </w:p>
    <w:tbl>
      <w:tblPr>
        <w:tblStyle w:val="Style1"/>
        <w:tblW w:w="5000" w:type="pct"/>
        <w:tblLook w:val="06A0" w:firstRow="1" w:lastRow="0" w:firstColumn="1" w:lastColumn="0" w:noHBand="1" w:noVBand="1"/>
      </w:tblPr>
      <w:tblGrid>
        <w:gridCol w:w="3085"/>
        <w:gridCol w:w="5443"/>
      </w:tblGrid>
      <w:tr w:rsidR="004C2EF8" w:rsidRPr="008851BD"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4C2EF8" w:rsidRPr="008851BD" w:rsidRDefault="004C2EF8" w:rsidP="00592660">
            <w:pPr>
              <w:pStyle w:val="PullOutBoxHeading"/>
              <w:rPr>
                <w:b/>
              </w:rPr>
            </w:pPr>
            <w:r w:rsidRPr="008851BD">
              <w:rPr>
                <w:b/>
              </w:rPr>
              <w:t>Name of proposal:</w:t>
            </w:r>
          </w:p>
        </w:tc>
        <w:tc>
          <w:tcPr>
            <w:tcW w:w="3191" w:type="pct"/>
          </w:tcPr>
          <w:p w:rsidR="004C2EF8" w:rsidRPr="008851BD" w:rsidRDefault="00CB75B6" w:rsidP="00592660">
            <w:pPr>
              <w:pStyle w:val="PullOutBoxHeading"/>
              <w:rPr>
                <w:b/>
              </w:rPr>
            </w:pPr>
            <w:r w:rsidRPr="008851BD">
              <w:rPr>
                <w:b/>
              </w:rPr>
              <w:t>Strengthening Hospitals</w:t>
            </w:r>
          </w:p>
        </w:tc>
      </w:tr>
      <w:tr w:rsidR="004C2EF8" w:rsidRPr="00B45F94" w:rsidTr="00F7554A">
        <w:tc>
          <w:tcPr>
            <w:tcW w:w="1809" w:type="pct"/>
          </w:tcPr>
          <w:p w:rsidR="004C2EF8" w:rsidRPr="00B45F94" w:rsidRDefault="004C2EF8" w:rsidP="00592660">
            <w:pPr>
              <w:pStyle w:val="PullOutBoxBodyText"/>
            </w:pPr>
            <w:r w:rsidRPr="00B45F94">
              <w:t>Summary of proposal:</w:t>
            </w:r>
          </w:p>
        </w:tc>
        <w:tc>
          <w:tcPr>
            <w:tcW w:w="3191" w:type="pct"/>
          </w:tcPr>
          <w:p w:rsidR="00CB75B6" w:rsidRDefault="00CB75B6" w:rsidP="00CB75B6">
            <w:pPr>
              <w:pStyle w:val="PullOutBoxBodyText"/>
            </w:pPr>
            <w:r>
              <w:t>The proposal includes the following two components:</w:t>
            </w:r>
          </w:p>
          <w:p w:rsidR="00CB75B6" w:rsidRPr="00B560C8" w:rsidRDefault="00CB75B6" w:rsidP="00CB75B6">
            <w:pPr>
              <w:pStyle w:val="PullOutBoxBodyText"/>
              <w:rPr>
                <w:u w:val="single"/>
              </w:rPr>
            </w:pPr>
            <w:r w:rsidRPr="00B560C8">
              <w:rPr>
                <w:u w:val="single"/>
              </w:rPr>
              <w:t>Component 1 - Activity-based hospital funding</w:t>
            </w:r>
          </w:p>
          <w:p w:rsidR="00CB75B6" w:rsidRDefault="00CB75B6" w:rsidP="00CB75B6">
            <w:pPr>
              <w:pStyle w:val="PullOutBoxBodyText"/>
            </w:pPr>
            <w:r>
              <w:t>This component would set the annual growth in Commonwealth funding to states and territories for public hospitals from 1 July 2017 to 50 per cent of the efficient growth in public hospital costs for three years.  Beyond this period funding would be derived as per the base policy setting.</w:t>
            </w:r>
          </w:p>
          <w:p w:rsidR="00CB75B6" w:rsidRPr="00B560C8" w:rsidRDefault="00CB75B6" w:rsidP="00CB75B6">
            <w:pPr>
              <w:pStyle w:val="PullOutBoxBodyText"/>
              <w:rPr>
                <w:u w:val="single"/>
              </w:rPr>
            </w:pPr>
            <w:r w:rsidRPr="00B560C8">
              <w:rPr>
                <w:u w:val="single"/>
              </w:rPr>
              <w:t>Component 2 - National Elective Surgery Target and National Emergency Access Target</w:t>
            </w:r>
          </w:p>
          <w:p w:rsidR="00CB75B6" w:rsidRDefault="00CB75B6" w:rsidP="00CB75B6">
            <w:pPr>
              <w:pStyle w:val="PullOutBoxBodyText"/>
            </w:pPr>
            <w:r>
              <w:t>This component would provide $325 million per annum over four years from 1 July 2016 to meet the National Elective Surgery Target and the Na</w:t>
            </w:r>
            <w:r w:rsidR="00B560C8">
              <w:t>tional Emergency Access Target.</w:t>
            </w:r>
            <w:r w:rsidR="00B560C8" w:rsidRPr="00E53973">
              <w:rPr>
                <w:rStyle w:val="FootnoteReference"/>
              </w:rPr>
              <w:footnoteReference w:id="26"/>
            </w:r>
          </w:p>
          <w:p w:rsidR="004C2EF8" w:rsidRPr="00B45F94" w:rsidRDefault="00CB75B6" w:rsidP="00CB75B6">
            <w:pPr>
              <w:pStyle w:val="PullOutBoxBodyText"/>
            </w:pPr>
            <w:r>
              <w:t>Departmental costs would be met from outside the funding cap for the program.</w:t>
            </w:r>
          </w:p>
        </w:tc>
      </w:tr>
      <w:tr w:rsidR="004C2EF8" w:rsidRPr="00B45F94" w:rsidTr="00F7554A">
        <w:tc>
          <w:tcPr>
            <w:tcW w:w="1809" w:type="pct"/>
          </w:tcPr>
          <w:p w:rsidR="004C2EF8" w:rsidRPr="00B45F94" w:rsidRDefault="004C2EF8" w:rsidP="00592660">
            <w:pPr>
              <w:pStyle w:val="PullOutBoxBodyText"/>
            </w:pPr>
            <w:r>
              <w:t>Party:</w:t>
            </w:r>
          </w:p>
        </w:tc>
        <w:tc>
          <w:tcPr>
            <w:tcW w:w="3191" w:type="pct"/>
          </w:tcPr>
          <w:p w:rsidR="004C2EF8" w:rsidRPr="00B45F94" w:rsidRDefault="004C2EF8" w:rsidP="00592660">
            <w:pPr>
              <w:pStyle w:val="PullOutBoxBodyText"/>
            </w:pPr>
            <w:r>
              <w:t>Australian Labor Party</w:t>
            </w:r>
          </w:p>
        </w:tc>
      </w:tr>
      <w:tr w:rsidR="00B560C8" w:rsidRPr="00B45F94" w:rsidTr="00F7554A">
        <w:tc>
          <w:tcPr>
            <w:tcW w:w="1809" w:type="pct"/>
          </w:tcPr>
          <w:p w:rsidR="00B560C8" w:rsidRPr="00220BE5" w:rsidRDefault="00B560C8" w:rsidP="00B560C8">
            <w:pPr>
              <w:pStyle w:val="PullOutBoxBodyText"/>
            </w:pPr>
            <w:r>
              <w:t>Additional information requested:</w:t>
            </w:r>
          </w:p>
        </w:tc>
        <w:tc>
          <w:tcPr>
            <w:tcW w:w="3191" w:type="pct"/>
          </w:tcPr>
          <w:p w:rsidR="00B560C8" w:rsidRPr="0075205B" w:rsidRDefault="00B560C8" w:rsidP="00B560C8">
            <w:pPr>
              <w:pStyle w:val="PullOutBoxBodyText"/>
            </w:pPr>
            <w:r w:rsidRPr="0075205B">
              <w:t xml:space="preserve">On </w:t>
            </w:r>
            <w:r>
              <w:t>5</w:t>
            </w:r>
            <w:r w:rsidRPr="0075205B">
              <w:t xml:space="preserve"> July 2016 clarification was sought from the office of </w:t>
            </w:r>
            <w:r>
              <w:t>the Hon Tony Buke MP</w:t>
            </w:r>
            <w:r w:rsidRPr="0075205B">
              <w:t xml:space="preserve"> (the office) as </w:t>
            </w:r>
            <w:r>
              <w:t>to whether</w:t>
            </w:r>
            <w:r w:rsidRPr="0075205B">
              <w:t xml:space="preserve"> </w:t>
            </w:r>
            <w:r>
              <w:t>both components were ongoing</w:t>
            </w:r>
            <w:r w:rsidRPr="0075205B">
              <w:t>.</w:t>
            </w:r>
          </w:p>
        </w:tc>
      </w:tr>
      <w:tr w:rsidR="00B560C8" w:rsidRPr="00B45F94" w:rsidTr="00F7554A">
        <w:tc>
          <w:tcPr>
            <w:tcW w:w="1809" w:type="pct"/>
          </w:tcPr>
          <w:p w:rsidR="00B560C8" w:rsidRPr="00220BE5" w:rsidRDefault="00B560C8" w:rsidP="00B560C8">
            <w:pPr>
              <w:pStyle w:val="PullOutBoxBodyText"/>
            </w:pPr>
            <w:r>
              <w:t>Additional information received:</w:t>
            </w:r>
          </w:p>
        </w:tc>
        <w:tc>
          <w:tcPr>
            <w:tcW w:w="3191" w:type="pct"/>
          </w:tcPr>
          <w:p w:rsidR="00B560C8" w:rsidRPr="0075205B" w:rsidRDefault="00B560C8" w:rsidP="00B560C8">
            <w:pPr>
              <w:pStyle w:val="PullOutBoxBodyText"/>
            </w:pPr>
            <w:r w:rsidRPr="0075205B">
              <w:t xml:space="preserve">On </w:t>
            </w:r>
            <w:r>
              <w:t>5</w:t>
            </w:r>
            <w:r w:rsidRPr="0075205B">
              <w:t xml:space="preserve"> July 2016 the office advised that </w:t>
            </w:r>
            <w:r>
              <w:t xml:space="preserve">both policies would be for four years only from their respective start dates.  With regards to Component 1, </w:t>
            </w:r>
            <w:r w:rsidRPr="004B765C">
              <w:t xml:space="preserve">funding </w:t>
            </w:r>
            <w:r>
              <w:t>beyond the policy</w:t>
            </w:r>
            <w:r w:rsidRPr="004B765C">
              <w:t xml:space="preserve"> </w:t>
            </w:r>
            <w:r>
              <w:t>would be determined</w:t>
            </w:r>
            <w:r w:rsidRPr="004B765C">
              <w:t xml:space="preserve"> </w:t>
            </w:r>
            <w:r>
              <w:t>with state and territory governments.</w:t>
            </w:r>
          </w:p>
        </w:tc>
      </w:tr>
      <w:tr w:rsidR="00B560C8" w:rsidRPr="00B45F94" w:rsidTr="00F7554A">
        <w:tc>
          <w:tcPr>
            <w:tcW w:w="1809" w:type="pct"/>
          </w:tcPr>
          <w:p w:rsidR="00B560C8" w:rsidRPr="00B45F94" w:rsidRDefault="00B560C8" w:rsidP="00592660">
            <w:pPr>
              <w:pStyle w:val="PullOutBoxBodyText"/>
            </w:pPr>
            <w:r w:rsidRPr="00B45F94">
              <w:t>Expiry date for the costing:</w:t>
            </w:r>
          </w:p>
        </w:tc>
        <w:tc>
          <w:tcPr>
            <w:tcW w:w="3191" w:type="pct"/>
          </w:tcPr>
          <w:p w:rsidR="00B560C8" w:rsidRPr="00B45F94" w:rsidRDefault="00B560C8" w:rsidP="00B560C8">
            <w:pPr>
              <w:pStyle w:val="PullOutBoxBodyText"/>
            </w:pPr>
            <w:r w:rsidRPr="00B45F94">
              <w:t xml:space="preserve">Release of the next economic and fiscal </w:t>
            </w:r>
            <w:r>
              <w:t>update</w:t>
            </w:r>
          </w:p>
        </w:tc>
      </w:tr>
    </w:tbl>
    <w:p w:rsidR="004C2EF8" w:rsidRDefault="004C2EF8" w:rsidP="004C2EF8">
      <w:pPr>
        <w:pStyle w:val="CostingsH7"/>
      </w:pPr>
      <w:r w:rsidRPr="00BF1EE6">
        <w:t>Costing overview</w:t>
      </w:r>
    </w:p>
    <w:p w:rsidR="00B560C8" w:rsidRDefault="00B560C8" w:rsidP="00B560C8">
      <w:pPr>
        <w:pStyle w:val="BodyText"/>
      </w:pPr>
      <w:r>
        <w:t>This proposal would be expected to decrease both the fiscal and underlying cash balances by $1,985.8 million over the 2016-17 Budget forward estimates period.  This impact reflects an increase in administered expenditure of $1,984.0 million and in departmental expenditure of $1.8 million related to Component 2, for the assessment of performance against the targets and provision of funding.</w:t>
      </w:r>
    </w:p>
    <w:p w:rsidR="00B560C8" w:rsidRDefault="00B560C8" w:rsidP="00B560C8">
      <w:pPr>
        <w:pStyle w:val="BodyText"/>
      </w:pPr>
      <w:r>
        <w:t>Departmental expenses have not been included for Component 1 for the Department of Health or the Department of the Treasury as this component is not expected to impact significantly on administrative activities currently undertaken by these agencies.</w:t>
      </w:r>
    </w:p>
    <w:p w:rsidR="00B560C8" w:rsidRDefault="00B560C8" w:rsidP="00B560C8">
      <w:pPr>
        <w:pStyle w:val="BodyText"/>
      </w:pPr>
      <w:r>
        <w:t xml:space="preserve">A breakdown of the financial impact by component over the 2016-17 Budget forward estimates period is provided at </w:t>
      </w:r>
      <w:r w:rsidRPr="00B560C8">
        <w:rPr>
          <w:u w:val="single"/>
        </w:rPr>
        <w:t>Attachment A</w:t>
      </w:r>
      <w:r>
        <w:t>.  The proposal would have an ongoing impact beyond the forward estimates period (relating to Component 1 only) with the decrease to the budget in 2020-21 expected to be $363 million growing by around 4.0 per cent per year thereafter to an impact of around $460 million in 2026-27.</w:t>
      </w:r>
    </w:p>
    <w:p w:rsidR="00B560C8" w:rsidRDefault="00B560C8" w:rsidP="00B560C8">
      <w:pPr>
        <w:pStyle w:val="BodyText"/>
      </w:pPr>
      <w:r>
        <w:t xml:space="preserve">The financial implications for Component 1 are considered to be of low reliability as the estimates are highly sensitive to: </w:t>
      </w:r>
    </w:p>
    <w:p w:rsidR="00B560C8" w:rsidRDefault="00B560C8" w:rsidP="00B560C8">
      <w:pPr>
        <w:pStyle w:val="ListBullet"/>
      </w:pPr>
      <w:r>
        <w:t>the growth in the National Efficient Price (NEP) and volume of units (National Weighted Activity Units) funded which determine the level of activity based funding</w:t>
      </w:r>
    </w:p>
    <w:p w:rsidR="00B560C8" w:rsidRDefault="00B560C8" w:rsidP="00B560C8">
      <w:pPr>
        <w:pStyle w:val="ListBullet"/>
      </w:pPr>
      <w:r>
        <w:t>the National Efficient Cost which determines the level of hospital block funding.</w:t>
      </w:r>
    </w:p>
    <w:p w:rsidR="00B560C8" w:rsidRDefault="00B560C8" w:rsidP="00B560C8">
      <w:pPr>
        <w:pStyle w:val="BodyText"/>
      </w:pPr>
      <w:r>
        <w:t>Since the Commonwealth funding of public hospitals has been linked to the efficient growth in the cost of hospital services from 2014-15, there have been material revisions to these cost drivers.</w:t>
      </w:r>
    </w:p>
    <w:p w:rsidR="00B560C8" w:rsidRPr="00B560C8" w:rsidRDefault="00B560C8" w:rsidP="00B560C8">
      <w:pPr>
        <w:pStyle w:val="BodyText"/>
      </w:pPr>
      <w:r>
        <w:t>The costing for Component 2 is considered to be of high reliability as it is based on specified capped amounts and the application of administrative costs based on similar programs, in addition to the capped funding specified.  No analysis has been undertaken to determine the adequacy of the prescribed funding amounts to achieve the objective of the proposal.</w:t>
      </w:r>
    </w:p>
    <w:p w:rsidR="004C2EF8" w:rsidRDefault="004C2EF8" w:rsidP="004C2EF8">
      <w:pPr>
        <w:pStyle w:val="Caption"/>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4C2EF8"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4C2EF8" w:rsidRPr="00D264E1" w:rsidRDefault="004C2EF8" w:rsidP="00F7554A">
            <w:pPr>
              <w:pStyle w:val="TableHeading"/>
            </w:pPr>
            <w:r>
              <w:t>Impact on</w:t>
            </w:r>
            <w:r w:rsidR="00B560C8">
              <w:t xml:space="preserve"> ($m)</w:t>
            </w:r>
          </w:p>
        </w:tc>
        <w:tc>
          <w:tcPr>
            <w:tcW w:w="721" w:type="pct"/>
          </w:tcPr>
          <w:p w:rsidR="004C2EF8" w:rsidRPr="00FC1F1C" w:rsidRDefault="004C2EF8" w:rsidP="00F7554A">
            <w:pPr>
              <w:pStyle w:val="TableHeadingRight"/>
            </w:pPr>
            <w:r>
              <w:t>2016–17</w:t>
            </w:r>
          </w:p>
        </w:tc>
        <w:tc>
          <w:tcPr>
            <w:tcW w:w="721" w:type="pct"/>
          </w:tcPr>
          <w:p w:rsidR="004C2EF8" w:rsidRPr="00FC1F1C" w:rsidRDefault="004C2EF8" w:rsidP="00F7554A">
            <w:pPr>
              <w:pStyle w:val="TableHeadingRight"/>
            </w:pPr>
            <w:r>
              <w:t>2017–18</w:t>
            </w:r>
          </w:p>
        </w:tc>
        <w:tc>
          <w:tcPr>
            <w:tcW w:w="722" w:type="pct"/>
          </w:tcPr>
          <w:p w:rsidR="004C2EF8" w:rsidRPr="00FC1F1C" w:rsidRDefault="004C2EF8" w:rsidP="00F7554A">
            <w:pPr>
              <w:pStyle w:val="TableHeadingRight"/>
            </w:pPr>
            <w:r>
              <w:t>2018–19</w:t>
            </w:r>
          </w:p>
        </w:tc>
        <w:tc>
          <w:tcPr>
            <w:tcW w:w="721" w:type="pct"/>
          </w:tcPr>
          <w:p w:rsidR="004C2EF8" w:rsidRPr="00FC1F1C" w:rsidRDefault="004C2EF8" w:rsidP="00F7554A">
            <w:pPr>
              <w:pStyle w:val="TableHeadingRight"/>
            </w:pPr>
            <w:r>
              <w:t>2019–20</w:t>
            </w:r>
          </w:p>
        </w:tc>
        <w:tc>
          <w:tcPr>
            <w:tcW w:w="722" w:type="pct"/>
          </w:tcPr>
          <w:p w:rsidR="004C2EF8" w:rsidRDefault="004C2EF8" w:rsidP="00B560C8">
            <w:pPr>
              <w:pStyle w:val="TableTextRight"/>
            </w:pPr>
            <w:r>
              <w:t>Total</w:t>
            </w:r>
          </w:p>
        </w:tc>
      </w:tr>
      <w:tr w:rsidR="00B560C8" w:rsidTr="00F7554A">
        <w:tc>
          <w:tcPr>
            <w:tcW w:w="1393" w:type="pct"/>
          </w:tcPr>
          <w:p w:rsidR="00B560C8" w:rsidRDefault="00B560C8" w:rsidP="00F7554A">
            <w:pPr>
              <w:pStyle w:val="TableText"/>
            </w:pPr>
            <w:r>
              <w:t>Fiscal balance</w:t>
            </w:r>
          </w:p>
        </w:tc>
        <w:tc>
          <w:tcPr>
            <w:tcW w:w="721" w:type="pct"/>
          </w:tcPr>
          <w:p w:rsidR="00B560C8" w:rsidRPr="00403790" w:rsidRDefault="00B560C8" w:rsidP="00B560C8">
            <w:pPr>
              <w:pStyle w:val="TableTextRight"/>
            </w:pPr>
            <w:r w:rsidRPr="00403790">
              <w:t xml:space="preserve">-325.5 </w:t>
            </w:r>
          </w:p>
        </w:tc>
        <w:tc>
          <w:tcPr>
            <w:tcW w:w="721" w:type="pct"/>
          </w:tcPr>
          <w:p w:rsidR="00B560C8" w:rsidRPr="00403790" w:rsidRDefault="00B560C8" w:rsidP="00B560C8">
            <w:pPr>
              <w:pStyle w:val="TableTextRight"/>
            </w:pPr>
            <w:r w:rsidRPr="00403790">
              <w:t xml:space="preserve">-435.5 </w:t>
            </w:r>
          </w:p>
        </w:tc>
        <w:tc>
          <w:tcPr>
            <w:tcW w:w="722" w:type="pct"/>
          </w:tcPr>
          <w:p w:rsidR="00B560C8" w:rsidRPr="00403790" w:rsidRDefault="00B560C8" w:rsidP="00B560C8">
            <w:pPr>
              <w:pStyle w:val="TableTextRight"/>
            </w:pPr>
            <w:r w:rsidRPr="00403790">
              <w:t xml:space="preserve">-551.5 </w:t>
            </w:r>
          </w:p>
        </w:tc>
        <w:tc>
          <w:tcPr>
            <w:tcW w:w="721" w:type="pct"/>
          </w:tcPr>
          <w:p w:rsidR="00B560C8" w:rsidRPr="00403790" w:rsidRDefault="00B560C8" w:rsidP="00B560C8">
            <w:pPr>
              <w:pStyle w:val="TableTextRight"/>
            </w:pPr>
            <w:r w:rsidRPr="00403790">
              <w:t xml:space="preserve">-673.5 </w:t>
            </w:r>
          </w:p>
        </w:tc>
        <w:tc>
          <w:tcPr>
            <w:tcW w:w="722" w:type="pct"/>
          </w:tcPr>
          <w:p w:rsidR="00B560C8" w:rsidRPr="00403790" w:rsidRDefault="00B560C8" w:rsidP="00B560C8">
            <w:pPr>
              <w:pStyle w:val="TableTextRight"/>
              <w:rPr>
                <w:b/>
              </w:rPr>
            </w:pPr>
            <w:r w:rsidRPr="00403790">
              <w:rPr>
                <w:b/>
              </w:rPr>
              <w:t xml:space="preserve">-1,985.8 </w:t>
            </w:r>
          </w:p>
        </w:tc>
      </w:tr>
      <w:tr w:rsidR="00B560C8" w:rsidTr="00F7554A">
        <w:tc>
          <w:tcPr>
            <w:tcW w:w="1393" w:type="pct"/>
          </w:tcPr>
          <w:p w:rsidR="00B560C8" w:rsidRDefault="00B560C8" w:rsidP="00F7554A">
            <w:pPr>
              <w:pStyle w:val="TableText"/>
            </w:pPr>
            <w:r>
              <w:t>Underlying cash balance</w:t>
            </w:r>
          </w:p>
        </w:tc>
        <w:tc>
          <w:tcPr>
            <w:tcW w:w="721" w:type="pct"/>
          </w:tcPr>
          <w:p w:rsidR="00B560C8" w:rsidRPr="00403790" w:rsidRDefault="00B560C8" w:rsidP="00B560C8">
            <w:pPr>
              <w:pStyle w:val="TableTextRight"/>
            </w:pPr>
            <w:r w:rsidRPr="00403790">
              <w:t xml:space="preserve">-325.5 </w:t>
            </w:r>
          </w:p>
        </w:tc>
        <w:tc>
          <w:tcPr>
            <w:tcW w:w="721" w:type="pct"/>
          </w:tcPr>
          <w:p w:rsidR="00B560C8" w:rsidRPr="00403790" w:rsidRDefault="00B560C8" w:rsidP="00B560C8">
            <w:pPr>
              <w:pStyle w:val="TableTextRight"/>
            </w:pPr>
            <w:r w:rsidRPr="00403790">
              <w:t xml:space="preserve">-435.5 </w:t>
            </w:r>
          </w:p>
        </w:tc>
        <w:tc>
          <w:tcPr>
            <w:tcW w:w="722" w:type="pct"/>
          </w:tcPr>
          <w:p w:rsidR="00B560C8" w:rsidRPr="00403790" w:rsidRDefault="00B560C8" w:rsidP="00B560C8">
            <w:pPr>
              <w:pStyle w:val="TableTextRight"/>
            </w:pPr>
            <w:r w:rsidRPr="00403790">
              <w:t xml:space="preserve">-551.5 </w:t>
            </w:r>
          </w:p>
        </w:tc>
        <w:tc>
          <w:tcPr>
            <w:tcW w:w="721" w:type="pct"/>
          </w:tcPr>
          <w:p w:rsidR="00B560C8" w:rsidRPr="00403790" w:rsidRDefault="00B560C8" w:rsidP="00B560C8">
            <w:pPr>
              <w:pStyle w:val="TableTextRight"/>
            </w:pPr>
            <w:r w:rsidRPr="00403790">
              <w:t xml:space="preserve">-673.5 </w:t>
            </w:r>
          </w:p>
        </w:tc>
        <w:tc>
          <w:tcPr>
            <w:tcW w:w="722" w:type="pct"/>
          </w:tcPr>
          <w:p w:rsidR="00B560C8" w:rsidRPr="00403790" w:rsidRDefault="00B560C8" w:rsidP="00B560C8">
            <w:pPr>
              <w:pStyle w:val="TableTextRight"/>
              <w:rPr>
                <w:b/>
              </w:rPr>
            </w:pPr>
            <w:r w:rsidRPr="00403790">
              <w:rPr>
                <w:b/>
              </w:rPr>
              <w:t xml:space="preserve">-1,985.8 </w:t>
            </w:r>
          </w:p>
        </w:tc>
      </w:tr>
    </w:tbl>
    <w:p w:rsidR="004C2EF8" w:rsidRDefault="004C2EF8" w:rsidP="00E1300A">
      <w:pPr>
        <w:pStyle w:val="Footnotes"/>
        <w:numPr>
          <w:ilvl w:val="0"/>
          <w:numId w:val="181"/>
        </w:numPr>
        <w:ind w:left="284" w:hanging="284"/>
      </w:pPr>
      <w:r>
        <w:t xml:space="preserve">A positive </w:t>
      </w:r>
      <w:r w:rsidRPr="00FC1F1C">
        <w:t>number indicates an increase in the relevant budget balance, a negative number a decrease.</w:t>
      </w:r>
    </w:p>
    <w:p w:rsidR="004C2EF8" w:rsidRPr="000E063A" w:rsidRDefault="004C2EF8" w:rsidP="00E1300A">
      <w:pPr>
        <w:pStyle w:val="Footnotes"/>
        <w:ind w:left="284" w:hanging="284"/>
        <w:rPr>
          <w:rStyle w:val="FootnoteReference"/>
          <w:vertAlign w:val="baseline"/>
        </w:rPr>
      </w:pPr>
      <w:r w:rsidRPr="000E063A">
        <w:t>Figures may not sum to totals due to rounding.</w:t>
      </w:r>
    </w:p>
    <w:p w:rsidR="004C2EF8" w:rsidRDefault="004C2EF8" w:rsidP="00946956">
      <w:pPr>
        <w:pStyle w:val="CostingsH7"/>
      </w:pPr>
      <w:r>
        <w:t>Key assumptions</w:t>
      </w:r>
    </w:p>
    <w:p w:rsidR="00B560C8" w:rsidRDefault="00B560C8" w:rsidP="00946956">
      <w:pPr>
        <w:pStyle w:val="BodyText"/>
        <w:keepNext/>
        <w:keepLines/>
      </w:pPr>
      <w:r w:rsidRPr="00B560C8">
        <w:t>In costing this proposal, it has been assumed that:</w:t>
      </w:r>
    </w:p>
    <w:p w:rsidR="00B560C8" w:rsidRDefault="00B560C8" w:rsidP="00B560C8">
      <w:pPr>
        <w:pStyle w:val="CostingsH8"/>
      </w:pPr>
      <w:r>
        <w:t>Component 1 - Activity-based hospital funding</w:t>
      </w:r>
    </w:p>
    <w:p w:rsidR="00B560C8" w:rsidRDefault="00B560C8" w:rsidP="00B560C8">
      <w:pPr>
        <w:pStyle w:val="ListBullet"/>
      </w:pPr>
      <w:r>
        <w:t>The amount provided for public health activities under the National Health Reform Agreement 2011 (2011 NHRA) would continue from 2017-18.</w:t>
      </w:r>
    </w:p>
    <w:p w:rsidR="00B560C8" w:rsidRPr="00B560C8" w:rsidRDefault="00B560C8" w:rsidP="00B560C8">
      <w:pPr>
        <w:pStyle w:val="ListBullet"/>
      </w:pPr>
      <w:r>
        <w:t>For the base policy setting, Commonwealth funding beyond 2019-20 for public hospitals would be indexed by a combination of population growth and the Consumer Price Index, and would not include amounts provided for public health activities under the 2011 NHRA.</w:t>
      </w:r>
    </w:p>
    <w:p w:rsidR="004C2EF8" w:rsidRDefault="004C2EF8" w:rsidP="004C2EF8">
      <w:pPr>
        <w:pStyle w:val="CostingsH7"/>
      </w:pPr>
      <w:r>
        <w:t>Methodology</w:t>
      </w:r>
    </w:p>
    <w:p w:rsidR="00B560C8" w:rsidRDefault="00B560C8" w:rsidP="000C0267">
      <w:pPr>
        <w:pStyle w:val="CostingsH8"/>
      </w:pPr>
      <w:r>
        <w:t>Component 1 - Activity-based hospital funding</w:t>
      </w:r>
    </w:p>
    <w:p w:rsidR="00B560C8" w:rsidRPr="00B560C8" w:rsidRDefault="00B560C8" w:rsidP="00B65C00">
      <w:pPr>
        <w:pStyle w:val="CostingsH9"/>
      </w:pPr>
      <w:r w:rsidRPr="00B560C8">
        <w:t>Base policy setting</w:t>
      </w:r>
    </w:p>
    <w:p w:rsidR="00B560C8" w:rsidRPr="00B560C8" w:rsidRDefault="00B560C8" w:rsidP="00B560C8">
      <w:pPr>
        <w:pStyle w:val="BodyText"/>
      </w:pPr>
      <w:r w:rsidRPr="00B560C8">
        <w:t>Commonwealth public hospital funding estimates are drawn from the 2016-17 Budget.</w:t>
      </w:r>
    </w:p>
    <w:p w:rsidR="00B560C8" w:rsidRPr="00B560C8" w:rsidRDefault="00B560C8" w:rsidP="00B65C00">
      <w:pPr>
        <w:pStyle w:val="CostingsH9"/>
      </w:pPr>
      <w:r w:rsidRPr="00B560C8">
        <w:t>Proposed policy settings: 50 per cent of the efficient growth in public hospital costs</w:t>
      </w:r>
    </w:p>
    <w:p w:rsidR="00B560C8" w:rsidRPr="00B560C8" w:rsidRDefault="00B560C8" w:rsidP="00B560C8">
      <w:pPr>
        <w:pStyle w:val="BodyText"/>
      </w:pPr>
      <w:r w:rsidRPr="00B560C8">
        <w:t>From 1 July 2017 the estimates reflect the Commonwealth funding 50 per cent of the efficient growth in the cost of hospital services.  These estimates were derived from the Department of Health’s 2016</w:t>
      </w:r>
      <w:r>
        <w:noBreakHyphen/>
      </w:r>
      <w:r w:rsidRPr="00B560C8">
        <w:t>17 Budget hospital funding model (see Data sources).</w:t>
      </w:r>
    </w:p>
    <w:p w:rsidR="00B560C8" w:rsidRPr="00B560C8" w:rsidRDefault="00B560C8" w:rsidP="00B560C8">
      <w:pPr>
        <w:pStyle w:val="BodyText"/>
      </w:pPr>
      <w:r w:rsidRPr="00B560C8">
        <w:t>The impact of this proposal is the difference between estimates under the base policy setting and those under the proposal.</w:t>
      </w:r>
    </w:p>
    <w:p w:rsidR="00B560C8" w:rsidRDefault="00B560C8" w:rsidP="00B560C8">
      <w:pPr>
        <w:pStyle w:val="BodyText"/>
      </w:pPr>
      <w:r w:rsidRPr="00B560C8">
        <w:t>Estimates have been rounded to the nearest $1 million.</w:t>
      </w:r>
    </w:p>
    <w:p w:rsidR="00B560C8" w:rsidRDefault="00B560C8" w:rsidP="00B560C8">
      <w:pPr>
        <w:pStyle w:val="CostingsH8"/>
      </w:pPr>
      <w:r>
        <w:t>Component 2 - National Elective Surgery Target and National Emergency Access Target</w:t>
      </w:r>
    </w:p>
    <w:p w:rsidR="00B560C8" w:rsidRPr="00B560C8" w:rsidRDefault="00B560C8" w:rsidP="00B560C8">
      <w:pPr>
        <w:pStyle w:val="BodyText"/>
      </w:pPr>
      <w:r>
        <w:t>Administered expenditure estimates are as specified.  The departmental expenditure estimates are in addition to capped amounts, as specified, and are based on other like initiatives and estimates account for the net effect of indexation parameters and the efficiency dividend, in accordance with the Department of Finance’s costing practices.</w:t>
      </w:r>
    </w:p>
    <w:p w:rsidR="004C2EF8" w:rsidRDefault="004C2EF8" w:rsidP="00946956">
      <w:pPr>
        <w:pStyle w:val="CostingsH7"/>
      </w:pPr>
      <w:r>
        <w:t>Data sources</w:t>
      </w:r>
    </w:p>
    <w:p w:rsidR="00B560C8" w:rsidRDefault="00B560C8" w:rsidP="00946956">
      <w:pPr>
        <w:pStyle w:val="ListBullet"/>
        <w:keepNext/>
      </w:pPr>
      <w:r>
        <w:t>The Department of Finance provided indexation and efficiency dividend parameters.</w:t>
      </w:r>
    </w:p>
    <w:p w:rsidR="00B560C8" w:rsidRDefault="00B560C8" w:rsidP="00946956">
      <w:pPr>
        <w:pStyle w:val="ListBullet"/>
        <w:keepNext/>
      </w:pPr>
      <w:r>
        <w:t>The Department of Health provided the 2016-17 Budget hospital funding model.</w:t>
      </w:r>
    </w:p>
    <w:p w:rsidR="00B560C8" w:rsidRDefault="00B560C8" w:rsidP="00946956">
      <w:pPr>
        <w:pStyle w:val="ListBullet"/>
        <w:keepNext/>
      </w:pPr>
      <w:r>
        <w:t>2016-17 Budget - Payments to support state health services.</w:t>
      </w:r>
    </w:p>
    <w:p w:rsidR="00B560C8" w:rsidRDefault="00B560C8" w:rsidP="00946956">
      <w:pPr>
        <w:pStyle w:val="ListBullet"/>
        <w:keepNext/>
      </w:pPr>
      <w:r>
        <w:t xml:space="preserve">Administrator of the National Health Funding Pool: Total hospital funding </w:t>
      </w:r>
      <w:hyperlink r:id="rId219" w:history="1">
        <w:r w:rsidRPr="009A5363">
          <w:rPr>
            <w:rStyle w:val="Hyperlink"/>
          </w:rPr>
          <w:t>http://www.publichospitalfunding.gov.au/reports/national</w:t>
        </w:r>
      </w:hyperlink>
    </w:p>
    <w:p w:rsidR="00B560C8" w:rsidRDefault="00B560C8" w:rsidP="00946956">
      <w:pPr>
        <w:pStyle w:val="ListBullet2"/>
        <w:keepNext/>
      </w:pPr>
      <w:r>
        <w:t>National Health Reform funding by funding type.</w:t>
      </w:r>
    </w:p>
    <w:p w:rsidR="00B560C8" w:rsidRPr="00946956" w:rsidRDefault="00B560C8" w:rsidP="00B560C8">
      <w:pPr>
        <w:pStyle w:val="ListBullet"/>
        <w:rPr>
          <w:rStyle w:val="Hyperlink"/>
          <w:u w:val="none"/>
        </w:rPr>
      </w:pPr>
      <w:r w:rsidRPr="00B560C8">
        <w:t>Independent Hospital Pricing Authority, National Efficient Price Determination 2016</w:t>
      </w:r>
      <w:r w:rsidR="00490640">
        <w:noBreakHyphen/>
      </w:r>
      <w:r w:rsidRPr="00B560C8">
        <w:t>17</w:t>
      </w:r>
      <w:r>
        <w:t xml:space="preserve"> </w:t>
      </w:r>
      <w:hyperlink r:id="rId220" w:history="1">
        <w:r w:rsidR="00490640" w:rsidRPr="001A0C1E">
          <w:rPr>
            <w:rStyle w:val="Hyperlink"/>
          </w:rPr>
          <w:t>https://www.ihpa.gov.au/publications/national-efficient-price-determination-2016</w:t>
        </w:r>
        <w:r w:rsidR="00490640" w:rsidRPr="001A0C1E">
          <w:rPr>
            <w:rStyle w:val="Hyperlink"/>
          </w:rPr>
          <w:noBreakHyphen/>
          <w:t>17</w:t>
        </w:r>
      </w:hyperlink>
    </w:p>
    <w:p w:rsidR="00946956" w:rsidRDefault="00946956" w:rsidP="00946956">
      <w:pPr>
        <w:pStyle w:val="ListBullet2"/>
        <w:sectPr w:rsidR="00946956" w:rsidSect="00085CBF">
          <w:headerReference w:type="even" r:id="rId221"/>
          <w:headerReference w:type="default" r:id="rId222"/>
          <w:footerReference w:type="even" r:id="rId223"/>
          <w:footerReference w:type="default" r:id="rId224"/>
          <w:footnotePr>
            <w:numRestart w:val="eachSect"/>
          </w:footnotePr>
          <w:pgSz w:w="11906" w:h="16838" w:code="9"/>
          <w:pgMar w:top="1361" w:right="1797" w:bottom="1474" w:left="1797" w:header="283" w:footer="454" w:gutter="0"/>
          <w:cols w:space="708"/>
          <w:docGrid w:linePitch="360"/>
        </w:sectPr>
      </w:pPr>
      <w:r>
        <w:t>NEP and growth in NEP</w:t>
      </w:r>
    </w:p>
    <w:p w:rsidR="004C2EF8" w:rsidRDefault="004C2EF8" w:rsidP="002C0B26">
      <w:pPr>
        <w:pStyle w:val="Heading6"/>
      </w:pPr>
      <w:r>
        <w:t xml:space="preserve">Attachment </w:t>
      </w:r>
      <w:r w:rsidR="00B560C8" w:rsidRPr="00B560C8">
        <w:t>A: Strengthening Hospitals—financial implications</w:t>
      </w:r>
    </w:p>
    <w:p w:rsidR="004C2EF8" w:rsidRDefault="00B560C8" w:rsidP="002C0B26">
      <w:pPr>
        <w:pStyle w:val="Caption"/>
        <w:keepLines/>
      </w:pPr>
      <w:r w:rsidRPr="00B560C8">
        <w:t xml:space="preserve">Table A1: Strengthening Hospitals—Financial implications (outturn prices) </w:t>
      </w:r>
      <w:r w:rsidRPr="00B560C8">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4C2EF8" w:rsidTr="00712FE7">
        <w:trPr>
          <w:cnfStyle w:val="100000000000" w:firstRow="1" w:lastRow="0" w:firstColumn="0" w:lastColumn="0" w:oddVBand="0" w:evenVBand="0" w:oddHBand="0" w:evenHBand="0" w:firstRowFirstColumn="0" w:firstRowLastColumn="0" w:lastRowFirstColumn="0" w:lastRowLastColumn="0"/>
        </w:trPr>
        <w:tc>
          <w:tcPr>
            <w:tcW w:w="1554" w:type="pct"/>
            <w:shd w:val="clear" w:color="auto" w:fill="D7DDE9" w:themeFill="accent3"/>
            <w:vAlign w:val="center"/>
          </w:tcPr>
          <w:p w:rsidR="004C2EF8" w:rsidRPr="007C2713" w:rsidRDefault="004C2EF8" w:rsidP="002C0B26">
            <w:pPr>
              <w:pStyle w:val="TableText"/>
              <w:keepNext/>
              <w:keepLines/>
              <w:rPr>
                <w:b w:val="0"/>
              </w:rPr>
            </w:pPr>
            <w:r>
              <w:t>($</w:t>
            </w:r>
            <w:r w:rsidR="00B560C8">
              <w:t>m</w:t>
            </w:r>
            <w:r>
              <w:t>)</w:t>
            </w:r>
          </w:p>
        </w:tc>
        <w:tc>
          <w:tcPr>
            <w:tcW w:w="689" w:type="pct"/>
            <w:shd w:val="clear" w:color="auto" w:fill="D7DDE9" w:themeFill="accent3"/>
            <w:vAlign w:val="center"/>
          </w:tcPr>
          <w:p w:rsidR="004C2EF8" w:rsidRDefault="004C2EF8" w:rsidP="002C0B26">
            <w:pPr>
              <w:pStyle w:val="TableTextRight"/>
              <w:keepNext/>
              <w:keepLines/>
              <w:rPr>
                <w:b w:val="0"/>
              </w:rPr>
            </w:pPr>
            <w:r>
              <w:t>2016–17</w:t>
            </w:r>
          </w:p>
        </w:tc>
        <w:tc>
          <w:tcPr>
            <w:tcW w:w="689" w:type="pct"/>
            <w:shd w:val="clear" w:color="auto" w:fill="D7DDE9" w:themeFill="accent3"/>
            <w:vAlign w:val="center"/>
          </w:tcPr>
          <w:p w:rsidR="004C2EF8" w:rsidRDefault="004C2EF8" w:rsidP="002C0B26">
            <w:pPr>
              <w:pStyle w:val="TableTextRight"/>
              <w:keepNext/>
              <w:keepLines/>
              <w:rPr>
                <w:b w:val="0"/>
              </w:rPr>
            </w:pPr>
            <w:r>
              <w:t>2017–18</w:t>
            </w:r>
          </w:p>
        </w:tc>
        <w:tc>
          <w:tcPr>
            <w:tcW w:w="689" w:type="pct"/>
            <w:shd w:val="clear" w:color="auto" w:fill="D7DDE9" w:themeFill="accent3"/>
            <w:vAlign w:val="center"/>
          </w:tcPr>
          <w:p w:rsidR="004C2EF8" w:rsidRDefault="004C2EF8" w:rsidP="002C0B26">
            <w:pPr>
              <w:pStyle w:val="TableTextRight"/>
              <w:keepNext/>
              <w:keepLines/>
              <w:rPr>
                <w:b w:val="0"/>
              </w:rPr>
            </w:pPr>
            <w:r>
              <w:t>2018–19</w:t>
            </w:r>
          </w:p>
        </w:tc>
        <w:tc>
          <w:tcPr>
            <w:tcW w:w="689" w:type="pct"/>
            <w:shd w:val="clear" w:color="auto" w:fill="D7DDE9" w:themeFill="accent3"/>
            <w:vAlign w:val="center"/>
          </w:tcPr>
          <w:p w:rsidR="004C2EF8" w:rsidRDefault="004C2EF8" w:rsidP="002C0B26">
            <w:pPr>
              <w:pStyle w:val="TableTextRight"/>
              <w:keepNext/>
              <w:keepLines/>
              <w:rPr>
                <w:b w:val="0"/>
              </w:rPr>
            </w:pPr>
            <w:r>
              <w:t>2019–20</w:t>
            </w:r>
          </w:p>
        </w:tc>
        <w:tc>
          <w:tcPr>
            <w:tcW w:w="690" w:type="pct"/>
            <w:shd w:val="clear" w:color="auto" w:fill="D7DDE9" w:themeFill="accent3"/>
            <w:vAlign w:val="center"/>
          </w:tcPr>
          <w:p w:rsidR="004C2EF8" w:rsidRDefault="004C2EF8" w:rsidP="002C0B26">
            <w:pPr>
              <w:pStyle w:val="TableTextRight"/>
              <w:keepNext/>
              <w:keepLines/>
            </w:pPr>
            <w:r>
              <w:t>Total to 2019–20</w:t>
            </w:r>
          </w:p>
        </w:tc>
      </w:tr>
      <w:tr w:rsidR="00B560C8" w:rsidTr="00B560C8">
        <w:tc>
          <w:tcPr>
            <w:tcW w:w="5000" w:type="pct"/>
            <w:gridSpan w:val="6"/>
            <w:shd w:val="clear" w:color="auto" w:fill="D7DDE9" w:themeFill="accent3"/>
            <w:vAlign w:val="center"/>
          </w:tcPr>
          <w:p w:rsidR="00B560C8" w:rsidRDefault="00B560C8" w:rsidP="002C0B26">
            <w:pPr>
              <w:pStyle w:val="TableTextRight"/>
              <w:keepNext/>
              <w:keepLines/>
              <w:jc w:val="left"/>
            </w:pPr>
            <w:r w:rsidRPr="00B45D4B">
              <w:rPr>
                <w:b/>
                <w:szCs w:val="20"/>
              </w:rPr>
              <w:t xml:space="preserve">Impact on </w:t>
            </w:r>
            <w:r w:rsidRPr="004B765C">
              <w:rPr>
                <w:b/>
                <w:szCs w:val="20"/>
              </w:rPr>
              <w:t>fiscal and underlying cash balances</w:t>
            </w:r>
          </w:p>
        </w:tc>
      </w:tr>
      <w:tr w:rsidR="00B560C8" w:rsidTr="00B560C8">
        <w:tc>
          <w:tcPr>
            <w:tcW w:w="5000" w:type="pct"/>
            <w:gridSpan w:val="6"/>
            <w:shd w:val="clear" w:color="auto" w:fill="E9ECF3" w:themeFill="accent2" w:themeFillTint="33"/>
            <w:vAlign w:val="center"/>
          </w:tcPr>
          <w:p w:rsidR="00B560C8" w:rsidRDefault="00B560C8" w:rsidP="00B560C8">
            <w:pPr>
              <w:pStyle w:val="TableTextRight"/>
              <w:jc w:val="left"/>
            </w:pPr>
            <w:r w:rsidRPr="00B45D4B">
              <w:rPr>
                <w:b/>
                <w:szCs w:val="20"/>
              </w:rPr>
              <w:t xml:space="preserve">Component 1 </w:t>
            </w:r>
            <w:r w:rsidRPr="004B765C">
              <w:rPr>
                <w:b/>
                <w:szCs w:val="20"/>
              </w:rPr>
              <w:t>– Activity-based hospital funding</w:t>
            </w:r>
          </w:p>
        </w:tc>
      </w:tr>
      <w:tr w:rsidR="00B560C8" w:rsidTr="00284B97">
        <w:tc>
          <w:tcPr>
            <w:tcW w:w="1554" w:type="pct"/>
          </w:tcPr>
          <w:p w:rsidR="00B560C8" w:rsidRPr="004B765C" w:rsidRDefault="00B560C8" w:rsidP="00284B97">
            <w:pPr>
              <w:keepNext/>
              <w:keepLines/>
              <w:spacing w:before="70" w:after="70"/>
              <w:rPr>
                <w:szCs w:val="20"/>
              </w:rPr>
            </w:pPr>
            <w:r w:rsidRPr="00B45D4B">
              <w:rPr>
                <w:szCs w:val="20"/>
              </w:rPr>
              <w:t>Administered</w:t>
            </w:r>
          </w:p>
        </w:tc>
        <w:tc>
          <w:tcPr>
            <w:tcW w:w="689" w:type="pct"/>
          </w:tcPr>
          <w:p w:rsidR="00B560C8" w:rsidRPr="00712FE7" w:rsidRDefault="00B560C8" w:rsidP="00712FE7">
            <w:pPr>
              <w:pStyle w:val="TableTextRight"/>
              <w:rPr>
                <w:i/>
              </w:rPr>
            </w:pPr>
            <w:r w:rsidRPr="00712FE7">
              <w:rPr>
                <w:i/>
              </w:rPr>
              <w:t>-</w:t>
            </w:r>
          </w:p>
        </w:tc>
        <w:tc>
          <w:tcPr>
            <w:tcW w:w="689" w:type="pct"/>
          </w:tcPr>
          <w:p w:rsidR="00B560C8" w:rsidRPr="00712FE7" w:rsidRDefault="00B560C8" w:rsidP="00712FE7">
            <w:pPr>
              <w:pStyle w:val="TableTextRight"/>
              <w:rPr>
                <w:i/>
              </w:rPr>
            </w:pPr>
            <w:r w:rsidRPr="00712FE7">
              <w:rPr>
                <w:i/>
              </w:rPr>
              <w:t>-110.0</w:t>
            </w:r>
          </w:p>
        </w:tc>
        <w:tc>
          <w:tcPr>
            <w:tcW w:w="689" w:type="pct"/>
          </w:tcPr>
          <w:p w:rsidR="00B560C8" w:rsidRPr="00712FE7" w:rsidRDefault="00B560C8" w:rsidP="00712FE7">
            <w:pPr>
              <w:pStyle w:val="TableTextRight"/>
              <w:rPr>
                <w:i/>
              </w:rPr>
            </w:pPr>
            <w:r w:rsidRPr="00712FE7">
              <w:rPr>
                <w:i/>
              </w:rPr>
              <w:t>-226.0</w:t>
            </w:r>
          </w:p>
        </w:tc>
        <w:tc>
          <w:tcPr>
            <w:tcW w:w="689" w:type="pct"/>
          </w:tcPr>
          <w:p w:rsidR="00B560C8" w:rsidRPr="00712FE7" w:rsidRDefault="00B560C8" w:rsidP="00712FE7">
            <w:pPr>
              <w:pStyle w:val="TableTextRight"/>
              <w:rPr>
                <w:i/>
              </w:rPr>
            </w:pPr>
            <w:r w:rsidRPr="00712FE7">
              <w:rPr>
                <w:i/>
              </w:rPr>
              <w:t>-348.0</w:t>
            </w:r>
          </w:p>
        </w:tc>
        <w:tc>
          <w:tcPr>
            <w:tcW w:w="690" w:type="pct"/>
          </w:tcPr>
          <w:p w:rsidR="00B560C8" w:rsidRPr="00712FE7" w:rsidRDefault="00B560C8" w:rsidP="00712FE7">
            <w:pPr>
              <w:pStyle w:val="TableTextRight"/>
              <w:rPr>
                <w:b/>
                <w:i/>
              </w:rPr>
            </w:pPr>
            <w:r w:rsidRPr="00712FE7">
              <w:rPr>
                <w:b/>
                <w:i/>
              </w:rPr>
              <w:t>-684.0</w:t>
            </w:r>
          </w:p>
        </w:tc>
      </w:tr>
      <w:tr w:rsidR="00712FE7" w:rsidTr="00712FE7">
        <w:tc>
          <w:tcPr>
            <w:tcW w:w="5000" w:type="pct"/>
            <w:gridSpan w:val="6"/>
            <w:shd w:val="clear" w:color="auto" w:fill="E9ECF3" w:themeFill="accent2" w:themeFillTint="33"/>
          </w:tcPr>
          <w:p w:rsidR="00712FE7" w:rsidRDefault="00712FE7" w:rsidP="00712FE7">
            <w:pPr>
              <w:pStyle w:val="TableTextRight"/>
              <w:jc w:val="left"/>
            </w:pPr>
            <w:r w:rsidRPr="00B45D4B">
              <w:rPr>
                <w:b/>
                <w:szCs w:val="20"/>
              </w:rPr>
              <w:t xml:space="preserve">Component 2 </w:t>
            </w:r>
            <w:r w:rsidRPr="004B765C">
              <w:rPr>
                <w:b/>
                <w:szCs w:val="20"/>
              </w:rPr>
              <w:t>– National Elective Surgery Target and National Emergency Access Target</w:t>
            </w:r>
          </w:p>
        </w:tc>
      </w:tr>
      <w:tr w:rsidR="00712FE7" w:rsidTr="00284B97">
        <w:tc>
          <w:tcPr>
            <w:tcW w:w="1554" w:type="pct"/>
          </w:tcPr>
          <w:p w:rsidR="00712FE7" w:rsidRPr="004B765C" w:rsidRDefault="00712FE7" w:rsidP="00284B97">
            <w:pPr>
              <w:keepNext/>
              <w:keepLines/>
              <w:spacing w:before="70" w:after="70"/>
              <w:rPr>
                <w:szCs w:val="20"/>
              </w:rPr>
            </w:pPr>
            <w:r w:rsidRPr="00B45D4B">
              <w:rPr>
                <w:szCs w:val="20"/>
              </w:rPr>
              <w:t>Administered</w:t>
            </w:r>
          </w:p>
        </w:tc>
        <w:tc>
          <w:tcPr>
            <w:tcW w:w="689" w:type="pct"/>
          </w:tcPr>
          <w:p w:rsidR="00712FE7" w:rsidRPr="00712FE7" w:rsidRDefault="00712FE7" w:rsidP="00712FE7">
            <w:pPr>
              <w:pStyle w:val="TableTextRight"/>
              <w:rPr>
                <w:i/>
              </w:rPr>
            </w:pPr>
            <w:r w:rsidRPr="00712FE7">
              <w:rPr>
                <w:i/>
              </w:rPr>
              <w:t xml:space="preserve">-325.0 </w:t>
            </w:r>
          </w:p>
        </w:tc>
        <w:tc>
          <w:tcPr>
            <w:tcW w:w="689" w:type="pct"/>
          </w:tcPr>
          <w:p w:rsidR="00712FE7" w:rsidRPr="00712FE7" w:rsidRDefault="00712FE7" w:rsidP="00712FE7">
            <w:pPr>
              <w:pStyle w:val="TableTextRight"/>
              <w:rPr>
                <w:i/>
              </w:rPr>
            </w:pPr>
            <w:r w:rsidRPr="00712FE7">
              <w:rPr>
                <w:i/>
              </w:rPr>
              <w:t xml:space="preserve">-325.0 </w:t>
            </w:r>
          </w:p>
        </w:tc>
        <w:tc>
          <w:tcPr>
            <w:tcW w:w="689" w:type="pct"/>
          </w:tcPr>
          <w:p w:rsidR="00712FE7" w:rsidRPr="00712FE7" w:rsidRDefault="00712FE7" w:rsidP="00712FE7">
            <w:pPr>
              <w:pStyle w:val="TableTextRight"/>
              <w:rPr>
                <w:i/>
              </w:rPr>
            </w:pPr>
            <w:r w:rsidRPr="00712FE7">
              <w:rPr>
                <w:i/>
              </w:rPr>
              <w:t xml:space="preserve">-325.0 </w:t>
            </w:r>
          </w:p>
        </w:tc>
        <w:tc>
          <w:tcPr>
            <w:tcW w:w="689" w:type="pct"/>
          </w:tcPr>
          <w:p w:rsidR="00712FE7" w:rsidRPr="00712FE7" w:rsidRDefault="00712FE7" w:rsidP="00712FE7">
            <w:pPr>
              <w:pStyle w:val="TableTextRight"/>
              <w:rPr>
                <w:i/>
              </w:rPr>
            </w:pPr>
            <w:r w:rsidRPr="00712FE7">
              <w:rPr>
                <w:i/>
              </w:rPr>
              <w:t xml:space="preserve">-325.0 </w:t>
            </w:r>
          </w:p>
        </w:tc>
        <w:tc>
          <w:tcPr>
            <w:tcW w:w="690" w:type="pct"/>
          </w:tcPr>
          <w:p w:rsidR="00712FE7" w:rsidRPr="00712FE7" w:rsidRDefault="00712FE7" w:rsidP="00712FE7">
            <w:pPr>
              <w:pStyle w:val="TableTextRight"/>
              <w:rPr>
                <w:b/>
                <w:i/>
              </w:rPr>
            </w:pPr>
            <w:r w:rsidRPr="00712FE7">
              <w:rPr>
                <w:b/>
                <w:i/>
              </w:rPr>
              <w:t xml:space="preserve">-1,300.0 </w:t>
            </w:r>
          </w:p>
        </w:tc>
      </w:tr>
      <w:tr w:rsidR="00712FE7" w:rsidTr="00284B97">
        <w:tc>
          <w:tcPr>
            <w:tcW w:w="1554" w:type="pct"/>
          </w:tcPr>
          <w:p w:rsidR="00712FE7" w:rsidRPr="004B765C" w:rsidRDefault="00712FE7" w:rsidP="00284B97">
            <w:pPr>
              <w:keepNext/>
              <w:keepLines/>
              <w:spacing w:before="70" w:after="70"/>
              <w:rPr>
                <w:szCs w:val="20"/>
              </w:rPr>
            </w:pPr>
            <w:r w:rsidRPr="00B45D4B">
              <w:rPr>
                <w:szCs w:val="20"/>
              </w:rPr>
              <w:t>Departmental</w:t>
            </w:r>
          </w:p>
        </w:tc>
        <w:tc>
          <w:tcPr>
            <w:tcW w:w="689" w:type="pct"/>
          </w:tcPr>
          <w:p w:rsidR="00712FE7" w:rsidRPr="00712FE7" w:rsidRDefault="00712FE7" w:rsidP="00712FE7">
            <w:pPr>
              <w:pStyle w:val="TableTextRight"/>
              <w:rPr>
                <w:i/>
              </w:rPr>
            </w:pPr>
            <w:r w:rsidRPr="00712FE7">
              <w:rPr>
                <w:i/>
              </w:rPr>
              <w:t xml:space="preserve">-0.5 </w:t>
            </w:r>
          </w:p>
        </w:tc>
        <w:tc>
          <w:tcPr>
            <w:tcW w:w="689" w:type="pct"/>
          </w:tcPr>
          <w:p w:rsidR="00712FE7" w:rsidRPr="00712FE7" w:rsidRDefault="00712FE7" w:rsidP="00712FE7">
            <w:pPr>
              <w:pStyle w:val="TableTextRight"/>
              <w:rPr>
                <w:i/>
              </w:rPr>
            </w:pPr>
            <w:r w:rsidRPr="00712FE7">
              <w:rPr>
                <w:i/>
              </w:rPr>
              <w:t xml:space="preserve">-0.5 </w:t>
            </w:r>
          </w:p>
        </w:tc>
        <w:tc>
          <w:tcPr>
            <w:tcW w:w="689" w:type="pct"/>
          </w:tcPr>
          <w:p w:rsidR="00712FE7" w:rsidRPr="00712FE7" w:rsidRDefault="00712FE7" w:rsidP="00712FE7">
            <w:pPr>
              <w:pStyle w:val="TableTextRight"/>
              <w:rPr>
                <w:i/>
              </w:rPr>
            </w:pPr>
            <w:r w:rsidRPr="00712FE7">
              <w:rPr>
                <w:i/>
              </w:rPr>
              <w:t xml:space="preserve">-0.5 </w:t>
            </w:r>
          </w:p>
        </w:tc>
        <w:tc>
          <w:tcPr>
            <w:tcW w:w="689" w:type="pct"/>
          </w:tcPr>
          <w:p w:rsidR="00712FE7" w:rsidRPr="00712FE7" w:rsidRDefault="00712FE7" w:rsidP="00712FE7">
            <w:pPr>
              <w:pStyle w:val="TableTextRight"/>
              <w:rPr>
                <w:i/>
              </w:rPr>
            </w:pPr>
            <w:r w:rsidRPr="00712FE7">
              <w:rPr>
                <w:i/>
              </w:rPr>
              <w:t xml:space="preserve">-0.5 </w:t>
            </w:r>
          </w:p>
        </w:tc>
        <w:tc>
          <w:tcPr>
            <w:tcW w:w="690" w:type="pct"/>
          </w:tcPr>
          <w:p w:rsidR="00712FE7" w:rsidRPr="00712FE7" w:rsidRDefault="00712FE7" w:rsidP="00712FE7">
            <w:pPr>
              <w:pStyle w:val="TableTextRight"/>
              <w:rPr>
                <w:b/>
                <w:i/>
              </w:rPr>
            </w:pPr>
            <w:r w:rsidRPr="00712FE7">
              <w:rPr>
                <w:b/>
                <w:i/>
              </w:rPr>
              <w:t xml:space="preserve">-1.8 </w:t>
            </w:r>
          </w:p>
        </w:tc>
      </w:tr>
      <w:tr w:rsidR="00712FE7" w:rsidRPr="007C2713" w:rsidTr="00F7554A">
        <w:tc>
          <w:tcPr>
            <w:tcW w:w="1554" w:type="pct"/>
            <w:shd w:val="clear" w:color="auto" w:fill="D7DDE9" w:themeFill="accent3"/>
            <w:vAlign w:val="center"/>
          </w:tcPr>
          <w:p w:rsidR="00712FE7" w:rsidRPr="007C2713" w:rsidRDefault="00712FE7" w:rsidP="00F7554A">
            <w:pPr>
              <w:pStyle w:val="TableText"/>
              <w:rPr>
                <w:b/>
              </w:rPr>
            </w:pPr>
            <w:r w:rsidRPr="007C2713">
              <w:rPr>
                <w:b/>
              </w:rPr>
              <w:t>Total</w:t>
            </w:r>
          </w:p>
        </w:tc>
        <w:tc>
          <w:tcPr>
            <w:tcW w:w="689" w:type="pct"/>
            <w:shd w:val="clear" w:color="auto" w:fill="D7DDE9" w:themeFill="accent3"/>
          </w:tcPr>
          <w:p w:rsidR="00712FE7" w:rsidRPr="004B765C" w:rsidRDefault="00712FE7" w:rsidP="00284B97">
            <w:pPr>
              <w:spacing w:before="70" w:after="70"/>
              <w:jc w:val="right"/>
              <w:rPr>
                <w:b/>
                <w:sz w:val="20"/>
                <w:szCs w:val="20"/>
              </w:rPr>
            </w:pPr>
            <w:r w:rsidRPr="004B765C">
              <w:rPr>
                <w:b/>
                <w:sz w:val="20"/>
                <w:szCs w:val="20"/>
              </w:rPr>
              <w:t xml:space="preserve">-325.5 </w:t>
            </w:r>
          </w:p>
        </w:tc>
        <w:tc>
          <w:tcPr>
            <w:tcW w:w="689" w:type="pct"/>
            <w:shd w:val="clear" w:color="auto" w:fill="D7DDE9" w:themeFill="accent3"/>
          </w:tcPr>
          <w:p w:rsidR="00712FE7" w:rsidRPr="004B765C" w:rsidRDefault="00712FE7" w:rsidP="00284B97">
            <w:pPr>
              <w:spacing w:before="70" w:after="70"/>
              <w:jc w:val="right"/>
              <w:rPr>
                <w:b/>
                <w:sz w:val="20"/>
                <w:szCs w:val="20"/>
              </w:rPr>
            </w:pPr>
            <w:r w:rsidRPr="004B765C">
              <w:rPr>
                <w:b/>
                <w:sz w:val="20"/>
                <w:szCs w:val="20"/>
              </w:rPr>
              <w:t xml:space="preserve">-435.5 </w:t>
            </w:r>
          </w:p>
        </w:tc>
        <w:tc>
          <w:tcPr>
            <w:tcW w:w="689" w:type="pct"/>
            <w:shd w:val="clear" w:color="auto" w:fill="D7DDE9" w:themeFill="accent3"/>
          </w:tcPr>
          <w:p w:rsidR="00712FE7" w:rsidRPr="004B765C" w:rsidRDefault="00712FE7" w:rsidP="00284B97">
            <w:pPr>
              <w:spacing w:before="70" w:after="70"/>
              <w:jc w:val="right"/>
              <w:rPr>
                <w:b/>
                <w:sz w:val="20"/>
                <w:szCs w:val="20"/>
              </w:rPr>
            </w:pPr>
            <w:r w:rsidRPr="004B765C">
              <w:rPr>
                <w:b/>
                <w:sz w:val="20"/>
                <w:szCs w:val="20"/>
              </w:rPr>
              <w:t xml:space="preserve">-551.5 </w:t>
            </w:r>
          </w:p>
        </w:tc>
        <w:tc>
          <w:tcPr>
            <w:tcW w:w="689" w:type="pct"/>
            <w:shd w:val="clear" w:color="auto" w:fill="D7DDE9" w:themeFill="accent3"/>
          </w:tcPr>
          <w:p w:rsidR="00712FE7" w:rsidRPr="004B765C" w:rsidRDefault="00712FE7" w:rsidP="00284B97">
            <w:pPr>
              <w:spacing w:before="70" w:after="70"/>
              <w:jc w:val="right"/>
              <w:rPr>
                <w:b/>
                <w:sz w:val="20"/>
                <w:szCs w:val="20"/>
              </w:rPr>
            </w:pPr>
            <w:r w:rsidRPr="004B765C">
              <w:rPr>
                <w:b/>
                <w:sz w:val="20"/>
                <w:szCs w:val="20"/>
              </w:rPr>
              <w:t xml:space="preserve">-673.5 </w:t>
            </w:r>
          </w:p>
        </w:tc>
        <w:tc>
          <w:tcPr>
            <w:tcW w:w="690" w:type="pct"/>
            <w:shd w:val="clear" w:color="auto" w:fill="D7DDE9" w:themeFill="accent3"/>
          </w:tcPr>
          <w:p w:rsidR="00712FE7" w:rsidRPr="004B765C" w:rsidRDefault="00712FE7" w:rsidP="00284B97">
            <w:pPr>
              <w:spacing w:before="70" w:after="70"/>
              <w:jc w:val="right"/>
              <w:rPr>
                <w:b/>
                <w:sz w:val="20"/>
                <w:szCs w:val="20"/>
              </w:rPr>
            </w:pPr>
            <w:r w:rsidRPr="004B765C">
              <w:rPr>
                <w:b/>
                <w:sz w:val="20"/>
                <w:szCs w:val="20"/>
              </w:rPr>
              <w:t xml:space="preserve">-1,985.8 </w:t>
            </w:r>
          </w:p>
        </w:tc>
      </w:tr>
    </w:tbl>
    <w:p w:rsidR="00712FE7" w:rsidRPr="00712FE7" w:rsidRDefault="00712FE7" w:rsidP="002C43F8">
      <w:pPr>
        <w:pStyle w:val="Footnotes"/>
        <w:numPr>
          <w:ilvl w:val="0"/>
          <w:numId w:val="182"/>
        </w:numPr>
        <w:ind w:left="284" w:hanging="284"/>
      </w:pPr>
      <w:r w:rsidRPr="00712FE7">
        <w:t>A positive number indicates an increase in revenue or decrease in expenses or net capital investment in accrual and cash terms.  A negative number indicates a decrease in revenue or an increase in expenses or net capital investment in accrual and cash terms.</w:t>
      </w:r>
    </w:p>
    <w:p w:rsidR="004C2EF8" w:rsidRPr="005F544A" w:rsidRDefault="004C2EF8" w:rsidP="00712FE7">
      <w:pPr>
        <w:pStyle w:val="Footnotes"/>
        <w:spacing w:after="120"/>
        <w:ind w:left="284" w:hanging="284"/>
      </w:pPr>
      <w:r w:rsidRPr="005F544A">
        <w:t>Figures may not sum to totals due to rounding.</w:t>
      </w:r>
    </w:p>
    <w:p w:rsidR="0066734C" w:rsidRDefault="004C2EF8" w:rsidP="00712FE7">
      <w:pPr>
        <w:pStyle w:val="Footnotes"/>
        <w:numPr>
          <w:ilvl w:val="0"/>
          <w:numId w:val="0"/>
        </w:numPr>
        <w:ind w:left="284" w:hanging="284"/>
      </w:pPr>
      <w:r w:rsidRPr="005F544A">
        <w:t>-</w:t>
      </w:r>
      <w:r w:rsidRPr="005F544A">
        <w:tab/>
        <w:t>Indicates nil.</w:t>
      </w:r>
    </w:p>
    <w:p w:rsidR="002C0B26" w:rsidRPr="00951305" w:rsidRDefault="002C0B26" w:rsidP="00712FE7">
      <w:pPr>
        <w:pStyle w:val="Footnotes"/>
        <w:numPr>
          <w:ilvl w:val="0"/>
          <w:numId w:val="0"/>
        </w:numPr>
        <w:ind w:left="284" w:hanging="284"/>
      </w:pPr>
    </w:p>
    <w:p w:rsidR="004C2EF8" w:rsidRDefault="004C2EF8" w:rsidP="004C2EF8">
      <w:pPr>
        <w:pStyle w:val="BodyText"/>
        <w:sectPr w:rsidR="004C2EF8" w:rsidSect="00085CBF">
          <w:footnotePr>
            <w:numRestart w:val="eachSect"/>
          </w:footnotePr>
          <w:pgSz w:w="11906" w:h="16838" w:code="9"/>
          <w:pgMar w:top="1361" w:right="1797" w:bottom="1474" w:left="1797" w:header="283" w:footer="454" w:gutter="0"/>
          <w:cols w:space="708"/>
          <w:docGrid w:linePitch="360"/>
        </w:sectPr>
      </w:pPr>
    </w:p>
    <w:p w:rsidR="00761B5C" w:rsidRDefault="00761B5C" w:rsidP="00761B5C">
      <w:pPr>
        <w:pStyle w:val="Heading5"/>
        <w:ind w:left="1080" w:hanging="1080"/>
      </w:pPr>
      <w:bookmarkStart w:id="128" w:name="_Toc458081714"/>
      <w:r>
        <w:t>ALP0</w:t>
      </w:r>
      <w:r w:rsidR="009221D1">
        <w:t>90</w:t>
      </w:r>
      <w:r>
        <w:t>: Measures addressing Family Violence - Court reform</w:t>
      </w:r>
      <w:bookmarkEnd w:id="126"/>
      <w:bookmarkEnd w:id="128"/>
    </w:p>
    <w:p w:rsidR="00761B5C" w:rsidRDefault="00761B5C" w:rsidP="00275C35">
      <w:pPr>
        <w:pStyle w:val="BodyText"/>
      </w:pPr>
      <w:r>
        <w:rPr>
          <w:noProof/>
          <w:lang w:eastAsia="en-AU"/>
        </w:rPr>
        <w:drawing>
          <wp:inline distT="0" distB="0" distL="0" distR="0" wp14:anchorId="16E37A68" wp14:editId="2FDBB3D6">
            <wp:extent cx="2696845" cy="572135"/>
            <wp:effectExtent l="0" t="0" r="8255" b="0"/>
            <wp:docPr id="11" name="Picture 11"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761B5C" w:rsidRDefault="00761B5C" w:rsidP="00761B5C">
      <w:pPr>
        <w:pStyle w:val="Heading6"/>
        <w:numPr>
          <w:ilvl w:val="0"/>
          <w:numId w:val="10"/>
        </w:numPr>
        <w:tabs>
          <w:tab w:val="right" w:pos="1418"/>
          <w:tab w:val="right" w:pos="1701"/>
          <w:tab w:val="right" w:pos="1985"/>
        </w:tabs>
      </w:pPr>
      <w:r>
        <w:t>Policy costing</w:t>
      </w:r>
      <w:r w:rsidRPr="00C61291">
        <w:t>—</w:t>
      </w:r>
      <w:r>
        <w:t>2016 post-election report</w:t>
      </w:r>
    </w:p>
    <w:tbl>
      <w:tblPr>
        <w:tblStyle w:val="Style1"/>
        <w:tblW w:w="5000" w:type="pct"/>
        <w:tblLook w:val="06A0" w:firstRow="1" w:lastRow="0" w:firstColumn="1" w:lastColumn="0" w:noHBand="1" w:noVBand="1"/>
      </w:tblPr>
      <w:tblGrid>
        <w:gridCol w:w="3085"/>
        <w:gridCol w:w="5443"/>
      </w:tblGrid>
      <w:tr w:rsidR="00761B5C" w:rsidRPr="00BA5A1F" w:rsidTr="00F7554A">
        <w:trPr>
          <w:cnfStyle w:val="100000000000" w:firstRow="1" w:lastRow="0" w:firstColumn="0" w:lastColumn="0" w:oddVBand="0" w:evenVBand="0" w:oddHBand="0" w:evenHBand="0" w:firstRowFirstColumn="0" w:firstRowLastColumn="0" w:lastRowFirstColumn="0" w:lastRowLastColumn="0"/>
        </w:trPr>
        <w:tc>
          <w:tcPr>
            <w:tcW w:w="1809" w:type="pct"/>
          </w:tcPr>
          <w:p w:rsidR="00761B5C" w:rsidRPr="00BA5A1F" w:rsidRDefault="00761B5C" w:rsidP="00F7554A">
            <w:pPr>
              <w:pStyle w:val="PullOutBoxHeading"/>
              <w:rPr>
                <w:b/>
              </w:rPr>
            </w:pPr>
            <w:r w:rsidRPr="00BA5A1F">
              <w:rPr>
                <w:b/>
              </w:rPr>
              <w:t>Name of proposal:</w:t>
            </w:r>
          </w:p>
        </w:tc>
        <w:tc>
          <w:tcPr>
            <w:tcW w:w="3191" w:type="pct"/>
          </w:tcPr>
          <w:p w:rsidR="00761B5C" w:rsidRPr="00BA5A1F" w:rsidRDefault="00761B5C" w:rsidP="00F7554A">
            <w:pPr>
              <w:pStyle w:val="PullOutBoxHeading"/>
              <w:rPr>
                <w:b/>
              </w:rPr>
            </w:pPr>
            <w:r w:rsidRPr="00BA5A1F">
              <w:rPr>
                <w:b/>
              </w:rPr>
              <w:t>Measures addressing Family Violence - Court reform</w:t>
            </w:r>
          </w:p>
        </w:tc>
      </w:tr>
      <w:tr w:rsidR="00761B5C" w:rsidRPr="00B45F94" w:rsidTr="00F7554A">
        <w:tc>
          <w:tcPr>
            <w:tcW w:w="1809" w:type="pct"/>
          </w:tcPr>
          <w:p w:rsidR="00761B5C" w:rsidRPr="00B45F94" w:rsidRDefault="00761B5C" w:rsidP="00F7554A">
            <w:pPr>
              <w:pStyle w:val="PullOutBoxBodyText"/>
            </w:pPr>
            <w:r w:rsidRPr="00B45F94">
              <w:t>Summary of proposal:</w:t>
            </w:r>
          </w:p>
        </w:tc>
        <w:tc>
          <w:tcPr>
            <w:tcW w:w="3191" w:type="pct"/>
          </w:tcPr>
          <w:p w:rsidR="00761B5C" w:rsidRDefault="00761B5C" w:rsidP="00F7554A">
            <w:pPr>
              <w:pStyle w:val="PullOutBoxBodyText"/>
            </w:pPr>
            <w:r>
              <w:t>This proposal includes the following five components:</w:t>
            </w:r>
          </w:p>
          <w:p w:rsidR="00761B5C" w:rsidRDefault="00761B5C" w:rsidP="00F7554A">
            <w:pPr>
              <w:pStyle w:val="PullOutBoxBodyText"/>
              <w:rPr>
                <w:u w:val="single"/>
              </w:rPr>
            </w:pPr>
            <w:r w:rsidRPr="00C368DC">
              <w:rPr>
                <w:u w:val="single"/>
              </w:rPr>
              <w:t xml:space="preserve">Component </w:t>
            </w:r>
            <w:r>
              <w:rPr>
                <w:u w:val="single"/>
              </w:rPr>
              <w:t>1</w:t>
            </w:r>
            <w:r w:rsidRPr="00C368DC">
              <w:rPr>
                <w:u w:val="single"/>
              </w:rPr>
              <w:t xml:space="preserve"> - Additional </w:t>
            </w:r>
            <w:r>
              <w:rPr>
                <w:u w:val="single"/>
              </w:rPr>
              <w:t xml:space="preserve">Family Court </w:t>
            </w:r>
            <w:r w:rsidRPr="00C368DC">
              <w:rPr>
                <w:u w:val="single"/>
              </w:rPr>
              <w:t>judges</w:t>
            </w:r>
          </w:p>
          <w:p w:rsidR="00761B5C" w:rsidRDefault="00761B5C" w:rsidP="00F7554A">
            <w:pPr>
              <w:pStyle w:val="PullOutBoxBodyText"/>
              <w:rPr>
                <w:u w:val="single"/>
              </w:rPr>
            </w:pPr>
            <w:r w:rsidRPr="004B5402">
              <w:t>This component would appoint three additional Federal</w:t>
            </w:r>
            <w:r>
              <w:t> </w:t>
            </w:r>
            <w:r w:rsidRPr="004B5402">
              <w:t xml:space="preserve">Circuit Court </w:t>
            </w:r>
            <w:r>
              <w:t>j</w:t>
            </w:r>
            <w:r w:rsidRPr="004B5402">
              <w:t>udges – one in Brisbane</w:t>
            </w:r>
            <w:r>
              <w:t>,</w:t>
            </w:r>
            <w:r w:rsidRPr="004B5402">
              <w:t xml:space="preserve"> one in Wollongong</w:t>
            </w:r>
            <w:r>
              <w:t xml:space="preserve">, </w:t>
            </w:r>
            <w:r w:rsidRPr="004B5402">
              <w:t>and one in Parramatta.</w:t>
            </w:r>
          </w:p>
          <w:p w:rsidR="00761B5C" w:rsidRPr="00C368DC" w:rsidRDefault="00761B5C" w:rsidP="00F7554A">
            <w:pPr>
              <w:pStyle w:val="PullOutBoxBodyText"/>
              <w:rPr>
                <w:u w:val="single"/>
              </w:rPr>
            </w:pPr>
            <w:r>
              <w:rPr>
                <w:u w:val="single"/>
              </w:rPr>
              <w:t>Component 2 - Statement to Parliament</w:t>
            </w:r>
          </w:p>
          <w:p w:rsidR="00761B5C" w:rsidRDefault="00761B5C" w:rsidP="00F7554A">
            <w:pPr>
              <w:pStyle w:val="PullOutBoxBodyText"/>
            </w:pPr>
            <w:r>
              <w:t xml:space="preserve">Under this component: </w:t>
            </w:r>
          </w:p>
          <w:p w:rsidR="00761B5C" w:rsidRDefault="00761B5C" w:rsidP="00F7554A">
            <w:pPr>
              <w:pStyle w:val="PullOutBoxBullet"/>
            </w:pPr>
            <w:r>
              <w:t>the Department of the Prime Minister and Cabinet (PM&amp;C) would produce an annual report on progress toward eliminating family and domestic violence</w:t>
            </w:r>
          </w:p>
          <w:p w:rsidR="00761B5C" w:rsidRPr="00DA55A8" w:rsidRDefault="00761B5C" w:rsidP="00F7554A">
            <w:pPr>
              <w:pStyle w:val="PullOutBoxBullet"/>
            </w:pPr>
            <w:r>
              <w:t>the Prime Minister would make an annual statement to the Parliament on progress toward eliminating family and domestic violence.</w:t>
            </w:r>
          </w:p>
          <w:p w:rsidR="00761B5C" w:rsidRDefault="00761B5C" w:rsidP="00F7554A">
            <w:pPr>
              <w:pStyle w:val="PullOutBoxBodyText"/>
              <w:rPr>
                <w:u w:val="single"/>
              </w:rPr>
            </w:pPr>
            <w:r>
              <w:rPr>
                <w:u w:val="single"/>
              </w:rPr>
              <w:t>Component 3 - Tackling online victimisation</w:t>
            </w:r>
          </w:p>
          <w:p w:rsidR="00761B5C" w:rsidRDefault="00761B5C" w:rsidP="00F7554A">
            <w:pPr>
              <w:pStyle w:val="PullOutBoxBodyText"/>
            </w:pPr>
            <w:r>
              <w:t>This component would introduce legislation to prohibit non-consensual sharing of intimate images and recordings (‘revenge porn’).  This legislation would create offences for:</w:t>
            </w:r>
          </w:p>
          <w:p w:rsidR="00761B5C" w:rsidRPr="000909F3" w:rsidRDefault="00761B5C" w:rsidP="00F7554A">
            <w:pPr>
              <w:pStyle w:val="PullOutBoxBullet"/>
            </w:pPr>
            <w:r>
              <w:t>sharing</w:t>
            </w:r>
            <w:r w:rsidRPr="000909F3">
              <w:t xml:space="preserve"> sexual images and films of a person without their consent where it </w:t>
            </w:r>
            <w:r>
              <w:t>would</w:t>
            </w:r>
            <w:r w:rsidRPr="000909F3">
              <w:t xml:space="preserve"> cause them distress or harm</w:t>
            </w:r>
          </w:p>
          <w:p w:rsidR="00761B5C" w:rsidRPr="000909F3" w:rsidRDefault="00761B5C" w:rsidP="00F7554A">
            <w:pPr>
              <w:pStyle w:val="PullOutBoxBullet"/>
            </w:pPr>
            <w:r>
              <w:t xml:space="preserve">making </w:t>
            </w:r>
            <w:r w:rsidRPr="000909F3">
              <w:t>threat</w:t>
            </w:r>
            <w:r>
              <w:t>s</w:t>
            </w:r>
            <w:r w:rsidRPr="000909F3">
              <w:t xml:space="preserve"> to another person to share private sexual images or films that they are depicted in, or another person that they care about is depicted in</w:t>
            </w:r>
          </w:p>
          <w:p w:rsidR="00761B5C" w:rsidRPr="000909F3" w:rsidRDefault="00761B5C" w:rsidP="00F7554A">
            <w:pPr>
              <w:pStyle w:val="PullOutBoxBullet"/>
            </w:pPr>
            <w:r>
              <w:t xml:space="preserve">engaging in the above </w:t>
            </w:r>
            <w:r w:rsidRPr="000909F3">
              <w:t>offences for the purpose of obtaining a benefit.</w:t>
            </w:r>
          </w:p>
          <w:p w:rsidR="00761B5C" w:rsidRPr="00B45F94" w:rsidRDefault="00761B5C" w:rsidP="00F7554A">
            <w:pPr>
              <w:pStyle w:val="PullOutBoxBodyText"/>
            </w:pPr>
            <w:r w:rsidRPr="000909F3">
              <w:t xml:space="preserve">The penalty for the first two offences </w:t>
            </w:r>
            <w:r>
              <w:t>would</w:t>
            </w:r>
            <w:r w:rsidRPr="000909F3">
              <w:t xml:space="preserve"> be up to three years imprisonment and the penalty for the final offence </w:t>
            </w:r>
            <w:r>
              <w:t>would</w:t>
            </w:r>
            <w:r w:rsidRPr="000909F3">
              <w:t xml:space="preserve"> be five years imprisonment.</w:t>
            </w:r>
          </w:p>
        </w:tc>
      </w:tr>
      <w:tr w:rsidR="00761B5C" w:rsidRPr="00B45F94" w:rsidTr="00F7554A">
        <w:tc>
          <w:tcPr>
            <w:tcW w:w="1809" w:type="pct"/>
          </w:tcPr>
          <w:p w:rsidR="00761B5C" w:rsidRDefault="00761B5C" w:rsidP="00F7554A">
            <w:pPr>
              <w:pStyle w:val="PullOutBoxBodyText"/>
              <w:keepNext/>
              <w:keepLines/>
            </w:pPr>
          </w:p>
        </w:tc>
        <w:tc>
          <w:tcPr>
            <w:tcW w:w="3191" w:type="pct"/>
          </w:tcPr>
          <w:p w:rsidR="00761B5C" w:rsidRDefault="00761B5C" w:rsidP="00F7554A">
            <w:pPr>
              <w:pStyle w:val="PullOutBoxBodyText"/>
              <w:keepNext/>
              <w:keepLines/>
              <w:rPr>
                <w:u w:val="single"/>
              </w:rPr>
            </w:pPr>
            <w:r>
              <w:rPr>
                <w:u w:val="single"/>
              </w:rPr>
              <w:t xml:space="preserve">Component 4 - </w:t>
            </w:r>
            <w:r w:rsidRPr="003761E8">
              <w:rPr>
                <w:u w:val="single"/>
              </w:rPr>
              <w:t>Support for women from culturally and linguistically diverse backgrounds, and for women on visas</w:t>
            </w:r>
          </w:p>
          <w:p w:rsidR="00761B5C" w:rsidRDefault="00761B5C" w:rsidP="00F7554A">
            <w:pPr>
              <w:pStyle w:val="PullOutBoxBodyText"/>
              <w:keepNext/>
              <w:keepLines/>
            </w:pPr>
            <w:r>
              <w:t>This component would:</w:t>
            </w:r>
          </w:p>
          <w:p w:rsidR="00761B5C" w:rsidRDefault="00761B5C" w:rsidP="00F7554A">
            <w:pPr>
              <w:pStyle w:val="PullOutBoxBullet"/>
              <w:keepNext/>
              <w:keepLines/>
            </w:pPr>
            <w:r>
              <w:t>provide $3.8 million over three years, evenly distributed, to develop pilot programs that assist new migrants in gaining access to family and domestic violence services</w:t>
            </w:r>
          </w:p>
          <w:p w:rsidR="00761B5C" w:rsidRDefault="00761B5C" w:rsidP="00F7554A">
            <w:pPr>
              <w:pStyle w:val="PullOutBoxBullet"/>
              <w:keepNext/>
              <w:keepLines/>
            </w:pPr>
            <w:r>
              <w:t>create a new category of bridging visa for victims of domestic violence who are holders of the following visas:</w:t>
            </w:r>
          </w:p>
          <w:p w:rsidR="00761B5C" w:rsidRDefault="00761B5C" w:rsidP="00761B5C">
            <w:pPr>
              <w:pStyle w:val="PullOutBoxBullet2"/>
              <w:keepNext/>
              <w:keepLines/>
            </w:pPr>
            <w:r>
              <w:t>prospective Marriage visas</w:t>
            </w:r>
          </w:p>
          <w:p w:rsidR="00761B5C" w:rsidRDefault="00761B5C" w:rsidP="00761B5C">
            <w:pPr>
              <w:pStyle w:val="PullOutBoxBullet2"/>
              <w:keepNext/>
              <w:keepLines/>
            </w:pPr>
            <w:r>
              <w:t>secondary applicants to an open application for an onshore permanent visa</w:t>
            </w:r>
          </w:p>
          <w:p w:rsidR="00761B5C" w:rsidRPr="000909F3" w:rsidRDefault="00761B5C" w:rsidP="00761B5C">
            <w:pPr>
              <w:pStyle w:val="PullOutBoxBullet2"/>
              <w:keepNext/>
              <w:keepLines/>
            </w:pPr>
            <w:r>
              <w:t>s</w:t>
            </w:r>
            <w:r w:rsidRPr="000909F3">
              <w:t>econdary visa holders of temporary work visas.</w:t>
            </w:r>
          </w:p>
          <w:p w:rsidR="00761B5C" w:rsidRPr="000909F3" w:rsidRDefault="00761B5C" w:rsidP="00F7554A">
            <w:pPr>
              <w:pStyle w:val="PullOutBoxBodyText"/>
              <w:keepNext/>
              <w:keepLines/>
            </w:pPr>
            <w:r>
              <w:t xml:space="preserve">While on the bridging visa, holders would be able to apply </w:t>
            </w:r>
            <w:r w:rsidRPr="000909F3">
              <w:t>for permanent residency, apply for another temporary visa in their own right, or leave Australia.</w:t>
            </w:r>
          </w:p>
          <w:p w:rsidR="00761B5C" w:rsidRPr="00DA55A8" w:rsidRDefault="00761B5C" w:rsidP="00F7554A">
            <w:pPr>
              <w:pStyle w:val="PullOutBoxBodyText"/>
              <w:keepNext/>
              <w:keepLines/>
            </w:pPr>
            <w:r w:rsidRPr="000909F3">
              <w:t xml:space="preserve">To be eligible for the bridging visa, the applicant </w:t>
            </w:r>
            <w:r>
              <w:t>would</w:t>
            </w:r>
            <w:r w:rsidRPr="000909F3">
              <w:t xml:space="preserve"> have to show that their relationship was genuine until it ceased.</w:t>
            </w:r>
          </w:p>
          <w:p w:rsidR="00761B5C" w:rsidRDefault="00761B5C" w:rsidP="00F7554A">
            <w:pPr>
              <w:pStyle w:val="PullOutBoxBodyText"/>
              <w:keepNext/>
              <w:keepLines/>
              <w:rPr>
                <w:u w:val="single"/>
              </w:rPr>
            </w:pPr>
            <w:r w:rsidRPr="00C368DC">
              <w:rPr>
                <w:u w:val="single"/>
              </w:rPr>
              <w:t>Component</w:t>
            </w:r>
            <w:r>
              <w:rPr>
                <w:u w:val="single"/>
              </w:rPr>
              <w:t xml:space="preserve"> 5 - Domestic violence representation</w:t>
            </w:r>
          </w:p>
          <w:p w:rsidR="00761B5C" w:rsidRPr="0050479A" w:rsidRDefault="00761B5C" w:rsidP="00F7554A">
            <w:pPr>
              <w:pStyle w:val="PullOutBoxBodyText"/>
              <w:keepNext/>
              <w:keepLines/>
            </w:pPr>
            <w:r w:rsidRPr="007E254C">
              <w:t xml:space="preserve">This component would </w:t>
            </w:r>
            <w:r>
              <w:t xml:space="preserve">establish mechanisms to mitigate harm that would arise from unrepresented litigants (who are alleged to have engaged in domestic </w:t>
            </w:r>
            <w:r w:rsidRPr="0050479A">
              <w:t>violence) cross-examining their victims in Family Court proceedings.</w:t>
            </w:r>
          </w:p>
          <w:p w:rsidR="00761B5C" w:rsidRPr="007E254C" w:rsidRDefault="00761B5C" w:rsidP="00F7554A">
            <w:pPr>
              <w:pStyle w:val="PullOutBoxBodyText"/>
              <w:keepNext/>
              <w:keepLines/>
            </w:pPr>
            <w:r w:rsidRPr="0050479A">
              <w:t xml:space="preserve">The </w:t>
            </w:r>
            <w:r w:rsidRPr="001C41BB">
              <w:rPr>
                <w:i/>
                <w:iCs/>
              </w:rPr>
              <w:t>Family Law Act</w:t>
            </w:r>
            <w:r w:rsidRPr="0050479A">
              <w:rPr>
                <w:i/>
                <w:iCs/>
              </w:rPr>
              <w:t xml:space="preserve"> 1975 </w:t>
            </w:r>
            <w:r w:rsidRPr="0050479A">
              <w:t xml:space="preserve">would be amended </w:t>
            </w:r>
            <w:r>
              <w:t>as follows:</w:t>
            </w:r>
          </w:p>
          <w:p w:rsidR="00761B5C" w:rsidRPr="0023379E" w:rsidRDefault="00761B5C" w:rsidP="00F7554A">
            <w:pPr>
              <w:pStyle w:val="PullOutBoxBullet"/>
              <w:keepNext/>
              <w:keepLines/>
            </w:pPr>
            <w:r>
              <w:t>To c</w:t>
            </w:r>
            <w:r w:rsidRPr="0050479A">
              <w:t xml:space="preserve">ompel a judge to consider, when </w:t>
            </w:r>
            <w:r>
              <w:t>domestic</w:t>
            </w:r>
            <w:r w:rsidRPr="0050479A">
              <w:t xml:space="preserve"> violence is alleged, whether any vulnerable witness should be protected during court proceedings under a range of mechanisms </w:t>
            </w:r>
            <w:r>
              <w:t xml:space="preserve">(ie video conferencing) </w:t>
            </w:r>
            <w:r w:rsidRPr="0050479A">
              <w:t xml:space="preserve">that are available under the </w:t>
            </w:r>
            <w:r w:rsidRPr="005745EB">
              <w:rPr>
                <w:i/>
                <w:iCs/>
              </w:rPr>
              <w:t>Family Law Act 1975</w:t>
            </w:r>
            <w:r>
              <w:rPr>
                <w:i/>
                <w:iCs/>
              </w:rPr>
              <w:t xml:space="preserve"> </w:t>
            </w:r>
            <w:r w:rsidRPr="008D0CDB">
              <w:rPr>
                <w:iCs/>
              </w:rPr>
              <w:t>using existing resources and facilities</w:t>
            </w:r>
            <w:r w:rsidRPr="005745EB">
              <w:rPr>
                <w:iCs/>
              </w:rPr>
              <w:t>.</w:t>
            </w:r>
          </w:p>
          <w:p w:rsidR="00761B5C" w:rsidRDefault="00761B5C" w:rsidP="00F7554A">
            <w:pPr>
              <w:pStyle w:val="PullOutBoxBullet"/>
              <w:keepNext/>
              <w:keepLines/>
            </w:pPr>
            <w:r>
              <w:t>I</w:t>
            </w:r>
            <w:r w:rsidRPr="0050479A">
              <w:t xml:space="preserve">f the judge believes that the available mechanisms under the </w:t>
            </w:r>
            <w:r w:rsidRPr="00F72F21">
              <w:rPr>
                <w:i/>
                <w:iCs/>
              </w:rPr>
              <w:t xml:space="preserve">Family Law Act 1975 </w:t>
            </w:r>
            <w:r w:rsidRPr="0050479A">
              <w:t>are insufficient to protect a vulnerable witness, empower the judge to direct that all unrepresented litigants in the matter be represented by Legal Aid.</w:t>
            </w:r>
          </w:p>
          <w:p w:rsidR="00761B5C" w:rsidRDefault="00761B5C" w:rsidP="00F7554A">
            <w:pPr>
              <w:pStyle w:val="PullOutBoxBodyText"/>
              <w:keepNext/>
              <w:keepLines/>
            </w:pPr>
            <w:r w:rsidRPr="0050479A">
              <w:t>The courts this would apply to would be the Family Court, the Federal Circuit Court, and the Family Court of Western Australia</w:t>
            </w:r>
            <w:r>
              <w:t xml:space="preserve"> (Family Law Courts)</w:t>
            </w:r>
            <w:r w:rsidRPr="0050479A">
              <w:t>.</w:t>
            </w:r>
          </w:p>
          <w:p w:rsidR="00761B5C" w:rsidRPr="001D3A36" w:rsidRDefault="00761B5C" w:rsidP="00F7554A">
            <w:pPr>
              <w:pStyle w:val="PullOutBoxBodyText"/>
            </w:pPr>
            <w:r>
              <w:t>Component 3 of this proposal would have effect from 1 September 2016.  All other components of this proposal would have effect from 1 July 2017.</w:t>
            </w:r>
          </w:p>
        </w:tc>
      </w:tr>
      <w:tr w:rsidR="00761B5C" w:rsidRPr="00B45F94" w:rsidTr="00F7554A">
        <w:tc>
          <w:tcPr>
            <w:tcW w:w="1809" w:type="pct"/>
          </w:tcPr>
          <w:p w:rsidR="00761B5C" w:rsidRPr="00B45F94" w:rsidRDefault="00761B5C" w:rsidP="00F7554A">
            <w:pPr>
              <w:pStyle w:val="PullOutBoxBodyText"/>
            </w:pPr>
            <w:r>
              <w:t>Party:</w:t>
            </w:r>
          </w:p>
        </w:tc>
        <w:tc>
          <w:tcPr>
            <w:tcW w:w="3191" w:type="pct"/>
          </w:tcPr>
          <w:p w:rsidR="00761B5C" w:rsidRPr="00B45F94" w:rsidRDefault="00761B5C" w:rsidP="00F7554A">
            <w:pPr>
              <w:pStyle w:val="PullOutBoxBodyText"/>
              <w:keepNext/>
              <w:keepLines/>
            </w:pPr>
            <w:r>
              <w:t>Australian Labor Party</w:t>
            </w:r>
          </w:p>
        </w:tc>
      </w:tr>
      <w:tr w:rsidR="00761B5C" w:rsidRPr="00B45F94" w:rsidTr="00F7554A">
        <w:tc>
          <w:tcPr>
            <w:tcW w:w="1809" w:type="pct"/>
          </w:tcPr>
          <w:p w:rsidR="00761B5C" w:rsidRPr="00B45F94" w:rsidRDefault="00761B5C" w:rsidP="00F7554A">
            <w:pPr>
              <w:pStyle w:val="PullOutBoxBodyText"/>
            </w:pPr>
            <w:r w:rsidRPr="00B45F94">
              <w:t>Expiry date for the costing:</w:t>
            </w:r>
          </w:p>
        </w:tc>
        <w:tc>
          <w:tcPr>
            <w:tcW w:w="3191" w:type="pct"/>
          </w:tcPr>
          <w:p w:rsidR="00761B5C" w:rsidRPr="00B45F94" w:rsidRDefault="00761B5C" w:rsidP="00F7554A">
            <w:pPr>
              <w:pStyle w:val="PullOutBoxBodyText"/>
              <w:keepNext/>
              <w:keepLines/>
            </w:pPr>
            <w:r>
              <w:t>Release of the next economic and fiscal update</w:t>
            </w:r>
          </w:p>
        </w:tc>
      </w:tr>
    </w:tbl>
    <w:p w:rsidR="00761B5C" w:rsidRDefault="00761B5C" w:rsidP="00761B5C">
      <w:pPr>
        <w:pStyle w:val="CostingsH7"/>
      </w:pPr>
      <w:r w:rsidRPr="00BF1EE6">
        <w:t>Costing overview</w:t>
      </w:r>
    </w:p>
    <w:p w:rsidR="00761B5C" w:rsidRDefault="00896AB0" w:rsidP="00761B5C">
      <w:pPr>
        <w:pStyle w:val="BodyText"/>
      </w:pPr>
      <w:r>
        <w:t>This proposal would be expected to decrease the fiscal and underlying cash balances by</w:t>
      </w:r>
      <w:r w:rsidR="00785079">
        <w:t xml:space="preserve"> </w:t>
      </w:r>
      <w:r w:rsidR="00761B5C">
        <w:t>$52.6 million over the 2016-17 Budget forward estimates period.  This reflects an increase in administered expenses of $46.9 million and departmental expenses of $5.8 million.</w:t>
      </w:r>
    </w:p>
    <w:p w:rsidR="00761B5C" w:rsidRPr="00C70116" w:rsidRDefault="00761B5C" w:rsidP="00761B5C">
      <w:pPr>
        <w:pStyle w:val="BodyText"/>
      </w:pPr>
      <w:r>
        <w:t>Components  3 and 4 would not have an impact beyond the 2016-17 Budget forward estimates period as they have a fixed period of funding or reflect a one-off change to legislation.  All other components would have an ongoing impact beyond the 2016</w:t>
      </w:r>
      <w:r>
        <w:noBreakHyphen/>
        <w:t xml:space="preserve">17 Budget forward estimates period with the annual budget impact in 2020-21 expected to be $17.2 million growing in line with applicable indexation parameters.  A breakdown of the financial implications by component is provided at </w:t>
      </w:r>
      <w:r w:rsidRPr="00C70116">
        <w:rPr>
          <w:u w:val="single"/>
        </w:rPr>
        <w:t>Attachment A</w:t>
      </w:r>
      <w:r>
        <w:t>.</w:t>
      </w:r>
    </w:p>
    <w:p w:rsidR="00761B5C" w:rsidRDefault="00761B5C" w:rsidP="00761B5C">
      <w:pPr>
        <w:pStyle w:val="Caption"/>
        <w:rPr>
          <w:vertAlign w:val="superscript"/>
        </w:rPr>
      </w:pPr>
      <w:r w:rsidRPr="00D264E1">
        <w:t xml:space="preserve">Table </w:t>
      </w:r>
      <w:r>
        <w:t>1</w:t>
      </w:r>
      <w:r w:rsidRPr="00D264E1">
        <w:t xml:space="preserve">: </w:t>
      </w:r>
      <w:r>
        <w:t>Financial implications (outturn prices)</w:t>
      </w:r>
      <w:r w:rsidRPr="00D264E1">
        <w:rPr>
          <w:vertAlign w:val="superscript"/>
        </w:rPr>
        <w:t>(a)(b)</w:t>
      </w:r>
    </w:p>
    <w:tbl>
      <w:tblPr>
        <w:tblStyle w:val="Style1"/>
        <w:tblW w:w="5000" w:type="pct"/>
        <w:tblLook w:val="06A0" w:firstRow="1" w:lastRow="0" w:firstColumn="1" w:lastColumn="0" w:noHBand="1" w:noVBand="1"/>
      </w:tblPr>
      <w:tblGrid>
        <w:gridCol w:w="2376"/>
        <w:gridCol w:w="1230"/>
        <w:gridCol w:w="1230"/>
        <w:gridCol w:w="1231"/>
        <w:gridCol w:w="1230"/>
        <w:gridCol w:w="1231"/>
      </w:tblGrid>
      <w:tr w:rsidR="00761B5C" w:rsidRPr="00D264E1" w:rsidTr="00F7554A">
        <w:trPr>
          <w:cnfStyle w:val="100000000000" w:firstRow="1" w:lastRow="0" w:firstColumn="0" w:lastColumn="0" w:oddVBand="0" w:evenVBand="0" w:oddHBand="0" w:evenHBand="0" w:firstRowFirstColumn="0" w:firstRowLastColumn="0" w:lastRowFirstColumn="0" w:lastRowLastColumn="0"/>
        </w:trPr>
        <w:tc>
          <w:tcPr>
            <w:tcW w:w="1393" w:type="pct"/>
          </w:tcPr>
          <w:p w:rsidR="00761B5C" w:rsidRPr="00D264E1" w:rsidRDefault="00761B5C" w:rsidP="00F7554A">
            <w:pPr>
              <w:pStyle w:val="TableHeading"/>
            </w:pPr>
            <w:r>
              <w:t>Impact on ($m)</w:t>
            </w:r>
          </w:p>
        </w:tc>
        <w:tc>
          <w:tcPr>
            <w:tcW w:w="721" w:type="pct"/>
          </w:tcPr>
          <w:p w:rsidR="00761B5C" w:rsidRPr="00FC1F1C" w:rsidRDefault="00761B5C" w:rsidP="00F7554A">
            <w:pPr>
              <w:pStyle w:val="TableHeadingRight"/>
            </w:pPr>
            <w:r>
              <w:t>2016–17</w:t>
            </w:r>
          </w:p>
        </w:tc>
        <w:tc>
          <w:tcPr>
            <w:tcW w:w="721" w:type="pct"/>
          </w:tcPr>
          <w:p w:rsidR="00761B5C" w:rsidRPr="00FC1F1C" w:rsidRDefault="00761B5C" w:rsidP="00F7554A">
            <w:pPr>
              <w:pStyle w:val="TableHeadingRight"/>
            </w:pPr>
            <w:r>
              <w:t>2017–18</w:t>
            </w:r>
          </w:p>
        </w:tc>
        <w:tc>
          <w:tcPr>
            <w:tcW w:w="722" w:type="pct"/>
          </w:tcPr>
          <w:p w:rsidR="00761B5C" w:rsidRPr="00FC1F1C" w:rsidRDefault="00761B5C" w:rsidP="00F7554A">
            <w:pPr>
              <w:pStyle w:val="TableHeadingRight"/>
            </w:pPr>
            <w:r>
              <w:t>2018–19</w:t>
            </w:r>
          </w:p>
        </w:tc>
        <w:tc>
          <w:tcPr>
            <w:tcW w:w="721" w:type="pct"/>
          </w:tcPr>
          <w:p w:rsidR="00761B5C" w:rsidRPr="00FC1F1C" w:rsidRDefault="00761B5C" w:rsidP="00F7554A">
            <w:pPr>
              <w:pStyle w:val="TableHeadingRight"/>
            </w:pPr>
            <w:r>
              <w:t>2019–20</w:t>
            </w:r>
          </w:p>
        </w:tc>
        <w:tc>
          <w:tcPr>
            <w:tcW w:w="722" w:type="pct"/>
          </w:tcPr>
          <w:p w:rsidR="00761B5C" w:rsidRPr="00C70116" w:rsidRDefault="00761B5C" w:rsidP="00F7554A">
            <w:pPr>
              <w:pStyle w:val="TableHeadingRight"/>
              <w:rPr>
                <w:b/>
              </w:rPr>
            </w:pPr>
            <w:r w:rsidRPr="00C70116">
              <w:t>Total</w:t>
            </w:r>
          </w:p>
        </w:tc>
      </w:tr>
      <w:tr w:rsidR="00761B5C" w:rsidTr="00F7554A">
        <w:tc>
          <w:tcPr>
            <w:tcW w:w="1393" w:type="pct"/>
          </w:tcPr>
          <w:p w:rsidR="00761B5C" w:rsidRDefault="00761B5C" w:rsidP="00F7554A">
            <w:pPr>
              <w:pStyle w:val="TableText"/>
            </w:pPr>
            <w:r>
              <w:t>Fiscal balance</w:t>
            </w:r>
          </w:p>
        </w:tc>
        <w:tc>
          <w:tcPr>
            <w:tcW w:w="721" w:type="pct"/>
            <w:vAlign w:val="center"/>
          </w:tcPr>
          <w:p w:rsidR="00761B5C" w:rsidRDefault="00761B5C" w:rsidP="00F7554A">
            <w:pPr>
              <w:pStyle w:val="TableTextRight"/>
            </w:pPr>
            <w:r>
              <w:rPr>
                <w:noProof/>
              </w:rPr>
              <w:t>-0.3</w:t>
            </w:r>
          </w:p>
        </w:tc>
        <w:tc>
          <w:tcPr>
            <w:tcW w:w="721" w:type="pct"/>
            <w:vAlign w:val="center"/>
          </w:tcPr>
          <w:p w:rsidR="00761B5C" w:rsidRDefault="00761B5C" w:rsidP="00F7554A">
            <w:pPr>
              <w:pStyle w:val="TableTextRight"/>
            </w:pPr>
            <w:r>
              <w:rPr>
                <w:noProof/>
              </w:rPr>
              <w:t>-17.0</w:t>
            </w:r>
          </w:p>
        </w:tc>
        <w:tc>
          <w:tcPr>
            <w:tcW w:w="722" w:type="pct"/>
            <w:vAlign w:val="center"/>
          </w:tcPr>
          <w:p w:rsidR="00761B5C" w:rsidRDefault="00761B5C" w:rsidP="00F7554A">
            <w:pPr>
              <w:pStyle w:val="TableTextRight"/>
            </w:pPr>
            <w:r>
              <w:rPr>
                <w:noProof/>
              </w:rPr>
              <w:t>-17.5</w:t>
            </w:r>
          </w:p>
        </w:tc>
        <w:tc>
          <w:tcPr>
            <w:tcW w:w="721" w:type="pct"/>
            <w:vAlign w:val="center"/>
          </w:tcPr>
          <w:p w:rsidR="00761B5C" w:rsidRDefault="00761B5C" w:rsidP="00F7554A">
            <w:pPr>
              <w:pStyle w:val="TableTextRight"/>
            </w:pPr>
            <w:r>
              <w:rPr>
                <w:noProof/>
              </w:rPr>
              <w:t>-18.0</w:t>
            </w:r>
          </w:p>
        </w:tc>
        <w:tc>
          <w:tcPr>
            <w:tcW w:w="722" w:type="pct"/>
            <w:vAlign w:val="center"/>
          </w:tcPr>
          <w:p w:rsidR="00761B5C" w:rsidRPr="00C70116" w:rsidRDefault="00761B5C" w:rsidP="00F7554A">
            <w:pPr>
              <w:pStyle w:val="TableTextRight"/>
              <w:rPr>
                <w:b/>
              </w:rPr>
            </w:pPr>
            <w:r w:rsidRPr="00C70116">
              <w:rPr>
                <w:b/>
                <w:noProof/>
              </w:rPr>
              <w:t>-52.6</w:t>
            </w:r>
          </w:p>
        </w:tc>
      </w:tr>
      <w:tr w:rsidR="00761B5C" w:rsidTr="00F7554A">
        <w:tc>
          <w:tcPr>
            <w:tcW w:w="1393" w:type="pct"/>
          </w:tcPr>
          <w:p w:rsidR="00761B5C" w:rsidRDefault="00761B5C" w:rsidP="00F7554A">
            <w:pPr>
              <w:pStyle w:val="TableText"/>
            </w:pPr>
            <w:r>
              <w:t>Underlying cash balance</w:t>
            </w:r>
          </w:p>
        </w:tc>
        <w:tc>
          <w:tcPr>
            <w:tcW w:w="721" w:type="pct"/>
            <w:vAlign w:val="center"/>
          </w:tcPr>
          <w:p w:rsidR="00761B5C" w:rsidRDefault="00761B5C" w:rsidP="00F7554A">
            <w:pPr>
              <w:pStyle w:val="TableTextRight"/>
            </w:pPr>
            <w:r>
              <w:rPr>
                <w:noProof/>
              </w:rPr>
              <w:t>-0.3</w:t>
            </w:r>
          </w:p>
        </w:tc>
        <w:tc>
          <w:tcPr>
            <w:tcW w:w="721" w:type="pct"/>
            <w:vAlign w:val="center"/>
          </w:tcPr>
          <w:p w:rsidR="00761B5C" w:rsidRDefault="00761B5C" w:rsidP="00F7554A">
            <w:pPr>
              <w:pStyle w:val="TableTextRight"/>
            </w:pPr>
            <w:r>
              <w:rPr>
                <w:noProof/>
              </w:rPr>
              <w:t>-17.0</w:t>
            </w:r>
          </w:p>
        </w:tc>
        <w:tc>
          <w:tcPr>
            <w:tcW w:w="722" w:type="pct"/>
            <w:vAlign w:val="center"/>
          </w:tcPr>
          <w:p w:rsidR="00761B5C" w:rsidRDefault="00761B5C" w:rsidP="00F7554A">
            <w:pPr>
              <w:pStyle w:val="TableTextRight"/>
            </w:pPr>
            <w:r>
              <w:rPr>
                <w:noProof/>
              </w:rPr>
              <w:t>-17.5</w:t>
            </w:r>
          </w:p>
        </w:tc>
        <w:tc>
          <w:tcPr>
            <w:tcW w:w="721" w:type="pct"/>
            <w:vAlign w:val="center"/>
          </w:tcPr>
          <w:p w:rsidR="00761B5C" w:rsidRDefault="00761B5C" w:rsidP="00F7554A">
            <w:pPr>
              <w:pStyle w:val="TableTextRight"/>
            </w:pPr>
            <w:r>
              <w:rPr>
                <w:noProof/>
              </w:rPr>
              <w:t>-18.0</w:t>
            </w:r>
          </w:p>
        </w:tc>
        <w:tc>
          <w:tcPr>
            <w:tcW w:w="722" w:type="pct"/>
            <w:vAlign w:val="center"/>
          </w:tcPr>
          <w:p w:rsidR="00761B5C" w:rsidRPr="00C70116" w:rsidRDefault="00761B5C" w:rsidP="00F7554A">
            <w:pPr>
              <w:pStyle w:val="TableTextRight"/>
              <w:rPr>
                <w:b/>
              </w:rPr>
            </w:pPr>
            <w:r w:rsidRPr="00C70116">
              <w:rPr>
                <w:b/>
                <w:noProof/>
              </w:rPr>
              <w:t>-52.6</w:t>
            </w:r>
          </w:p>
        </w:tc>
      </w:tr>
    </w:tbl>
    <w:p w:rsidR="00761B5C" w:rsidRDefault="00761B5C" w:rsidP="002C43F8">
      <w:pPr>
        <w:pStyle w:val="Footnotes"/>
        <w:numPr>
          <w:ilvl w:val="0"/>
          <w:numId w:val="112"/>
        </w:numPr>
        <w:ind w:left="284" w:hanging="284"/>
      </w:pPr>
      <w:r>
        <w:t xml:space="preserve">A positive </w:t>
      </w:r>
      <w:r w:rsidRPr="00FC1F1C">
        <w:t>number indicates an increase in the relevant budget balance, a negative number a decrease.</w:t>
      </w:r>
    </w:p>
    <w:p w:rsidR="00761B5C" w:rsidRPr="000E063A" w:rsidRDefault="00761B5C" w:rsidP="00896AB0">
      <w:pPr>
        <w:pStyle w:val="Footnotes"/>
        <w:ind w:left="284" w:hanging="284"/>
        <w:rPr>
          <w:rStyle w:val="FootnoteReference"/>
          <w:vertAlign w:val="baseline"/>
        </w:rPr>
      </w:pPr>
      <w:r w:rsidRPr="000E063A">
        <w:t>Figures may not sum to totals due to rounding.</w:t>
      </w:r>
    </w:p>
    <w:p w:rsidR="00761B5C" w:rsidRDefault="00761B5C" w:rsidP="00761B5C">
      <w:pPr>
        <w:pStyle w:val="CostingsH7"/>
      </w:pPr>
      <w:r>
        <w:t>Key assumptions</w:t>
      </w:r>
    </w:p>
    <w:p w:rsidR="00761B5C" w:rsidRDefault="00761B5C" w:rsidP="00761B5C">
      <w:pPr>
        <w:pStyle w:val="BodyText"/>
      </w:pPr>
      <w:r>
        <w:t>In costing this proposal it has been assumed that:</w:t>
      </w:r>
    </w:p>
    <w:p w:rsidR="00761B5C" w:rsidRDefault="00761B5C" w:rsidP="00761B5C">
      <w:pPr>
        <w:pStyle w:val="ListBullet"/>
      </w:pPr>
      <w:r>
        <w:t>each judge employed under Component 1 would be provided with support staff</w:t>
      </w:r>
    </w:p>
    <w:p w:rsidR="00761B5C" w:rsidRDefault="00761B5C" w:rsidP="00761B5C">
      <w:pPr>
        <w:pStyle w:val="ListBullet"/>
      </w:pPr>
      <w:r>
        <w:t>the introduction of legislation under Component 3 would take place in 2016-17</w:t>
      </w:r>
    </w:p>
    <w:p w:rsidR="00761B5C" w:rsidRPr="00C70116" w:rsidRDefault="00761B5C" w:rsidP="00761B5C">
      <w:pPr>
        <w:pStyle w:val="ListBullet"/>
      </w:pPr>
      <w:r>
        <w:t>the prevalence of judges directing unrepresented litigants to be represented by Legal Aid under Component 5 would be 15 per cent of all domestic violence cases with unrepresented litigants.</w:t>
      </w:r>
    </w:p>
    <w:p w:rsidR="00761B5C" w:rsidRDefault="00761B5C" w:rsidP="00761B5C">
      <w:pPr>
        <w:pStyle w:val="CostingsH7"/>
      </w:pPr>
      <w:r>
        <w:t>Methodology</w:t>
      </w:r>
    </w:p>
    <w:p w:rsidR="00761B5C" w:rsidRDefault="00761B5C" w:rsidP="00761B5C">
      <w:pPr>
        <w:pStyle w:val="CostingsH8"/>
      </w:pPr>
      <w:r>
        <w:t>Component 1 - Additional Family Court judges</w:t>
      </w:r>
    </w:p>
    <w:p w:rsidR="00761B5C" w:rsidRDefault="00761B5C" w:rsidP="00761B5C">
      <w:pPr>
        <w:pStyle w:val="BodyText"/>
      </w:pPr>
      <w:r>
        <w:t xml:space="preserve">Base salary for the three new Federal Circuit Court judges was based on </w:t>
      </w:r>
      <w:r w:rsidRPr="00C70116">
        <w:rPr>
          <w:i/>
        </w:rPr>
        <w:t>Determination 2015/10: Judicial and Related Offices – Remuneration and Allowances</w:t>
      </w:r>
      <w:r>
        <w:t>.</w:t>
      </w:r>
    </w:p>
    <w:p w:rsidR="00761B5C" w:rsidRDefault="00761B5C" w:rsidP="00761B5C">
      <w:pPr>
        <w:pStyle w:val="CostingsH8"/>
      </w:pPr>
      <w:r>
        <w:t>Component 2 - Statement to Parliament</w:t>
      </w:r>
    </w:p>
    <w:p w:rsidR="00761B5C" w:rsidRDefault="00761B5C" w:rsidP="00761B5C">
      <w:pPr>
        <w:pStyle w:val="BodyText"/>
      </w:pPr>
      <w:r>
        <w:t>The impact of this component on departmental expenditure was derived based on the expected additional administrative activities required to prepare the annual report for the statement to parliament.</w:t>
      </w:r>
    </w:p>
    <w:p w:rsidR="00761B5C" w:rsidRDefault="00761B5C" w:rsidP="00761B5C">
      <w:pPr>
        <w:pStyle w:val="CostingsH8"/>
      </w:pPr>
      <w:r>
        <w:t xml:space="preserve">Component 3 - Tackling online victimisation </w:t>
      </w:r>
    </w:p>
    <w:p w:rsidR="00761B5C" w:rsidRDefault="00761B5C" w:rsidP="00761B5C">
      <w:pPr>
        <w:pStyle w:val="BodyText"/>
      </w:pPr>
      <w:r>
        <w:t>The impact of this component on departmental expenditure was derived based on the expected additional administrative activities required in 2016-17 to prepare the legislative changes required for the new offences.</w:t>
      </w:r>
    </w:p>
    <w:p w:rsidR="00761B5C" w:rsidRDefault="00761B5C" w:rsidP="00761B5C">
      <w:pPr>
        <w:pStyle w:val="CostingsH8"/>
      </w:pPr>
      <w:r>
        <w:t>Component 4 - Support for women from culturally and linguistically diverse backgrounds, and for women on visas</w:t>
      </w:r>
    </w:p>
    <w:p w:rsidR="00761B5C" w:rsidRDefault="00761B5C" w:rsidP="00761B5C">
      <w:pPr>
        <w:pStyle w:val="BodyText"/>
      </w:pPr>
      <w:r>
        <w:t>Departmental expenditure estimates are accommodated within the capped funding amounts.  These estimates are based on other like programs and the estimates account for the net effect of indexation parameters and the efficiency dividend, in accordance with the Department of Finance’s costing practices.</w:t>
      </w:r>
    </w:p>
    <w:p w:rsidR="00761B5C" w:rsidRDefault="00761B5C" w:rsidP="00761B5C">
      <w:pPr>
        <w:pStyle w:val="BodyText"/>
      </w:pPr>
      <w:r>
        <w:t>Administered expenditure estimates are the remainder of the capped funding amounts after allowing for the estimated departmental expenditure.</w:t>
      </w:r>
    </w:p>
    <w:p w:rsidR="00761B5C" w:rsidRDefault="00761B5C" w:rsidP="00761B5C">
      <w:pPr>
        <w:pStyle w:val="CostingsH8"/>
      </w:pPr>
      <w:r>
        <w:t>Component 5 - Domestic violence representation</w:t>
      </w:r>
    </w:p>
    <w:p w:rsidR="00761B5C" w:rsidRPr="00C70116" w:rsidRDefault="00761B5C" w:rsidP="00761B5C">
      <w:pPr>
        <w:pStyle w:val="BodyText"/>
      </w:pPr>
      <w:r>
        <w:t>Legal Aid expenses were calculated by forecasting the number of domestic violence cases with unrepresented litigants from the 2012-13 levels provided by the Attorney General’s Department, grown by the average growth rate of family law cases in the Federal Circuit Court</w:t>
      </w:r>
      <w:r w:rsidRPr="00E53973">
        <w:rPr>
          <w:rStyle w:val="FootnoteReference"/>
        </w:rPr>
        <w:footnoteReference w:id="27"/>
      </w:r>
      <w:r>
        <w:t xml:space="preserve"> over the last five years.  The total cost was calculated by using the assumed percentage of domestic violence cases with unrepresented litigants that would require the judge to direct all unrepresented litigants in the matter be represented by Legal Aid, multiplied by the unit cap price of Legal Aid which is grown by the Consumer Price Index.</w:t>
      </w:r>
    </w:p>
    <w:p w:rsidR="00761B5C" w:rsidRDefault="00761B5C" w:rsidP="00761B5C">
      <w:pPr>
        <w:pStyle w:val="CostingsH7"/>
      </w:pPr>
      <w:r>
        <w:t>Data sources</w:t>
      </w:r>
    </w:p>
    <w:p w:rsidR="00761B5C" w:rsidRDefault="00761B5C" w:rsidP="00761B5C">
      <w:pPr>
        <w:pStyle w:val="BodyText"/>
        <w:keepNext/>
        <w:keepLines/>
      </w:pPr>
      <w:r>
        <w:t>The Attorney-General’s Department provided:</w:t>
      </w:r>
    </w:p>
    <w:p w:rsidR="00761B5C" w:rsidRDefault="00761B5C" w:rsidP="00761B5C">
      <w:pPr>
        <w:pStyle w:val="ListBullet"/>
        <w:keepNext/>
      </w:pPr>
      <w:r>
        <w:t xml:space="preserve">the estimated number of self-representing litigants at cases involving allegations of domestic violence </w:t>
      </w:r>
    </w:p>
    <w:p w:rsidR="00761B5C" w:rsidRDefault="00761B5C" w:rsidP="00761B5C">
      <w:pPr>
        <w:pStyle w:val="ListBullet"/>
        <w:keepNext/>
      </w:pPr>
      <w:r>
        <w:t>the unit cost of a legal aid grant in family law matters.</w:t>
      </w:r>
    </w:p>
    <w:p w:rsidR="00761B5C" w:rsidRDefault="00761B5C" w:rsidP="00761B5C">
      <w:pPr>
        <w:pStyle w:val="BodyText"/>
      </w:pPr>
      <w:r>
        <w:t>Department of Finance provided indexation and efficiency dividend parameters.</w:t>
      </w:r>
    </w:p>
    <w:p w:rsidR="00761B5C" w:rsidRDefault="00761B5C" w:rsidP="00085CBF">
      <w:pPr>
        <w:pStyle w:val="BodyText"/>
        <w:keepNext/>
        <w:keepLines/>
      </w:pPr>
      <w:r>
        <w:t xml:space="preserve">Remuneration Tribunal 2015, </w:t>
      </w:r>
      <w:r w:rsidRPr="00F17B8F">
        <w:rPr>
          <w:i/>
        </w:rPr>
        <w:t>Determination 2015/10: Judicial and Related Offices – Remuneration and Allowances</w:t>
      </w:r>
      <w:r>
        <w:t xml:space="preserve">, available at: </w:t>
      </w:r>
      <w:hyperlink r:id="rId225" w:history="1">
        <w:r w:rsidRPr="002E6049">
          <w:rPr>
            <w:rStyle w:val="Hyperlink"/>
          </w:rPr>
          <w:t>http://remtribunal.gov.au/media/documents/2016/2015-determinations/2015-10-principal-determination-judicial-and-related-offices-remuneration-and-allowances/2015-10-Judicial-and-Related-Det-1-July-2015.pdf</w:t>
        </w:r>
      </w:hyperlink>
      <w:r>
        <w:t>.</w:t>
      </w:r>
    </w:p>
    <w:p w:rsidR="00761B5C" w:rsidRDefault="00761B5C" w:rsidP="00761B5C">
      <w:pPr>
        <w:pStyle w:val="BodyText"/>
      </w:pPr>
      <w:r>
        <w:t xml:space="preserve">Attorney-General’s Department 2012, </w:t>
      </w:r>
      <w:r>
        <w:rPr>
          <w:i/>
        </w:rPr>
        <w:t>Judicial Appointments: Ensuring a strong, independent and diverse judiciary through a transparent process</w:t>
      </w:r>
      <w:r w:rsidRPr="00831E31">
        <w:t>,</w:t>
      </w:r>
      <w:r>
        <w:t xml:space="preserve"> available at: </w:t>
      </w:r>
      <w:hyperlink r:id="rId226" w:history="1">
        <w:r w:rsidRPr="002E6049">
          <w:rPr>
            <w:rStyle w:val="Hyperlink"/>
          </w:rPr>
          <w:t>https://www.ag.gov.au/LegalSystem/Courts/Documents/JudicialApptsEnsuringastrongandindependentjudiciarythroughatransparentprocess.pdf</w:t>
        </w:r>
      </w:hyperlink>
      <w:r>
        <w:t>.</w:t>
      </w:r>
    </w:p>
    <w:p w:rsidR="00896AB0" w:rsidRDefault="00896AB0" w:rsidP="00761B5C">
      <w:pPr>
        <w:pStyle w:val="BodyText"/>
      </w:pPr>
    </w:p>
    <w:p w:rsidR="00896AB0" w:rsidRDefault="00896AB0" w:rsidP="00761B5C">
      <w:pPr>
        <w:pStyle w:val="BodyText"/>
        <w:sectPr w:rsidR="00896AB0" w:rsidSect="00085CBF">
          <w:headerReference w:type="even" r:id="rId227"/>
          <w:headerReference w:type="default" r:id="rId228"/>
          <w:footerReference w:type="even" r:id="rId229"/>
          <w:footerReference w:type="default" r:id="rId230"/>
          <w:footnotePr>
            <w:numRestart w:val="eachSect"/>
          </w:footnotePr>
          <w:pgSz w:w="11906" w:h="16838" w:code="9"/>
          <w:pgMar w:top="1361" w:right="1797" w:bottom="1474" w:left="1797" w:header="283" w:footer="454" w:gutter="0"/>
          <w:cols w:space="708"/>
          <w:docGrid w:linePitch="360"/>
        </w:sectPr>
      </w:pPr>
    </w:p>
    <w:p w:rsidR="00761B5C" w:rsidRDefault="00761B5C" w:rsidP="00761B5C">
      <w:pPr>
        <w:pStyle w:val="Heading6"/>
        <w:numPr>
          <w:ilvl w:val="0"/>
          <w:numId w:val="10"/>
        </w:numPr>
        <w:tabs>
          <w:tab w:val="right" w:pos="1418"/>
          <w:tab w:val="right" w:pos="1701"/>
          <w:tab w:val="right" w:pos="1985"/>
        </w:tabs>
        <w:spacing w:before="480"/>
      </w:pPr>
      <w:r>
        <w:t>Attachment A:</w:t>
      </w:r>
      <w:r w:rsidRPr="00831E31">
        <w:t xml:space="preserve"> </w:t>
      </w:r>
      <w:r w:rsidRPr="00E32AED">
        <w:t>Measures addressing Family Violence - Court reform</w:t>
      </w:r>
      <w:r>
        <w:t>—</w:t>
      </w:r>
      <w:r w:rsidR="0080154C">
        <w:t>financial implications</w:t>
      </w:r>
    </w:p>
    <w:p w:rsidR="00761B5C" w:rsidRDefault="00761B5C" w:rsidP="00761B5C">
      <w:pPr>
        <w:pStyle w:val="Caption"/>
      </w:pPr>
      <w:r w:rsidRPr="002B36F1">
        <w:t xml:space="preserve">Table </w:t>
      </w:r>
      <w:r>
        <w:t>A1</w:t>
      </w:r>
      <w:r w:rsidRPr="002B36F1">
        <w:t>:</w:t>
      </w:r>
      <w:r>
        <w:t xml:space="preserve"> </w:t>
      </w:r>
      <w:r w:rsidRPr="00E32AED">
        <w:t xml:space="preserve">Measures addressing Family Violence </w:t>
      </w:r>
      <w:r>
        <w:t xml:space="preserve">– </w:t>
      </w:r>
      <w:r w:rsidRPr="00E32AED">
        <w:t>Court reform</w:t>
      </w:r>
      <w:r>
        <w:t>—</w:t>
      </w:r>
      <w:r w:rsidR="0080154C">
        <w:t>Financial implications</w:t>
      </w:r>
      <w:r>
        <w:t xml:space="preserve"> (outturn prices)</w:t>
      </w:r>
      <w:r w:rsidRPr="002B36F1">
        <w:rPr>
          <w:vertAlign w:val="superscript"/>
        </w:rPr>
        <w:t>(a)(b)</w:t>
      </w:r>
    </w:p>
    <w:tbl>
      <w:tblPr>
        <w:tblStyle w:val="Style1"/>
        <w:tblW w:w="4994" w:type="pct"/>
        <w:tblLook w:val="06A0" w:firstRow="1" w:lastRow="0" w:firstColumn="1" w:lastColumn="0" w:noHBand="1" w:noVBand="1"/>
      </w:tblPr>
      <w:tblGrid>
        <w:gridCol w:w="2647"/>
        <w:gridCol w:w="1174"/>
        <w:gridCol w:w="1174"/>
        <w:gridCol w:w="1174"/>
        <w:gridCol w:w="1174"/>
        <w:gridCol w:w="1175"/>
      </w:tblGrid>
      <w:tr w:rsidR="00761B5C" w:rsidTr="00F7554A">
        <w:trPr>
          <w:cnfStyle w:val="100000000000" w:firstRow="1" w:lastRow="0" w:firstColumn="0" w:lastColumn="0" w:oddVBand="0" w:evenVBand="0" w:oddHBand="0" w:evenHBand="0" w:firstRowFirstColumn="0" w:firstRowLastColumn="0" w:lastRowFirstColumn="0" w:lastRowLastColumn="0"/>
        </w:trPr>
        <w:tc>
          <w:tcPr>
            <w:tcW w:w="1554" w:type="pct"/>
            <w:vAlign w:val="center"/>
          </w:tcPr>
          <w:p w:rsidR="00761B5C" w:rsidRPr="007C2713" w:rsidRDefault="00761B5C" w:rsidP="00F7554A">
            <w:pPr>
              <w:pStyle w:val="TableText"/>
              <w:rPr>
                <w:b w:val="0"/>
              </w:rPr>
            </w:pPr>
            <w:r>
              <w:t>($)</w:t>
            </w:r>
          </w:p>
        </w:tc>
        <w:tc>
          <w:tcPr>
            <w:tcW w:w="689" w:type="pct"/>
            <w:vAlign w:val="center"/>
          </w:tcPr>
          <w:p w:rsidR="00761B5C" w:rsidRDefault="00761B5C" w:rsidP="00F7554A">
            <w:pPr>
              <w:pStyle w:val="TableTextRight"/>
              <w:rPr>
                <w:b w:val="0"/>
              </w:rPr>
            </w:pPr>
            <w:r>
              <w:t>2016–17</w:t>
            </w:r>
          </w:p>
        </w:tc>
        <w:tc>
          <w:tcPr>
            <w:tcW w:w="689" w:type="pct"/>
            <w:vAlign w:val="center"/>
          </w:tcPr>
          <w:p w:rsidR="00761B5C" w:rsidRDefault="00761B5C" w:rsidP="00F7554A">
            <w:pPr>
              <w:pStyle w:val="TableTextRight"/>
              <w:rPr>
                <w:b w:val="0"/>
              </w:rPr>
            </w:pPr>
            <w:r>
              <w:t>2017–18</w:t>
            </w:r>
          </w:p>
        </w:tc>
        <w:tc>
          <w:tcPr>
            <w:tcW w:w="689" w:type="pct"/>
            <w:vAlign w:val="center"/>
          </w:tcPr>
          <w:p w:rsidR="00761B5C" w:rsidRDefault="00761B5C" w:rsidP="00F7554A">
            <w:pPr>
              <w:pStyle w:val="TableTextRight"/>
              <w:rPr>
                <w:b w:val="0"/>
              </w:rPr>
            </w:pPr>
            <w:r>
              <w:t>2018–19</w:t>
            </w:r>
          </w:p>
        </w:tc>
        <w:tc>
          <w:tcPr>
            <w:tcW w:w="689" w:type="pct"/>
            <w:vAlign w:val="center"/>
          </w:tcPr>
          <w:p w:rsidR="00761B5C" w:rsidRDefault="00761B5C" w:rsidP="00F7554A">
            <w:pPr>
              <w:pStyle w:val="TableTextRight"/>
              <w:rPr>
                <w:b w:val="0"/>
              </w:rPr>
            </w:pPr>
            <w:r>
              <w:t>2019–20</w:t>
            </w:r>
          </w:p>
        </w:tc>
        <w:tc>
          <w:tcPr>
            <w:tcW w:w="690" w:type="pct"/>
            <w:vAlign w:val="center"/>
          </w:tcPr>
          <w:p w:rsidR="00761B5C" w:rsidRDefault="00761B5C" w:rsidP="00F7554A">
            <w:pPr>
              <w:pStyle w:val="TableTextRight"/>
            </w:pPr>
            <w:r>
              <w:t>Total to 2019–20</w:t>
            </w:r>
          </w:p>
        </w:tc>
      </w:tr>
      <w:tr w:rsidR="00761B5C" w:rsidTr="00F7554A">
        <w:tc>
          <w:tcPr>
            <w:tcW w:w="5000" w:type="pct"/>
            <w:gridSpan w:val="6"/>
            <w:shd w:val="clear" w:color="auto" w:fill="E9ECF3" w:themeFill="accent2" w:themeFillTint="33"/>
            <w:vAlign w:val="center"/>
          </w:tcPr>
          <w:p w:rsidR="00761B5C" w:rsidRDefault="00761B5C" w:rsidP="00F7554A">
            <w:pPr>
              <w:pStyle w:val="TableHeading"/>
            </w:pPr>
            <w:r>
              <w:t>Impact on the fiscal and underlying cash balances</w:t>
            </w:r>
          </w:p>
        </w:tc>
      </w:tr>
      <w:tr w:rsidR="00761B5C" w:rsidRPr="00831E31" w:rsidTr="00F7554A">
        <w:tc>
          <w:tcPr>
            <w:tcW w:w="5000" w:type="pct"/>
            <w:gridSpan w:val="6"/>
            <w:vAlign w:val="center"/>
          </w:tcPr>
          <w:p w:rsidR="00761B5C" w:rsidRPr="00831E31" w:rsidRDefault="00761B5C" w:rsidP="00F7554A">
            <w:pPr>
              <w:pStyle w:val="TableHeading"/>
            </w:pPr>
            <w:r w:rsidRPr="00831E31">
              <w:t>Administered</w:t>
            </w:r>
          </w:p>
        </w:tc>
      </w:tr>
      <w:tr w:rsidR="00761B5C" w:rsidTr="00F7554A">
        <w:tc>
          <w:tcPr>
            <w:tcW w:w="1554" w:type="pct"/>
            <w:vAlign w:val="center"/>
          </w:tcPr>
          <w:p w:rsidR="00761B5C" w:rsidRDefault="00761B5C" w:rsidP="00F7554A">
            <w:pPr>
              <w:pStyle w:val="TableText"/>
            </w:pPr>
            <w:r>
              <w:t>Component 4</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-1.2</w:t>
            </w:r>
          </w:p>
        </w:tc>
        <w:tc>
          <w:tcPr>
            <w:tcW w:w="689" w:type="pct"/>
            <w:vAlign w:val="center"/>
          </w:tcPr>
          <w:p w:rsidR="00761B5C" w:rsidRDefault="00761B5C" w:rsidP="00F7554A">
            <w:pPr>
              <w:pStyle w:val="TableTextRight"/>
              <w:rPr>
                <w:i/>
                <w:iCs/>
                <w:color w:val="000000"/>
                <w:szCs w:val="20"/>
              </w:rPr>
            </w:pPr>
            <w:r>
              <w:rPr>
                <w:i/>
                <w:iCs/>
                <w:color w:val="000000"/>
                <w:szCs w:val="20"/>
              </w:rPr>
              <w:t>-1.2</w:t>
            </w:r>
          </w:p>
        </w:tc>
        <w:tc>
          <w:tcPr>
            <w:tcW w:w="689" w:type="pct"/>
            <w:vAlign w:val="center"/>
          </w:tcPr>
          <w:p w:rsidR="00761B5C" w:rsidRDefault="00761B5C" w:rsidP="00F7554A">
            <w:pPr>
              <w:pStyle w:val="TableTextRight"/>
              <w:rPr>
                <w:i/>
                <w:iCs/>
                <w:color w:val="000000"/>
                <w:szCs w:val="20"/>
              </w:rPr>
            </w:pPr>
            <w:r>
              <w:rPr>
                <w:i/>
                <w:iCs/>
                <w:color w:val="000000"/>
                <w:szCs w:val="20"/>
              </w:rPr>
              <w:t>-1.2</w:t>
            </w:r>
          </w:p>
        </w:tc>
        <w:tc>
          <w:tcPr>
            <w:tcW w:w="690" w:type="pct"/>
            <w:vAlign w:val="center"/>
          </w:tcPr>
          <w:p w:rsidR="00761B5C" w:rsidRDefault="00761B5C" w:rsidP="00F7554A">
            <w:pPr>
              <w:pStyle w:val="TableTextRight"/>
              <w:rPr>
                <w:b/>
                <w:bCs/>
                <w:i/>
                <w:iCs/>
                <w:color w:val="000000"/>
                <w:szCs w:val="20"/>
              </w:rPr>
            </w:pPr>
            <w:r>
              <w:rPr>
                <w:b/>
                <w:bCs/>
                <w:i/>
                <w:iCs/>
                <w:color w:val="000000"/>
                <w:szCs w:val="20"/>
              </w:rPr>
              <w:t>-3.6</w:t>
            </w:r>
          </w:p>
        </w:tc>
      </w:tr>
      <w:tr w:rsidR="00761B5C" w:rsidTr="00F7554A">
        <w:tc>
          <w:tcPr>
            <w:tcW w:w="1554" w:type="pct"/>
            <w:vAlign w:val="center"/>
          </w:tcPr>
          <w:p w:rsidR="00761B5C" w:rsidRDefault="00761B5C" w:rsidP="00F7554A">
            <w:pPr>
              <w:pStyle w:val="TableText"/>
            </w:pPr>
            <w:r>
              <w:t>Component 5</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-13.9</w:t>
            </w:r>
          </w:p>
        </w:tc>
        <w:tc>
          <w:tcPr>
            <w:tcW w:w="689" w:type="pct"/>
            <w:vAlign w:val="center"/>
          </w:tcPr>
          <w:p w:rsidR="00761B5C" w:rsidRDefault="00761B5C" w:rsidP="00F7554A">
            <w:pPr>
              <w:pStyle w:val="TableTextRight"/>
              <w:rPr>
                <w:i/>
                <w:iCs/>
                <w:color w:val="000000"/>
                <w:szCs w:val="20"/>
              </w:rPr>
            </w:pPr>
            <w:r>
              <w:rPr>
                <w:i/>
                <w:iCs/>
                <w:color w:val="000000"/>
                <w:szCs w:val="20"/>
              </w:rPr>
              <w:t>-14.4</w:t>
            </w:r>
          </w:p>
        </w:tc>
        <w:tc>
          <w:tcPr>
            <w:tcW w:w="689" w:type="pct"/>
            <w:vAlign w:val="center"/>
          </w:tcPr>
          <w:p w:rsidR="00761B5C" w:rsidRDefault="00761B5C" w:rsidP="00F7554A">
            <w:pPr>
              <w:pStyle w:val="TableTextRight"/>
              <w:rPr>
                <w:i/>
                <w:iCs/>
                <w:color w:val="000000"/>
                <w:szCs w:val="20"/>
              </w:rPr>
            </w:pPr>
            <w:r>
              <w:rPr>
                <w:i/>
                <w:iCs/>
                <w:color w:val="000000"/>
                <w:szCs w:val="20"/>
              </w:rPr>
              <w:t>-14.9</w:t>
            </w:r>
          </w:p>
        </w:tc>
        <w:tc>
          <w:tcPr>
            <w:tcW w:w="690" w:type="pct"/>
            <w:vAlign w:val="center"/>
          </w:tcPr>
          <w:p w:rsidR="00761B5C" w:rsidRDefault="00761B5C" w:rsidP="00F7554A">
            <w:pPr>
              <w:pStyle w:val="TableTextRight"/>
              <w:rPr>
                <w:b/>
                <w:bCs/>
                <w:i/>
                <w:iCs/>
                <w:color w:val="000000"/>
                <w:szCs w:val="20"/>
              </w:rPr>
            </w:pPr>
            <w:r>
              <w:rPr>
                <w:b/>
                <w:bCs/>
                <w:i/>
                <w:iCs/>
                <w:color w:val="000000"/>
                <w:szCs w:val="20"/>
              </w:rPr>
              <w:t>-43.2</w:t>
            </w:r>
          </w:p>
        </w:tc>
      </w:tr>
      <w:tr w:rsidR="00761B5C" w:rsidTr="00F7554A">
        <w:tc>
          <w:tcPr>
            <w:tcW w:w="1554" w:type="pct"/>
            <w:shd w:val="clear" w:color="auto" w:fill="E9ECF3" w:themeFill="accent2" w:themeFillTint="33"/>
            <w:vAlign w:val="center"/>
          </w:tcPr>
          <w:p w:rsidR="00761B5C" w:rsidRDefault="00761B5C" w:rsidP="00F7554A">
            <w:pPr>
              <w:pStyle w:val="TableText"/>
            </w:pPr>
            <w:r>
              <w:t>Total administered</w:t>
            </w:r>
          </w:p>
        </w:tc>
        <w:tc>
          <w:tcPr>
            <w:tcW w:w="689" w:type="pct"/>
            <w:shd w:val="clear" w:color="auto" w:fill="E9ECF3" w:themeFill="accent2" w:themeFillTint="33"/>
            <w:vAlign w:val="center"/>
          </w:tcPr>
          <w:p w:rsidR="00761B5C" w:rsidRDefault="00761B5C" w:rsidP="00F7554A">
            <w:pPr>
              <w:pStyle w:val="TableTextRight"/>
              <w:rPr>
                <w:color w:val="000000"/>
                <w:szCs w:val="20"/>
              </w:rPr>
            </w:pPr>
            <w:r>
              <w:rPr>
                <w:color w:val="000000"/>
                <w:szCs w:val="20"/>
              </w:rPr>
              <w:t>-</w:t>
            </w:r>
          </w:p>
        </w:tc>
        <w:tc>
          <w:tcPr>
            <w:tcW w:w="689" w:type="pct"/>
            <w:shd w:val="clear" w:color="auto" w:fill="E9ECF3" w:themeFill="accent2" w:themeFillTint="33"/>
            <w:vAlign w:val="center"/>
          </w:tcPr>
          <w:p w:rsidR="00761B5C" w:rsidRDefault="00761B5C" w:rsidP="00F7554A">
            <w:pPr>
              <w:pStyle w:val="TableTextRight"/>
              <w:rPr>
                <w:color w:val="000000"/>
                <w:szCs w:val="20"/>
              </w:rPr>
            </w:pPr>
            <w:r>
              <w:rPr>
                <w:color w:val="000000"/>
                <w:szCs w:val="20"/>
              </w:rPr>
              <w:t>-15.1</w:t>
            </w:r>
          </w:p>
        </w:tc>
        <w:tc>
          <w:tcPr>
            <w:tcW w:w="689" w:type="pct"/>
            <w:shd w:val="clear" w:color="auto" w:fill="E9ECF3" w:themeFill="accent2" w:themeFillTint="33"/>
            <w:vAlign w:val="center"/>
          </w:tcPr>
          <w:p w:rsidR="00761B5C" w:rsidRDefault="00761B5C" w:rsidP="00F7554A">
            <w:pPr>
              <w:pStyle w:val="TableTextRight"/>
              <w:rPr>
                <w:color w:val="000000"/>
                <w:szCs w:val="20"/>
              </w:rPr>
            </w:pPr>
            <w:r>
              <w:rPr>
                <w:color w:val="000000"/>
                <w:szCs w:val="20"/>
              </w:rPr>
              <w:t>-15.6</w:t>
            </w:r>
          </w:p>
        </w:tc>
        <w:tc>
          <w:tcPr>
            <w:tcW w:w="689" w:type="pct"/>
            <w:shd w:val="clear" w:color="auto" w:fill="E9ECF3" w:themeFill="accent2" w:themeFillTint="33"/>
            <w:vAlign w:val="center"/>
          </w:tcPr>
          <w:p w:rsidR="00761B5C" w:rsidRDefault="00761B5C" w:rsidP="00F7554A">
            <w:pPr>
              <w:pStyle w:val="TableTextRight"/>
              <w:rPr>
                <w:color w:val="000000"/>
                <w:szCs w:val="20"/>
              </w:rPr>
            </w:pPr>
            <w:r>
              <w:rPr>
                <w:color w:val="000000"/>
                <w:szCs w:val="20"/>
              </w:rPr>
              <w:t>-16.1</w:t>
            </w:r>
          </w:p>
        </w:tc>
        <w:tc>
          <w:tcPr>
            <w:tcW w:w="690" w:type="pct"/>
            <w:shd w:val="clear" w:color="auto" w:fill="E9ECF3" w:themeFill="accent2" w:themeFillTint="33"/>
            <w:vAlign w:val="center"/>
          </w:tcPr>
          <w:p w:rsidR="00761B5C" w:rsidRDefault="00761B5C" w:rsidP="00F7554A">
            <w:pPr>
              <w:pStyle w:val="TableTextRight"/>
              <w:rPr>
                <w:b/>
                <w:bCs/>
                <w:color w:val="000000"/>
                <w:szCs w:val="20"/>
              </w:rPr>
            </w:pPr>
            <w:r>
              <w:rPr>
                <w:b/>
                <w:bCs/>
                <w:color w:val="000000"/>
                <w:szCs w:val="20"/>
              </w:rPr>
              <w:t>-46.9</w:t>
            </w:r>
          </w:p>
        </w:tc>
      </w:tr>
      <w:tr w:rsidR="00761B5C" w:rsidTr="00F7554A">
        <w:tc>
          <w:tcPr>
            <w:tcW w:w="5000" w:type="pct"/>
            <w:gridSpan w:val="6"/>
            <w:vAlign w:val="center"/>
          </w:tcPr>
          <w:p w:rsidR="00761B5C" w:rsidRDefault="00761B5C" w:rsidP="00F7554A">
            <w:pPr>
              <w:pStyle w:val="TableHeading"/>
              <w:rPr>
                <w:bCs/>
                <w:color w:val="000000"/>
                <w:szCs w:val="20"/>
              </w:rPr>
            </w:pPr>
            <w:r>
              <w:t>Departmental</w:t>
            </w:r>
            <w:r>
              <w:rPr>
                <w:bCs/>
                <w:color w:val="000000"/>
                <w:szCs w:val="20"/>
              </w:rPr>
              <w:t> </w:t>
            </w:r>
          </w:p>
        </w:tc>
      </w:tr>
      <w:tr w:rsidR="00761B5C" w:rsidTr="00F7554A">
        <w:tc>
          <w:tcPr>
            <w:tcW w:w="1554" w:type="pct"/>
            <w:vAlign w:val="center"/>
          </w:tcPr>
          <w:p w:rsidR="00761B5C" w:rsidRDefault="00761B5C" w:rsidP="00F7554A">
            <w:pPr>
              <w:pStyle w:val="TableText"/>
            </w:pPr>
            <w:r>
              <w:t>Component 1</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-1.4</w:t>
            </w:r>
          </w:p>
        </w:tc>
        <w:tc>
          <w:tcPr>
            <w:tcW w:w="689" w:type="pct"/>
            <w:vAlign w:val="center"/>
          </w:tcPr>
          <w:p w:rsidR="00761B5C" w:rsidRDefault="00761B5C" w:rsidP="00F7554A">
            <w:pPr>
              <w:pStyle w:val="TableTextRight"/>
              <w:rPr>
                <w:i/>
                <w:iCs/>
                <w:color w:val="000000"/>
                <w:szCs w:val="20"/>
              </w:rPr>
            </w:pPr>
            <w:r>
              <w:rPr>
                <w:i/>
                <w:iCs/>
                <w:color w:val="000000"/>
                <w:szCs w:val="20"/>
              </w:rPr>
              <w:t>-1.4</w:t>
            </w:r>
          </w:p>
        </w:tc>
        <w:tc>
          <w:tcPr>
            <w:tcW w:w="689" w:type="pct"/>
            <w:vAlign w:val="center"/>
          </w:tcPr>
          <w:p w:rsidR="00761B5C" w:rsidRDefault="00761B5C" w:rsidP="00F7554A">
            <w:pPr>
              <w:pStyle w:val="TableTextRight"/>
              <w:rPr>
                <w:i/>
                <w:iCs/>
                <w:color w:val="000000"/>
                <w:szCs w:val="20"/>
              </w:rPr>
            </w:pPr>
            <w:r>
              <w:rPr>
                <w:i/>
                <w:iCs/>
                <w:color w:val="000000"/>
                <w:szCs w:val="20"/>
              </w:rPr>
              <w:t>-1.4</w:t>
            </w:r>
          </w:p>
        </w:tc>
        <w:tc>
          <w:tcPr>
            <w:tcW w:w="690" w:type="pct"/>
            <w:vAlign w:val="center"/>
          </w:tcPr>
          <w:p w:rsidR="00761B5C" w:rsidRDefault="00761B5C" w:rsidP="00F7554A">
            <w:pPr>
              <w:pStyle w:val="TableTextRight"/>
              <w:rPr>
                <w:b/>
                <w:bCs/>
                <w:i/>
                <w:iCs/>
                <w:color w:val="000000"/>
                <w:szCs w:val="20"/>
              </w:rPr>
            </w:pPr>
            <w:r>
              <w:rPr>
                <w:b/>
                <w:bCs/>
                <w:i/>
                <w:iCs/>
                <w:color w:val="000000"/>
                <w:szCs w:val="20"/>
              </w:rPr>
              <w:t>-4.2</w:t>
            </w:r>
          </w:p>
        </w:tc>
      </w:tr>
      <w:tr w:rsidR="00761B5C" w:rsidTr="00F7554A">
        <w:tc>
          <w:tcPr>
            <w:tcW w:w="1554" w:type="pct"/>
            <w:vAlign w:val="center"/>
          </w:tcPr>
          <w:p w:rsidR="00761B5C" w:rsidRDefault="00761B5C" w:rsidP="00F7554A">
            <w:pPr>
              <w:pStyle w:val="TableText"/>
            </w:pPr>
            <w:r>
              <w:t>Component 2</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-0.4</w:t>
            </w:r>
          </w:p>
        </w:tc>
        <w:tc>
          <w:tcPr>
            <w:tcW w:w="689" w:type="pct"/>
            <w:vAlign w:val="center"/>
          </w:tcPr>
          <w:p w:rsidR="00761B5C" w:rsidRDefault="00761B5C" w:rsidP="00F7554A">
            <w:pPr>
              <w:pStyle w:val="TableTextRight"/>
              <w:rPr>
                <w:i/>
                <w:iCs/>
                <w:color w:val="000000"/>
                <w:szCs w:val="20"/>
              </w:rPr>
            </w:pPr>
            <w:r>
              <w:rPr>
                <w:i/>
                <w:iCs/>
                <w:color w:val="000000"/>
                <w:szCs w:val="20"/>
              </w:rPr>
              <w:t>-0.4</w:t>
            </w:r>
          </w:p>
        </w:tc>
        <w:tc>
          <w:tcPr>
            <w:tcW w:w="689" w:type="pct"/>
            <w:vAlign w:val="center"/>
          </w:tcPr>
          <w:p w:rsidR="00761B5C" w:rsidRDefault="00761B5C" w:rsidP="00F7554A">
            <w:pPr>
              <w:pStyle w:val="TableTextRight"/>
              <w:rPr>
                <w:i/>
                <w:iCs/>
                <w:color w:val="000000"/>
                <w:szCs w:val="20"/>
              </w:rPr>
            </w:pPr>
            <w:r>
              <w:rPr>
                <w:i/>
                <w:iCs/>
                <w:color w:val="000000"/>
                <w:szCs w:val="20"/>
              </w:rPr>
              <w:t>-0.4</w:t>
            </w:r>
          </w:p>
        </w:tc>
        <w:tc>
          <w:tcPr>
            <w:tcW w:w="690" w:type="pct"/>
            <w:vAlign w:val="center"/>
          </w:tcPr>
          <w:p w:rsidR="00761B5C" w:rsidRDefault="00761B5C" w:rsidP="00F7554A">
            <w:pPr>
              <w:pStyle w:val="TableTextRight"/>
              <w:rPr>
                <w:b/>
                <w:bCs/>
                <w:i/>
                <w:iCs/>
                <w:color w:val="000000"/>
                <w:szCs w:val="20"/>
              </w:rPr>
            </w:pPr>
            <w:r>
              <w:rPr>
                <w:b/>
                <w:bCs/>
                <w:i/>
                <w:iCs/>
                <w:color w:val="000000"/>
                <w:szCs w:val="20"/>
              </w:rPr>
              <w:t>-1.2</w:t>
            </w:r>
          </w:p>
        </w:tc>
      </w:tr>
      <w:tr w:rsidR="00761B5C" w:rsidTr="00F7554A">
        <w:tc>
          <w:tcPr>
            <w:tcW w:w="1554" w:type="pct"/>
            <w:vAlign w:val="center"/>
          </w:tcPr>
          <w:p w:rsidR="00761B5C" w:rsidRDefault="00761B5C" w:rsidP="00F7554A">
            <w:pPr>
              <w:pStyle w:val="TableText"/>
            </w:pPr>
            <w:r>
              <w:t>Component 3</w:t>
            </w:r>
          </w:p>
        </w:tc>
        <w:tc>
          <w:tcPr>
            <w:tcW w:w="689" w:type="pct"/>
            <w:vAlign w:val="center"/>
          </w:tcPr>
          <w:p w:rsidR="00761B5C" w:rsidRDefault="00761B5C" w:rsidP="00F7554A">
            <w:pPr>
              <w:pStyle w:val="TableTextRight"/>
              <w:rPr>
                <w:i/>
                <w:iCs/>
                <w:color w:val="000000"/>
                <w:szCs w:val="20"/>
              </w:rPr>
            </w:pPr>
            <w:r>
              <w:rPr>
                <w:i/>
                <w:iCs/>
                <w:color w:val="000000"/>
                <w:szCs w:val="20"/>
              </w:rPr>
              <w:t>-0.3</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90" w:type="pct"/>
            <w:vAlign w:val="center"/>
          </w:tcPr>
          <w:p w:rsidR="00761B5C" w:rsidRDefault="00761B5C" w:rsidP="00F7554A">
            <w:pPr>
              <w:pStyle w:val="TableTextRight"/>
              <w:rPr>
                <w:b/>
                <w:bCs/>
                <w:i/>
                <w:iCs/>
                <w:color w:val="000000"/>
                <w:szCs w:val="20"/>
              </w:rPr>
            </w:pPr>
            <w:r>
              <w:rPr>
                <w:b/>
                <w:bCs/>
                <w:i/>
                <w:iCs/>
                <w:color w:val="000000"/>
                <w:szCs w:val="20"/>
              </w:rPr>
              <w:t>-0.3</w:t>
            </w:r>
          </w:p>
        </w:tc>
      </w:tr>
      <w:tr w:rsidR="00761B5C" w:rsidTr="00F7554A">
        <w:tc>
          <w:tcPr>
            <w:tcW w:w="1554" w:type="pct"/>
            <w:vAlign w:val="center"/>
          </w:tcPr>
          <w:p w:rsidR="00761B5C" w:rsidRDefault="00761B5C" w:rsidP="00F7554A">
            <w:pPr>
              <w:pStyle w:val="TableText"/>
            </w:pPr>
            <w:r>
              <w:t>Component 4</w:t>
            </w:r>
          </w:p>
        </w:tc>
        <w:tc>
          <w:tcPr>
            <w:tcW w:w="689" w:type="pct"/>
            <w:vAlign w:val="center"/>
          </w:tcPr>
          <w:p w:rsidR="00761B5C" w:rsidRDefault="00761B5C" w:rsidP="00F7554A">
            <w:pPr>
              <w:pStyle w:val="TableTextRight"/>
              <w:rPr>
                <w:i/>
                <w:iCs/>
                <w:color w:val="000000"/>
                <w:szCs w:val="20"/>
              </w:rPr>
            </w:pPr>
            <w:r>
              <w:rPr>
                <w:i/>
                <w:iCs/>
                <w:color w:val="000000"/>
                <w:szCs w:val="20"/>
              </w:rPr>
              <w:t>-</w:t>
            </w:r>
          </w:p>
        </w:tc>
        <w:tc>
          <w:tcPr>
            <w:tcW w:w="689" w:type="pct"/>
            <w:vAlign w:val="center"/>
          </w:tcPr>
          <w:p w:rsidR="00761B5C" w:rsidRDefault="00761B5C" w:rsidP="00F7554A">
            <w:pPr>
              <w:pStyle w:val="TableTextRight"/>
              <w:rPr>
                <w:i/>
                <w:iCs/>
                <w:color w:val="000000"/>
                <w:szCs w:val="20"/>
              </w:rPr>
            </w:pPr>
            <w:r>
              <w:rPr>
                <w:i/>
                <w:iCs/>
                <w:color w:val="000000"/>
                <w:szCs w:val="20"/>
              </w:rPr>
              <w:t>-0.1</w:t>
            </w:r>
          </w:p>
        </w:tc>
        <w:tc>
          <w:tcPr>
            <w:tcW w:w="689" w:type="pct"/>
            <w:vAlign w:val="center"/>
          </w:tcPr>
          <w:p w:rsidR="00761B5C" w:rsidRDefault="00761B5C" w:rsidP="00F7554A">
            <w:pPr>
              <w:pStyle w:val="TableTextRight"/>
              <w:rPr>
                <w:i/>
                <w:iCs/>
                <w:color w:val="000000"/>
                <w:szCs w:val="20"/>
              </w:rPr>
            </w:pPr>
            <w:r>
              <w:rPr>
                <w:i/>
                <w:iCs/>
                <w:color w:val="000000"/>
                <w:szCs w:val="20"/>
              </w:rPr>
              <w:t>-0.1</w:t>
            </w:r>
          </w:p>
        </w:tc>
        <w:tc>
          <w:tcPr>
            <w:tcW w:w="689" w:type="pct"/>
            <w:vAlign w:val="center"/>
          </w:tcPr>
          <w:p w:rsidR="00761B5C" w:rsidRDefault="00761B5C" w:rsidP="00F7554A">
            <w:pPr>
              <w:pStyle w:val="TableTextRight"/>
              <w:rPr>
                <w:i/>
                <w:iCs/>
                <w:color w:val="000000"/>
                <w:szCs w:val="20"/>
              </w:rPr>
            </w:pPr>
            <w:r>
              <w:rPr>
                <w:i/>
                <w:iCs/>
                <w:color w:val="000000"/>
                <w:szCs w:val="20"/>
              </w:rPr>
              <w:t>-0.1</w:t>
            </w:r>
          </w:p>
        </w:tc>
        <w:tc>
          <w:tcPr>
            <w:tcW w:w="690" w:type="pct"/>
            <w:vAlign w:val="center"/>
          </w:tcPr>
          <w:p w:rsidR="00761B5C" w:rsidRDefault="00761B5C" w:rsidP="00F7554A">
            <w:pPr>
              <w:pStyle w:val="TableTextRight"/>
              <w:rPr>
                <w:b/>
                <w:bCs/>
                <w:i/>
                <w:iCs/>
                <w:color w:val="000000"/>
                <w:szCs w:val="20"/>
              </w:rPr>
            </w:pPr>
            <w:r>
              <w:rPr>
                <w:b/>
                <w:bCs/>
                <w:i/>
                <w:iCs/>
                <w:color w:val="000000"/>
                <w:szCs w:val="20"/>
              </w:rPr>
              <w:t>-0.2</w:t>
            </w:r>
          </w:p>
        </w:tc>
      </w:tr>
      <w:tr w:rsidR="00761B5C" w:rsidRPr="007C2713" w:rsidTr="00F7554A">
        <w:tc>
          <w:tcPr>
            <w:tcW w:w="1554" w:type="pct"/>
            <w:shd w:val="clear" w:color="auto" w:fill="E9ECF3" w:themeFill="accent2" w:themeFillTint="33"/>
            <w:vAlign w:val="center"/>
          </w:tcPr>
          <w:p w:rsidR="00761B5C" w:rsidRPr="004A47BA" w:rsidRDefault="00761B5C" w:rsidP="00F7554A">
            <w:pPr>
              <w:pStyle w:val="TableText"/>
            </w:pPr>
            <w:r w:rsidRPr="004A47BA">
              <w:t>Total departmental</w:t>
            </w:r>
          </w:p>
        </w:tc>
        <w:tc>
          <w:tcPr>
            <w:tcW w:w="689" w:type="pct"/>
            <w:shd w:val="clear" w:color="auto" w:fill="E9ECF3" w:themeFill="accent2" w:themeFillTint="33"/>
            <w:vAlign w:val="center"/>
          </w:tcPr>
          <w:p w:rsidR="00761B5C" w:rsidRPr="004A47BA" w:rsidRDefault="00761B5C" w:rsidP="00F7554A">
            <w:pPr>
              <w:pStyle w:val="TableTextRight"/>
              <w:rPr>
                <w:bCs/>
                <w:color w:val="000000"/>
                <w:szCs w:val="20"/>
              </w:rPr>
            </w:pPr>
            <w:r w:rsidRPr="004A47BA">
              <w:rPr>
                <w:bCs/>
                <w:color w:val="000000"/>
                <w:szCs w:val="20"/>
              </w:rPr>
              <w:t>-0.3</w:t>
            </w:r>
          </w:p>
        </w:tc>
        <w:tc>
          <w:tcPr>
            <w:tcW w:w="689" w:type="pct"/>
            <w:shd w:val="clear" w:color="auto" w:fill="E9ECF3" w:themeFill="accent2" w:themeFillTint="33"/>
            <w:vAlign w:val="center"/>
          </w:tcPr>
          <w:p w:rsidR="00761B5C" w:rsidRPr="004A47BA" w:rsidRDefault="00761B5C" w:rsidP="00F7554A">
            <w:pPr>
              <w:pStyle w:val="TableTextRight"/>
              <w:rPr>
                <w:bCs/>
                <w:color w:val="000000"/>
                <w:szCs w:val="20"/>
              </w:rPr>
            </w:pPr>
            <w:r w:rsidRPr="004A47BA">
              <w:rPr>
                <w:bCs/>
                <w:color w:val="000000"/>
                <w:szCs w:val="20"/>
              </w:rPr>
              <w:t>-1.8</w:t>
            </w:r>
          </w:p>
        </w:tc>
        <w:tc>
          <w:tcPr>
            <w:tcW w:w="689" w:type="pct"/>
            <w:shd w:val="clear" w:color="auto" w:fill="E9ECF3" w:themeFill="accent2" w:themeFillTint="33"/>
            <w:vAlign w:val="center"/>
          </w:tcPr>
          <w:p w:rsidR="00761B5C" w:rsidRPr="004A47BA" w:rsidRDefault="00761B5C" w:rsidP="00F7554A">
            <w:pPr>
              <w:pStyle w:val="TableTextRight"/>
              <w:rPr>
                <w:bCs/>
                <w:color w:val="000000"/>
                <w:szCs w:val="20"/>
              </w:rPr>
            </w:pPr>
            <w:r w:rsidRPr="004A47BA">
              <w:rPr>
                <w:bCs/>
                <w:color w:val="000000"/>
                <w:szCs w:val="20"/>
              </w:rPr>
              <w:t>-1.8</w:t>
            </w:r>
          </w:p>
        </w:tc>
        <w:tc>
          <w:tcPr>
            <w:tcW w:w="689" w:type="pct"/>
            <w:shd w:val="clear" w:color="auto" w:fill="E9ECF3" w:themeFill="accent2" w:themeFillTint="33"/>
            <w:vAlign w:val="center"/>
          </w:tcPr>
          <w:p w:rsidR="00761B5C" w:rsidRPr="004A47BA" w:rsidRDefault="00761B5C" w:rsidP="00F7554A">
            <w:pPr>
              <w:pStyle w:val="TableTextRight"/>
              <w:rPr>
                <w:bCs/>
                <w:color w:val="000000"/>
                <w:szCs w:val="20"/>
              </w:rPr>
            </w:pPr>
            <w:r w:rsidRPr="004A47BA">
              <w:rPr>
                <w:bCs/>
                <w:color w:val="000000"/>
                <w:szCs w:val="20"/>
              </w:rPr>
              <w:t>-1.8</w:t>
            </w:r>
          </w:p>
        </w:tc>
        <w:tc>
          <w:tcPr>
            <w:tcW w:w="690" w:type="pct"/>
            <w:shd w:val="clear" w:color="auto" w:fill="E9ECF3" w:themeFill="accent2" w:themeFillTint="33"/>
            <w:vAlign w:val="center"/>
          </w:tcPr>
          <w:p w:rsidR="00761B5C" w:rsidRDefault="00761B5C" w:rsidP="00F7554A">
            <w:pPr>
              <w:pStyle w:val="TableTextRight"/>
              <w:rPr>
                <w:b/>
                <w:bCs/>
                <w:color w:val="000000"/>
                <w:szCs w:val="20"/>
              </w:rPr>
            </w:pPr>
            <w:r>
              <w:rPr>
                <w:b/>
                <w:bCs/>
                <w:color w:val="000000"/>
                <w:szCs w:val="20"/>
              </w:rPr>
              <w:t>-5.8</w:t>
            </w:r>
          </w:p>
        </w:tc>
      </w:tr>
      <w:tr w:rsidR="00761B5C" w:rsidRPr="007C2713" w:rsidTr="00F7554A">
        <w:tc>
          <w:tcPr>
            <w:tcW w:w="1554" w:type="pct"/>
            <w:shd w:val="clear" w:color="auto" w:fill="D7DDE9" w:themeFill="accent3"/>
            <w:vAlign w:val="center"/>
          </w:tcPr>
          <w:p w:rsidR="00761B5C" w:rsidRPr="00831E31" w:rsidRDefault="00761B5C" w:rsidP="00F7554A">
            <w:pPr>
              <w:pStyle w:val="TableText"/>
              <w:rPr>
                <w:b/>
              </w:rPr>
            </w:pPr>
            <w:r w:rsidRPr="00831E31">
              <w:rPr>
                <w:b/>
              </w:rPr>
              <w:t>Total</w:t>
            </w:r>
          </w:p>
        </w:tc>
        <w:tc>
          <w:tcPr>
            <w:tcW w:w="689" w:type="pct"/>
            <w:shd w:val="clear" w:color="auto" w:fill="D7DDE9" w:themeFill="accent3"/>
            <w:vAlign w:val="center"/>
          </w:tcPr>
          <w:p w:rsidR="00761B5C" w:rsidRDefault="00761B5C" w:rsidP="00F7554A">
            <w:pPr>
              <w:pStyle w:val="TableTextRight"/>
            </w:pPr>
            <w:r>
              <w:t>-0.3</w:t>
            </w:r>
          </w:p>
        </w:tc>
        <w:tc>
          <w:tcPr>
            <w:tcW w:w="689" w:type="pct"/>
            <w:shd w:val="clear" w:color="auto" w:fill="D7DDE9" w:themeFill="accent3"/>
            <w:vAlign w:val="center"/>
          </w:tcPr>
          <w:p w:rsidR="00761B5C" w:rsidRDefault="00761B5C" w:rsidP="00F7554A">
            <w:pPr>
              <w:pStyle w:val="TableTextRight"/>
            </w:pPr>
            <w:r>
              <w:t>-17.0</w:t>
            </w:r>
          </w:p>
        </w:tc>
        <w:tc>
          <w:tcPr>
            <w:tcW w:w="689" w:type="pct"/>
            <w:shd w:val="clear" w:color="auto" w:fill="D7DDE9" w:themeFill="accent3"/>
            <w:vAlign w:val="center"/>
          </w:tcPr>
          <w:p w:rsidR="00761B5C" w:rsidRDefault="00761B5C" w:rsidP="00F7554A">
            <w:pPr>
              <w:pStyle w:val="TableTextRight"/>
            </w:pPr>
            <w:r>
              <w:t>-17.5</w:t>
            </w:r>
          </w:p>
        </w:tc>
        <w:tc>
          <w:tcPr>
            <w:tcW w:w="689" w:type="pct"/>
            <w:shd w:val="clear" w:color="auto" w:fill="D7DDE9" w:themeFill="accent3"/>
            <w:vAlign w:val="center"/>
          </w:tcPr>
          <w:p w:rsidR="00761B5C" w:rsidRDefault="00761B5C" w:rsidP="00F7554A">
            <w:pPr>
              <w:pStyle w:val="TableTextRight"/>
            </w:pPr>
            <w:r>
              <w:t>-18.0</w:t>
            </w:r>
          </w:p>
        </w:tc>
        <w:tc>
          <w:tcPr>
            <w:tcW w:w="690" w:type="pct"/>
            <w:shd w:val="clear" w:color="auto" w:fill="D7DDE9" w:themeFill="accent3"/>
            <w:vAlign w:val="center"/>
          </w:tcPr>
          <w:p w:rsidR="00761B5C" w:rsidRDefault="00761B5C" w:rsidP="00F7554A">
            <w:pPr>
              <w:pStyle w:val="TableTextRight"/>
            </w:pPr>
            <w:r>
              <w:t>-52.6</w:t>
            </w:r>
          </w:p>
        </w:tc>
      </w:tr>
    </w:tbl>
    <w:p w:rsidR="00761B5C" w:rsidRDefault="00761B5C" w:rsidP="00896AB0">
      <w:pPr>
        <w:pStyle w:val="Footnotes"/>
        <w:numPr>
          <w:ilvl w:val="0"/>
          <w:numId w:val="111"/>
        </w:numPr>
        <w:spacing w:before="113"/>
        <w:ind w:left="284" w:hanging="284"/>
      </w:pPr>
      <w:r w:rsidRPr="00831E31">
        <w:t xml:space="preserve">A positive number for the fiscal balance indicates an increase in revenue or a decrease in expenses or net capital investment in accrual terms.  A negative number for the fiscal balance indicates a decrease in revenue or an increase in expenses or net capital investment in </w:t>
      </w:r>
      <w:r w:rsidR="000F43EA">
        <w:t xml:space="preserve">cash and </w:t>
      </w:r>
      <w:r w:rsidRPr="00831E31">
        <w:t>accrual terms.</w:t>
      </w:r>
    </w:p>
    <w:p w:rsidR="00761B5C" w:rsidRPr="005F544A" w:rsidRDefault="00761B5C" w:rsidP="00896AB0">
      <w:pPr>
        <w:pStyle w:val="Footnotes"/>
        <w:spacing w:after="120"/>
        <w:ind w:left="284" w:hanging="284"/>
      </w:pPr>
      <w:r w:rsidRPr="005F544A">
        <w:t>Figures may not sum to totals due to rounding.</w:t>
      </w:r>
    </w:p>
    <w:p w:rsidR="00761B5C" w:rsidRDefault="00761B5C" w:rsidP="00896AB0">
      <w:pPr>
        <w:pStyle w:val="Footnotes"/>
        <w:numPr>
          <w:ilvl w:val="0"/>
          <w:numId w:val="0"/>
        </w:numPr>
        <w:ind w:left="284" w:hanging="284"/>
      </w:pPr>
      <w:r w:rsidRPr="005F544A">
        <w:t>-</w:t>
      </w:r>
      <w:r w:rsidRPr="005F544A">
        <w:tab/>
        <w:t>Indicates nil.</w:t>
      </w:r>
    </w:p>
    <w:p w:rsidR="00420CF4" w:rsidRDefault="00420CF4" w:rsidP="00420CF4">
      <w:pPr>
        <w:pStyle w:val="BodyText"/>
      </w:pPr>
    </w:p>
    <w:p w:rsidR="00030420" w:rsidRDefault="00030420" w:rsidP="00420CF4">
      <w:pPr>
        <w:pStyle w:val="BodyText"/>
        <w:sectPr w:rsidR="00030420" w:rsidSect="00085CBF">
          <w:footnotePr>
            <w:numRestart w:val="eachSect"/>
          </w:footnotePr>
          <w:pgSz w:w="11906" w:h="16838" w:code="9"/>
          <w:pgMar w:top="1361" w:right="1797" w:bottom="1474" w:left="1797" w:header="283" w:footer="454" w:gutter="0"/>
          <w:cols w:space="708"/>
          <w:docGrid w:linePitch="360"/>
        </w:sectPr>
      </w:pPr>
    </w:p>
    <w:p w:rsidR="00030420" w:rsidRDefault="00030420" w:rsidP="00030420">
      <w:pPr>
        <w:pStyle w:val="Heading5"/>
        <w:ind w:left="1080" w:hanging="1080"/>
      </w:pPr>
      <w:bookmarkStart w:id="129" w:name="_Toc458081715"/>
      <w:r>
        <w:t>ALP0</w:t>
      </w:r>
      <w:r w:rsidR="009221D1">
        <w:t>91</w:t>
      </w:r>
      <w:r>
        <w:t xml:space="preserve">: </w:t>
      </w:r>
      <w:r w:rsidR="00F66C4D">
        <w:t xml:space="preserve">Efficiency Dividend and Efficiency Target for National Cultural </w:t>
      </w:r>
      <w:r w:rsidR="003E0234">
        <w:t xml:space="preserve">and Collecting </w:t>
      </w:r>
      <w:r w:rsidR="00F66C4D">
        <w:t>Institutions</w:t>
      </w:r>
      <w:bookmarkEnd w:id="129"/>
    </w:p>
    <w:p w:rsidR="00030420" w:rsidRDefault="00030420" w:rsidP="00030420">
      <w:pPr>
        <w:pStyle w:val="BodyText"/>
      </w:pPr>
      <w:r>
        <w:rPr>
          <w:noProof/>
          <w:lang w:eastAsia="en-AU"/>
        </w:rPr>
        <w:drawing>
          <wp:inline distT="0" distB="0" distL="0" distR="0" wp14:anchorId="11D217CA" wp14:editId="43E75CDA">
            <wp:extent cx="2696845" cy="572135"/>
            <wp:effectExtent l="0" t="0" r="8255" b="0"/>
            <wp:docPr id="347" name="Picture 347" title="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p w:rsidR="00030420" w:rsidRDefault="00030420" w:rsidP="00030420">
      <w:pPr>
        <w:pStyle w:val="Heading6"/>
        <w:numPr>
          <w:ilvl w:val="0"/>
          <w:numId w:val="10"/>
        </w:numPr>
        <w:tabs>
          <w:tab w:val="right" w:pos="1418"/>
          <w:tab w:val="right" w:pos="1701"/>
          <w:tab w:val="right" w:pos="1985"/>
        </w:tabs>
      </w:pPr>
      <w:r>
        <w:t>Policy costing</w:t>
      </w:r>
      <w:r w:rsidRPr="00C61291">
        <w:t>—</w:t>
      </w:r>
      <w:r>
        <w:t>2016 post-election report</w:t>
      </w:r>
    </w:p>
    <w:tbl>
      <w:tblPr>
        <w:tblStyle w:val="Style12"/>
        <w:tblW w:w="5000" w:type="pct"/>
        <w:tblLook w:val="04A0" w:firstRow="1" w:lastRow="0" w:firstColumn="1" w:lastColumn="0" w:noHBand="0" w:noVBand="1"/>
      </w:tblPr>
      <w:tblGrid>
        <w:gridCol w:w="3080"/>
        <w:gridCol w:w="5448"/>
      </w:tblGrid>
      <w:tr w:rsidR="00BB7A5F" w:rsidRPr="00BB7A5F" w:rsidTr="00B22C44">
        <w:trPr>
          <w:cnfStyle w:val="100000000000" w:firstRow="1" w:lastRow="0" w:firstColumn="0" w:lastColumn="0" w:oddVBand="0" w:evenVBand="0" w:oddHBand="0" w:evenHBand="0" w:firstRowFirstColumn="0" w:firstRowLastColumn="0" w:lastRowFirstColumn="0" w:lastRowLastColumn="0"/>
        </w:trPr>
        <w:tc>
          <w:tcPr>
            <w:tcW w:w="1806" w:type="pct"/>
          </w:tcPr>
          <w:p w:rsidR="00BB7A5F" w:rsidRPr="00BB7A5F" w:rsidRDefault="00BB7A5F" w:rsidP="00BB7A5F">
            <w:pPr>
              <w:spacing w:before="114" w:after="114"/>
              <w:rPr>
                <w:rFonts w:eastAsia="Calibri" w:cs="Times New Roman"/>
              </w:rPr>
            </w:pPr>
            <w:r w:rsidRPr="00BB7A5F">
              <w:rPr>
                <w:rFonts w:eastAsia="Calibri" w:cs="Times New Roman"/>
              </w:rPr>
              <w:t>Name of proposal:</w:t>
            </w:r>
          </w:p>
        </w:tc>
        <w:tc>
          <w:tcPr>
            <w:tcW w:w="3194" w:type="pct"/>
          </w:tcPr>
          <w:p w:rsidR="00BB7A5F" w:rsidRPr="00BB7A5F" w:rsidRDefault="00BB7A5F" w:rsidP="003E0234">
            <w:pPr>
              <w:spacing w:before="114" w:after="114"/>
              <w:rPr>
                <w:rFonts w:eastAsia="Calibri" w:cs="Times New Roman"/>
              </w:rPr>
            </w:pPr>
            <w:r w:rsidRPr="00BB7A5F">
              <w:rPr>
                <w:rFonts w:eastAsia="Calibri" w:cs="Times New Roman"/>
              </w:rPr>
              <w:t xml:space="preserve">Efficiency Dividend and Efficiency Target for </w:t>
            </w:r>
            <w:r w:rsidR="003E0234">
              <w:rPr>
                <w:rFonts w:eastAsia="Calibri" w:cs="Times New Roman"/>
              </w:rPr>
              <w:t>N</w:t>
            </w:r>
            <w:r w:rsidRPr="00BB7A5F">
              <w:rPr>
                <w:rFonts w:eastAsia="Calibri" w:cs="Times New Roman"/>
              </w:rPr>
              <w:t xml:space="preserve">ational </w:t>
            </w:r>
            <w:r w:rsidR="003E0234">
              <w:rPr>
                <w:rFonts w:eastAsia="Calibri" w:cs="Times New Roman"/>
              </w:rPr>
              <w:t>C</w:t>
            </w:r>
            <w:r w:rsidRPr="00BB7A5F">
              <w:rPr>
                <w:rFonts w:eastAsia="Calibri" w:cs="Times New Roman"/>
              </w:rPr>
              <w:t xml:space="preserve">ultural and </w:t>
            </w:r>
            <w:r w:rsidR="003E0234">
              <w:rPr>
                <w:rFonts w:eastAsia="Calibri" w:cs="Times New Roman"/>
              </w:rPr>
              <w:t>C</w:t>
            </w:r>
            <w:r w:rsidRPr="00BB7A5F">
              <w:rPr>
                <w:rFonts w:eastAsia="Calibri" w:cs="Times New Roman"/>
              </w:rPr>
              <w:t xml:space="preserve">ollecting </w:t>
            </w:r>
            <w:r w:rsidR="003E0234">
              <w:rPr>
                <w:rFonts w:eastAsia="Calibri" w:cs="Times New Roman"/>
              </w:rPr>
              <w:t>In</w:t>
            </w:r>
            <w:r w:rsidR="003E0234" w:rsidRPr="00BB7A5F">
              <w:rPr>
                <w:rFonts w:eastAsia="Calibri" w:cs="Times New Roman"/>
              </w:rPr>
              <w:t>stitutions</w:t>
            </w:r>
          </w:p>
        </w:tc>
      </w:tr>
      <w:tr w:rsidR="00BB7A5F" w:rsidRPr="00BB7A5F" w:rsidTr="00B22C44">
        <w:tc>
          <w:tcPr>
            <w:tcW w:w="1806" w:type="pct"/>
          </w:tcPr>
          <w:p w:rsidR="00BB7A5F" w:rsidRPr="00BB7A5F" w:rsidRDefault="00BB7A5F" w:rsidP="00BB7A5F">
            <w:pPr>
              <w:spacing w:before="114" w:after="114"/>
              <w:rPr>
                <w:rFonts w:eastAsia="Calibri" w:cs="Times New Roman"/>
              </w:rPr>
            </w:pPr>
            <w:r w:rsidRPr="00BB7A5F">
              <w:rPr>
                <w:rFonts w:eastAsia="Calibri" w:cs="Times New Roman"/>
              </w:rPr>
              <w:t>Summary of proposal:</w:t>
            </w:r>
          </w:p>
        </w:tc>
        <w:tc>
          <w:tcPr>
            <w:tcW w:w="3194" w:type="pct"/>
          </w:tcPr>
          <w:p w:rsidR="00BB7A5F" w:rsidRPr="00BB7A5F" w:rsidRDefault="00BB7A5F" w:rsidP="00BB7A5F">
            <w:pPr>
              <w:spacing w:before="114" w:after="114"/>
              <w:rPr>
                <w:rFonts w:eastAsia="Calibri" w:cs="Times New Roman"/>
                <w:u w:val="single"/>
              </w:rPr>
            </w:pPr>
            <w:r w:rsidRPr="00BB7A5F">
              <w:rPr>
                <w:rFonts w:eastAsia="Calibri" w:cs="Times New Roman"/>
                <w:u w:val="single"/>
              </w:rPr>
              <w:t>Component 1 - Not proceeding with Efficiency Dividend and Efficiency Target for national cultural and collecting institutions</w:t>
            </w:r>
          </w:p>
          <w:p w:rsidR="00BB7A5F" w:rsidRPr="00BB7A5F" w:rsidRDefault="00BB7A5F" w:rsidP="00BB7A5F">
            <w:pPr>
              <w:spacing w:before="114" w:after="114"/>
              <w:rPr>
                <w:rFonts w:eastAsia="Calibri" w:cs="Times New Roman"/>
              </w:rPr>
            </w:pPr>
            <w:r w:rsidRPr="00BB7A5F">
              <w:rPr>
                <w:rFonts w:eastAsia="Calibri" w:cs="Times New Roman"/>
              </w:rPr>
              <w:t xml:space="preserve">This component would not proceed with the 2016-17 Budget measure, </w:t>
            </w:r>
            <w:r w:rsidRPr="00BB7A5F">
              <w:rPr>
                <w:rFonts w:eastAsia="Calibri" w:cs="Times New Roman"/>
                <w:i/>
              </w:rPr>
              <w:t>Public Sector Transformation and the Efficiency Dividend</w:t>
            </w:r>
            <w:r w:rsidRPr="00BB7A5F">
              <w:rPr>
                <w:rFonts w:eastAsia="Calibri" w:cs="Times New Roman"/>
              </w:rPr>
              <w:t xml:space="preserve"> and the 2015-16 Mid-Year Economic and Fiscal Outlook (MYEFO) measure, </w:t>
            </w:r>
            <w:r w:rsidRPr="00BB7A5F">
              <w:rPr>
                <w:rFonts w:eastAsia="Calibri" w:cs="Times New Roman"/>
                <w:i/>
              </w:rPr>
              <w:t>Communications and the Arts Portfolio – efficiencies</w:t>
            </w:r>
            <w:r w:rsidRPr="00BB7A5F">
              <w:rPr>
                <w:rFonts w:eastAsia="Calibri" w:cs="Times New Roman"/>
              </w:rPr>
              <w:t>.</w:t>
            </w:r>
          </w:p>
          <w:p w:rsidR="00BB7A5F" w:rsidRPr="00BB7A5F" w:rsidRDefault="00BB7A5F" w:rsidP="00BB7A5F">
            <w:pPr>
              <w:spacing w:before="114" w:after="114"/>
              <w:rPr>
                <w:rFonts w:eastAsia="Calibri" w:cs="Times New Roman"/>
                <w:u w:val="single"/>
              </w:rPr>
            </w:pPr>
            <w:r w:rsidRPr="00BB7A5F">
              <w:rPr>
                <w:rFonts w:eastAsia="Calibri" w:cs="Times New Roman"/>
                <w:u w:val="single"/>
              </w:rPr>
              <w:t>Component 2 - Alternative equivalent savings to those reversed under Component 1</w:t>
            </w:r>
          </w:p>
          <w:p w:rsidR="00BB7A5F" w:rsidRPr="00BB7A5F" w:rsidRDefault="00BB7A5F" w:rsidP="00BB7A5F">
            <w:pPr>
              <w:spacing w:before="114" w:after="114"/>
              <w:rPr>
                <w:rFonts w:eastAsia="Calibri" w:cs="Times New Roman"/>
              </w:rPr>
            </w:pPr>
            <w:r w:rsidRPr="00BB7A5F">
              <w:rPr>
                <w:rFonts w:eastAsia="Calibri" w:cs="Times New Roman"/>
              </w:rPr>
              <w:t>Following a review to be concluded by 1 January 2017, this component would introduce new measures in the 2017-18 Budget that would achieve the equivalent savings as those forecast for the two measures outlined in Component 1, without targeting staffing costs.</w:t>
            </w:r>
          </w:p>
          <w:p w:rsidR="00BB7A5F" w:rsidRPr="00BB7A5F" w:rsidRDefault="00BB7A5F" w:rsidP="00BB7A5F">
            <w:pPr>
              <w:spacing w:before="114" w:after="114"/>
              <w:rPr>
                <w:rFonts w:eastAsia="Calibri" w:cs="Times New Roman"/>
              </w:rPr>
            </w:pPr>
            <w:r w:rsidRPr="00BB7A5F">
              <w:rPr>
                <w:rFonts w:eastAsia="Calibri" w:cs="Times New Roman"/>
              </w:rPr>
              <w:t>The 2016-17 Budget measure included a commitment to re-invest $500 million from savings to assist agencies to manage the transformation to a more modern public sector.  This component would also commit to re</w:t>
            </w:r>
            <w:r w:rsidRPr="00BB7A5F">
              <w:rPr>
                <w:rFonts w:eastAsia="Calibri" w:cs="Times New Roman"/>
              </w:rPr>
              <w:noBreakHyphen/>
              <w:t>investing $500 million, including for the improvement of service provision at the Australian Taxation Office and the Department of Human Services to reduce call waiting times and increase call centre staffing.</w:t>
            </w:r>
          </w:p>
          <w:p w:rsidR="00BB7A5F" w:rsidRPr="00BB7A5F" w:rsidRDefault="00BB7A5F" w:rsidP="00BB7A5F">
            <w:pPr>
              <w:spacing w:before="114" w:after="114"/>
              <w:rPr>
                <w:rFonts w:eastAsia="Calibri" w:cs="Times New Roman"/>
              </w:rPr>
            </w:pPr>
            <w:r w:rsidRPr="00BB7A5F">
              <w:rPr>
                <w:rFonts w:eastAsia="Calibri" w:cs="Times New Roman"/>
              </w:rPr>
              <w:t>The proposal would have effect from 1 July 2017.</w:t>
            </w:r>
          </w:p>
        </w:tc>
      </w:tr>
      <w:tr w:rsidR="00BB7A5F" w:rsidRPr="00BB7A5F" w:rsidTr="00B22C44">
        <w:tc>
          <w:tcPr>
            <w:tcW w:w="1806" w:type="pct"/>
          </w:tcPr>
          <w:p w:rsidR="00BB7A5F" w:rsidRPr="00BB7A5F" w:rsidRDefault="00BB7A5F" w:rsidP="00BB7A5F">
            <w:pPr>
              <w:spacing w:before="114" w:after="114"/>
              <w:rPr>
                <w:rFonts w:eastAsia="Calibri" w:cs="Times New Roman"/>
              </w:rPr>
            </w:pPr>
            <w:r w:rsidRPr="00BB7A5F">
              <w:rPr>
                <w:rFonts w:eastAsia="Calibri" w:cs="Times New Roman"/>
              </w:rPr>
              <w:t>Party:</w:t>
            </w:r>
          </w:p>
        </w:tc>
        <w:tc>
          <w:tcPr>
            <w:tcW w:w="3194" w:type="pct"/>
          </w:tcPr>
          <w:p w:rsidR="00BB7A5F" w:rsidRPr="00BB7A5F" w:rsidRDefault="00BB7A5F" w:rsidP="00BB7A5F">
            <w:pPr>
              <w:spacing w:before="114" w:after="114"/>
              <w:rPr>
                <w:rFonts w:eastAsia="Calibri" w:cs="Times New Roman"/>
              </w:rPr>
            </w:pPr>
            <w:r w:rsidRPr="00BB7A5F">
              <w:rPr>
                <w:rFonts w:eastAsia="Calibri" w:cs="Times New Roman"/>
              </w:rPr>
              <w:t>Australian Labor Party</w:t>
            </w:r>
          </w:p>
        </w:tc>
      </w:tr>
      <w:tr w:rsidR="00BB7A5F" w:rsidRPr="00BB7A5F" w:rsidTr="00B22C44">
        <w:tc>
          <w:tcPr>
            <w:tcW w:w="1806" w:type="pct"/>
          </w:tcPr>
          <w:p w:rsidR="00BB7A5F" w:rsidRPr="00BB7A5F" w:rsidRDefault="00BB7A5F" w:rsidP="00BB7A5F">
            <w:pPr>
              <w:spacing w:before="114" w:after="114"/>
              <w:rPr>
                <w:rFonts w:eastAsia="Calibri" w:cs="Times New Roman"/>
              </w:rPr>
            </w:pPr>
            <w:r w:rsidRPr="00BB7A5F">
              <w:rPr>
                <w:rFonts w:eastAsia="Calibri" w:cs="Times New Roman"/>
              </w:rPr>
              <w:t>Expiry date for the costing:</w:t>
            </w:r>
          </w:p>
        </w:tc>
        <w:tc>
          <w:tcPr>
            <w:tcW w:w="3194" w:type="pct"/>
          </w:tcPr>
          <w:p w:rsidR="00BB7A5F" w:rsidRPr="00BB7A5F" w:rsidRDefault="00BB7A5F" w:rsidP="00BB7A5F">
            <w:pPr>
              <w:spacing w:before="114" w:after="114"/>
              <w:rPr>
                <w:rFonts w:eastAsia="Calibri" w:cs="Times New Roman"/>
              </w:rPr>
            </w:pPr>
            <w:r w:rsidRPr="00BB7A5F">
              <w:rPr>
                <w:rFonts w:eastAsia="Calibri" w:cs="Times New Roman"/>
              </w:rPr>
              <w:t>Release of the next economic and fiscal update</w:t>
            </w:r>
          </w:p>
        </w:tc>
      </w:tr>
    </w:tbl>
    <w:p w:rsidR="00BB7A5F" w:rsidRPr="00BB7A5F" w:rsidRDefault="00BB7A5F" w:rsidP="00654D61">
      <w:pPr>
        <w:pStyle w:val="CostingsH7"/>
        <w:rPr>
          <w:rFonts w:eastAsia="Calibri"/>
        </w:rPr>
      </w:pPr>
      <w:r w:rsidRPr="00BB7A5F">
        <w:rPr>
          <w:rFonts w:eastAsia="Calibri"/>
        </w:rPr>
        <w:t>Costing overview</w:t>
      </w:r>
    </w:p>
    <w:p w:rsidR="00BB7A5F" w:rsidRPr="00BB7A5F" w:rsidRDefault="00BB7A5F" w:rsidP="00BB7A5F">
      <w:pPr>
        <w:spacing w:before="114" w:after="114"/>
        <w:rPr>
          <w:rFonts w:ascii="Calibri" w:eastAsia="Calibri" w:hAnsi="Calibri" w:cs="Times New Roman"/>
        </w:rPr>
      </w:pPr>
      <w:r w:rsidRPr="00BB7A5F">
        <w:rPr>
          <w:rFonts w:ascii="Calibri" w:eastAsia="Calibri" w:hAnsi="Calibri" w:cs="Times New Roman"/>
        </w:rPr>
        <w:t xml:space="preserve">This proposal would have a net zero impact on both the fiscal and underlying cash balances over the 2016-17 Budget forward estimates period.  Further disaggregation of the impact of the proposal by component is provided at </w:t>
      </w:r>
      <w:r w:rsidRPr="00BB7A5F">
        <w:rPr>
          <w:rFonts w:ascii="Calibri" w:eastAsia="Calibri" w:hAnsi="Calibri" w:cs="Times New Roman"/>
          <w:u w:val="single"/>
        </w:rPr>
        <w:t>Attachment A</w:t>
      </w:r>
      <w:r w:rsidRPr="00BB7A5F">
        <w:rPr>
          <w:rFonts w:ascii="Calibri" w:eastAsia="Calibri" w:hAnsi="Calibri" w:cs="Times New Roman"/>
        </w:rPr>
        <w:t>.</w:t>
      </w:r>
    </w:p>
    <w:p w:rsidR="00BB7A5F" w:rsidRPr="00BB7A5F" w:rsidRDefault="00BB7A5F" w:rsidP="00BB7A5F">
      <w:pPr>
        <w:spacing w:before="114" w:after="114"/>
        <w:rPr>
          <w:rFonts w:ascii="Calibri" w:eastAsia="Calibri" w:hAnsi="Calibri" w:cs="Times New Roman"/>
        </w:rPr>
      </w:pPr>
      <w:r w:rsidRPr="00BB7A5F">
        <w:rPr>
          <w:rFonts w:ascii="Calibri" w:eastAsia="Calibri" w:hAnsi="Calibri" w:cs="Times New Roman"/>
        </w:rPr>
        <w:t>The proposal would have an ongoing net zero impact beyond the forward estimates period.</w:t>
      </w:r>
    </w:p>
    <w:p w:rsidR="00BB7A5F" w:rsidRPr="00BB7A5F" w:rsidRDefault="00BB7A5F" w:rsidP="00BB7A5F">
      <w:pPr>
        <w:spacing w:before="114" w:after="114"/>
        <w:rPr>
          <w:rFonts w:ascii="Calibri" w:eastAsia="Calibri" w:hAnsi="Calibri" w:cs="Times New Roman"/>
        </w:rPr>
      </w:pPr>
      <w:r w:rsidRPr="00BB7A5F">
        <w:rPr>
          <w:rFonts w:ascii="Calibri" w:eastAsia="Calibri" w:hAnsi="Calibri" w:cs="Times New Roman"/>
        </w:rPr>
        <w:t>The costing is considered to be of low</w:t>
      </w:r>
      <w:r w:rsidRPr="00BB7A5F">
        <w:rPr>
          <w:rFonts w:ascii="Calibri" w:eastAsia="Calibri" w:hAnsi="Calibri" w:cs="Times New Roman"/>
          <w:color w:val="FF0000"/>
        </w:rPr>
        <w:t xml:space="preserve"> </w:t>
      </w:r>
      <w:r w:rsidRPr="00BB7A5F">
        <w:rPr>
          <w:rFonts w:ascii="Calibri" w:eastAsia="Calibri" w:hAnsi="Calibri" w:cs="Times New Roman"/>
        </w:rPr>
        <w:t xml:space="preserve">reliability.  There is uncertainty about the practicality of achieving all of the proposed savings.  To achieve the same level of total savings from non-staffing expenditure alone would require the savings to be proportionately three times greater than the savings derived from an across-the-board efficiency dividend.  This is because non-staffing expenditure comprises approximately one third of departmental expenditure that is subject to the wider efficiency dividend.  In addition, significant elements of non-staffing expenditure are subject to contractual commitments and, depending on the areas targeted for savings, there could be implications for service delivery.  </w:t>
      </w:r>
    </w:p>
    <w:p w:rsidR="00BB7A5F" w:rsidRPr="00BB7A5F" w:rsidRDefault="00BB7A5F" w:rsidP="00BB7A5F">
      <w:pPr>
        <w:spacing w:before="114" w:after="114"/>
        <w:rPr>
          <w:rFonts w:ascii="Calibri" w:eastAsia="Calibri" w:hAnsi="Calibri" w:cs="Times New Roman"/>
        </w:rPr>
      </w:pPr>
      <w:r w:rsidRPr="00BB7A5F">
        <w:rPr>
          <w:rFonts w:ascii="Calibri" w:eastAsia="Calibri" w:hAnsi="Calibri" w:cs="Times New Roman"/>
        </w:rPr>
        <w:t xml:space="preserve">The PBO has not made any assessment of the level of contractually committed non-staffing departmental expenditure or the impact of the proposal on public sector service delivery. </w:t>
      </w:r>
    </w:p>
    <w:p w:rsidR="00BB7A5F" w:rsidRPr="00BB7A5F" w:rsidRDefault="00BB7A5F" w:rsidP="00BB7A5F">
      <w:pPr>
        <w:keepNext/>
        <w:spacing w:before="340" w:after="114"/>
        <w:rPr>
          <w:rFonts w:ascii="Calibri" w:eastAsia="Calibri" w:hAnsi="Calibri" w:cs="Times New Roman"/>
          <w:b/>
          <w:bCs/>
          <w:color w:val="1F497D"/>
          <w:spacing w:val="-4"/>
        </w:rPr>
      </w:pPr>
      <w:r w:rsidRPr="00BB7A5F">
        <w:rPr>
          <w:rFonts w:ascii="Calibri" w:eastAsia="Calibri" w:hAnsi="Calibri" w:cs="Times New Roman"/>
          <w:b/>
          <w:bCs/>
          <w:color w:val="1F497D"/>
          <w:spacing w:val="-4"/>
        </w:rPr>
        <w:t>Table 1: Financial implications (outturn prices)</w:t>
      </w:r>
    </w:p>
    <w:tbl>
      <w:tblPr>
        <w:tblStyle w:val="TableGrid50"/>
        <w:tblW w:w="4997"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7"/>
        <w:gridCol w:w="1135"/>
        <w:gridCol w:w="1134"/>
        <w:gridCol w:w="1134"/>
        <w:gridCol w:w="1134"/>
        <w:gridCol w:w="1133"/>
      </w:tblGrid>
      <w:tr w:rsidR="00BB7A5F" w:rsidRPr="00BB7A5F" w:rsidTr="00B22C4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rPr>
                <w:szCs w:val="20"/>
              </w:rPr>
            </w:pPr>
            <w:r w:rsidRPr="00BB7A5F">
              <w:rPr>
                <w:szCs w:val="20"/>
              </w:rPr>
              <w:t>Impact on ($m)</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B7A5F">
              <w:rPr>
                <w:szCs w:val="20"/>
              </w:rPr>
              <w:t>2016–17</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B7A5F">
              <w:rPr>
                <w:szCs w:val="20"/>
              </w:rPr>
              <w:t>2017–18</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szCs w:val="20"/>
              </w:rPr>
            </w:pPr>
            <w:r w:rsidRPr="00BB7A5F">
              <w:rPr>
                <w:szCs w:val="20"/>
              </w:rPr>
              <w:t>2018–19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rPr>
                <w:szCs w:val="20"/>
              </w:rPr>
              <w:t>2019–20</w:t>
            </w:r>
          </w:p>
        </w:tc>
        <w:tc>
          <w:tcPr>
            <w:tcW w:w="681"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rPr>
                <w:b/>
                <w:szCs w:val="20"/>
              </w:rPr>
              <w:t>Total</w:t>
            </w: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Height w:val="465"/>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keepNext/>
              <w:keepLines/>
              <w:ind w:left="57" w:right="57"/>
              <w:rPr>
                <w:szCs w:val="20"/>
              </w:rPr>
            </w:pPr>
            <w:r w:rsidRPr="00BB7A5F">
              <w:rPr>
                <w:szCs w:val="20"/>
              </w:rPr>
              <w:t>Fiscal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keepNext/>
              <w:keepLines/>
              <w:jc w:val="right"/>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BB7A5F">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szCs w:val="20"/>
              </w:rPr>
              <w:t>-</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szCs w:val="20"/>
              </w:rPr>
              <w:t>-</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1"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keepNext/>
              <w:keepLines/>
              <w:ind w:left="57" w:right="57"/>
              <w:rPr>
                <w:szCs w:val="20"/>
              </w:rPr>
            </w:pPr>
            <w:r w:rsidRPr="00BB7A5F">
              <w:rPr>
                <w:szCs w:val="20"/>
              </w:rPr>
              <w:t>Underlying cash balance</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keepNext/>
              <w:keepLines/>
              <w:cnfStyle w:val="000000010000" w:firstRow="0" w:lastRow="0" w:firstColumn="0" w:lastColumn="0" w:oddVBand="0" w:evenVBand="0" w:oddHBand="0" w:evenHBand="1" w:firstRowFirstColumn="0" w:firstRowLastColumn="0" w:lastRowFirstColumn="0" w:lastRowLastColumn="0"/>
              <w:rPr>
                <w:szCs w:val="20"/>
              </w:rPr>
            </w:pPr>
            <w:r w:rsidRPr="00BB7A5F">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pPr>
            <w:r w:rsidRPr="00BB7A5F">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pPr>
            <w:r w:rsidRPr="00BB7A5F">
              <w:rPr>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pPr>
            <w:r w:rsidRPr="00BB7A5F">
              <w:rPr>
                <w:szCs w:val="20"/>
              </w:rPr>
              <w:t>-</w:t>
            </w:r>
          </w:p>
        </w:tc>
        <w:tc>
          <w:tcPr>
            <w:tcW w:w="681" w:type="pct"/>
            <w:tcBorders>
              <w:top w:val="single" w:sz="4" w:space="0" w:color="788184"/>
              <w:left w:val="single" w:sz="4" w:space="0" w:color="788184"/>
              <w:bottom w:val="single" w:sz="4" w:space="0" w:color="788184"/>
              <w:right w:val="single" w:sz="4" w:space="0" w:color="788184"/>
            </w:tcBorders>
            <w:shd w:val="clear" w:color="auto" w:fill="auto"/>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rPr>
            </w:pPr>
            <w:r w:rsidRPr="00BB7A5F">
              <w:rPr>
                <w:b/>
                <w:szCs w:val="20"/>
              </w:rPr>
              <w:t>-</w:t>
            </w:r>
          </w:p>
        </w:tc>
      </w:tr>
    </w:tbl>
    <w:p w:rsidR="00BB7A5F" w:rsidRPr="00BB7A5F" w:rsidRDefault="00BB7A5F" w:rsidP="00BB7A5F">
      <w:pPr>
        <w:numPr>
          <w:ilvl w:val="0"/>
          <w:numId w:val="13"/>
        </w:numPr>
        <w:spacing w:before="113" w:after="113" w:line="260" w:lineRule="atLeast"/>
        <w:ind w:left="284" w:hanging="284"/>
        <w:rPr>
          <w:rFonts w:ascii="Calibri" w:eastAsia="Calibri" w:hAnsi="Calibri" w:cs="Times New Roman"/>
          <w:sz w:val="20"/>
          <w:szCs w:val="20"/>
        </w:rPr>
      </w:pPr>
      <w:r w:rsidRPr="00BB7A5F">
        <w:rPr>
          <w:rFonts w:ascii="Calibri" w:eastAsia="Calibri" w:hAnsi="Calibri" w:cs="Times New Roman"/>
          <w:sz w:val="20"/>
          <w:szCs w:val="20"/>
        </w:rPr>
        <w:t>Indicates nil.</w:t>
      </w:r>
    </w:p>
    <w:p w:rsidR="00BB7A5F" w:rsidRPr="00BB7A5F" w:rsidRDefault="00BB7A5F" w:rsidP="00654D61">
      <w:pPr>
        <w:pStyle w:val="CostingsH7"/>
        <w:rPr>
          <w:rFonts w:eastAsia="Calibri"/>
        </w:rPr>
      </w:pPr>
      <w:r w:rsidRPr="00BB7A5F">
        <w:rPr>
          <w:rFonts w:eastAsia="Calibri"/>
        </w:rPr>
        <w:t>Methodology</w:t>
      </w:r>
    </w:p>
    <w:p w:rsidR="00BB7A5F" w:rsidRPr="00BB7A5F" w:rsidRDefault="00BB7A5F" w:rsidP="00654D61">
      <w:pPr>
        <w:pStyle w:val="CostingsH8"/>
        <w:rPr>
          <w:rFonts w:eastAsia="Calibri"/>
        </w:rPr>
      </w:pPr>
      <w:r w:rsidRPr="00BB7A5F">
        <w:rPr>
          <w:rFonts w:eastAsia="Calibri"/>
        </w:rPr>
        <w:t>Component 1 - Not proceeding with Efficiency Dividend and Target</w:t>
      </w:r>
    </w:p>
    <w:p w:rsidR="00BB7A5F" w:rsidRPr="00BB7A5F" w:rsidRDefault="00BB7A5F" w:rsidP="00BB7A5F">
      <w:pPr>
        <w:spacing w:before="114" w:after="120"/>
        <w:rPr>
          <w:rFonts w:ascii="Calibri" w:eastAsia="Calibri" w:hAnsi="Calibri" w:cs="Times New Roman"/>
        </w:rPr>
      </w:pPr>
      <w:r w:rsidRPr="00BB7A5F">
        <w:rPr>
          <w:rFonts w:ascii="Calibri" w:eastAsia="Calibri" w:hAnsi="Calibri" w:cs="Times New Roman"/>
        </w:rPr>
        <w:t xml:space="preserve">The impact was derived as the reversal of both the 2016-17 Budget measure, </w:t>
      </w:r>
      <w:r w:rsidRPr="00BB7A5F">
        <w:rPr>
          <w:rFonts w:ascii="Calibri" w:eastAsia="Calibri" w:hAnsi="Calibri" w:cs="Times New Roman"/>
          <w:i/>
        </w:rPr>
        <w:t>Public Sector Transformation and the Efficiency Dividend</w:t>
      </w:r>
      <w:r w:rsidRPr="00BB7A5F">
        <w:rPr>
          <w:rFonts w:ascii="Calibri" w:eastAsia="Calibri" w:hAnsi="Calibri" w:cs="Times New Roman"/>
          <w:vertAlign w:val="superscript"/>
        </w:rPr>
        <w:footnoteReference w:id="28"/>
      </w:r>
      <w:r w:rsidRPr="00BB7A5F">
        <w:rPr>
          <w:rFonts w:ascii="Calibri" w:eastAsia="Calibri" w:hAnsi="Calibri" w:cs="Times New Roman"/>
        </w:rPr>
        <w:t xml:space="preserve"> and the 2015-16 MYEFO measure, </w:t>
      </w:r>
      <w:r w:rsidRPr="00BB7A5F">
        <w:rPr>
          <w:rFonts w:ascii="Calibri" w:eastAsia="Calibri" w:hAnsi="Calibri" w:cs="Times New Roman"/>
          <w:i/>
        </w:rPr>
        <w:t>Communications and the Arts Portfolio – efficiencies</w:t>
      </w:r>
      <w:r w:rsidR="00A1101A">
        <w:rPr>
          <w:rFonts w:ascii="Calibri" w:eastAsia="Calibri" w:hAnsi="Calibri" w:cs="Times New Roman"/>
          <w:i/>
        </w:rPr>
        <w:t>.</w:t>
      </w:r>
      <w:r w:rsidRPr="00BB7A5F">
        <w:rPr>
          <w:rFonts w:ascii="Calibri" w:eastAsia="Calibri" w:hAnsi="Calibri" w:cs="Times New Roman"/>
          <w:vertAlign w:val="superscript"/>
        </w:rPr>
        <w:t xml:space="preserve"> </w:t>
      </w:r>
      <w:r w:rsidRPr="00BB7A5F">
        <w:rPr>
          <w:rFonts w:ascii="Calibri" w:eastAsia="Calibri" w:hAnsi="Calibri" w:cs="Times New Roman"/>
          <w:vertAlign w:val="superscript"/>
        </w:rPr>
        <w:footnoteReference w:id="29"/>
      </w:r>
    </w:p>
    <w:p w:rsidR="00BB7A5F" w:rsidRPr="00BB7A5F" w:rsidRDefault="00BB7A5F" w:rsidP="00654D61">
      <w:pPr>
        <w:pStyle w:val="CostingsH8"/>
        <w:rPr>
          <w:rFonts w:eastAsia="Calibri"/>
        </w:rPr>
      </w:pPr>
      <w:r w:rsidRPr="00BB7A5F">
        <w:rPr>
          <w:rFonts w:eastAsia="Calibri"/>
        </w:rPr>
        <w:t>Component 2 - Alternative equivalent savings</w:t>
      </w:r>
    </w:p>
    <w:p w:rsidR="00BB7A5F" w:rsidRPr="00BB7A5F" w:rsidRDefault="00BB7A5F" w:rsidP="00BB7A5F">
      <w:pPr>
        <w:spacing w:before="114" w:after="120"/>
        <w:rPr>
          <w:rFonts w:ascii="Calibri" w:eastAsia="Calibri" w:hAnsi="Calibri" w:cs="Times New Roman"/>
        </w:rPr>
      </w:pPr>
      <w:r w:rsidRPr="00BB7A5F">
        <w:rPr>
          <w:rFonts w:ascii="Calibri" w:eastAsia="Calibri" w:hAnsi="Calibri" w:cs="Times New Roman"/>
        </w:rPr>
        <w:t>The impact was derived as the net result of reinstating savings equivalent to the two measures at Component 1 and the specified re-investment of $500 million.</w:t>
      </w:r>
    </w:p>
    <w:p w:rsidR="00BB7A5F" w:rsidRPr="00BB7A5F" w:rsidRDefault="00BB7A5F" w:rsidP="00654D61">
      <w:pPr>
        <w:pStyle w:val="CostingsH7"/>
        <w:rPr>
          <w:rFonts w:eastAsia="Calibri"/>
        </w:rPr>
      </w:pPr>
      <w:r w:rsidRPr="00BB7A5F">
        <w:rPr>
          <w:rFonts w:eastAsia="Calibri"/>
        </w:rPr>
        <w:t>Data sources</w:t>
      </w:r>
    </w:p>
    <w:p w:rsidR="00BB7A5F" w:rsidRPr="00BB7A5F" w:rsidRDefault="00BB7A5F" w:rsidP="00BB7A5F">
      <w:pPr>
        <w:spacing w:before="114" w:after="120"/>
        <w:rPr>
          <w:rFonts w:ascii="Calibri" w:eastAsia="Calibri" w:hAnsi="Calibri" w:cs="Times New Roman"/>
        </w:rPr>
      </w:pPr>
      <w:r w:rsidRPr="00BB7A5F">
        <w:rPr>
          <w:rFonts w:ascii="Calibri" w:eastAsia="Calibri" w:hAnsi="Calibri" w:cs="Times New Roman"/>
        </w:rPr>
        <w:t>2016-17 Budget papers.</w:t>
      </w:r>
    </w:p>
    <w:p w:rsidR="00896AB0" w:rsidRDefault="00BB7A5F" w:rsidP="00BB7A5F">
      <w:pPr>
        <w:spacing w:before="114" w:after="120"/>
        <w:rPr>
          <w:rFonts w:ascii="Calibri" w:eastAsia="Calibri" w:hAnsi="Calibri" w:cs="Times New Roman"/>
        </w:rPr>
      </w:pPr>
      <w:r w:rsidRPr="00BB7A5F">
        <w:rPr>
          <w:rFonts w:ascii="Calibri" w:eastAsia="Calibri" w:hAnsi="Calibri" w:cs="Times New Roman"/>
        </w:rPr>
        <w:t>Extracts from the Central Budget Management System as at the 2015-16 MYEFO provided by the Department of Finance.</w:t>
      </w:r>
    </w:p>
    <w:p w:rsidR="00896AB0" w:rsidRDefault="00896AB0" w:rsidP="00BB7A5F">
      <w:pPr>
        <w:spacing w:before="114" w:after="120"/>
        <w:rPr>
          <w:rFonts w:ascii="Calibri" w:eastAsia="Calibri" w:hAnsi="Calibri" w:cs="Times New Roman"/>
        </w:rPr>
        <w:sectPr w:rsidR="00896AB0" w:rsidSect="00085CBF">
          <w:headerReference w:type="even" r:id="rId231"/>
          <w:headerReference w:type="default" r:id="rId232"/>
          <w:footerReference w:type="even" r:id="rId233"/>
          <w:footerReference w:type="default" r:id="rId234"/>
          <w:headerReference w:type="first" r:id="rId235"/>
          <w:footnotePr>
            <w:numRestart w:val="eachSect"/>
          </w:footnotePr>
          <w:pgSz w:w="11906" w:h="16838" w:code="9"/>
          <w:pgMar w:top="1361" w:right="1797" w:bottom="1474" w:left="1797" w:header="283" w:footer="454" w:gutter="0"/>
          <w:cols w:space="708"/>
          <w:docGrid w:linePitch="360"/>
        </w:sectPr>
      </w:pPr>
    </w:p>
    <w:p w:rsidR="00BB7A5F" w:rsidRPr="00BB7A5F" w:rsidRDefault="00BB7A5F" w:rsidP="00654D61">
      <w:pPr>
        <w:pStyle w:val="Heading6"/>
        <w:rPr>
          <w:rFonts w:eastAsia="Calibri"/>
        </w:rPr>
      </w:pPr>
      <w:r w:rsidRPr="00BB7A5F">
        <w:rPr>
          <w:rFonts w:eastAsia="Calibri"/>
        </w:rPr>
        <w:t>Attachment A: Efficiency Dividend and Efficiency Target for national cultural and collecting institutions—financial implications</w:t>
      </w:r>
    </w:p>
    <w:p w:rsidR="00BB7A5F" w:rsidRPr="00BB7A5F" w:rsidRDefault="00BB7A5F" w:rsidP="00BB7A5F">
      <w:pPr>
        <w:keepNext/>
        <w:spacing w:before="340" w:after="114"/>
        <w:rPr>
          <w:rFonts w:ascii="Calibri" w:eastAsia="Calibri" w:hAnsi="Calibri" w:cs="Times New Roman"/>
          <w:b/>
          <w:bCs/>
          <w:color w:val="1F497D"/>
          <w:spacing w:val="-4"/>
          <w:vertAlign w:val="superscript"/>
        </w:rPr>
      </w:pPr>
      <w:r w:rsidRPr="00BB7A5F">
        <w:rPr>
          <w:rFonts w:ascii="Calibri" w:eastAsia="Calibri" w:hAnsi="Calibri" w:cs="Times New Roman"/>
          <w:b/>
          <w:bCs/>
          <w:color w:val="1F497D"/>
          <w:spacing w:val="-4"/>
        </w:rPr>
        <w:t>Table A1: Efficiency Dividend and Efficiency Target for national cultural and collecting institutions—Financial implications (outturn prices)</w:t>
      </w:r>
      <w:r w:rsidRPr="00BB7A5F">
        <w:rPr>
          <w:rFonts w:ascii="Calibri" w:eastAsia="Calibri" w:hAnsi="Calibri" w:cs="Times New Roman"/>
          <w:b/>
          <w:bCs/>
          <w:color w:val="1F497D"/>
          <w:spacing w:val="-4"/>
          <w:vertAlign w:val="superscript"/>
        </w:rPr>
        <w:t>(a)(b)</w:t>
      </w:r>
    </w:p>
    <w:tbl>
      <w:tblPr>
        <w:tblStyle w:val="TableGrid50"/>
        <w:tblW w:w="4995"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Look w:val="04A0" w:firstRow="1" w:lastRow="0" w:firstColumn="1" w:lastColumn="0" w:noHBand="0" w:noVBand="1"/>
      </w:tblPr>
      <w:tblGrid>
        <w:gridCol w:w="2644"/>
        <w:gridCol w:w="1134"/>
        <w:gridCol w:w="1134"/>
        <w:gridCol w:w="1134"/>
        <w:gridCol w:w="1134"/>
        <w:gridCol w:w="1134"/>
      </w:tblGrid>
      <w:tr w:rsidR="00BB7A5F" w:rsidRPr="00BB7A5F" w:rsidTr="00B22C44">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rPr>
                <w:b/>
                <w:szCs w:val="20"/>
              </w:rPr>
            </w:pPr>
            <w:r w:rsidRPr="00BB7A5F">
              <w:rPr>
                <w:szCs w:val="20"/>
              </w:rPr>
              <w:t>($m)</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t>2016–17</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t>2017–18</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t>2018–19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rPr>
            </w:pPr>
            <w:r w:rsidRPr="00BB7A5F">
              <w:t>2019–20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spacing w:line="240" w:lineRule="auto"/>
              <w:ind w:left="57" w:right="57"/>
              <w:cnfStyle w:val="100000000000" w:firstRow="1" w:lastRow="0" w:firstColumn="0" w:lastColumn="0" w:oddVBand="0" w:evenVBand="0" w:oddHBand="0" w:evenHBand="0" w:firstRowFirstColumn="0" w:firstRowLastColumn="0" w:lastRowFirstColumn="0" w:lastRowLastColumn="0"/>
              <w:rPr>
                <w:b/>
                <w:szCs w:val="20"/>
                <w:vertAlign w:val="superscript"/>
              </w:rPr>
            </w:pPr>
            <w:r w:rsidRPr="00BB7A5F">
              <w:rPr>
                <w:b/>
              </w:rPr>
              <w:t>Total</w:t>
            </w:r>
            <w:r w:rsidRPr="00BB7A5F">
              <w:rPr>
                <w:b/>
                <w:szCs w:val="20"/>
              </w:rPr>
              <w:t xml:space="preserve"> to 2019–20</w:t>
            </w: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788184"/>
              <w:left w:val="single" w:sz="4" w:space="0" w:color="788184"/>
              <w:bottom w:val="single" w:sz="4" w:space="0" w:color="788184"/>
              <w:right w:val="single" w:sz="4" w:space="0" w:color="788184"/>
            </w:tcBorders>
            <w:shd w:val="clear" w:color="auto" w:fill="E9ECF3"/>
          </w:tcPr>
          <w:p w:rsidR="00BB7A5F" w:rsidRPr="00BB7A5F" w:rsidRDefault="00BB7A5F" w:rsidP="00BB7A5F">
            <w:pPr>
              <w:keepNext/>
              <w:keepLines/>
              <w:ind w:left="57" w:right="57"/>
              <w:rPr>
                <w:b/>
              </w:rPr>
            </w:pPr>
            <w:r w:rsidRPr="00BB7A5F">
              <w:rPr>
                <w:b/>
              </w:rPr>
              <w:t>Fiscal and underlying cash balances</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b/>
                <w:szCs w:val="20"/>
              </w:rPr>
            </w:pPr>
            <w:r w:rsidRPr="00BB7A5F">
              <w:rPr>
                <w:b/>
                <w:szCs w:val="20"/>
              </w:rPr>
              <w:t>Component 1</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szCs w:val="20"/>
              </w:rPr>
            </w:pPr>
            <w:r w:rsidRPr="00BB7A5F">
              <w:rPr>
                <w:szCs w:val="20"/>
              </w:rPr>
              <w:t>Administered expenses</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-3.1</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-1.6</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-1.6</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w:t>
            </w:r>
            <w:r w:rsidR="00A1101A">
              <w:rPr>
                <w:rFonts w:ascii="Calibri" w:hAnsi="Calibri"/>
                <w:b/>
              </w:rPr>
              <w:t>6.3</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szCs w:val="20"/>
              </w:rPr>
            </w:pPr>
            <w:r w:rsidRPr="00BB7A5F">
              <w:rPr>
                <w:szCs w:val="20"/>
              </w:rPr>
              <w:t>Departmental expenses</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i/>
                <w:szCs w:val="20"/>
              </w:rPr>
            </w:pPr>
            <w:r w:rsidRPr="00BB7A5F">
              <w:rPr>
                <w:i/>
                <w:szCs w:val="20"/>
              </w:rPr>
              <w:t>Efficiency dividend</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-419.9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-701.9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-836.0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BB7A5F">
              <w:rPr>
                <w:rFonts w:ascii="Calibri" w:hAnsi="Calibri"/>
                <w:b/>
                <w:i/>
              </w:rPr>
              <w:t>-1,9</w:t>
            </w:r>
            <w:r w:rsidR="00A1101A">
              <w:rPr>
                <w:rFonts w:ascii="Calibri" w:hAnsi="Calibri"/>
                <w:b/>
                <w:i/>
              </w:rPr>
              <w:t>57.9</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i/>
                <w:szCs w:val="20"/>
              </w:rPr>
            </w:pPr>
            <w:r w:rsidRPr="00BB7A5F">
              <w:rPr>
                <w:i/>
                <w:szCs w:val="20"/>
              </w:rPr>
              <w:t>$500 million re-investment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110.0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180.0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210.0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500.0</w:t>
            </w: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keepNext/>
              <w:keepLines/>
              <w:ind w:left="57" w:right="57"/>
              <w:rPr>
                <w:b/>
                <w:szCs w:val="20"/>
              </w:rPr>
            </w:pPr>
            <w:r w:rsidRPr="00BB7A5F">
              <w:rPr>
                <w:b/>
                <w:szCs w:val="20"/>
              </w:rPr>
              <w:t>Total Component 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A5F">
              <w:rPr>
                <w:rFonts w:ascii="Calibri" w:hAnsi="Calibri"/>
                <w:b/>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 xml:space="preserve">-313.1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 xml:space="preserve">-523.5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 xml:space="preserve">-627.6 </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-1,4</w:t>
            </w:r>
            <w:r w:rsidR="00A1101A">
              <w:rPr>
                <w:rFonts w:ascii="Calibri" w:hAnsi="Calibri"/>
                <w:b/>
              </w:rPr>
              <w:t>64</w:t>
            </w:r>
            <w:r w:rsidRPr="00BB7A5F">
              <w:rPr>
                <w:rFonts w:ascii="Calibri" w:hAnsi="Calibri"/>
                <w:b/>
              </w:rPr>
              <w:t>.</w:t>
            </w:r>
            <w:r w:rsidR="00A1101A">
              <w:rPr>
                <w:rFonts w:ascii="Calibri" w:hAnsi="Calibri"/>
                <w:b/>
              </w:rPr>
              <w:t>2</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b/>
                <w:szCs w:val="20"/>
              </w:rPr>
            </w:pPr>
            <w:r w:rsidRPr="00BB7A5F">
              <w:rPr>
                <w:b/>
                <w:szCs w:val="20"/>
              </w:rPr>
              <w:t>Component 2</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szCs w:val="20"/>
              </w:rPr>
            </w:pPr>
            <w:r w:rsidRPr="00BB7A5F">
              <w:rPr>
                <w:szCs w:val="20"/>
              </w:rPr>
              <w:t>Administered expenses</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3.1</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1.6</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BB7A5F">
              <w:rPr>
                <w:rFonts w:ascii="Calibri" w:hAnsi="Calibri"/>
              </w:rPr>
              <w:t>1.6</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A1101A"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Pr>
                <w:rFonts w:ascii="Calibri" w:hAnsi="Calibri"/>
                <w:b/>
              </w:rPr>
              <w:t>6.3</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szCs w:val="20"/>
              </w:rPr>
            </w:pPr>
            <w:r w:rsidRPr="00BB7A5F">
              <w:rPr>
                <w:szCs w:val="20"/>
              </w:rPr>
              <w:t>Departmental expenses</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i/>
                <w:szCs w:val="20"/>
              </w:rPr>
            </w:pPr>
            <w:r w:rsidRPr="00BB7A5F">
              <w:rPr>
                <w:i/>
                <w:szCs w:val="20"/>
              </w:rPr>
              <w:t>Efficiency dividend</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419.9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701.9</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i/>
              </w:rPr>
            </w:pPr>
            <w:r w:rsidRPr="00BB7A5F">
              <w:rPr>
                <w:rFonts w:ascii="Calibri" w:hAnsi="Calibri"/>
                <w:i/>
              </w:rPr>
              <w:t>836.0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i/>
              </w:rPr>
            </w:pPr>
            <w:r w:rsidRPr="00BB7A5F">
              <w:rPr>
                <w:rFonts w:ascii="Calibri" w:hAnsi="Calibri"/>
                <w:b/>
                <w:i/>
              </w:rPr>
              <w:t>1,9</w:t>
            </w:r>
            <w:r w:rsidR="00A1101A">
              <w:rPr>
                <w:rFonts w:ascii="Calibri" w:hAnsi="Calibri"/>
                <w:b/>
                <w:i/>
              </w:rPr>
              <w:t>57.9</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keepNext/>
              <w:keepLines/>
              <w:ind w:left="57" w:right="57"/>
              <w:rPr>
                <w:i/>
                <w:szCs w:val="20"/>
              </w:rPr>
            </w:pPr>
            <w:r w:rsidRPr="00BB7A5F">
              <w:rPr>
                <w:i/>
                <w:szCs w:val="20"/>
              </w:rPr>
              <w:t>$500 million re-investment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-110.0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-180.0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i/>
              </w:rPr>
            </w:pPr>
            <w:r w:rsidRPr="00BB7A5F">
              <w:rPr>
                <w:i/>
              </w:rPr>
              <w:t>-210.0</w:t>
            </w:r>
          </w:p>
        </w:tc>
        <w:tc>
          <w:tcPr>
            <w:tcW w:w="682" w:type="pct"/>
            <w:tcBorders>
              <w:top w:val="single" w:sz="4" w:space="0" w:color="788184"/>
              <w:left w:val="single" w:sz="4" w:space="0" w:color="788184"/>
              <w:bottom w:val="single" w:sz="4" w:space="0" w:color="788184"/>
              <w:right w:val="single" w:sz="4" w:space="0" w:color="788184"/>
            </w:tcBorders>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-500.0</w:t>
            </w:r>
          </w:p>
        </w:tc>
      </w:tr>
      <w:tr w:rsidR="00BB7A5F" w:rsidRPr="00BB7A5F" w:rsidTr="00B22C4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keepNext/>
              <w:keepLines/>
              <w:ind w:left="57" w:right="57"/>
              <w:rPr>
                <w:b/>
                <w:szCs w:val="20"/>
              </w:rPr>
            </w:pPr>
            <w:r w:rsidRPr="00BB7A5F">
              <w:rPr>
                <w:b/>
                <w:szCs w:val="20"/>
              </w:rPr>
              <w:t>Total Component 2</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szCs w:val="20"/>
              </w:rPr>
            </w:pPr>
            <w:r w:rsidRPr="00BB7A5F">
              <w:rPr>
                <w:rFonts w:ascii="Calibri" w:hAnsi="Calibri"/>
                <w:b/>
                <w:szCs w:val="20"/>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313.1</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523.5</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627.6</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jc w:val="right"/>
              <w:cnfStyle w:val="000000100000" w:firstRow="0" w:lastRow="0" w:firstColumn="0" w:lastColumn="0" w:oddVBand="0" w:evenVBand="0" w:oddHBand="1" w:evenHBand="0" w:firstRowFirstColumn="0" w:firstRowLastColumn="0" w:lastRowFirstColumn="0" w:lastRowLastColumn="0"/>
              <w:rPr>
                <w:rFonts w:ascii="Calibri" w:hAnsi="Calibri"/>
                <w:b/>
              </w:rPr>
            </w:pPr>
            <w:r w:rsidRPr="00BB7A5F">
              <w:rPr>
                <w:rFonts w:ascii="Calibri" w:hAnsi="Calibri"/>
                <w:b/>
              </w:rPr>
              <w:t>1,4</w:t>
            </w:r>
            <w:r w:rsidR="00A1101A">
              <w:rPr>
                <w:rFonts w:ascii="Calibri" w:hAnsi="Calibri"/>
                <w:b/>
              </w:rPr>
              <w:t>64</w:t>
            </w:r>
            <w:r w:rsidRPr="00BB7A5F">
              <w:rPr>
                <w:rFonts w:ascii="Calibri" w:hAnsi="Calibri"/>
                <w:b/>
              </w:rPr>
              <w:t>.</w:t>
            </w:r>
            <w:r w:rsidR="00A1101A">
              <w:rPr>
                <w:rFonts w:ascii="Calibri" w:hAnsi="Calibri"/>
                <w:b/>
              </w:rPr>
              <w:t>2</w:t>
            </w:r>
          </w:p>
        </w:tc>
      </w:tr>
      <w:tr w:rsidR="00BB7A5F" w:rsidRPr="00BB7A5F" w:rsidTr="00B22C4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90"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keepNext/>
              <w:keepLines/>
              <w:ind w:left="57" w:right="57"/>
              <w:rPr>
                <w:b/>
                <w:szCs w:val="20"/>
              </w:rPr>
            </w:pPr>
            <w:r w:rsidRPr="00BB7A5F">
              <w:rPr>
                <w:b/>
                <w:szCs w:val="20"/>
              </w:rPr>
              <w:t>Total</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w:t>
            </w:r>
          </w:p>
        </w:tc>
        <w:tc>
          <w:tcPr>
            <w:tcW w:w="682" w:type="pct"/>
            <w:tcBorders>
              <w:top w:val="single" w:sz="4" w:space="0" w:color="788184"/>
              <w:left w:val="single" w:sz="4" w:space="0" w:color="788184"/>
              <w:bottom w:val="single" w:sz="4" w:space="0" w:color="788184"/>
              <w:right w:val="single" w:sz="4" w:space="0" w:color="788184"/>
            </w:tcBorders>
            <w:shd w:val="clear" w:color="auto" w:fill="D7DDE9"/>
          </w:tcPr>
          <w:p w:rsidR="00BB7A5F" w:rsidRPr="00BB7A5F" w:rsidRDefault="00BB7A5F" w:rsidP="00BB7A5F">
            <w:pPr>
              <w:cnfStyle w:val="000000010000" w:firstRow="0" w:lastRow="0" w:firstColumn="0" w:lastColumn="0" w:oddVBand="0" w:evenVBand="0" w:oddHBand="0" w:evenHBand="1" w:firstRowFirstColumn="0" w:firstRowLastColumn="0" w:lastRowFirstColumn="0" w:lastRowLastColumn="0"/>
              <w:rPr>
                <w:b/>
                <w:i/>
              </w:rPr>
            </w:pPr>
            <w:r w:rsidRPr="00BB7A5F">
              <w:rPr>
                <w:b/>
                <w:i/>
              </w:rPr>
              <w:t>-</w:t>
            </w:r>
          </w:p>
        </w:tc>
      </w:tr>
    </w:tbl>
    <w:p w:rsidR="00BB7A5F" w:rsidRPr="00896AB0" w:rsidRDefault="00BB7A5F" w:rsidP="00896AB0">
      <w:pPr>
        <w:pStyle w:val="Footnotes"/>
        <w:numPr>
          <w:ilvl w:val="0"/>
          <w:numId w:val="226"/>
        </w:numPr>
        <w:rPr>
          <w:rFonts w:ascii="Calibri" w:eastAsia="Calibri" w:hAnsi="Calibri" w:cs="Times New Roman"/>
        </w:rPr>
      </w:pPr>
      <w:r w:rsidRPr="00896AB0">
        <w:rPr>
          <w:rFonts w:ascii="Calibri" w:eastAsia="Calibri" w:hAnsi="Calibri" w:cs="Times New Roman"/>
        </w:rPr>
        <w:t>A positive sign indicates a decrease in outlays.  A negative sign indicates an increase in outlays.</w:t>
      </w:r>
    </w:p>
    <w:p w:rsidR="00BB7A5F" w:rsidRPr="00BB7A5F" w:rsidRDefault="00BB7A5F" w:rsidP="00896AB0">
      <w:pPr>
        <w:pStyle w:val="Footnotes"/>
        <w:ind w:left="284" w:hanging="284"/>
        <w:rPr>
          <w:rFonts w:ascii="Calibri" w:eastAsia="Calibri" w:hAnsi="Calibri" w:cs="Times New Roman"/>
        </w:rPr>
      </w:pPr>
      <w:r w:rsidRPr="00BB7A5F">
        <w:rPr>
          <w:rFonts w:ascii="Calibri" w:eastAsia="Calibri" w:hAnsi="Calibri" w:cs="Times New Roman"/>
        </w:rPr>
        <w:t>Figures may not sum to totals due to rounding.</w:t>
      </w:r>
    </w:p>
    <w:p w:rsidR="00BB7A5F" w:rsidRPr="00BB7A5F" w:rsidRDefault="00BB7A5F" w:rsidP="00BB7A5F">
      <w:pPr>
        <w:pStyle w:val="Footnotes"/>
        <w:numPr>
          <w:ilvl w:val="0"/>
          <w:numId w:val="13"/>
        </w:numPr>
        <w:ind w:left="284" w:hanging="284"/>
      </w:pPr>
      <w:r w:rsidRPr="00BB7A5F">
        <w:t>Indicates nil.</w:t>
      </w:r>
    </w:p>
    <w:sectPr w:rsidR="00BB7A5F" w:rsidRPr="00BB7A5F" w:rsidSect="00085CBF">
      <w:footnotePr>
        <w:numRestart w:val="eachSect"/>
      </w:footnotePr>
      <w:pgSz w:w="11906" w:h="16838" w:code="9"/>
      <w:pgMar w:top="1361" w:right="1797" w:bottom="1474" w:left="1797"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160" w:rsidRDefault="00290160" w:rsidP="00A20802">
      <w:pPr>
        <w:spacing w:line="240" w:lineRule="auto"/>
      </w:pPr>
      <w:r>
        <w:separator/>
      </w:r>
    </w:p>
    <w:p w:rsidR="00290160" w:rsidRDefault="00290160"/>
  </w:endnote>
  <w:endnote w:type="continuationSeparator" w:id="0">
    <w:p w:rsidR="00290160" w:rsidRDefault="00290160" w:rsidP="00A20802">
      <w:pPr>
        <w:spacing w:line="240" w:lineRule="auto"/>
      </w:pPr>
      <w:r>
        <w:continuationSeparator/>
      </w:r>
    </w:p>
    <w:p w:rsidR="00290160" w:rsidRDefault="002901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284B97">
      <w:trPr>
        <w:trHeight w:val="340"/>
      </w:trPr>
      <w:tc>
        <w:tcPr>
          <w:tcW w:w="567" w:type="dxa"/>
          <w:tcBorders>
            <w:right w:val="single" w:sz="4" w:space="0" w:color="788184" w:themeColor="background2"/>
          </w:tcBorders>
          <w:vAlign w:val="center"/>
        </w:tcPr>
        <w:p w:rsidR="00290160" w:rsidRPr="00CB70DF" w:rsidRDefault="00290160" w:rsidP="00284B97">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0279D8">
            <w:rPr>
              <w:noProof/>
            </w:rPr>
            <w:t>144</w:t>
          </w:r>
          <w:r w:rsidRPr="00EB388E">
            <w:fldChar w:fldCharType="end"/>
          </w:r>
        </w:p>
      </w:tc>
      <w:tc>
        <w:tcPr>
          <w:tcW w:w="8164" w:type="dxa"/>
          <w:tcBorders>
            <w:left w:val="single" w:sz="4" w:space="0" w:color="788184" w:themeColor="background2"/>
          </w:tcBorders>
          <w:vAlign w:val="center"/>
        </w:tcPr>
        <w:p w:rsidR="00290160" w:rsidRPr="00CB70DF" w:rsidRDefault="00290160" w:rsidP="00284B97">
          <w:pPr>
            <w:pStyle w:val="FooterLeft"/>
            <w:framePr w:wrap="auto" w:vAnchor="margin" w:hAnchor="text" w:yAlign="inline"/>
          </w:pPr>
          <w:r>
            <w:t>Post-election report of election commitments</w:t>
          </w:r>
        </w:p>
      </w:tc>
    </w:tr>
    <w:tr w:rsidR="00290160" w:rsidRPr="00EB388E" w:rsidTr="00284B97">
      <w:trPr>
        <w:trHeight w:hRule="exact" w:val="403"/>
      </w:trPr>
      <w:tc>
        <w:tcPr>
          <w:tcW w:w="567" w:type="dxa"/>
          <w:tcMar>
            <w:bottom w:w="284" w:type="dxa"/>
          </w:tcMar>
        </w:tcPr>
        <w:p w:rsidR="00290160" w:rsidRPr="00EB388E" w:rsidRDefault="00290160" w:rsidP="00284B97">
          <w:pPr>
            <w:pStyle w:val="FooterRightPageNumber"/>
          </w:pPr>
        </w:p>
      </w:tc>
      <w:tc>
        <w:tcPr>
          <w:tcW w:w="8164" w:type="dxa"/>
          <w:tcMar>
            <w:bottom w:w="284" w:type="dxa"/>
          </w:tcMar>
        </w:tcPr>
        <w:p w:rsidR="00290160" w:rsidRPr="00090E70" w:rsidRDefault="00290160" w:rsidP="00284B97"/>
      </w:tc>
    </w:tr>
  </w:tbl>
  <w:p w:rsidR="00290160" w:rsidRDefault="00290160">
    <w:pPr>
      <w:pStyle w:val="Footer"/>
    </w:pPr>
  </w:p>
  <w:p w:rsidR="00290160" w:rsidRPr="004816D7" w:rsidRDefault="00290160" w:rsidP="004816D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C24267" w:rsidRDefault="00290160" w:rsidP="00420BD0">
    <w:pPr>
      <w:pStyle w:val="Footer"/>
    </w:pPr>
    <w:r w:rsidRPr="00C24267">
      <w:t xml:space="preserve">Page </w:t>
    </w:r>
    <w:r w:rsidRPr="00C24267">
      <w:fldChar w:fldCharType="begin"/>
    </w:r>
    <w:r w:rsidRPr="00C24267">
      <w:instrText xml:space="preserve"> PAGE  \* Arabic  \* MERGEFORMAT </w:instrText>
    </w:r>
    <w:r w:rsidRPr="00C24267">
      <w:fldChar w:fldCharType="separate"/>
    </w:r>
    <w:r w:rsidR="009F1D58">
      <w:rPr>
        <w:noProof/>
      </w:rPr>
      <w:t>173</w:t>
    </w:r>
    <w:r w:rsidRPr="00C24267">
      <w:fldChar w:fldCharType="end"/>
    </w:r>
    <w:r w:rsidRPr="00C24267">
      <w:t xml:space="preserve"> of </w:t>
    </w:r>
    <w:r w:rsidR="000279D8">
      <w:fldChar w:fldCharType="begin"/>
    </w:r>
    <w:r w:rsidR="000279D8">
      <w:instrText xml:space="preserve"> NUMPAGES  \* Arabic  \* MERGEFORMAT </w:instrText>
    </w:r>
    <w:r w:rsidR="000279D8">
      <w:fldChar w:fldCharType="separate"/>
    </w:r>
    <w:r w:rsidR="009F1D58">
      <w:rPr>
        <w:noProof/>
      </w:rPr>
      <w:t>316</w:t>
    </w:r>
    <w:r w:rsidR="000279D8">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85CBF">
      <w:trPr>
        <w:trHeight w:val="340"/>
      </w:trPr>
      <w:tc>
        <w:tcPr>
          <w:tcW w:w="567" w:type="dxa"/>
          <w:tcBorders>
            <w:right w:val="single" w:sz="4" w:space="0" w:color="788184" w:themeColor="background2"/>
          </w:tcBorders>
          <w:vAlign w:val="center"/>
        </w:tcPr>
        <w:p w:rsidR="00290160" w:rsidRPr="00CB70DF" w:rsidRDefault="00290160" w:rsidP="00085CB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440</w:t>
          </w:r>
          <w:r w:rsidRPr="00EB388E">
            <w:fldChar w:fldCharType="end"/>
          </w:r>
        </w:p>
      </w:tc>
      <w:tc>
        <w:tcPr>
          <w:tcW w:w="8164" w:type="dxa"/>
          <w:tcBorders>
            <w:left w:val="single" w:sz="4" w:space="0" w:color="788184" w:themeColor="background2"/>
          </w:tcBorders>
          <w:vAlign w:val="center"/>
        </w:tcPr>
        <w:p w:rsidR="00290160" w:rsidRPr="00CB70DF" w:rsidRDefault="00290160" w:rsidP="00085CBF">
          <w:pPr>
            <w:pStyle w:val="FooterLeft"/>
            <w:framePr w:wrap="auto" w:vAnchor="margin" w:hAnchor="text" w:yAlign="inline"/>
          </w:pPr>
          <w:r>
            <w:t>Post-election report of election commitments</w:t>
          </w:r>
        </w:p>
      </w:tc>
    </w:tr>
    <w:tr w:rsidR="00290160" w:rsidRPr="00EB388E" w:rsidTr="00085CBF">
      <w:trPr>
        <w:trHeight w:hRule="exact" w:val="403"/>
      </w:trPr>
      <w:tc>
        <w:tcPr>
          <w:tcW w:w="567" w:type="dxa"/>
          <w:tcMar>
            <w:bottom w:w="284" w:type="dxa"/>
          </w:tcMar>
        </w:tcPr>
        <w:p w:rsidR="00290160" w:rsidRPr="00EB388E" w:rsidRDefault="00290160" w:rsidP="00085CBF">
          <w:pPr>
            <w:pStyle w:val="FooterRightPageNumber"/>
          </w:pPr>
        </w:p>
      </w:tc>
      <w:tc>
        <w:tcPr>
          <w:tcW w:w="8164" w:type="dxa"/>
          <w:tcMar>
            <w:bottom w:w="284" w:type="dxa"/>
          </w:tcMar>
        </w:tcPr>
        <w:p w:rsidR="00290160" w:rsidRPr="00090E70" w:rsidRDefault="00290160" w:rsidP="00085CBF"/>
      </w:tc>
    </w:tr>
  </w:tbl>
  <w:p w:rsidR="00290160" w:rsidRDefault="00290160">
    <w:pPr>
      <w:pStyle w:val="Footer"/>
    </w:pPr>
  </w:p>
  <w:p w:rsidR="00290160" w:rsidRPr="004816D7" w:rsidRDefault="00290160" w:rsidP="004816D7">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85CBF">
      <w:trPr>
        <w:trHeight w:val="340"/>
      </w:trPr>
      <w:tc>
        <w:tcPr>
          <w:tcW w:w="8164" w:type="dxa"/>
          <w:tcBorders>
            <w:right w:val="single" w:sz="4" w:space="0" w:color="788184" w:themeColor="background2"/>
          </w:tcBorders>
          <w:vAlign w:val="center"/>
        </w:tcPr>
        <w:p w:rsidR="00290160" w:rsidRPr="00CB70DF" w:rsidRDefault="000279D8" w:rsidP="00085CB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85CBF">
          <w:pPr>
            <w:pStyle w:val="FooterRightPageNumber"/>
          </w:pPr>
          <w:r w:rsidRPr="00EB388E">
            <w:fldChar w:fldCharType="begin"/>
          </w:r>
          <w:r w:rsidRPr="00EB388E">
            <w:instrText xml:space="preserve"> PAGE   \* MERGEFORMAT </w:instrText>
          </w:r>
          <w:r w:rsidRPr="00EB388E">
            <w:fldChar w:fldCharType="separate"/>
          </w:r>
          <w:r w:rsidR="00490640">
            <w:t>441</w:t>
          </w:r>
          <w:r w:rsidRPr="00EB388E">
            <w:fldChar w:fldCharType="end"/>
          </w:r>
        </w:p>
      </w:tc>
    </w:tr>
    <w:tr w:rsidR="00290160" w:rsidRPr="00EB388E" w:rsidTr="00085CBF">
      <w:trPr>
        <w:trHeight w:hRule="exact" w:val="403"/>
      </w:trPr>
      <w:tc>
        <w:tcPr>
          <w:tcW w:w="8164" w:type="dxa"/>
        </w:tcPr>
        <w:p w:rsidR="00290160" w:rsidRPr="00090E70" w:rsidRDefault="00290160" w:rsidP="00085CBF"/>
      </w:tc>
      <w:tc>
        <w:tcPr>
          <w:tcW w:w="567" w:type="dxa"/>
          <w:tcMar>
            <w:bottom w:w="284" w:type="dxa"/>
          </w:tcMar>
        </w:tcPr>
        <w:p w:rsidR="00290160" w:rsidRPr="00090E70" w:rsidRDefault="00290160" w:rsidP="00085CBF"/>
      </w:tc>
    </w:tr>
  </w:tbl>
  <w:p w:rsidR="00290160" w:rsidRDefault="00290160">
    <w:pPr>
      <w:pStyle w:val="Footer"/>
    </w:pPr>
  </w:p>
  <w:p w:rsidR="00290160" w:rsidRPr="004816D7" w:rsidRDefault="00290160" w:rsidP="0073534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45988">
      <w:trPr>
        <w:trHeight w:val="340"/>
      </w:trPr>
      <w:tc>
        <w:tcPr>
          <w:tcW w:w="567" w:type="dxa"/>
          <w:tcBorders>
            <w:right w:val="single" w:sz="4" w:space="0" w:color="788184" w:themeColor="background2"/>
          </w:tcBorders>
          <w:vAlign w:val="center"/>
        </w:tcPr>
        <w:p w:rsidR="00290160" w:rsidRPr="00CB70DF" w:rsidRDefault="00290160" w:rsidP="001F2692">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178</w:t>
          </w:r>
          <w:r w:rsidRPr="00EB388E">
            <w:fldChar w:fldCharType="end"/>
          </w:r>
        </w:p>
      </w:tc>
      <w:tc>
        <w:tcPr>
          <w:tcW w:w="8164" w:type="dxa"/>
          <w:tcBorders>
            <w:left w:val="single" w:sz="4" w:space="0" w:color="788184" w:themeColor="background2"/>
          </w:tcBorders>
          <w:vAlign w:val="center"/>
        </w:tcPr>
        <w:p w:rsidR="00290160" w:rsidRPr="00CB70DF" w:rsidRDefault="00290160" w:rsidP="001F2692">
          <w:pPr>
            <w:pStyle w:val="FooterLeft"/>
            <w:framePr w:wrap="auto" w:vAnchor="margin" w:hAnchor="text" w:yAlign="inline"/>
          </w:pPr>
          <w:r>
            <w:t>Post-election report of election commitments</w:t>
          </w:r>
        </w:p>
      </w:tc>
    </w:tr>
    <w:tr w:rsidR="00290160" w:rsidRPr="00EB388E" w:rsidTr="00745988">
      <w:trPr>
        <w:trHeight w:hRule="exact" w:val="403"/>
      </w:trPr>
      <w:tc>
        <w:tcPr>
          <w:tcW w:w="567" w:type="dxa"/>
          <w:tcMar>
            <w:bottom w:w="284" w:type="dxa"/>
          </w:tcMar>
        </w:tcPr>
        <w:p w:rsidR="00290160" w:rsidRPr="00EB388E" w:rsidRDefault="00290160" w:rsidP="00745988">
          <w:pPr>
            <w:pStyle w:val="FooterRightPageNumber"/>
          </w:pPr>
        </w:p>
      </w:tc>
      <w:tc>
        <w:tcPr>
          <w:tcW w:w="8164" w:type="dxa"/>
          <w:tcMar>
            <w:bottom w:w="284" w:type="dxa"/>
          </w:tcMar>
        </w:tcPr>
        <w:p w:rsidR="00290160" w:rsidRPr="00090E70" w:rsidRDefault="00290160" w:rsidP="00745988"/>
      </w:tc>
    </w:tr>
  </w:tbl>
  <w:p w:rsidR="00290160" w:rsidRDefault="00290160">
    <w:pPr>
      <w:pStyle w:val="Footer"/>
    </w:pPr>
  </w:p>
  <w:p w:rsidR="00290160" w:rsidRPr="004816D7" w:rsidRDefault="00290160" w:rsidP="004816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45988">
      <w:trPr>
        <w:trHeight w:val="340"/>
      </w:trPr>
      <w:tc>
        <w:tcPr>
          <w:tcW w:w="8164" w:type="dxa"/>
          <w:tcBorders>
            <w:right w:val="single" w:sz="4" w:space="0" w:color="788184" w:themeColor="background2"/>
          </w:tcBorders>
          <w:vAlign w:val="center"/>
        </w:tcPr>
        <w:p w:rsidR="00290160" w:rsidRPr="00CB70DF" w:rsidRDefault="000279D8" w:rsidP="0074598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45988">
          <w:pPr>
            <w:pStyle w:val="FooterRightPageNumber"/>
          </w:pPr>
          <w:r w:rsidRPr="00EB388E">
            <w:fldChar w:fldCharType="begin"/>
          </w:r>
          <w:r w:rsidRPr="00EB388E">
            <w:instrText xml:space="preserve"> PAGE   \* MERGEFORMAT </w:instrText>
          </w:r>
          <w:r w:rsidRPr="00EB388E">
            <w:fldChar w:fldCharType="separate"/>
          </w:r>
          <w:r w:rsidR="00490640">
            <w:t>177</w:t>
          </w:r>
          <w:r w:rsidRPr="00EB388E">
            <w:fldChar w:fldCharType="end"/>
          </w:r>
        </w:p>
      </w:tc>
    </w:tr>
    <w:tr w:rsidR="00290160" w:rsidRPr="00EB388E" w:rsidTr="00745988">
      <w:trPr>
        <w:trHeight w:hRule="exact" w:val="403"/>
      </w:trPr>
      <w:tc>
        <w:tcPr>
          <w:tcW w:w="8164" w:type="dxa"/>
        </w:tcPr>
        <w:p w:rsidR="00290160" w:rsidRPr="00090E70" w:rsidRDefault="00290160" w:rsidP="00745988"/>
      </w:tc>
      <w:tc>
        <w:tcPr>
          <w:tcW w:w="567" w:type="dxa"/>
          <w:tcMar>
            <w:bottom w:w="284" w:type="dxa"/>
          </w:tcMar>
        </w:tcPr>
        <w:p w:rsidR="00290160" w:rsidRPr="00090E70" w:rsidRDefault="00290160" w:rsidP="00745988"/>
      </w:tc>
    </w:tr>
  </w:tbl>
  <w:p w:rsidR="00290160" w:rsidRDefault="00290160">
    <w:pPr>
      <w:pStyle w:val="Footer"/>
    </w:pPr>
  </w:p>
  <w:p w:rsidR="00290160" w:rsidRPr="004816D7" w:rsidRDefault="00290160" w:rsidP="00485BA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11844">
    <w:pPr>
      <w:pStyle w:val="Footer"/>
    </w:pPr>
    <w:r w:rsidRPr="00C24267">
      <w:t xml:space="preserve">Page </w:t>
    </w:r>
    <w:r w:rsidRPr="00C24267">
      <w:fldChar w:fldCharType="begin"/>
    </w:r>
    <w:r w:rsidRPr="00C24267">
      <w:instrText xml:space="preserve"> PAGE  \* Arabic  \* MERGEFORMAT </w:instrText>
    </w:r>
    <w:r w:rsidRPr="00C24267">
      <w:fldChar w:fldCharType="separate"/>
    </w:r>
    <w:r w:rsidR="009F1D58">
      <w:rPr>
        <w:noProof/>
      </w:rPr>
      <w:t>181</w:t>
    </w:r>
    <w:r w:rsidRPr="00C24267">
      <w:fldChar w:fldCharType="end"/>
    </w:r>
    <w:r w:rsidRPr="00C24267">
      <w:t xml:space="preserve"> of </w:t>
    </w:r>
    <w:r>
      <w:fldChar w:fldCharType="begin"/>
    </w:r>
    <w:r>
      <w:rPr>
        <w:b w:val="0"/>
      </w:rPr>
      <w:instrText xml:space="preserve"> NUMPAGES  \* Arabic  \* MERGEFORMAT </w:instrText>
    </w:r>
    <w:r>
      <w:fldChar w:fldCharType="separate"/>
    </w:r>
    <w:r w:rsidR="009F1D58" w:rsidRPr="009F1D58">
      <w:rPr>
        <w:noProof/>
      </w:rPr>
      <w:t>316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04375F">
      <w:trPr>
        <w:cantSplit/>
        <w:trHeight w:val="567"/>
      </w:trPr>
      <w:tc>
        <w:tcPr>
          <w:tcW w:w="595" w:type="dxa"/>
          <w:textDirection w:val="tbRl"/>
        </w:tcPr>
        <w:p w:rsidR="00290160" w:rsidRPr="00EB388E" w:rsidRDefault="00290160" w:rsidP="0004375F">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04375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180</w:t>
          </w:r>
          <w:r w:rsidRPr="00EB388E">
            <w:fldChar w:fldCharType="end"/>
          </w:r>
        </w:p>
      </w:tc>
    </w:tr>
    <w:tr w:rsidR="00290160" w:rsidRPr="00EB388E" w:rsidTr="0004375F">
      <w:trPr>
        <w:cantSplit/>
        <w:trHeight w:val="8164"/>
      </w:trPr>
      <w:tc>
        <w:tcPr>
          <w:tcW w:w="595" w:type="dxa"/>
          <w:textDirection w:val="tbRl"/>
        </w:tcPr>
        <w:p w:rsidR="00290160" w:rsidRDefault="00290160" w:rsidP="0004375F">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04375F">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04375F">
      <w:trPr>
        <w:cantSplit/>
        <w:trHeight w:val="8164"/>
      </w:trPr>
      <w:tc>
        <w:tcPr>
          <w:tcW w:w="595" w:type="dxa"/>
          <w:textDirection w:val="tbRl"/>
        </w:tcPr>
        <w:p w:rsidR="00290160" w:rsidRDefault="00290160" w:rsidP="0004375F">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04375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04375F">
      <w:trPr>
        <w:cantSplit/>
        <w:trHeight w:val="850"/>
      </w:trPr>
      <w:tc>
        <w:tcPr>
          <w:tcW w:w="595" w:type="dxa"/>
          <w:textDirection w:val="tbRl"/>
        </w:tcPr>
        <w:p w:rsidR="00290160" w:rsidRDefault="00290160" w:rsidP="0004375F">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04375F">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179</w:t>
          </w:r>
          <w:r w:rsidRPr="00B917D0">
            <w:fldChar w:fldCharType="end"/>
          </w:r>
        </w:p>
      </w:tc>
    </w:tr>
  </w:tbl>
  <w:p w:rsidR="00290160" w:rsidRPr="00E350DC" w:rsidRDefault="00290160" w:rsidP="00712B7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4375F">
      <w:trPr>
        <w:trHeight w:val="340"/>
      </w:trPr>
      <w:tc>
        <w:tcPr>
          <w:tcW w:w="567" w:type="dxa"/>
          <w:tcBorders>
            <w:right w:val="single" w:sz="4" w:space="0" w:color="788184" w:themeColor="background2"/>
          </w:tcBorders>
          <w:vAlign w:val="center"/>
        </w:tcPr>
        <w:p w:rsidR="00290160" w:rsidRPr="00CB70DF" w:rsidRDefault="00290160" w:rsidP="0004375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9F1D58">
            <w:rPr>
              <w:noProof/>
            </w:rPr>
            <w:t>181</w:t>
          </w:r>
          <w:r w:rsidRPr="00EB388E">
            <w:fldChar w:fldCharType="end"/>
          </w:r>
        </w:p>
      </w:tc>
      <w:tc>
        <w:tcPr>
          <w:tcW w:w="8164" w:type="dxa"/>
          <w:tcBorders>
            <w:left w:val="single" w:sz="4" w:space="0" w:color="788184" w:themeColor="background2"/>
          </w:tcBorders>
          <w:vAlign w:val="center"/>
        </w:tcPr>
        <w:p w:rsidR="00290160" w:rsidRPr="00CB70DF" w:rsidRDefault="00290160" w:rsidP="0004375F">
          <w:pPr>
            <w:pStyle w:val="FooterLeft"/>
            <w:framePr w:wrap="auto" w:vAnchor="margin" w:hAnchor="text" w:yAlign="inline"/>
          </w:pPr>
          <w:r>
            <w:fldChar w:fldCharType="begin"/>
          </w:r>
          <w:r>
            <w:instrText xml:space="preserve"> STYLEREF  Title  \* MERGEFORMAT </w:instrText>
          </w:r>
          <w:r>
            <w:fldChar w:fldCharType="separate"/>
          </w:r>
          <w:r w:rsidR="009F1D58">
            <w:rPr>
              <w:b w:val="0"/>
              <w:bCs/>
              <w:noProof/>
              <w:lang w:val="en-US"/>
            </w:rPr>
            <w:t>Error! No text of specified style in document.</w:t>
          </w:r>
          <w:r>
            <w:rPr>
              <w:noProof/>
            </w:rPr>
            <w:fldChar w:fldCharType="end"/>
          </w:r>
        </w:p>
      </w:tc>
    </w:tr>
    <w:tr w:rsidR="00290160" w:rsidRPr="00EB388E" w:rsidTr="0004375F">
      <w:trPr>
        <w:trHeight w:hRule="exact" w:val="403"/>
      </w:trPr>
      <w:tc>
        <w:tcPr>
          <w:tcW w:w="567" w:type="dxa"/>
          <w:tcMar>
            <w:bottom w:w="284" w:type="dxa"/>
          </w:tcMar>
        </w:tcPr>
        <w:p w:rsidR="00290160" w:rsidRPr="00EB388E" w:rsidRDefault="00290160" w:rsidP="0004375F">
          <w:pPr>
            <w:pStyle w:val="FooterRightPageNumber"/>
          </w:pPr>
        </w:p>
      </w:tc>
      <w:tc>
        <w:tcPr>
          <w:tcW w:w="8164" w:type="dxa"/>
          <w:tcMar>
            <w:bottom w:w="284" w:type="dxa"/>
          </w:tcMar>
        </w:tcPr>
        <w:p w:rsidR="00290160" w:rsidRPr="00090E70" w:rsidRDefault="00290160" w:rsidP="0004375F"/>
      </w:tc>
    </w:tr>
  </w:tbl>
  <w:p w:rsidR="00290160" w:rsidRDefault="00290160">
    <w:pPr>
      <w:pStyle w:val="Footer"/>
    </w:pPr>
  </w:p>
  <w:p w:rsidR="00290160" w:rsidRPr="004816D7" w:rsidRDefault="00290160" w:rsidP="004816D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4375F">
      <w:trPr>
        <w:trHeight w:val="340"/>
      </w:trPr>
      <w:tc>
        <w:tcPr>
          <w:tcW w:w="8164" w:type="dxa"/>
          <w:tcBorders>
            <w:right w:val="single" w:sz="4" w:space="0" w:color="788184" w:themeColor="background2"/>
          </w:tcBorders>
          <w:vAlign w:val="center"/>
        </w:tcPr>
        <w:p w:rsidR="00290160" w:rsidRPr="00CB70DF" w:rsidRDefault="000279D8" w:rsidP="0004375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4375F">
          <w:pPr>
            <w:pStyle w:val="FooterRightPageNumber"/>
          </w:pPr>
          <w:r w:rsidRPr="00EB388E">
            <w:fldChar w:fldCharType="begin"/>
          </w:r>
          <w:r w:rsidRPr="00EB388E">
            <w:instrText xml:space="preserve"> PAGE   \* MERGEFORMAT </w:instrText>
          </w:r>
          <w:r w:rsidRPr="00EB388E">
            <w:fldChar w:fldCharType="separate"/>
          </w:r>
          <w:r w:rsidR="00490640">
            <w:t>181</w:t>
          </w:r>
          <w:r w:rsidRPr="00EB388E">
            <w:fldChar w:fldCharType="end"/>
          </w:r>
        </w:p>
      </w:tc>
    </w:tr>
    <w:tr w:rsidR="00290160" w:rsidRPr="00EB388E" w:rsidTr="0004375F">
      <w:trPr>
        <w:trHeight w:hRule="exact" w:val="403"/>
      </w:trPr>
      <w:tc>
        <w:tcPr>
          <w:tcW w:w="8164" w:type="dxa"/>
        </w:tcPr>
        <w:p w:rsidR="00290160" w:rsidRPr="00090E70" w:rsidRDefault="00290160" w:rsidP="0004375F"/>
      </w:tc>
      <w:tc>
        <w:tcPr>
          <w:tcW w:w="567" w:type="dxa"/>
          <w:tcMar>
            <w:bottom w:w="284" w:type="dxa"/>
          </w:tcMar>
        </w:tcPr>
        <w:p w:rsidR="00290160" w:rsidRPr="00090E70" w:rsidRDefault="00290160" w:rsidP="0004375F"/>
      </w:tc>
    </w:tr>
  </w:tbl>
  <w:p w:rsidR="00290160" w:rsidRDefault="00290160">
    <w:pPr>
      <w:pStyle w:val="Footer"/>
    </w:pPr>
  </w:p>
  <w:p w:rsidR="00290160" w:rsidRPr="004816D7" w:rsidRDefault="00290160" w:rsidP="00712B7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8A35EA">
      <w:trPr>
        <w:trHeight w:val="340"/>
      </w:trPr>
      <w:tc>
        <w:tcPr>
          <w:tcW w:w="567" w:type="dxa"/>
          <w:tcBorders>
            <w:right w:val="single" w:sz="4" w:space="0" w:color="788184" w:themeColor="background2"/>
          </w:tcBorders>
          <w:vAlign w:val="center"/>
        </w:tcPr>
        <w:p w:rsidR="00290160" w:rsidRPr="00CB70DF" w:rsidRDefault="00290160" w:rsidP="008A35E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192</w:t>
          </w:r>
          <w:r w:rsidRPr="00EB388E">
            <w:fldChar w:fldCharType="end"/>
          </w:r>
        </w:p>
      </w:tc>
      <w:tc>
        <w:tcPr>
          <w:tcW w:w="8164" w:type="dxa"/>
          <w:tcBorders>
            <w:left w:val="single" w:sz="4" w:space="0" w:color="788184" w:themeColor="background2"/>
          </w:tcBorders>
          <w:vAlign w:val="center"/>
        </w:tcPr>
        <w:p w:rsidR="00290160" w:rsidRPr="00CB70DF" w:rsidRDefault="00290160" w:rsidP="008A35EA">
          <w:pPr>
            <w:pStyle w:val="FooterLeft"/>
            <w:framePr w:wrap="auto" w:vAnchor="margin" w:hAnchor="text" w:yAlign="inline"/>
          </w:pPr>
          <w:r>
            <w:t>Post-election report of election commitments</w:t>
          </w:r>
        </w:p>
      </w:tc>
    </w:tr>
    <w:tr w:rsidR="00290160" w:rsidRPr="00EB388E" w:rsidTr="008A35EA">
      <w:trPr>
        <w:trHeight w:hRule="exact" w:val="403"/>
      </w:trPr>
      <w:tc>
        <w:tcPr>
          <w:tcW w:w="567" w:type="dxa"/>
          <w:tcMar>
            <w:bottom w:w="284" w:type="dxa"/>
          </w:tcMar>
        </w:tcPr>
        <w:p w:rsidR="00290160" w:rsidRPr="00EB388E" w:rsidRDefault="00290160" w:rsidP="008A35EA">
          <w:pPr>
            <w:pStyle w:val="FooterRightPageNumber"/>
          </w:pPr>
        </w:p>
      </w:tc>
      <w:tc>
        <w:tcPr>
          <w:tcW w:w="8164" w:type="dxa"/>
          <w:tcMar>
            <w:bottom w:w="284" w:type="dxa"/>
          </w:tcMar>
        </w:tcPr>
        <w:p w:rsidR="00290160" w:rsidRPr="00090E70" w:rsidRDefault="00290160" w:rsidP="008A35EA"/>
      </w:tc>
    </w:tr>
  </w:tbl>
  <w:p w:rsidR="00290160" w:rsidRDefault="00290160">
    <w:pPr>
      <w:pStyle w:val="Footer"/>
    </w:pPr>
  </w:p>
  <w:p w:rsidR="00290160" w:rsidRPr="004816D7" w:rsidRDefault="00290160" w:rsidP="004816D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8A35EA">
      <w:trPr>
        <w:trHeight w:val="340"/>
      </w:trPr>
      <w:tc>
        <w:tcPr>
          <w:tcW w:w="8164" w:type="dxa"/>
          <w:tcBorders>
            <w:right w:val="single" w:sz="4" w:space="0" w:color="788184" w:themeColor="background2"/>
          </w:tcBorders>
          <w:vAlign w:val="center"/>
        </w:tcPr>
        <w:p w:rsidR="00290160" w:rsidRPr="00CB70DF" w:rsidRDefault="000279D8" w:rsidP="008A35E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8A35EA">
          <w:pPr>
            <w:pStyle w:val="FooterRightPageNumber"/>
          </w:pPr>
          <w:r w:rsidRPr="00EB388E">
            <w:fldChar w:fldCharType="begin"/>
          </w:r>
          <w:r w:rsidRPr="00EB388E">
            <w:instrText xml:space="preserve"> PAGE   \* MERGEFORMAT </w:instrText>
          </w:r>
          <w:r w:rsidRPr="00EB388E">
            <w:fldChar w:fldCharType="separate"/>
          </w:r>
          <w:r w:rsidR="00490640">
            <w:t>191</w:t>
          </w:r>
          <w:r w:rsidRPr="00EB388E">
            <w:fldChar w:fldCharType="end"/>
          </w:r>
        </w:p>
      </w:tc>
    </w:tr>
    <w:tr w:rsidR="00290160" w:rsidRPr="00EB388E" w:rsidTr="008A35EA">
      <w:trPr>
        <w:trHeight w:hRule="exact" w:val="403"/>
      </w:trPr>
      <w:tc>
        <w:tcPr>
          <w:tcW w:w="8164" w:type="dxa"/>
        </w:tcPr>
        <w:p w:rsidR="00290160" w:rsidRPr="00090E70" w:rsidRDefault="00290160" w:rsidP="008A35EA"/>
      </w:tc>
      <w:tc>
        <w:tcPr>
          <w:tcW w:w="567" w:type="dxa"/>
          <w:tcMar>
            <w:bottom w:w="284" w:type="dxa"/>
          </w:tcMar>
        </w:tcPr>
        <w:p w:rsidR="00290160" w:rsidRPr="00090E70" w:rsidRDefault="00290160" w:rsidP="008A35EA"/>
      </w:tc>
    </w:tr>
  </w:tbl>
  <w:p w:rsidR="00290160" w:rsidRDefault="00290160">
    <w:pPr>
      <w:pStyle w:val="Footer"/>
    </w:pPr>
  </w:p>
  <w:p w:rsidR="00290160" w:rsidRPr="004816D7" w:rsidRDefault="00290160" w:rsidP="00712B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284B97">
      <w:trPr>
        <w:trHeight w:val="340"/>
      </w:trPr>
      <w:tc>
        <w:tcPr>
          <w:tcW w:w="8164" w:type="dxa"/>
          <w:tcBorders>
            <w:right w:val="single" w:sz="4" w:space="0" w:color="788184" w:themeColor="background2"/>
          </w:tcBorders>
          <w:vAlign w:val="center"/>
        </w:tcPr>
        <w:p w:rsidR="00290160" w:rsidRPr="00CB70DF" w:rsidRDefault="000279D8" w:rsidP="00284B97">
          <w:pPr>
            <w:pStyle w:val="FooterRight"/>
            <w:framePr w:wrap="auto" w:vAnchor="margin" w:hAnchor="text" w:xAlign="left" w:yAlign="inline"/>
          </w:pPr>
          <w:r>
            <w:fldChar w:fldCharType="begin"/>
          </w:r>
          <w:r>
            <w:instrText xml:space="preserve"> STYLEREF  "Heading 8,Appendix Title" \r \* MERGEFORMAT </w:instrText>
          </w:r>
          <w:r>
            <w:fldChar w:fldCharType="separate"/>
          </w:r>
          <w:r>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284B97">
          <w:pPr>
            <w:pStyle w:val="FooterRightPageNumber"/>
          </w:pPr>
          <w:r w:rsidRPr="00EB388E">
            <w:fldChar w:fldCharType="begin"/>
          </w:r>
          <w:r w:rsidRPr="00EB388E">
            <w:instrText xml:space="preserve"> PAGE   \* MERGEFORMAT </w:instrText>
          </w:r>
          <w:r w:rsidRPr="00EB388E">
            <w:fldChar w:fldCharType="separate"/>
          </w:r>
          <w:r w:rsidR="000279D8">
            <w:t>145</w:t>
          </w:r>
          <w:r w:rsidRPr="00EB388E">
            <w:fldChar w:fldCharType="end"/>
          </w:r>
        </w:p>
      </w:tc>
    </w:tr>
    <w:tr w:rsidR="00290160" w:rsidRPr="00EB388E" w:rsidTr="00284B97">
      <w:trPr>
        <w:trHeight w:hRule="exact" w:val="403"/>
      </w:trPr>
      <w:tc>
        <w:tcPr>
          <w:tcW w:w="8164" w:type="dxa"/>
        </w:tcPr>
        <w:p w:rsidR="00290160" w:rsidRPr="00090E70" w:rsidRDefault="00290160" w:rsidP="00284B97"/>
      </w:tc>
      <w:tc>
        <w:tcPr>
          <w:tcW w:w="567" w:type="dxa"/>
          <w:tcMar>
            <w:bottom w:w="284" w:type="dxa"/>
          </w:tcMar>
        </w:tcPr>
        <w:p w:rsidR="00290160" w:rsidRPr="00090E70" w:rsidRDefault="00290160" w:rsidP="00284B97"/>
      </w:tc>
    </w:tr>
  </w:tbl>
  <w:p w:rsidR="00290160" w:rsidRDefault="00290160">
    <w:pPr>
      <w:pStyle w:val="Footer"/>
    </w:pPr>
  </w:p>
  <w:p w:rsidR="00290160" w:rsidRPr="004816D7" w:rsidRDefault="00290160" w:rsidP="00284B9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D5651A" w:rsidRDefault="00290160">
    <w:pPr>
      <w:pStyle w:val="Footer"/>
      <w:rPr>
        <w:rStyle w:val="IntenseReference"/>
        <w:b/>
        <w:bCs w:val="0"/>
        <w:color w:val="auto"/>
      </w:rPr>
    </w:pPr>
    <w:r w:rsidRPr="00C24267">
      <w:t xml:space="preserve">Page </w:t>
    </w:r>
    <w:r w:rsidRPr="00C24267">
      <w:rPr>
        <w:b w:val="0"/>
      </w:rPr>
      <w:fldChar w:fldCharType="begin"/>
    </w:r>
    <w:r w:rsidRPr="00C24267">
      <w:instrText xml:space="preserve"> PAGE  \* Arabic  \* MERGEFORMAT </w:instrText>
    </w:r>
    <w:r w:rsidRPr="00C24267">
      <w:rPr>
        <w:b w:val="0"/>
      </w:rPr>
      <w:fldChar w:fldCharType="separate"/>
    </w:r>
    <w:r w:rsidR="009F1D58">
      <w:rPr>
        <w:noProof/>
      </w:rPr>
      <w:t>420</w:t>
    </w:r>
    <w:r w:rsidRPr="00C24267">
      <w:rPr>
        <w:b w:val="0"/>
      </w:rPr>
      <w:fldChar w:fldCharType="end"/>
    </w:r>
    <w:r w:rsidRPr="00C24267">
      <w:t xml:space="preserve"> of </w:t>
    </w:r>
    <w:r>
      <w:rPr>
        <w:b w:val="0"/>
      </w:rPr>
      <w:fldChar w:fldCharType="begin"/>
    </w:r>
    <w:r>
      <w:rPr>
        <w:b w:val="0"/>
      </w:rPr>
      <w:instrText xml:space="preserve"> NUMPAGES  \* Arabic  \* MERGEFORMAT </w:instrText>
    </w:r>
    <w:r>
      <w:rPr>
        <w:b w:val="0"/>
      </w:rPr>
      <w:fldChar w:fldCharType="separate"/>
    </w:r>
    <w:r w:rsidR="009F1D58" w:rsidRPr="009F1D58">
      <w:rPr>
        <w:noProof/>
      </w:rPr>
      <w:t>316</w:t>
    </w:r>
    <w:r>
      <w:rPr>
        <w:b w:val="0"/>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8A35EA">
      <w:trPr>
        <w:cantSplit/>
        <w:trHeight w:val="567"/>
      </w:trPr>
      <w:tc>
        <w:tcPr>
          <w:tcW w:w="595" w:type="dxa"/>
          <w:textDirection w:val="tbRl"/>
        </w:tcPr>
        <w:p w:rsidR="00290160" w:rsidRPr="00EB388E" w:rsidRDefault="00290160" w:rsidP="008A35E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8A35E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9F1D58">
            <w:rPr>
              <w:noProof/>
            </w:rPr>
            <w:t>193</w:t>
          </w:r>
          <w:r w:rsidRPr="00EB388E">
            <w:fldChar w:fldCharType="end"/>
          </w:r>
        </w:p>
      </w:tc>
    </w:tr>
    <w:tr w:rsidR="00290160" w:rsidRPr="00EB388E" w:rsidTr="008A35EA">
      <w:trPr>
        <w:cantSplit/>
        <w:trHeight w:val="8164"/>
      </w:trPr>
      <w:tc>
        <w:tcPr>
          <w:tcW w:w="595" w:type="dxa"/>
          <w:textDirection w:val="tbRl"/>
        </w:tcPr>
        <w:p w:rsidR="00290160" w:rsidRDefault="00290160" w:rsidP="008A35E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8A35EA">
          <w:pPr>
            <w:pStyle w:val="FooterLeft"/>
            <w:framePr w:wrap="auto" w:vAnchor="margin" w:hAnchor="text" w:yAlign="inline"/>
          </w:pPr>
          <w:r>
            <w:fldChar w:fldCharType="begin"/>
          </w:r>
          <w:r>
            <w:instrText xml:space="preserve"> STYLEREF  Title  \* MERGEFORMAT </w:instrText>
          </w:r>
          <w:r>
            <w:fldChar w:fldCharType="separate"/>
          </w:r>
          <w:r w:rsidR="009F1D58">
            <w:rPr>
              <w:b w:val="0"/>
              <w:bCs/>
              <w:noProof/>
              <w:lang w:val="en-US"/>
            </w:rPr>
            <w:t>Error! No text of specified style in document.</w:t>
          </w:r>
          <w:r>
            <w:rPr>
              <w:noProof/>
            </w:rPr>
            <w:fldChar w:fldCharType="end"/>
          </w:r>
        </w:p>
      </w:tc>
    </w:tr>
  </w:tbl>
  <w:p w:rsidR="00290160" w:rsidRPr="00E350DC" w:rsidRDefault="00290160" w:rsidP="00712B79">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8A35EA">
      <w:trPr>
        <w:cantSplit/>
        <w:trHeight w:val="8164"/>
      </w:trPr>
      <w:tc>
        <w:tcPr>
          <w:tcW w:w="595" w:type="dxa"/>
          <w:textDirection w:val="tbRl"/>
        </w:tcPr>
        <w:p w:rsidR="00290160" w:rsidRDefault="00290160" w:rsidP="008A35E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8A35E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8A35EA">
      <w:trPr>
        <w:cantSplit/>
        <w:trHeight w:val="850"/>
      </w:trPr>
      <w:tc>
        <w:tcPr>
          <w:tcW w:w="595" w:type="dxa"/>
          <w:textDirection w:val="tbRl"/>
        </w:tcPr>
        <w:p w:rsidR="00290160" w:rsidRDefault="00290160" w:rsidP="008A35E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8A35EA">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193</w:t>
          </w:r>
          <w:r w:rsidRPr="00B917D0">
            <w:fldChar w:fldCharType="end"/>
          </w:r>
        </w:p>
      </w:tc>
    </w:tr>
  </w:tbl>
  <w:p w:rsidR="00290160" w:rsidRPr="00E350DC" w:rsidRDefault="00290160" w:rsidP="00712B7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8A35EA">
      <w:trPr>
        <w:trHeight w:val="340"/>
      </w:trPr>
      <w:tc>
        <w:tcPr>
          <w:tcW w:w="567" w:type="dxa"/>
          <w:tcBorders>
            <w:right w:val="single" w:sz="4" w:space="0" w:color="788184" w:themeColor="background2"/>
          </w:tcBorders>
          <w:vAlign w:val="center"/>
        </w:tcPr>
        <w:p w:rsidR="00290160" w:rsidRPr="00CB70DF" w:rsidRDefault="00290160" w:rsidP="008A35E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194</w:t>
          </w:r>
          <w:r w:rsidRPr="00EB388E">
            <w:fldChar w:fldCharType="end"/>
          </w:r>
        </w:p>
      </w:tc>
      <w:tc>
        <w:tcPr>
          <w:tcW w:w="8164" w:type="dxa"/>
          <w:tcBorders>
            <w:left w:val="single" w:sz="4" w:space="0" w:color="788184" w:themeColor="background2"/>
          </w:tcBorders>
          <w:vAlign w:val="center"/>
        </w:tcPr>
        <w:p w:rsidR="00290160" w:rsidRPr="00CB70DF" w:rsidRDefault="00290160" w:rsidP="008A35EA">
          <w:pPr>
            <w:pStyle w:val="FooterLeft"/>
            <w:framePr w:wrap="auto" w:vAnchor="margin" w:hAnchor="text" w:yAlign="inline"/>
          </w:pPr>
          <w:r>
            <w:t>Post-election report of election commitments</w:t>
          </w:r>
        </w:p>
      </w:tc>
    </w:tr>
    <w:tr w:rsidR="00290160" w:rsidRPr="00EB388E" w:rsidTr="008A35EA">
      <w:trPr>
        <w:trHeight w:hRule="exact" w:val="403"/>
      </w:trPr>
      <w:tc>
        <w:tcPr>
          <w:tcW w:w="567" w:type="dxa"/>
          <w:tcMar>
            <w:bottom w:w="284" w:type="dxa"/>
          </w:tcMar>
        </w:tcPr>
        <w:p w:rsidR="00290160" w:rsidRPr="00EB388E" w:rsidRDefault="00290160" w:rsidP="008A35EA">
          <w:pPr>
            <w:pStyle w:val="FooterRightPageNumber"/>
          </w:pPr>
        </w:p>
      </w:tc>
      <w:tc>
        <w:tcPr>
          <w:tcW w:w="8164" w:type="dxa"/>
          <w:tcMar>
            <w:bottom w:w="284" w:type="dxa"/>
          </w:tcMar>
        </w:tcPr>
        <w:p w:rsidR="00290160" w:rsidRPr="00090E70" w:rsidRDefault="00290160" w:rsidP="008A35EA"/>
      </w:tc>
    </w:tr>
  </w:tbl>
  <w:p w:rsidR="00290160" w:rsidRDefault="00290160">
    <w:pPr>
      <w:pStyle w:val="Footer"/>
    </w:pPr>
  </w:p>
  <w:p w:rsidR="00290160" w:rsidRPr="004816D7" w:rsidRDefault="00290160" w:rsidP="004816D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8A35EA">
      <w:trPr>
        <w:trHeight w:val="340"/>
      </w:trPr>
      <w:tc>
        <w:tcPr>
          <w:tcW w:w="8164" w:type="dxa"/>
          <w:tcBorders>
            <w:right w:val="single" w:sz="4" w:space="0" w:color="788184" w:themeColor="background2"/>
          </w:tcBorders>
          <w:vAlign w:val="center"/>
        </w:tcPr>
        <w:p w:rsidR="00290160" w:rsidRPr="00CB70DF" w:rsidRDefault="000279D8" w:rsidP="008A35E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8A35EA">
          <w:pPr>
            <w:pStyle w:val="FooterRightPageNumber"/>
          </w:pPr>
          <w:r w:rsidRPr="00EB388E">
            <w:fldChar w:fldCharType="begin"/>
          </w:r>
          <w:r w:rsidRPr="00EB388E">
            <w:instrText xml:space="preserve"> PAGE   \* MERGEFORMAT </w:instrText>
          </w:r>
          <w:r w:rsidRPr="00EB388E">
            <w:fldChar w:fldCharType="separate"/>
          </w:r>
          <w:r w:rsidR="00490640">
            <w:t>195</w:t>
          </w:r>
          <w:r w:rsidRPr="00EB388E">
            <w:fldChar w:fldCharType="end"/>
          </w:r>
        </w:p>
      </w:tc>
    </w:tr>
    <w:tr w:rsidR="00290160" w:rsidRPr="00EB388E" w:rsidTr="008A35EA">
      <w:trPr>
        <w:trHeight w:hRule="exact" w:val="403"/>
      </w:trPr>
      <w:tc>
        <w:tcPr>
          <w:tcW w:w="8164" w:type="dxa"/>
        </w:tcPr>
        <w:p w:rsidR="00290160" w:rsidRPr="00090E70" w:rsidRDefault="00290160" w:rsidP="008A35EA"/>
      </w:tc>
      <w:tc>
        <w:tcPr>
          <w:tcW w:w="567" w:type="dxa"/>
          <w:tcMar>
            <w:bottom w:w="284" w:type="dxa"/>
          </w:tcMar>
        </w:tcPr>
        <w:p w:rsidR="00290160" w:rsidRPr="00090E70" w:rsidRDefault="00290160" w:rsidP="008A35EA"/>
      </w:tc>
    </w:tr>
  </w:tbl>
  <w:p w:rsidR="00290160" w:rsidRDefault="00290160">
    <w:pPr>
      <w:pStyle w:val="Footer"/>
    </w:pPr>
  </w:p>
  <w:p w:rsidR="00290160" w:rsidRPr="004816D7" w:rsidRDefault="00290160" w:rsidP="00712B7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8A35EA">
      <w:trPr>
        <w:trHeight w:val="340"/>
      </w:trPr>
      <w:tc>
        <w:tcPr>
          <w:tcW w:w="567" w:type="dxa"/>
          <w:tcBorders>
            <w:right w:val="single" w:sz="4" w:space="0" w:color="788184" w:themeColor="background2"/>
          </w:tcBorders>
          <w:vAlign w:val="center"/>
        </w:tcPr>
        <w:p w:rsidR="00290160" w:rsidRPr="00CB70DF" w:rsidRDefault="00290160" w:rsidP="008A35E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196</w:t>
          </w:r>
          <w:r w:rsidRPr="00EB388E">
            <w:fldChar w:fldCharType="end"/>
          </w:r>
        </w:p>
      </w:tc>
      <w:tc>
        <w:tcPr>
          <w:tcW w:w="8164" w:type="dxa"/>
          <w:tcBorders>
            <w:left w:val="single" w:sz="4" w:space="0" w:color="788184" w:themeColor="background2"/>
          </w:tcBorders>
          <w:vAlign w:val="center"/>
        </w:tcPr>
        <w:p w:rsidR="00290160" w:rsidRPr="00CB70DF" w:rsidRDefault="00290160" w:rsidP="008A35EA">
          <w:pPr>
            <w:pStyle w:val="FooterLeft"/>
            <w:framePr w:wrap="auto" w:vAnchor="margin" w:hAnchor="text" w:yAlign="inline"/>
          </w:pPr>
          <w:r>
            <w:t>Post-election report of election commitments</w:t>
          </w:r>
        </w:p>
      </w:tc>
    </w:tr>
    <w:tr w:rsidR="00290160" w:rsidRPr="00EB388E" w:rsidTr="008A35EA">
      <w:trPr>
        <w:trHeight w:hRule="exact" w:val="403"/>
      </w:trPr>
      <w:tc>
        <w:tcPr>
          <w:tcW w:w="567" w:type="dxa"/>
          <w:tcMar>
            <w:bottom w:w="284" w:type="dxa"/>
          </w:tcMar>
        </w:tcPr>
        <w:p w:rsidR="00290160" w:rsidRPr="00EB388E" w:rsidRDefault="00290160" w:rsidP="008A35EA">
          <w:pPr>
            <w:pStyle w:val="FooterRightPageNumber"/>
          </w:pPr>
        </w:p>
      </w:tc>
      <w:tc>
        <w:tcPr>
          <w:tcW w:w="8164" w:type="dxa"/>
          <w:tcMar>
            <w:bottom w:w="284" w:type="dxa"/>
          </w:tcMar>
        </w:tcPr>
        <w:p w:rsidR="00290160" w:rsidRPr="00090E70" w:rsidRDefault="00290160" w:rsidP="008A35EA"/>
      </w:tc>
    </w:tr>
  </w:tbl>
  <w:p w:rsidR="00290160" w:rsidRDefault="00290160">
    <w:pPr>
      <w:pStyle w:val="Footer"/>
    </w:pPr>
  </w:p>
  <w:p w:rsidR="00290160" w:rsidRPr="004816D7" w:rsidRDefault="00290160" w:rsidP="004816D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8A35EA">
      <w:trPr>
        <w:trHeight w:val="340"/>
      </w:trPr>
      <w:tc>
        <w:tcPr>
          <w:tcW w:w="8164" w:type="dxa"/>
          <w:tcBorders>
            <w:right w:val="single" w:sz="4" w:space="0" w:color="788184" w:themeColor="background2"/>
          </w:tcBorders>
          <w:vAlign w:val="center"/>
        </w:tcPr>
        <w:p w:rsidR="00290160" w:rsidRPr="00CB70DF" w:rsidRDefault="000279D8" w:rsidP="008A35E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8A35EA">
          <w:pPr>
            <w:pStyle w:val="FooterRightPageNumber"/>
          </w:pPr>
          <w:r w:rsidRPr="00EB388E">
            <w:fldChar w:fldCharType="begin"/>
          </w:r>
          <w:r w:rsidRPr="00EB388E">
            <w:instrText xml:space="preserve"> PAGE   \* MERGEFORMAT </w:instrText>
          </w:r>
          <w:r w:rsidRPr="00EB388E">
            <w:fldChar w:fldCharType="separate"/>
          </w:r>
          <w:r w:rsidR="00490640">
            <w:t>197</w:t>
          </w:r>
          <w:r w:rsidRPr="00EB388E">
            <w:fldChar w:fldCharType="end"/>
          </w:r>
        </w:p>
      </w:tc>
    </w:tr>
    <w:tr w:rsidR="00290160" w:rsidRPr="00EB388E" w:rsidTr="008A35EA">
      <w:trPr>
        <w:trHeight w:hRule="exact" w:val="403"/>
      </w:trPr>
      <w:tc>
        <w:tcPr>
          <w:tcW w:w="8164" w:type="dxa"/>
        </w:tcPr>
        <w:p w:rsidR="00290160" w:rsidRPr="00090E70" w:rsidRDefault="00290160" w:rsidP="008A35EA"/>
      </w:tc>
      <w:tc>
        <w:tcPr>
          <w:tcW w:w="567" w:type="dxa"/>
          <w:tcMar>
            <w:bottom w:w="284" w:type="dxa"/>
          </w:tcMar>
        </w:tcPr>
        <w:p w:rsidR="00290160" w:rsidRPr="00090E70" w:rsidRDefault="00290160" w:rsidP="008A35EA"/>
      </w:tc>
    </w:tr>
  </w:tbl>
  <w:p w:rsidR="00290160" w:rsidRDefault="00290160">
    <w:pPr>
      <w:pStyle w:val="Footer"/>
    </w:pPr>
  </w:p>
  <w:p w:rsidR="00290160" w:rsidRPr="004816D7" w:rsidRDefault="00290160" w:rsidP="00712B79">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620505">
      <w:trPr>
        <w:trHeight w:val="340"/>
      </w:trPr>
      <w:tc>
        <w:tcPr>
          <w:tcW w:w="567" w:type="dxa"/>
          <w:tcBorders>
            <w:right w:val="single" w:sz="4" w:space="0" w:color="788184" w:themeColor="background2"/>
          </w:tcBorders>
          <w:vAlign w:val="center"/>
        </w:tcPr>
        <w:p w:rsidR="00290160" w:rsidRPr="00CB70DF" w:rsidRDefault="00290160" w:rsidP="0062050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204</w:t>
          </w:r>
          <w:r w:rsidRPr="00EB388E">
            <w:fldChar w:fldCharType="end"/>
          </w:r>
        </w:p>
      </w:tc>
      <w:tc>
        <w:tcPr>
          <w:tcW w:w="8164" w:type="dxa"/>
          <w:tcBorders>
            <w:left w:val="single" w:sz="4" w:space="0" w:color="788184" w:themeColor="background2"/>
          </w:tcBorders>
          <w:vAlign w:val="center"/>
        </w:tcPr>
        <w:p w:rsidR="00290160" w:rsidRPr="00CB70DF" w:rsidRDefault="00290160" w:rsidP="00620505">
          <w:pPr>
            <w:pStyle w:val="FooterLeft"/>
            <w:framePr w:wrap="auto" w:vAnchor="margin" w:hAnchor="text" w:yAlign="inline"/>
          </w:pPr>
          <w:r>
            <w:t>Post-election report of election commitments</w:t>
          </w:r>
        </w:p>
      </w:tc>
    </w:tr>
    <w:tr w:rsidR="00290160" w:rsidRPr="00EB388E" w:rsidTr="00620505">
      <w:trPr>
        <w:trHeight w:hRule="exact" w:val="403"/>
      </w:trPr>
      <w:tc>
        <w:tcPr>
          <w:tcW w:w="567" w:type="dxa"/>
          <w:tcMar>
            <w:bottom w:w="284" w:type="dxa"/>
          </w:tcMar>
        </w:tcPr>
        <w:p w:rsidR="00290160" w:rsidRPr="00EB388E" w:rsidRDefault="00290160" w:rsidP="00620505">
          <w:pPr>
            <w:pStyle w:val="FooterRightPageNumber"/>
          </w:pPr>
        </w:p>
      </w:tc>
      <w:tc>
        <w:tcPr>
          <w:tcW w:w="8164" w:type="dxa"/>
          <w:tcMar>
            <w:bottom w:w="284" w:type="dxa"/>
          </w:tcMar>
        </w:tcPr>
        <w:p w:rsidR="00290160" w:rsidRPr="00090E70" w:rsidRDefault="00290160" w:rsidP="00620505"/>
      </w:tc>
    </w:tr>
  </w:tbl>
  <w:p w:rsidR="00290160" w:rsidRDefault="00290160">
    <w:pPr>
      <w:pStyle w:val="Footer"/>
    </w:pPr>
  </w:p>
  <w:p w:rsidR="00290160" w:rsidRPr="004816D7" w:rsidRDefault="00290160" w:rsidP="004816D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620505">
      <w:trPr>
        <w:trHeight w:val="340"/>
      </w:trPr>
      <w:tc>
        <w:tcPr>
          <w:tcW w:w="8164" w:type="dxa"/>
          <w:tcBorders>
            <w:right w:val="single" w:sz="4" w:space="0" w:color="788184" w:themeColor="background2"/>
          </w:tcBorders>
          <w:vAlign w:val="center"/>
        </w:tcPr>
        <w:p w:rsidR="00290160" w:rsidRPr="00CB70DF" w:rsidRDefault="000279D8" w:rsidP="00620505">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620505">
          <w:pPr>
            <w:pStyle w:val="FooterRightPageNumber"/>
          </w:pPr>
          <w:r w:rsidRPr="00EB388E">
            <w:fldChar w:fldCharType="begin"/>
          </w:r>
          <w:r w:rsidRPr="00EB388E">
            <w:instrText xml:space="preserve"> PAGE   \* MERGEFORMAT </w:instrText>
          </w:r>
          <w:r w:rsidRPr="00EB388E">
            <w:fldChar w:fldCharType="separate"/>
          </w:r>
          <w:r w:rsidR="00490640">
            <w:t>205</w:t>
          </w:r>
          <w:r w:rsidRPr="00EB388E">
            <w:fldChar w:fldCharType="end"/>
          </w:r>
        </w:p>
      </w:tc>
    </w:tr>
    <w:tr w:rsidR="00290160" w:rsidRPr="00EB388E" w:rsidTr="00620505">
      <w:trPr>
        <w:trHeight w:hRule="exact" w:val="403"/>
      </w:trPr>
      <w:tc>
        <w:tcPr>
          <w:tcW w:w="8164" w:type="dxa"/>
        </w:tcPr>
        <w:p w:rsidR="00290160" w:rsidRPr="00090E70" w:rsidRDefault="00290160" w:rsidP="00620505"/>
      </w:tc>
      <w:tc>
        <w:tcPr>
          <w:tcW w:w="567" w:type="dxa"/>
          <w:tcMar>
            <w:bottom w:w="284" w:type="dxa"/>
          </w:tcMar>
        </w:tcPr>
        <w:p w:rsidR="00290160" w:rsidRPr="00090E70" w:rsidRDefault="00290160" w:rsidP="00620505"/>
      </w:tc>
    </w:tr>
  </w:tbl>
  <w:p w:rsidR="00290160" w:rsidRDefault="00290160">
    <w:pPr>
      <w:pStyle w:val="Footer"/>
    </w:pPr>
  </w:p>
  <w:p w:rsidR="00290160" w:rsidRPr="004816D7" w:rsidRDefault="00290160" w:rsidP="00712B7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B02D76">
      <w:trPr>
        <w:cantSplit/>
        <w:trHeight w:val="567"/>
      </w:trPr>
      <w:tc>
        <w:tcPr>
          <w:tcW w:w="595" w:type="dxa"/>
          <w:textDirection w:val="tbRl"/>
        </w:tcPr>
        <w:p w:rsidR="00290160" w:rsidRPr="00EB388E" w:rsidRDefault="00290160" w:rsidP="00B02D76">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B02D7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206</w:t>
          </w:r>
          <w:r w:rsidRPr="00EB388E">
            <w:fldChar w:fldCharType="end"/>
          </w:r>
        </w:p>
      </w:tc>
    </w:tr>
    <w:tr w:rsidR="00290160" w:rsidRPr="00EB388E" w:rsidTr="00B02D76">
      <w:trPr>
        <w:cantSplit/>
        <w:trHeight w:val="8164"/>
      </w:trPr>
      <w:tc>
        <w:tcPr>
          <w:tcW w:w="595" w:type="dxa"/>
          <w:textDirection w:val="tbRl"/>
        </w:tcPr>
        <w:p w:rsidR="00290160" w:rsidRDefault="00290160" w:rsidP="00B02D76">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B02D76">
          <w:pPr>
            <w:pStyle w:val="FooterLeft"/>
            <w:framePr w:wrap="auto" w:vAnchor="margin" w:hAnchor="text" w:yAlign="inline"/>
          </w:pPr>
          <w:r>
            <w:t>Post-election report of election commitments</w:t>
          </w:r>
        </w:p>
      </w:tc>
    </w:tr>
  </w:tbl>
  <w:p w:rsidR="00290160" w:rsidRPr="00E350DC" w:rsidRDefault="00290160" w:rsidP="003337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D58" w:rsidRDefault="009F1D5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B02D76">
      <w:trPr>
        <w:cantSplit/>
        <w:trHeight w:val="8164"/>
      </w:trPr>
      <w:tc>
        <w:tcPr>
          <w:tcW w:w="595" w:type="dxa"/>
          <w:textDirection w:val="tbRl"/>
        </w:tcPr>
        <w:p w:rsidR="00290160" w:rsidRDefault="00290160" w:rsidP="00B02D76">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290160" w:rsidP="00B02D76">
          <w:pPr>
            <w:pStyle w:val="FooterRight"/>
            <w:framePr w:wrap="auto" w:vAnchor="margin" w:hAnchor="text" w:xAlign="left" w:yAlign="inline"/>
          </w:pPr>
          <w:r>
            <w:fldChar w:fldCharType="begin"/>
          </w:r>
          <w:r>
            <w:instrText xml:space="preserve"> STYLEREF  "Heading 1"  \* MERGEFORMAT </w:instrText>
          </w:r>
          <w:r>
            <w:fldChar w:fldCharType="separate"/>
          </w:r>
          <w:r w:rsidR="009F1D58">
            <w:rPr>
              <w:b w:val="0"/>
              <w:bCs/>
              <w:noProof/>
              <w:lang w:val="en-US"/>
            </w:rPr>
            <w:t>Error! No text of specified style in document.</w:t>
          </w:r>
          <w:r>
            <w:rPr>
              <w:noProof/>
            </w:rPr>
            <w:fldChar w:fldCharType="end"/>
          </w:r>
        </w:p>
      </w:tc>
    </w:tr>
    <w:tr w:rsidR="00290160" w:rsidRPr="00EB388E" w:rsidTr="00B02D76">
      <w:trPr>
        <w:cantSplit/>
        <w:trHeight w:val="850"/>
      </w:trPr>
      <w:tc>
        <w:tcPr>
          <w:tcW w:w="595" w:type="dxa"/>
          <w:textDirection w:val="tbRl"/>
        </w:tcPr>
        <w:p w:rsidR="00290160" w:rsidRDefault="00290160" w:rsidP="00B02D76">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B02D76">
          <w:pPr>
            <w:pStyle w:val="FooterRightPageNumberLS"/>
            <w:framePr w:wrap="auto" w:xAlign="left"/>
          </w:pPr>
          <w:r w:rsidRPr="00B917D0">
            <w:fldChar w:fldCharType="begin"/>
          </w:r>
          <w:r w:rsidRPr="00B917D0">
            <w:instrText xml:space="preserve"> PAGE   \* MERGEFORMAT </w:instrText>
          </w:r>
          <w:r w:rsidRPr="00B917D0">
            <w:fldChar w:fldCharType="separate"/>
          </w:r>
          <w:r w:rsidR="009F1D58">
            <w:t>206</w:t>
          </w:r>
          <w:r w:rsidRPr="00B917D0">
            <w:fldChar w:fldCharType="end"/>
          </w:r>
        </w:p>
      </w:tc>
    </w:tr>
  </w:tbl>
  <w:p w:rsidR="00290160" w:rsidRPr="00E350DC" w:rsidRDefault="00290160" w:rsidP="003337A8">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B3578C">
      <w:trPr>
        <w:trHeight w:val="340"/>
      </w:trPr>
      <w:tc>
        <w:tcPr>
          <w:tcW w:w="567" w:type="dxa"/>
          <w:tcBorders>
            <w:right w:val="single" w:sz="4" w:space="0" w:color="788184" w:themeColor="background2"/>
          </w:tcBorders>
          <w:vAlign w:val="center"/>
        </w:tcPr>
        <w:p w:rsidR="00290160" w:rsidRPr="00CB70DF" w:rsidRDefault="00290160" w:rsidP="00B3578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208</w:t>
          </w:r>
          <w:r w:rsidRPr="00EB388E">
            <w:fldChar w:fldCharType="end"/>
          </w:r>
        </w:p>
      </w:tc>
      <w:tc>
        <w:tcPr>
          <w:tcW w:w="8164" w:type="dxa"/>
          <w:tcBorders>
            <w:left w:val="single" w:sz="4" w:space="0" w:color="788184" w:themeColor="background2"/>
          </w:tcBorders>
          <w:vAlign w:val="center"/>
        </w:tcPr>
        <w:p w:rsidR="00290160" w:rsidRPr="00CB70DF" w:rsidRDefault="00290160" w:rsidP="00B3578C">
          <w:pPr>
            <w:pStyle w:val="FooterLeft"/>
            <w:framePr w:wrap="auto" w:vAnchor="margin" w:hAnchor="text" w:yAlign="inline"/>
          </w:pPr>
          <w:r>
            <w:t>Post-election report of election commitments</w:t>
          </w:r>
        </w:p>
      </w:tc>
    </w:tr>
    <w:tr w:rsidR="00290160" w:rsidRPr="00EB388E" w:rsidTr="00B3578C">
      <w:trPr>
        <w:trHeight w:hRule="exact" w:val="403"/>
      </w:trPr>
      <w:tc>
        <w:tcPr>
          <w:tcW w:w="567" w:type="dxa"/>
          <w:tcMar>
            <w:bottom w:w="284" w:type="dxa"/>
          </w:tcMar>
        </w:tcPr>
        <w:p w:rsidR="00290160" w:rsidRPr="00EB388E" w:rsidRDefault="00290160" w:rsidP="00B3578C">
          <w:pPr>
            <w:pStyle w:val="FooterRightPageNumber"/>
          </w:pPr>
        </w:p>
      </w:tc>
      <w:tc>
        <w:tcPr>
          <w:tcW w:w="8164" w:type="dxa"/>
          <w:tcMar>
            <w:bottom w:w="284" w:type="dxa"/>
          </w:tcMar>
        </w:tcPr>
        <w:p w:rsidR="00290160" w:rsidRPr="00090E70" w:rsidRDefault="00290160" w:rsidP="00B3578C"/>
      </w:tc>
    </w:tr>
  </w:tbl>
  <w:p w:rsidR="00290160" w:rsidRDefault="00290160">
    <w:pPr>
      <w:pStyle w:val="Footer"/>
    </w:pPr>
  </w:p>
  <w:p w:rsidR="00290160" w:rsidRPr="004816D7" w:rsidRDefault="00290160" w:rsidP="004816D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B3578C">
      <w:trPr>
        <w:trHeight w:val="340"/>
      </w:trPr>
      <w:tc>
        <w:tcPr>
          <w:tcW w:w="8164" w:type="dxa"/>
          <w:tcBorders>
            <w:right w:val="single" w:sz="4" w:space="0" w:color="788184" w:themeColor="background2"/>
          </w:tcBorders>
          <w:vAlign w:val="center"/>
        </w:tcPr>
        <w:p w:rsidR="00290160" w:rsidRPr="00CB70DF" w:rsidRDefault="000279D8" w:rsidP="00B3578C">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B3578C">
          <w:pPr>
            <w:pStyle w:val="FooterRightPageNumber"/>
          </w:pPr>
          <w:r w:rsidRPr="00EB388E">
            <w:fldChar w:fldCharType="begin"/>
          </w:r>
          <w:r w:rsidRPr="00EB388E">
            <w:instrText xml:space="preserve"> PAGE   \* MERGEFORMAT </w:instrText>
          </w:r>
          <w:r w:rsidRPr="00EB388E">
            <w:fldChar w:fldCharType="separate"/>
          </w:r>
          <w:r w:rsidR="00490640">
            <w:t>209</w:t>
          </w:r>
          <w:r w:rsidRPr="00EB388E">
            <w:fldChar w:fldCharType="end"/>
          </w:r>
        </w:p>
      </w:tc>
    </w:tr>
    <w:tr w:rsidR="00290160" w:rsidRPr="00EB388E" w:rsidTr="00B3578C">
      <w:trPr>
        <w:trHeight w:hRule="exact" w:val="403"/>
      </w:trPr>
      <w:tc>
        <w:tcPr>
          <w:tcW w:w="8164" w:type="dxa"/>
        </w:tcPr>
        <w:p w:rsidR="00290160" w:rsidRPr="00090E70" w:rsidRDefault="00290160" w:rsidP="00B3578C"/>
      </w:tc>
      <w:tc>
        <w:tcPr>
          <w:tcW w:w="567" w:type="dxa"/>
          <w:tcMar>
            <w:bottom w:w="284" w:type="dxa"/>
          </w:tcMar>
        </w:tcPr>
        <w:p w:rsidR="00290160" w:rsidRPr="00090E70" w:rsidRDefault="00290160" w:rsidP="00B3578C"/>
      </w:tc>
    </w:tr>
  </w:tbl>
  <w:p w:rsidR="00290160" w:rsidRDefault="00290160">
    <w:pPr>
      <w:pStyle w:val="Footer"/>
    </w:pPr>
  </w:p>
  <w:p w:rsidR="00290160" w:rsidRPr="004816D7" w:rsidRDefault="00290160" w:rsidP="00712B7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9B344E">
      <w:trPr>
        <w:cantSplit/>
        <w:trHeight w:val="567"/>
      </w:trPr>
      <w:tc>
        <w:tcPr>
          <w:tcW w:w="595" w:type="dxa"/>
          <w:textDirection w:val="tbRl"/>
        </w:tcPr>
        <w:p w:rsidR="00290160" w:rsidRPr="00EB388E" w:rsidRDefault="00290160" w:rsidP="009B344E">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9B344E">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214</w:t>
          </w:r>
          <w:r w:rsidRPr="00EB388E">
            <w:fldChar w:fldCharType="end"/>
          </w:r>
        </w:p>
      </w:tc>
    </w:tr>
    <w:tr w:rsidR="00290160" w:rsidRPr="00EB388E" w:rsidTr="009B344E">
      <w:trPr>
        <w:cantSplit/>
        <w:trHeight w:val="8164"/>
      </w:trPr>
      <w:tc>
        <w:tcPr>
          <w:tcW w:w="595" w:type="dxa"/>
          <w:textDirection w:val="tbRl"/>
        </w:tcPr>
        <w:p w:rsidR="00290160" w:rsidRDefault="00290160" w:rsidP="009B344E">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9B344E">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9B344E">
      <w:trPr>
        <w:cantSplit/>
        <w:trHeight w:val="8164"/>
      </w:trPr>
      <w:tc>
        <w:tcPr>
          <w:tcW w:w="595" w:type="dxa"/>
          <w:textDirection w:val="tbRl"/>
        </w:tcPr>
        <w:p w:rsidR="00290160" w:rsidRDefault="00290160" w:rsidP="009B344E">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9B344E">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9B344E">
      <w:trPr>
        <w:cantSplit/>
        <w:trHeight w:val="850"/>
      </w:trPr>
      <w:tc>
        <w:tcPr>
          <w:tcW w:w="595" w:type="dxa"/>
          <w:textDirection w:val="tbRl"/>
        </w:tcPr>
        <w:p w:rsidR="00290160" w:rsidRDefault="00290160" w:rsidP="009B344E">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9B344E">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215</w:t>
          </w:r>
          <w:r w:rsidRPr="00B917D0">
            <w:fldChar w:fldCharType="end"/>
          </w:r>
        </w:p>
      </w:tc>
    </w:tr>
  </w:tbl>
  <w:p w:rsidR="00290160" w:rsidRPr="00E350DC" w:rsidRDefault="00290160" w:rsidP="00712B79">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82274A">
      <w:trPr>
        <w:trHeight w:val="340"/>
      </w:trPr>
      <w:tc>
        <w:tcPr>
          <w:tcW w:w="567" w:type="dxa"/>
          <w:tcBorders>
            <w:right w:val="single" w:sz="4" w:space="0" w:color="788184" w:themeColor="background2"/>
          </w:tcBorders>
          <w:vAlign w:val="center"/>
        </w:tcPr>
        <w:p w:rsidR="00290160" w:rsidRPr="00CB70DF" w:rsidRDefault="00290160" w:rsidP="0082274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218</w:t>
          </w:r>
          <w:r w:rsidRPr="00EB388E">
            <w:fldChar w:fldCharType="end"/>
          </w:r>
        </w:p>
      </w:tc>
      <w:tc>
        <w:tcPr>
          <w:tcW w:w="8164" w:type="dxa"/>
          <w:tcBorders>
            <w:left w:val="single" w:sz="4" w:space="0" w:color="788184" w:themeColor="background2"/>
          </w:tcBorders>
          <w:vAlign w:val="center"/>
        </w:tcPr>
        <w:p w:rsidR="00290160" w:rsidRPr="00CB70DF" w:rsidRDefault="00290160" w:rsidP="0082274A">
          <w:pPr>
            <w:pStyle w:val="FooterLeft"/>
            <w:framePr w:wrap="auto" w:vAnchor="margin" w:hAnchor="text" w:yAlign="inline"/>
          </w:pPr>
          <w:r>
            <w:t>Post-election report of election commitments</w:t>
          </w:r>
        </w:p>
      </w:tc>
    </w:tr>
    <w:tr w:rsidR="00290160" w:rsidRPr="00EB388E" w:rsidTr="0082274A">
      <w:trPr>
        <w:trHeight w:hRule="exact" w:val="403"/>
      </w:trPr>
      <w:tc>
        <w:tcPr>
          <w:tcW w:w="567" w:type="dxa"/>
          <w:tcMar>
            <w:bottom w:w="284" w:type="dxa"/>
          </w:tcMar>
        </w:tcPr>
        <w:p w:rsidR="00290160" w:rsidRPr="00EB388E" w:rsidRDefault="00290160" w:rsidP="0082274A">
          <w:pPr>
            <w:pStyle w:val="FooterRightPageNumber"/>
          </w:pPr>
        </w:p>
      </w:tc>
      <w:tc>
        <w:tcPr>
          <w:tcW w:w="8164" w:type="dxa"/>
          <w:tcMar>
            <w:bottom w:w="284" w:type="dxa"/>
          </w:tcMar>
        </w:tcPr>
        <w:p w:rsidR="00290160" w:rsidRPr="00090E70" w:rsidRDefault="00290160" w:rsidP="0082274A"/>
      </w:tc>
    </w:tr>
  </w:tbl>
  <w:p w:rsidR="00290160" w:rsidRDefault="00290160">
    <w:pPr>
      <w:pStyle w:val="Footer"/>
    </w:pPr>
  </w:p>
  <w:p w:rsidR="00290160" w:rsidRPr="004816D7" w:rsidRDefault="00290160" w:rsidP="004816D7">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82274A">
      <w:trPr>
        <w:trHeight w:val="340"/>
      </w:trPr>
      <w:tc>
        <w:tcPr>
          <w:tcW w:w="8164" w:type="dxa"/>
          <w:tcBorders>
            <w:right w:val="single" w:sz="4" w:space="0" w:color="788184" w:themeColor="background2"/>
          </w:tcBorders>
          <w:vAlign w:val="center"/>
        </w:tcPr>
        <w:p w:rsidR="00290160" w:rsidRPr="00CB70DF" w:rsidRDefault="000279D8" w:rsidP="0082274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82274A">
          <w:pPr>
            <w:pStyle w:val="FooterRightPageNumber"/>
          </w:pPr>
          <w:r w:rsidRPr="00EB388E">
            <w:fldChar w:fldCharType="begin"/>
          </w:r>
          <w:r w:rsidRPr="00EB388E">
            <w:instrText xml:space="preserve"> PAGE   \* MERGEFORMAT </w:instrText>
          </w:r>
          <w:r w:rsidRPr="00EB388E">
            <w:fldChar w:fldCharType="separate"/>
          </w:r>
          <w:r w:rsidR="00490640">
            <w:t>217</w:t>
          </w:r>
          <w:r w:rsidRPr="00EB388E">
            <w:fldChar w:fldCharType="end"/>
          </w:r>
        </w:p>
      </w:tc>
    </w:tr>
    <w:tr w:rsidR="00290160" w:rsidRPr="00EB388E" w:rsidTr="0082274A">
      <w:trPr>
        <w:trHeight w:hRule="exact" w:val="403"/>
      </w:trPr>
      <w:tc>
        <w:tcPr>
          <w:tcW w:w="8164" w:type="dxa"/>
        </w:tcPr>
        <w:p w:rsidR="00290160" w:rsidRPr="00090E70" w:rsidRDefault="00290160" w:rsidP="0082274A"/>
      </w:tc>
      <w:tc>
        <w:tcPr>
          <w:tcW w:w="567" w:type="dxa"/>
          <w:tcMar>
            <w:bottom w:w="284" w:type="dxa"/>
          </w:tcMar>
        </w:tcPr>
        <w:p w:rsidR="00290160" w:rsidRPr="00090E70" w:rsidRDefault="00290160" w:rsidP="0082274A"/>
      </w:tc>
    </w:tr>
  </w:tbl>
  <w:p w:rsidR="00290160" w:rsidRDefault="00290160">
    <w:pPr>
      <w:pStyle w:val="Footer"/>
    </w:pPr>
  </w:p>
  <w:p w:rsidR="00290160" w:rsidRPr="004816D7" w:rsidRDefault="00290160" w:rsidP="00712B79">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096D7A">
      <w:trPr>
        <w:cantSplit/>
        <w:trHeight w:val="567"/>
      </w:trPr>
      <w:tc>
        <w:tcPr>
          <w:tcW w:w="595" w:type="dxa"/>
          <w:textDirection w:val="tbRl"/>
        </w:tcPr>
        <w:p w:rsidR="00290160" w:rsidRPr="00EB388E" w:rsidRDefault="00290160" w:rsidP="00096D7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096D7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220</w:t>
          </w:r>
          <w:r w:rsidRPr="00EB388E">
            <w:fldChar w:fldCharType="end"/>
          </w:r>
        </w:p>
      </w:tc>
    </w:tr>
    <w:tr w:rsidR="00290160" w:rsidRPr="00EB388E" w:rsidTr="00096D7A">
      <w:trPr>
        <w:cantSplit/>
        <w:trHeight w:val="8164"/>
      </w:trPr>
      <w:tc>
        <w:tcPr>
          <w:tcW w:w="595" w:type="dxa"/>
          <w:textDirection w:val="tbRl"/>
        </w:tcPr>
        <w:p w:rsidR="00290160" w:rsidRDefault="00290160" w:rsidP="00096D7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096D7A">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096D7A">
      <w:trPr>
        <w:cantSplit/>
        <w:trHeight w:val="8164"/>
      </w:trPr>
      <w:tc>
        <w:tcPr>
          <w:tcW w:w="595" w:type="dxa"/>
          <w:textDirection w:val="tbRl"/>
        </w:tcPr>
        <w:p w:rsidR="00290160" w:rsidRDefault="00290160" w:rsidP="00096D7A">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096D7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096D7A">
      <w:trPr>
        <w:cantSplit/>
        <w:trHeight w:val="850"/>
      </w:trPr>
      <w:tc>
        <w:tcPr>
          <w:tcW w:w="595" w:type="dxa"/>
          <w:textDirection w:val="tbRl"/>
        </w:tcPr>
        <w:p w:rsidR="00290160" w:rsidRDefault="00290160" w:rsidP="00096D7A">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096D7A">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221</w:t>
          </w:r>
          <w:r w:rsidRPr="00B917D0">
            <w:fldChar w:fldCharType="end"/>
          </w:r>
        </w:p>
      </w:tc>
    </w:tr>
  </w:tbl>
  <w:p w:rsidR="00290160" w:rsidRPr="00E350DC" w:rsidRDefault="00290160" w:rsidP="00712B79">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3D396D">
      <w:trPr>
        <w:trHeight w:val="340"/>
      </w:trPr>
      <w:tc>
        <w:tcPr>
          <w:tcW w:w="567" w:type="dxa"/>
          <w:tcBorders>
            <w:right w:val="single" w:sz="4" w:space="0" w:color="788184" w:themeColor="background2"/>
          </w:tcBorders>
          <w:vAlign w:val="center"/>
        </w:tcPr>
        <w:p w:rsidR="00290160" w:rsidRPr="00CB70DF" w:rsidRDefault="00290160" w:rsidP="00921AC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234</w:t>
          </w:r>
          <w:r w:rsidRPr="00EB388E">
            <w:fldChar w:fldCharType="end"/>
          </w:r>
        </w:p>
      </w:tc>
      <w:tc>
        <w:tcPr>
          <w:tcW w:w="8164" w:type="dxa"/>
          <w:tcBorders>
            <w:left w:val="single" w:sz="4" w:space="0" w:color="788184" w:themeColor="background2"/>
          </w:tcBorders>
          <w:vAlign w:val="center"/>
        </w:tcPr>
        <w:p w:rsidR="00290160" w:rsidRPr="00CB70DF" w:rsidRDefault="00290160" w:rsidP="00921AC6">
          <w:pPr>
            <w:pStyle w:val="FooterLeft"/>
            <w:framePr w:wrap="auto" w:vAnchor="margin" w:hAnchor="text" w:yAlign="inline"/>
          </w:pPr>
          <w:r>
            <w:t>Post-election report of election commitments</w:t>
          </w:r>
        </w:p>
      </w:tc>
    </w:tr>
    <w:tr w:rsidR="00290160" w:rsidRPr="00EB388E" w:rsidTr="003D396D">
      <w:trPr>
        <w:trHeight w:hRule="exact" w:val="403"/>
      </w:trPr>
      <w:tc>
        <w:tcPr>
          <w:tcW w:w="567" w:type="dxa"/>
          <w:tcMar>
            <w:bottom w:w="284" w:type="dxa"/>
          </w:tcMar>
        </w:tcPr>
        <w:p w:rsidR="00290160" w:rsidRPr="00EB388E" w:rsidRDefault="00290160" w:rsidP="00921AC6">
          <w:pPr>
            <w:pStyle w:val="FooterRightPageNumber"/>
          </w:pPr>
        </w:p>
      </w:tc>
      <w:tc>
        <w:tcPr>
          <w:tcW w:w="8164" w:type="dxa"/>
          <w:tcMar>
            <w:bottom w:w="284" w:type="dxa"/>
          </w:tcMar>
        </w:tcPr>
        <w:p w:rsidR="00290160" w:rsidRPr="00090E70" w:rsidRDefault="00290160" w:rsidP="00921AC6"/>
      </w:tc>
    </w:tr>
  </w:tbl>
  <w:p w:rsidR="00290160" w:rsidRDefault="00290160">
    <w:pPr>
      <w:pStyle w:val="Footer"/>
    </w:pPr>
  </w:p>
  <w:p w:rsidR="00290160" w:rsidRPr="004816D7" w:rsidRDefault="00290160" w:rsidP="004816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420CF4">
      <w:trPr>
        <w:cantSplit/>
        <w:trHeight w:val="567"/>
      </w:trPr>
      <w:tc>
        <w:tcPr>
          <w:tcW w:w="595" w:type="dxa"/>
          <w:textDirection w:val="tbRl"/>
        </w:tcPr>
        <w:p w:rsidR="00290160" w:rsidRPr="00EB388E" w:rsidRDefault="00290160" w:rsidP="00420CF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420CF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0279D8">
            <w:rPr>
              <w:noProof/>
            </w:rPr>
            <w:t>146</w:t>
          </w:r>
          <w:r w:rsidRPr="00EB388E">
            <w:fldChar w:fldCharType="end"/>
          </w:r>
        </w:p>
      </w:tc>
    </w:tr>
    <w:tr w:rsidR="00290160" w:rsidRPr="00EB388E" w:rsidTr="00420CF4">
      <w:trPr>
        <w:cantSplit/>
        <w:trHeight w:val="8164"/>
      </w:trPr>
      <w:tc>
        <w:tcPr>
          <w:tcW w:w="595" w:type="dxa"/>
          <w:textDirection w:val="tbRl"/>
        </w:tcPr>
        <w:p w:rsidR="00290160" w:rsidRDefault="00290160" w:rsidP="00420CF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420CF4">
          <w:pPr>
            <w:pStyle w:val="FooterLeft"/>
            <w:framePr w:wrap="auto" w:vAnchor="margin" w:hAnchor="text" w:yAlign="inline"/>
          </w:pPr>
          <w:r>
            <w:t>Post-election report of election commitments</w:t>
          </w:r>
        </w:p>
      </w:tc>
    </w:tr>
  </w:tbl>
  <w:p w:rsidR="00290160" w:rsidRPr="00E350DC" w:rsidRDefault="00290160" w:rsidP="00967BC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3D396D">
      <w:trPr>
        <w:trHeight w:val="340"/>
      </w:trPr>
      <w:tc>
        <w:tcPr>
          <w:tcW w:w="8164" w:type="dxa"/>
          <w:tcBorders>
            <w:right w:val="single" w:sz="4" w:space="0" w:color="788184" w:themeColor="background2"/>
          </w:tcBorders>
          <w:vAlign w:val="center"/>
        </w:tcPr>
        <w:p w:rsidR="00290160" w:rsidRPr="00CB70DF" w:rsidRDefault="000279D8" w:rsidP="003D396D">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3D396D">
          <w:pPr>
            <w:pStyle w:val="FooterRightPageNumber"/>
          </w:pPr>
          <w:r w:rsidRPr="00EB388E">
            <w:fldChar w:fldCharType="begin"/>
          </w:r>
          <w:r w:rsidRPr="00EB388E">
            <w:instrText xml:space="preserve"> PAGE   \* MERGEFORMAT </w:instrText>
          </w:r>
          <w:r w:rsidRPr="00EB388E">
            <w:fldChar w:fldCharType="separate"/>
          </w:r>
          <w:r w:rsidR="00490640">
            <w:t>233</w:t>
          </w:r>
          <w:r w:rsidRPr="00EB388E">
            <w:fldChar w:fldCharType="end"/>
          </w:r>
        </w:p>
      </w:tc>
    </w:tr>
    <w:tr w:rsidR="00290160" w:rsidRPr="00EB388E" w:rsidTr="003D396D">
      <w:trPr>
        <w:trHeight w:hRule="exact" w:val="403"/>
      </w:trPr>
      <w:tc>
        <w:tcPr>
          <w:tcW w:w="8164" w:type="dxa"/>
        </w:tcPr>
        <w:p w:rsidR="00290160" w:rsidRPr="00090E70" w:rsidRDefault="00290160" w:rsidP="003D396D"/>
      </w:tc>
      <w:tc>
        <w:tcPr>
          <w:tcW w:w="567" w:type="dxa"/>
          <w:tcMar>
            <w:bottom w:w="284" w:type="dxa"/>
          </w:tcMar>
        </w:tcPr>
        <w:p w:rsidR="00290160" w:rsidRPr="00090E70" w:rsidRDefault="00290160" w:rsidP="003D396D"/>
      </w:tc>
    </w:tr>
  </w:tbl>
  <w:p w:rsidR="00290160" w:rsidRDefault="00290160">
    <w:pPr>
      <w:pStyle w:val="Footer"/>
    </w:pPr>
  </w:p>
  <w:p w:rsidR="00290160" w:rsidRPr="004816D7" w:rsidRDefault="00290160" w:rsidP="00712B7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A70F88">
      <w:trPr>
        <w:cantSplit/>
        <w:trHeight w:val="567"/>
      </w:trPr>
      <w:tc>
        <w:tcPr>
          <w:tcW w:w="595" w:type="dxa"/>
          <w:textDirection w:val="tbRl"/>
        </w:tcPr>
        <w:p w:rsidR="00290160" w:rsidRPr="00EB388E" w:rsidRDefault="00290160" w:rsidP="00A70F8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A70F8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236</w:t>
          </w:r>
          <w:r w:rsidRPr="00EB388E">
            <w:fldChar w:fldCharType="end"/>
          </w:r>
        </w:p>
      </w:tc>
    </w:tr>
    <w:tr w:rsidR="00290160" w:rsidRPr="00EB388E" w:rsidTr="00A70F88">
      <w:trPr>
        <w:cantSplit/>
        <w:trHeight w:val="8164"/>
      </w:trPr>
      <w:tc>
        <w:tcPr>
          <w:tcW w:w="595" w:type="dxa"/>
          <w:textDirection w:val="tbRl"/>
        </w:tcPr>
        <w:p w:rsidR="00290160" w:rsidRDefault="00290160" w:rsidP="00A70F8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A70F88">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A70F88">
      <w:trPr>
        <w:cantSplit/>
        <w:trHeight w:val="8164"/>
      </w:trPr>
      <w:tc>
        <w:tcPr>
          <w:tcW w:w="595" w:type="dxa"/>
          <w:textDirection w:val="tbRl"/>
        </w:tcPr>
        <w:p w:rsidR="00290160" w:rsidRDefault="00290160" w:rsidP="00A70F8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A70F8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A70F88">
      <w:trPr>
        <w:cantSplit/>
        <w:trHeight w:val="850"/>
      </w:trPr>
      <w:tc>
        <w:tcPr>
          <w:tcW w:w="595" w:type="dxa"/>
          <w:textDirection w:val="tbRl"/>
        </w:tcPr>
        <w:p w:rsidR="00290160" w:rsidRDefault="00290160" w:rsidP="00A70F8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A70F88">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235</w:t>
          </w:r>
          <w:r w:rsidRPr="00B917D0">
            <w:fldChar w:fldCharType="end"/>
          </w:r>
        </w:p>
      </w:tc>
    </w:tr>
  </w:tbl>
  <w:p w:rsidR="00290160" w:rsidRPr="00E350DC" w:rsidRDefault="00290160" w:rsidP="00712B7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4C3B63">
      <w:trPr>
        <w:trHeight w:val="340"/>
      </w:trPr>
      <w:tc>
        <w:tcPr>
          <w:tcW w:w="567" w:type="dxa"/>
          <w:tcBorders>
            <w:right w:val="single" w:sz="4" w:space="0" w:color="788184" w:themeColor="background2"/>
          </w:tcBorders>
          <w:vAlign w:val="center"/>
        </w:tcPr>
        <w:p w:rsidR="00290160" w:rsidRPr="00CB70DF" w:rsidRDefault="00290160" w:rsidP="004C3B63">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238</w:t>
          </w:r>
          <w:r w:rsidRPr="00EB388E">
            <w:fldChar w:fldCharType="end"/>
          </w:r>
        </w:p>
      </w:tc>
      <w:tc>
        <w:tcPr>
          <w:tcW w:w="8164" w:type="dxa"/>
          <w:tcBorders>
            <w:left w:val="single" w:sz="4" w:space="0" w:color="788184" w:themeColor="background2"/>
          </w:tcBorders>
          <w:vAlign w:val="center"/>
        </w:tcPr>
        <w:p w:rsidR="00290160" w:rsidRPr="00CB70DF" w:rsidRDefault="00290160" w:rsidP="004C3B63">
          <w:pPr>
            <w:pStyle w:val="FooterLeft"/>
            <w:framePr w:wrap="auto" w:vAnchor="margin" w:hAnchor="text" w:yAlign="inline"/>
          </w:pPr>
          <w:r>
            <w:t>Post-election report of election commitments</w:t>
          </w:r>
        </w:p>
      </w:tc>
    </w:tr>
    <w:tr w:rsidR="00290160" w:rsidRPr="00EB388E" w:rsidTr="004C3B63">
      <w:trPr>
        <w:trHeight w:hRule="exact" w:val="403"/>
      </w:trPr>
      <w:tc>
        <w:tcPr>
          <w:tcW w:w="567" w:type="dxa"/>
          <w:tcMar>
            <w:bottom w:w="284" w:type="dxa"/>
          </w:tcMar>
        </w:tcPr>
        <w:p w:rsidR="00290160" w:rsidRPr="00EB388E" w:rsidRDefault="00290160" w:rsidP="004C3B63">
          <w:pPr>
            <w:pStyle w:val="FooterRightPageNumber"/>
          </w:pPr>
        </w:p>
      </w:tc>
      <w:tc>
        <w:tcPr>
          <w:tcW w:w="8164" w:type="dxa"/>
          <w:tcMar>
            <w:bottom w:w="284" w:type="dxa"/>
          </w:tcMar>
        </w:tcPr>
        <w:p w:rsidR="00290160" w:rsidRPr="00090E70" w:rsidRDefault="00290160" w:rsidP="004C3B63"/>
      </w:tc>
    </w:tr>
  </w:tbl>
  <w:p w:rsidR="00290160" w:rsidRDefault="00290160">
    <w:pPr>
      <w:pStyle w:val="Footer"/>
    </w:pPr>
  </w:p>
  <w:p w:rsidR="00290160" w:rsidRPr="004816D7" w:rsidRDefault="00290160" w:rsidP="004816D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4C3B63">
      <w:trPr>
        <w:trHeight w:val="340"/>
      </w:trPr>
      <w:tc>
        <w:tcPr>
          <w:tcW w:w="8164" w:type="dxa"/>
          <w:tcBorders>
            <w:right w:val="single" w:sz="4" w:space="0" w:color="788184" w:themeColor="background2"/>
          </w:tcBorders>
          <w:vAlign w:val="center"/>
        </w:tcPr>
        <w:p w:rsidR="00290160" w:rsidRPr="00CB70DF" w:rsidRDefault="000279D8" w:rsidP="004C3B63">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4C3B63">
          <w:pPr>
            <w:pStyle w:val="FooterRightPageNumber"/>
          </w:pPr>
          <w:r w:rsidRPr="00EB388E">
            <w:fldChar w:fldCharType="begin"/>
          </w:r>
          <w:r w:rsidRPr="00EB388E">
            <w:instrText xml:space="preserve"> PAGE   \* MERGEFORMAT </w:instrText>
          </w:r>
          <w:r w:rsidRPr="00EB388E">
            <w:fldChar w:fldCharType="separate"/>
          </w:r>
          <w:r w:rsidR="00490640">
            <w:t>239</w:t>
          </w:r>
          <w:r w:rsidRPr="00EB388E">
            <w:fldChar w:fldCharType="end"/>
          </w:r>
        </w:p>
      </w:tc>
    </w:tr>
    <w:tr w:rsidR="00290160" w:rsidRPr="00EB388E" w:rsidTr="004C3B63">
      <w:trPr>
        <w:trHeight w:hRule="exact" w:val="403"/>
      </w:trPr>
      <w:tc>
        <w:tcPr>
          <w:tcW w:w="8164" w:type="dxa"/>
        </w:tcPr>
        <w:p w:rsidR="00290160" w:rsidRPr="00090E70" w:rsidRDefault="00290160" w:rsidP="004C3B63"/>
      </w:tc>
      <w:tc>
        <w:tcPr>
          <w:tcW w:w="567" w:type="dxa"/>
          <w:tcMar>
            <w:bottom w:w="284" w:type="dxa"/>
          </w:tcMar>
        </w:tcPr>
        <w:p w:rsidR="00290160" w:rsidRPr="00090E70" w:rsidRDefault="00290160" w:rsidP="004C3B63"/>
      </w:tc>
    </w:tr>
  </w:tbl>
  <w:p w:rsidR="00290160" w:rsidRDefault="00290160">
    <w:pPr>
      <w:pStyle w:val="Footer"/>
    </w:pPr>
  </w:p>
  <w:p w:rsidR="00290160" w:rsidRPr="004816D7" w:rsidRDefault="00290160" w:rsidP="00712B79">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4C3B63">
      <w:trPr>
        <w:cantSplit/>
        <w:trHeight w:val="567"/>
      </w:trPr>
      <w:tc>
        <w:tcPr>
          <w:tcW w:w="595" w:type="dxa"/>
          <w:textDirection w:val="tbRl"/>
        </w:tcPr>
        <w:p w:rsidR="00290160" w:rsidRPr="00EB388E" w:rsidRDefault="00290160" w:rsidP="004C3B63">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4C3B63">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242</w:t>
          </w:r>
          <w:r w:rsidRPr="00EB388E">
            <w:fldChar w:fldCharType="end"/>
          </w:r>
        </w:p>
      </w:tc>
    </w:tr>
    <w:tr w:rsidR="00290160" w:rsidRPr="00EB388E" w:rsidTr="004C3B63">
      <w:trPr>
        <w:cantSplit/>
        <w:trHeight w:val="8164"/>
      </w:trPr>
      <w:tc>
        <w:tcPr>
          <w:tcW w:w="595" w:type="dxa"/>
          <w:textDirection w:val="tbRl"/>
        </w:tcPr>
        <w:p w:rsidR="00290160" w:rsidRDefault="00290160" w:rsidP="004C3B63">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4C3B63">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4C3B63">
      <w:trPr>
        <w:cantSplit/>
        <w:trHeight w:val="8164"/>
      </w:trPr>
      <w:tc>
        <w:tcPr>
          <w:tcW w:w="595" w:type="dxa"/>
          <w:textDirection w:val="tbRl"/>
        </w:tcPr>
        <w:p w:rsidR="00290160" w:rsidRDefault="00290160" w:rsidP="004C3B63">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4C3B63">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4C3B63">
      <w:trPr>
        <w:cantSplit/>
        <w:trHeight w:val="850"/>
      </w:trPr>
      <w:tc>
        <w:tcPr>
          <w:tcW w:w="595" w:type="dxa"/>
          <w:textDirection w:val="tbRl"/>
        </w:tcPr>
        <w:p w:rsidR="00290160" w:rsidRDefault="00290160" w:rsidP="004C3B63">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4C3B63">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241</w:t>
          </w:r>
          <w:r w:rsidRPr="00B917D0">
            <w:fldChar w:fldCharType="end"/>
          </w:r>
        </w:p>
      </w:tc>
    </w:tr>
  </w:tbl>
  <w:p w:rsidR="00290160" w:rsidRPr="00E350DC" w:rsidRDefault="00290160" w:rsidP="00712B7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DC17E4">
      <w:trPr>
        <w:trHeight w:val="340"/>
      </w:trPr>
      <w:tc>
        <w:tcPr>
          <w:tcW w:w="567" w:type="dxa"/>
          <w:tcBorders>
            <w:right w:val="single" w:sz="4" w:space="0" w:color="788184" w:themeColor="background2"/>
          </w:tcBorders>
          <w:vAlign w:val="center"/>
        </w:tcPr>
        <w:p w:rsidR="00290160" w:rsidRPr="00CB70DF" w:rsidRDefault="00290160" w:rsidP="00DC17E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252</w:t>
          </w:r>
          <w:r w:rsidRPr="00EB388E">
            <w:fldChar w:fldCharType="end"/>
          </w:r>
        </w:p>
      </w:tc>
      <w:tc>
        <w:tcPr>
          <w:tcW w:w="8164" w:type="dxa"/>
          <w:tcBorders>
            <w:left w:val="single" w:sz="4" w:space="0" w:color="788184" w:themeColor="background2"/>
          </w:tcBorders>
          <w:vAlign w:val="center"/>
        </w:tcPr>
        <w:p w:rsidR="00290160" w:rsidRPr="00CB70DF" w:rsidRDefault="00290160" w:rsidP="00DC17E4">
          <w:pPr>
            <w:pStyle w:val="FooterLeft"/>
            <w:framePr w:wrap="auto" w:vAnchor="margin" w:hAnchor="text" w:yAlign="inline"/>
          </w:pPr>
          <w:r>
            <w:t>Post-election report of election commitments</w:t>
          </w:r>
        </w:p>
      </w:tc>
    </w:tr>
    <w:tr w:rsidR="00290160" w:rsidRPr="00EB388E" w:rsidTr="00DC17E4">
      <w:trPr>
        <w:trHeight w:hRule="exact" w:val="403"/>
      </w:trPr>
      <w:tc>
        <w:tcPr>
          <w:tcW w:w="567" w:type="dxa"/>
          <w:tcMar>
            <w:bottom w:w="284" w:type="dxa"/>
          </w:tcMar>
        </w:tcPr>
        <w:p w:rsidR="00290160" w:rsidRPr="00EB388E" w:rsidRDefault="00290160" w:rsidP="00DC17E4">
          <w:pPr>
            <w:pStyle w:val="FooterRightPageNumber"/>
          </w:pPr>
        </w:p>
      </w:tc>
      <w:tc>
        <w:tcPr>
          <w:tcW w:w="8164" w:type="dxa"/>
          <w:tcMar>
            <w:bottom w:w="284" w:type="dxa"/>
          </w:tcMar>
        </w:tcPr>
        <w:p w:rsidR="00290160" w:rsidRPr="00090E70" w:rsidRDefault="00290160" w:rsidP="00DC17E4"/>
      </w:tc>
    </w:tr>
  </w:tbl>
  <w:p w:rsidR="00290160" w:rsidRDefault="00290160">
    <w:pPr>
      <w:pStyle w:val="Footer"/>
    </w:pPr>
  </w:p>
  <w:p w:rsidR="00290160" w:rsidRPr="004816D7" w:rsidRDefault="00290160" w:rsidP="004816D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DC17E4">
      <w:trPr>
        <w:trHeight w:val="340"/>
      </w:trPr>
      <w:tc>
        <w:tcPr>
          <w:tcW w:w="8164" w:type="dxa"/>
          <w:tcBorders>
            <w:right w:val="single" w:sz="4" w:space="0" w:color="788184" w:themeColor="background2"/>
          </w:tcBorders>
          <w:vAlign w:val="center"/>
        </w:tcPr>
        <w:p w:rsidR="00290160" w:rsidRPr="00CB70DF" w:rsidRDefault="000279D8" w:rsidP="00DC17E4">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DC17E4">
          <w:pPr>
            <w:pStyle w:val="FooterRightPageNumber"/>
          </w:pPr>
          <w:r w:rsidRPr="00EB388E">
            <w:fldChar w:fldCharType="begin"/>
          </w:r>
          <w:r w:rsidRPr="00EB388E">
            <w:instrText xml:space="preserve"> PAGE   \* MERGEFORMAT </w:instrText>
          </w:r>
          <w:r w:rsidRPr="00EB388E">
            <w:fldChar w:fldCharType="separate"/>
          </w:r>
          <w:r w:rsidR="00490640">
            <w:t>243</w:t>
          </w:r>
          <w:r w:rsidRPr="00EB388E">
            <w:fldChar w:fldCharType="end"/>
          </w:r>
        </w:p>
      </w:tc>
    </w:tr>
    <w:tr w:rsidR="00290160" w:rsidRPr="00EB388E" w:rsidTr="00DC17E4">
      <w:trPr>
        <w:trHeight w:hRule="exact" w:val="403"/>
      </w:trPr>
      <w:tc>
        <w:tcPr>
          <w:tcW w:w="8164" w:type="dxa"/>
        </w:tcPr>
        <w:p w:rsidR="00290160" w:rsidRPr="00090E70" w:rsidRDefault="00290160" w:rsidP="00DC17E4"/>
      </w:tc>
      <w:tc>
        <w:tcPr>
          <w:tcW w:w="567" w:type="dxa"/>
          <w:tcMar>
            <w:bottom w:w="284" w:type="dxa"/>
          </w:tcMar>
        </w:tcPr>
        <w:p w:rsidR="00290160" w:rsidRPr="00090E70" w:rsidRDefault="00290160" w:rsidP="00DC17E4"/>
      </w:tc>
    </w:tr>
  </w:tbl>
  <w:p w:rsidR="00290160" w:rsidRDefault="00290160">
    <w:pPr>
      <w:pStyle w:val="Footer"/>
    </w:pPr>
  </w:p>
  <w:p w:rsidR="00290160" w:rsidRPr="004816D7" w:rsidRDefault="00290160" w:rsidP="00712B79">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2C3AC8">
      <w:trPr>
        <w:cantSplit/>
        <w:trHeight w:val="567"/>
      </w:trPr>
      <w:tc>
        <w:tcPr>
          <w:tcW w:w="595" w:type="dxa"/>
          <w:textDirection w:val="tbRl"/>
        </w:tcPr>
        <w:p w:rsidR="00290160" w:rsidRPr="00EB388E" w:rsidRDefault="00290160" w:rsidP="002C3AC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2C3AC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254</w:t>
          </w:r>
          <w:r w:rsidRPr="00EB388E">
            <w:fldChar w:fldCharType="end"/>
          </w:r>
        </w:p>
      </w:tc>
    </w:tr>
    <w:tr w:rsidR="00290160" w:rsidRPr="00EB388E" w:rsidTr="002C3AC8">
      <w:trPr>
        <w:cantSplit/>
        <w:trHeight w:val="8164"/>
      </w:trPr>
      <w:tc>
        <w:tcPr>
          <w:tcW w:w="595" w:type="dxa"/>
          <w:textDirection w:val="tbRl"/>
        </w:tcPr>
        <w:p w:rsidR="00290160" w:rsidRDefault="00290160" w:rsidP="002C3AC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2C3AC8">
          <w:pPr>
            <w:pStyle w:val="FooterLeft"/>
            <w:framePr w:wrap="auto" w:vAnchor="margin" w:hAnchor="text" w:yAlign="inline"/>
          </w:pPr>
          <w:r>
            <w:t>Post-election report of election commitments</w:t>
          </w:r>
        </w:p>
      </w:tc>
    </w:tr>
  </w:tbl>
  <w:p w:rsidR="00290160" w:rsidRPr="00E350DC" w:rsidRDefault="00290160" w:rsidP="001043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420CF4">
      <w:trPr>
        <w:cantSplit/>
        <w:trHeight w:val="8164"/>
      </w:trPr>
      <w:tc>
        <w:tcPr>
          <w:tcW w:w="595" w:type="dxa"/>
          <w:textDirection w:val="tbRl"/>
        </w:tcPr>
        <w:p w:rsidR="00290160" w:rsidRDefault="00290160" w:rsidP="00420CF4">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290160" w:rsidP="00420CF4">
          <w:pPr>
            <w:pStyle w:val="FooterRight"/>
            <w:framePr w:wrap="auto" w:vAnchor="margin" w:hAnchor="text" w:xAlign="left" w:yAlign="inline"/>
          </w:pPr>
          <w:r>
            <w:fldChar w:fldCharType="begin"/>
          </w:r>
          <w:r>
            <w:instrText xml:space="preserve"> STYLEREF  "Heading 1"  \* MERGEFORMAT </w:instrText>
          </w:r>
          <w:r>
            <w:fldChar w:fldCharType="separate"/>
          </w:r>
          <w:r w:rsidR="009F1D58">
            <w:rPr>
              <w:b w:val="0"/>
              <w:bCs/>
              <w:noProof/>
              <w:lang w:val="en-US"/>
            </w:rPr>
            <w:t>Error! No text of specified style in document.</w:t>
          </w:r>
          <w:r>
            <w:rPr>
              <w:noProof/>
            </w:rPr>
            <w:fldChar w:fldCharType="end"/>
          </w:r>
        </w:p>
      </w:tc>
    </w:tr>
    <w:tr w:rsidR="00290160" w:rsidRPr="00EB388E" w:rsidTr="00420CF4">
      <w:trPr>
        <w:cantSplit/>
        <w:trHeight w:val="850"/>
      </w:trPr>
      <w:tc>
        <w:tcPr>
          <w:tcW w:w="595" w:type="dxa"/>
          <w:textDirection w:val="tbRl"/>
        </w:tcPr>
        <w:p w:rsidR="00290160" w:rsidRDefault="00290160" w:rsidP="00420CF4">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420CF4">
          <w:pPr>
            <w:pStyle w:val="FooterRightPageNumberLS"/>
            <w:framePr w:wrap="auto" w:xAlign="left"/>
          </w:pPr>
          <w:r w:rsidRPr="00B917D0">
            <w:fldChar w:fldCharType="begin"/>
          </w:r>
          <w:r w:rsidRPr="00B917D0">
            <w:instrText xml:space="preserve"> PAGE   \* MERGEFORMAT </w:instrText>
          </w:r>
          <w:r w:rsidRPr="00B917D0">
            <w:fldChar w:fldCharType="separate"/>
          </w:r>
          <w:r w:rsidR="009F1D58">
            <w:t>146</w:t>
          </w:r>
          <w:r w:rsidRPr="00B917D0">
            <w:fldChar w:fldCharType="end"/>
          </w:r>
        </w:p>
      </w:tc>
    </w:tr>
  </w:tbl>
  <w:p w:rsidR="00290160" w:rsidRPr="00E350DC" w:rsidRDefault="00290160" w:rsidP="00967BCD">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2C3AC8">
      <w:trPr>
        <w:cantSplit/>
        <w:trHeight w:val="8164"/>
      </w:trPr>
      <w:tc>
        <w:tcPr>
          <w:tcW w:w="595" w:type="dxa"/>
          <w:textDirection w:val="tbRl"/>
        </w:tcPr>
        <w:p w:rsidR="00290160" w:rsidRDefault="00290160" w:rsidP="002C3AC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2C3AC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2C3AC8">
      <w:trPr>
        <w:cantSplit/>
        <w:trHeight w:val="850"/>
      </w:trPr>
      <w:tc>
        <w:tcPr>
          <w:tcW w:w="595" w:type="dxa"/>
          <w:textDirection w:val="tbRl"/>
        </w:tcPr>
        <w:p w:rsidR="00290160" w:rsidRDefault="00290160" w:rsidP="002C3AC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2C3AC8">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255</w:t>
          </w:r>
          <w:r w:rsidRPr="00B917D0">
            <w:fldChar w:fldCharType="end"/>
          </w:r>
        </w:p>
      </w:tc>
    </w:tr>
  </w:tbl>
  <w:p w:rsidR="00290160" w:rsidRPr="00E350DC" w:rsidRDefault="00290160" w:rsidP="0010437E">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45988">
      <w:trPr>
        <w:trHeight w:val="340"/>
      </w:trPr>
      <w:tc>
        <w:tcPr>
          <w:tcW w:w="567" w:type="dxa"/>
          <w:tcBorders>
            <w:right w:val="single" w:sz="4" w:space="0" w:color="788184" w:themeColor="background2"/>
          </w:tcBorders>
          <w:vAlign w:val="center"/>
        </w:tcPr>
        <w:p w:rsidR="00290160" w:rsidRPr="00CB70DF" w:rsidRDefault="00290160" w:rsidP="0074598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256</w:t>
          </w:r>
          <w:r w:rsidRPr="00EB388E">
            <w:fldChar w:fldCharType="end"/>
          </w:r>
        </w:p>
      </w:tc>
      <w:tc>
        <w:tcPr>
          <w:tcW w:w="8164" w:type="dxa"/>
          <w:tcBorders>
            <w:left w:val="single" w:sz="4" w:space="0" w:color="788184" w:themeColor="background2"/>
          </w:tcBorders>
          <w:vAlign w:val="center"/>
        </w:tcPr>
        <w:p w:rsidR="00290160" w:rsidRPr="00CB70DF" w:rsidRDefault="00290160" w:rsidP="00745988">
          <w:pPr>
            <w:pStyle w:val="FooterLeft"/>
            <w:framePr w:wrap="auto" w:vAnchor="margin" w:hAnchor="text" w:yAlign="inline"/>
          </w:pPr>
          <w:r>
            <w:t>Post-election report of election commitments</w:t>
          </w:r>
        </w:p>
      </w:tc>
    </w:tr>
    <w:tr w:rsidR="00290160" w:rsidRPr="00EB388E" w:rsidTr="00745988">
      <w:trPr>
        <w:trHeight w:hRule="exact" w:val="403"/>
      </w:trPr>
      <w:tc>
        <w:tcPr>
          <w:tcW w:w="567" w:type="dxa"/>
          <w:tcMar>
            <w:bottom w:w="284" w:type="dxa"/>
          </w:tcMar>
        </w:tcPr>
        <w:p w:rsidR="00290160" w:rsidRPr="00EB388E" w:rsidRDefault="00290160" w:rsidP="00745988">
          <w:pPr>
            <w:pStyle w:val="FooterRightPageNumber"/>
          </w:pPr>
        </w:p>
      </w:tc>
      <w:tc>
        <w:tcPr>
          <w:tcW w:w="8164" w:type="dxa"/>
          <w:tcMar>
            <w:bottom w:w="284" w:type="dxa"/>
          </w:tcMar>
        </w:tcPr>
        <w:p w:rsidR="00290160" w:rsidRPr="00090E70" w:rsidRDefault="00290160" w:rsidP="00745988"/>
      </w:tc>
    </w:tr>
  </w:tbl>
  <w:p w:rsidR="00290160" w:rsidRDefault="00290160">
    <w:pPr>
      <w:pStyle w:val="Footer"/>
    </w:pPr>
  </w:p>
  <w:p w:rsidR="00290160" w:rsidRPr="004816D7" w:rsidRDefault="00290160" w:rsidP="004816D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45988">
      <w:trPr>
        <w:trHeight w:val="340"/>
      </w:trPr>
      <w:tc>
        <w:tcPr>
          <w:tcW w:w="8164" w:type="dxa"/>
          <w:tcBorders>
            <w:right w:val="single" w:sz="4" w:space="0" w:color="788184" w:themeColor="background2"/>
          </w:tcBorders>
          <w:vAlign w:val="center"/>
        </w:tcPr>
        <w:p w:rsidR="00290160" w:rsidRPr="00CB70DF" w:rsidRDefault="000279D8" w:rsidP="0074598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45988">
          <w:pPr>
            <w:pStyle w:val="FooterRightPageNumber"/>
          </w:pPr>
          <w:r w:rsidRPr="00EB388E">
            <w:fldChar w:fldCharType="begin"/>
          </w:r>
          <w:r w:rsidRPr="00EB388E">
            <w:instrText xml:space="preserve"> PAGE   \* MERGEFORMAT </w:instrText>
          </w:r>
          <w:r w:rsidRPr="00EB388E">
            <w:fldChar w:fldCharType="separate"/>
          </w:r>
          <w:r w:rsidR="00490640">
            <w:t>257</w:t>
          </w:r>
          <w:r w:rsidRPr="00EB388E">
            <w:fldChar w:fldCharType="end"/>
          </w:r>
        </w:p>
      </w:tc>
    </w:tr>
    <w:tr w:rsidR="00290160" w:rsidRPr="00EB388E" w:rsidTr="00745988">
      <w:trPr>
        <w:trHeight w:hRule="exact" w:val="403"/>
      </w:trPr>
      <w:tc>
        <w:tcPr>
          <w:tcW w:w="8164" w:type="dxa"/>
        </w:tcPr>
        <w:p w:rsidR="00290160" w:rsidRPr="00090E70" w:rsidRDefault="00290160" w:rsidP="00745988"/>
      </w:tc>
      <w:tc>
        <w:tcPr>
          <w:tcW w:w="567" w:type="dxa"/>
          <w:tcMar>
            <w:bottom w:w="284" w:type="dxa"/>
          </w:tcMar>
        </w:tcPr>
        <w:p w:rsidR="00290160" w:rsidRPr="00090E70" w:rsidRDefault="00290160" w:rsidP="00745988"/>
      </w:tc>
    </w:tr>
  </w:tbl>
  <w:p w:rsidR="00290160" w:rsidRDefault="00290160">
    <w:pPr>
      <w:pStyle w:val="Footer"/>
    </w:pPr>
  </w:p>
  <w:p w:rsidR="00290160" w:rsidRPr="004816D7" w:rsidRDefault="00290160" w:rsidP="00485BA6">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967B83">
      <w:trPr>
        <w:trHeight w:val="340"/>
      </w:trPr>
      <w:tc>
        <w:tcPr>
          <w:tcW w:w="567" w:type="dxa"/>
          <w:tcBorders>
            <w:right w:val="single" w:sz="4" w:space="0" w:color="788184" w:themeColor="background2"/>
          </w:tcBorders>
          <w:vAlign w:val="center"/>
        </w:tcPr>
        <w:p w:rsidR="00290160" w:rsidRPr="00CB70DF" w:rsidRDefault="00290160" w:rsidP="00967B83">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260</w:t>
          </w:r>
          <w:r w:rsidRPr="00EB388E">
            <w:fldChar w:fldCharType="end"/>
          </w:r>
        </w:p>
      </w:tc>
      <w:tc>
        <w:tcPr>
          <w:tcW w:w="8164" w:type="dxa"/>
          <w:tcBorders>
            <w:left w:val="single" w:sz="4" w:space="0" w:color="788184" w:themeColor="background2"/>
          </w:tcBorders>
          <w:vAlign w:val="center"/>
        </w:tcPr>
        <w:p w:rsidR="00290160" w:rsidRPr="00CB70DF" w:rsidRDefault="00290160" w:rsidP="00967B83">
          <w:pPr>
            <w:pStyle w:val="FooterLeft"/>
            <w:framePr w:wrap="auto" w:vAnchor="margin" w:hAnchor="text" w:yAlign="inline"/>
          </w:pPr>
          <w:r>
            <w:t>Post-election report of election commitments</w:t>
          </w:r>
        </w:p>
      </w:tc>
    </w:tr>
    <w:tr w:rsidR="00290160" w:rsidRPr="00EB388E" w:rsidTr="00967B83">
      <w:trPr>
        <w:trHeight w:hRule="exact" w:val="403"/>
      </w:trPr>
      <w:tc>
        <w:tcPr>
          <w:tcW w:w="567" w:type="dxa"/>
          <w:tcMar>
            <w:bottom w:w="284" w:type="dxa"/>
          </w:tcMar>
        </w:tcPr>
        <w:p w:rsidR="00290160" w:rsidRPr="00EB388E" w:rsidRDefault="00290160" w:rsidP="00967B83">
          <w:pPr>
            <w:pStyle w:val="FooterRightPageNumber"/>
          </w:pPr>
        </w:p>
      </w:tc>
      <w:tc>
        <w:tcPr>
          <w:tcW w:w="8164" w:type="dxa"/>
          <w:tcMar>
            <w:bottom w:w="284" w:type="dxa"/>
          </w:tcMar>
        </w:tcPr>
        <w:p w:rsidR="00290160" w:rsidRPr="00090E70" w:rsidRDefault="00290160" w:rsidP="00967B83"/>
      </w:tc>
    </w:tr>
  </w:tbl>
  <w:p w:rsidR="00290160" w:rsidRDefault="00290160">
    <w:pPr>
      <w:pStyle w:val="Footer"/>
    </w:pPr>
  </w:p>
  <w:p w:rsidR="00290160" w:rsidRPr="004816D7" w:rsidRDefault="00290160" w:rsidP="004816D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967B83">
      <w:trPr>
        <w:trHeight w:val="340"/>
      </w:trPr>
      <w:tc>
        <w:tcPr>
          <w:tcW w:w="8164" w:type="dxa"/>
          <w:tcBorders>
            <w:right w:val="single" w:sz="4" w:space="0" w:color="788184" w:themeColor="background2"/>
          </w:tcBorders>
          <w:vAlign w:val="center"/>
        </w:tcPr>
        <w:p w:rsidR="00290160" w:rsidRPr="00CB70DF" w:rsidRDefault="000279D8" w:rsidP="00967B83">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967B83">
          <w:pPr>
            <w:pStyle w:val="FooterRightPageNumber"/>
          </w:pPr>
          <w:r w:rsidRPr="00EB388E">
            <w:fldChar w:fldCharType="begin"/>
          </w:r>
          <w:r w:rsidRPr="00EB388E">
            <w:instrText xml:space="preserve"> PAGE   \* MERGEFORMAT </w:instrText>
          </w:r>
          <w:r w:rsidRPr="00EB388E">
            <w:fldChar w:fldCharType="separate"/>
          </w:r>
          <w:r w:rsidR="00490640">
            <w:t>259</w:t>
          </w:r>
          <w:r w:rsidRPr="00EB388E">
            <w:fldChar w:fldCharType="end"/>
          </w:r>
        </w:p>
      </w:tc>
    </w:tr>
    <w:tr w:rsidR="00290160" w:rsidRPr="00EB388E" w:rsidTr="00967B83">
      <w:trPr>
        <w:trHeight w:hRule="exact" w:val="403"/>
      </w:trPr>
      <w:tc>
        <w:tcPr>
          <w:tcW w:w="8164" w:type="dxa"/>
        </w:tcPr>
        <w:p w:rsidR="00290160" w:rsidRPr="00090E70" w:rsidRDefault="00290160" w:rsidP="00967B83"/>
      </w:tc>
      <w:tc>
        <w:tcPr>
          <w:tcW w:w="567" w:type="dxa"/>
          <w:tcMar>
            <w:bottom w:w="284" w:type="dxa"/>
          </w:tcMar>
        </w:tcPr>
        <w:p w:rsidR="00290160" w:rsidRPr="00090E70" w:rsidRDefault="00290160" w:rsidP="00967B83"/>
      </w:tc>
    </w:tr>
  </w:tbl>
  <w:p w:rsidR="00290160" w:rsidRDefault="00290160">
    <w:pPr>
      <w:pStyle w:val="Footer"/>
    </w:pPr>
  </w:p>
  <w:p w:rsidR="00290160" w:rsidRPr="004816D7" w:rsidRDefault="00290160" w:rsidP="00485BA6">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004B47">
      <w:trPr>
        <w:cantSplit/>
        <w:trHeight w:val="567"/>
      </w:trPr>
      <w:tc>
        <w:tcPr>
          <w:tcW w:w="595" w:type="dxa"/>
          <w:textDirection w:val="tbRl"/>
        </w:tcPr>
        <w:p w:rsidR="00290160" w:rsidRPr="00EB388E" w:rsidRDefault="00290160" w:rsidP="00004B47">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004B47">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9F1D58">
            <w:rPr>
              <w:noProof/>
            </w:rPr>
            <w:t>261</w:t>
          </w:r>
          <w:r w:rsidRPr="00EB388E">
            <w:fldChar w:fldCharType="end"/>
          </w:r>
        </w:p>
      </w:tc>
    </w:tr>
    <w:tr w:rsidR="00290160" w:rsidRPr="00EB388E" w:rsidTr="00004B47">
      <w:trPr>
        <w:cantSplit/>
        <w:trHeight w:val="8164"/>
      </w:trPr>
      <w:tc>
        <w:tcPr>
          <w:tcW w:w="595" w:type="dxa"/>
          <w:textDirection w:val="tbRl"/>
        </w:tcPr>
        <w:p w:rsidR="00290160" w:rsidRDefault="00290160" w:rsidP="00004B47">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004B47">
          <w:pPr>
            <w:pStyle w:val="FooterLeft"/>
            <w:framePr w:wrap="auto" w:vAnchor="margin" w:hAnchor="text" w:yAlign="inline"/>
          </w:pPr>
          <w:r>
            <w:fldChar w:fldCharType="begin"/>
          </w:r>
          <w:r>
            <w:instrText xml:space="preserve"> STYLEREF  Title  \* MERGEFORMAT </w:instrText>
          </w:r>
          <w:r>
            <w:fldChar w:fldCharType="separate"/>
          </w:r>
          <w:r w:rsidR="009F1D58">
            <w:rPr>
              <w:b w:val="0"/>
              <w:bCs/>
              <w:noProof/>
              <w:lang w:val="en-US"/>
            </w:rPr>
            <w:t>Error! No text of specified style in document.</w:t>
          </w:r>
          <w:r>
            <w:rPr>
              <w:noProof/>
            </w:rPr>
            <w:fldChar w:fldCharType="end"/>
          </w:r>
        </w:p>
      </w:tc>
    </w:tr>
  </w:tbl>
  <w:p w:rsidR="00290160" w:rsidRPr="00E350DC" w:rsidRDefault="00290160" w:rsidP="00712B79">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004B47">
      <w:trPr>
        <w:cantSplit/>
        <w:trHeight w:val="8164"/>
      </w:trPr>
      <w:tc>
        <w:tcPr>
          <w:tcW w:w="595" w:type="dxa"/>
          <w:textDirection w:val="tbRl"/>
        </w:tcPr>
        <w:p w:rsidR="00290160" w:rsidRDefault="00290160" w:rsidP="00004B47">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004B47">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004B47">
      <w:trPr>
        <w:cantSplit/>
        <w:trHeight w:val="850"/>
      </w:trPr>
      <w:tc>
        <w:tcPr>
          <w:tcW w:w="595" w:type="dxa"/>
          <w:textDirection w:val="tbRl"/>
        </w:tcPr>
        <w:p w:rsidR="00290160" w:rsidRDefault="00290160" w:rsidP="00004B47">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004B47">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261</w:t>
          </w:r>
          <w:r w:rsidRPr="00B917D0">
            <w:fldChar w:fldCharType="end"/>
          </w:r>
        </w:p>
      </w:tc>
    </w:tr>
  </w:tbl>
  <w:p w:rsidR="00290160" w:rsidRPr="00E350DC" w:rsidRDefault="00290160" w:rsidP="00712B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A2A7B">
      <w:trPr>
        <w:trHeight w:val="340"/>
      </w:trPr>
      <w:tc>
        <w:tcPr>
          <w:tcW w:w="567" w:type="dxa"/>
          <w:tcBorders>
            <w:right w:val="single" w:sz="4" w:space="0" w:color="788184" w:themeColor="background2"/>
          </w:tcBorders>
          <w:vAlign w:val="center"/>
        </w:tcPr>
        <w:p w:rsidR="00290160" w:rsidRPr="00CB70DF" w:rsidRDefault="00290160" w:rsidP="007A2A7B">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262</w:t>
          </w:r>
          <w:r w:rsidRPr="00EB388E">
            <w:fldChar w:fldCharType="end"/>
          </w:r>
        </w:p>
      </w:tc>
      <w:tc>
        <w:tcPr>
          <w:tcW w:w="8164" w:type="dxa"/>
          <w:tcBorders>
            <w:left w:val="single" w:sz="4" w:space="0" w:color="788184" w:themeColor="background2"/>
          </w:tcBorders>
          <w:vAlign w:val="center"/>
        </w:tcPr>
        <w:p w:rsidR="00290160" w:rsidRPr="00CB70DF" w:rsidRDefault="00290160" w:rsidP="007A2A7B">
          <w:pPr>
            <w:pStyle w:val="FooterLeft"/>
            <w:framePr w:wrap="auto" w:vAnchor="margin" w:hAnchor="text" w:yAlign="inline"/>
          </w:pPr>
          <w:r>
            <w:t>Post-election report of election commitments</w:t>
          </w:r>
        </w:p>
      </w:tc>
    </w:tr>
    <w:tr w:rsidR="00290160" w:rsidRPr="00EB388E" w:rsidTr="007A2A7B">
      <w:trPr>
        <w:trHeight w:hRule="exact" w:val="403"/>
      </w:trPr>
      <w:tc>
        <w:tcPr>
          <w:tcW w:w="567" w:type="dxa"/>
          <w:tcMar>
            <w:bottom w:w="284" w:type="dxa"/>
          </w:tcMar>
        </w:tcPr>
        <w:p w:rsidR="00290160" w:rsidRPr="00EB388E" w:rsidRDefault="00290160" w:rsidP="007A2A7B">
          <w:pPr>
            <w:pStyle w:val="FooterRightPageNumber"/>
          </w:pPr>
        </w:p>
      </w:tc>
      <w:tc>
        <w:tcPr>
          <w:tcW w:w="8164" w:type="dxa"/>
          <w:tcMar>
            <w:bottom w:w="284" w:type="dxa"/>
          </w:tcMar>
        </w:tcPr>
        <w:p w:rsidR="00290160" w:rsidRPr="00090E70" w:rsidRDefault="00290160" w:rsidP="007A2A7B"/>
      </w:tc>
    </w:tr>
  </w:tbl>
  <w:p w:rsidR="00290160" w:rsidRDefault="00290160">
    <w:pPr>
      <w:pStyle w:val="Footer"/>
    </w:pPr>
  </w:p>
  <w:p w:rsidR="00290160" w:rsidRPr="004816D7" w:rsidRDefault="00290160" w:rsidP="004816D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A2A7B">
      <w:trPr>
        <w:trHeight w:val="340"/>
      </w:trPr>
      <w:tc>
        <w:tcPr>
          <w:tcW w:w="8164" w:type="dxa"/>
          <w:tcBorders>
            <w:right w:val="single" w:sz="4" w:space="0" w:color="788184" w:themeColor="background2"/>
          </w:tcBorders>
          <w:vAlign w:val="center"/>
        </w:tcPr>
        <w:p w:rsidR="00290160" w:rsidRPr="00CB70DF" w:rsidRDefault="000279D8" w:rsidP="007A2A7B">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A2A7B">
          <w:pPr>
            <w:pStyle w:val="FooterRightPageNumber"/>
          </w:pPr>
          <w:r w:rsidRPr="00EB388E">
            <w:fldChar w:fldCharType="begin"/>
          </w:r>
          <w:r w:rsidRPr="00EB388E">
            <w:instrText xml:space="preserve"> PAGE   \* MERGEFORMAT </w:instrText>
          </w:r>
          <w:r w:rsidRPr="00EB388E">
            <w:fldChar w:fldCharType="separate"/>
          </w:r>
          <w:r w:rsidR="00490640">
            <w:t>287</w:t>
          </w:r>
          <w:r w:rsidRPr="00EB388E">
            <w:fldChar w:fldCharType="end"/>
          </w:r>
        </w:p>
      </w:tc>
    </w:tr>
    <w:tr w:rsidR="00290160" w:rsidRPr="00EB388E" w:rsidTr="007A2A7B">
      <w:trPr>
        <w:trHeight w:hRule="exact" w:val="403"/>
      </w:trPr>
      <w:tc>
        <w:tcPr>
          <w:tcW w:w="8164" w:type="dxa"/>
        </w:tcPr>
        <w:p w:rsidR="00290160" w:rsidRPr="00090E70" w:rsidRDefault="00290160" w:rsidP="007A2A7B"/>
      </w:tc>
      <w:tc>
        <w:tcPr>
          <w:tcW w:w="567" w:type="dxa"/>
          <w:tcMar>
            <w:bottom w:w="284" w:type="dxa"/>
          </w:tcMar>
        </w:tcPr>
        <w:p w:rsidR="00290160" w:rsidRPr="00090E70" w:rsidRDefault="00290160" w:rsidP="007A2A7B"/>
      </w:tc>
    </w:tr>
  </w:tbl>
  <w:p w:rsidR="00290160" w:rsidRDefault="00290160">
    <w:pPr>
      <w:pStyle w:val="Footer"/>
    </w:pPr>
  </w:p>
  <w:p w:rsidR="00290160" w:rsidRPr="004816D7" w:rsidRDefault="00290160" w:rsidP="00712B79">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4222D6">
      <w:trPr>
        <w:trHeight w:val="340"/>
      </w:trPr>
      <w:tc>
        <w:tcPr>
          <w:tcW w:w="567" w:type="dxa"/>
          <w:tcBorders>
            <w:right w:val="single" w:sz="4" w:space="0" w:color="788184" w:themeColor="background2"/>
          </w:tcBorders>
          <w:vAlign w:val="center"/>
        </w:tcPr>
        <w:p w:rsidR="00290160" w:rsidRPr="00CB70DF" w:rsidRDefault="00290160" w:rsidP="004222D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288</w:t>
          </w:r>
          <w:r w:rsidRPr="00EB388E">
            <w:fldChar w:fldCharType="end"/>
          </w:r>
        </w:p>
      </w:tc>
      <w:tc>
        <w:tcPr>
          <w:tcW w:w="8164" w:type="dxa"/>
          <w:tcBorders>
            <w:left w:val="single" w:sz="4" w:space="0" w:color="788184" w:themeColor="background2"/>
          </w:tcBorders>
          <w:vAlign w:val="center"/>
        </w:tcPr>
        <w:p w:rsidR="00290160" w:rsidRPr="00CB70DF" w:rsidRDefault="00290160" w:rsidP="004222D6">
          <w:pPr>
            <w:pStyle w:val="FooterLeft"/>
            <w:framePr w:wrap="auto" w:vAnchor="margin" w:hAnchor="text" w:yAlign="inline"/>
          </w:pPr>
          <w:r>
            <w:t>Post-election report of election commitments</w:t>
          </w:r>
        </w:p>
      </w:tc>
    </w:tr>
    <w:tr w:rsidR="00290160" w:rsidRPr="00EB388E" w:rsidTr="004222D6">
      <w:trPr>
        <w:trHeight w:hRule="exact" w:val="403"/>
      </w:trPr>
      <w:tc>
        <w:tcPr>
          <w:tcW w:w="567" w:type="dxa"/>
          <w:tcMar>
            <w:bottom w:w="284" w:type="dxa"/>
          </w:tcMar>
        </w:tcPr>
        <w:p w:rsidR="00290160" w:rsidRPr="00EB388E" w:rsidRDefault="00290160" w:rsidP="004222D6">
          <w:pPr>
            <w:pStyle w:val="FooterRightPageNumber"/>
          </w:pPr>
        </w:p>
      </w:tc>
      <w:tc>
        <w:tcPr>
          <w:tcW w:w="8164" w:type="dxa"/>
          <w:tcMar>
            <w:bottom w:w="284" w:type="dxa"/>
          </w:tcMar>
        </w:tcPr>
        <w:p w:rsidR="00290160" w:rsidRPr="00090E70" w:rsidRDefault="00290160" w:rsidP="004222D6"/>
      </w:tc>
    </w:tr>
  </w:tbl>
  <w:p w:rsidR="00290160" w:rsidRDefault="00290160">
    <w:pPr>
      <w:pStyle w:val="Footer"/>
    </w:pPr>
  </w:p>
  <w:p w:rsidR="00290160" w:rsidRPr="004816D7" w:rsidRDefault="00290160" w:rsidP="004816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62C05">
      <w:trPr>
        <w:trHeight w:val="340"/>
      </w:trPr>
      <w:tc>
        <w:tcPr>
          <w:tcW w:w="567" w:type="dxa"/>
          <w:tcBorders>
            <w:right w:val="single" w:sz="4" w:space="0" w:color="788184" w:themeColor="background2"/>
          </w:tcBorders>
          <w:vAlign w:val="center"/>
        </w:tcPr>
        <w:p w:rsidR="00290160" w:rsidRPr="00CB70DF" w:rsidRDefault="00290160" w:rsidP="005C10E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0279D8">
            <w:rPr>
              <w:noProof/>
            </w:rPr>
            <w:t>148</w:t>
          </w:r>
          <w:r w:rsidRPr="00EB388E">
            <w:fldChar w:fldCharType="end"/>
          </w:r>
        </w:p>
      </w:tc>
      <w:tc>
        <w:tcPr>
          <w:tcW w:w="8164" w:type="dxa"/>
          <w:tcBorders>
            <w:left w:val="single" w:sz="4" w:space="0" w:color="788184" w:themeColor="background2"/>
          </w:tcBorders>
          <w:vAlign w:val="center"/>
        </w:tcPr>
        <w:p w:rsidR="00290160" w:rsidRPr="00CB70DF" w:rsidRDefault="00290160" w:rsidP="005C10EF">
          <w:pPr>
            <w:pStyle w:val="FooterLeft"/>
            <w:framePr w:wrap="auto" w:vAnchor="margin" w:hAnchor="text" w:yAlign="inline"/>
          </w:pPr>
          <w:r>
            <w:t>Post-election report of election commitments</w:t>
          </w:r>
        </w:p>
      </w:tc>
    </w:tr>
    <w:tr w:rsidR="00290160" w:rsidRPr="00EB388E" w:rsidTr="00762C05">
      <w:trPr>
        <w:trHeight w:hRule="exact" w:val="403"/>
      </w:trPr>
      <w:tc>
        <w:tcPr>
          <w:tcW w:w="567" w:type="dxa"/>
          <w:tcMar>
            <w:bottom w:w="284" w:type="dxa"/>
          </w:tcMar>
        </w:tcPr>
        <w:p w:rsidR="00290160" w:rsidRPr="00EB388E" w:rsidRDefault="00290160" w:rsidP="00762C05">
          <w:pPr>
            <w:pStyle w:val="FooterRightPageNumber"/>
          </w:pPr>
        </w:p>
      </w:tc>
      <w:tc>
        <w:tcPr>
          <w:tcW w:w="8164" w:type="dxa"/>
          <w:tcMar>
            <w:bottom w:w="284" w:type="dxa"/>
          </w:tcMar>
        </w:tcPr>
        <w:p w:rsidR="00290160" w:rsidRPr="00090E70" w:rsidRDefault="00290160" w:rsidP="00762C05"/>
      </w:tc>
    </w:tr>
  </w:tbl>
  <w:p w:rsidR="00290160" w:rsidRDefault="00290160">
    <w:pPr>
      <w:pStyle w:val="Footer"/>
    </w:pPr>
  </w:p>
  <w:p w:rsidR="00290160" w:rsidRPr="004816D7" w:rsidRDefault="00290160" w:rsidP="004816D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4222D6">
      <w:trPr>
        <w:trHeight w:val="340"/>
      </w:trPr>
      <w:tc>
        <w:tcPr>
          <w:tcW w:w="8164" w:type="dxa"/>
          <w:tcBorders>
            <w:right w:val="single" w:sz="4" w:space="0" w:color="788184" w:themeColor="background2"/>
          </w:tcBorders>
          <w:vAlign w:val="center"/>
        </w:tcPr>
        <w:p w:rsidR="00290160" w:rsidRPr="00CB70DF" w:rsidRDefault="000279D8" w:rsidP="004222D6">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4222D6">
          <w:pPr>
            <w:pStyle w:val="FooterRightPageNumber"/>
          </w:pPr>
          <w:r w:rsidRPr="00EB388E">
            <w:fldChar w:fldCharType="begin"/>
          </w:r>
          <w:r w:rsidRPr="00EB388E">
            <w:instrText xml:space="preserve"> PAGE   \* MERGEFORMAT </w:instrText>
          </w:r>
          <w:r w:rsidRPr="00EB388E">
            <w:fldChar w:fldCharType="separate"/>
          </w:r>
          <w:r w:rsidR="00490640">
            <w:t>297</w:t>
          </w:r>
          <w:r w:rsidRPr="00EB388E">
            <w:fldChar w:fldCharType="end"/>
          </w:r>
        </w:p>
      </w:tc>
    </w:tr>
    <w:tr w:rsidR="00290160" w:rsidRPr="00EB388E" w:rsidTr="004222D6">
      <w:trPr>
        <w:trHeight w:hRule="exact" w:val="403"/>
      </w:trPr>
      <w:tc>
        <w:tcPr>
          <w:tcW w:w="8164" w:type="dxa"/>
        </w:tcPr>
        <w:p w:rsidR="00290160" w:rsidRPr="00090E70" w:rsidRDefault="00290160" w:rsidP="004222D6"/>
      </w:tc>
      <w:tc>
        <w:tcPr>
          <w:tcW w:w="567" w:type="dxa"/>
          <w:tcMar>
            <w:bottom w:w="284" w:type="dxa"/>
          </w:tcMar>
        </w:tcPr>
        <w:p w:rsidR="00290160" w:rsidRPr="00090E70" w:rsidRDefault="00290160" w:rsidP="004222D6"/>
      </w:tc>
    </w:tr>
  </w:tbl>
  <w:p w:rsidR="00290160" w:rsidRDefault="00290160">
    <w:pPr>
      <w:pStyle w:val="Footer"/>
    </w:pPr>
  </w:p>
  <w:p w:rsidR="00290160" w:rsidRPr="004816D7" w:rsidRDefault="00290160" w:rsidP="00712B79">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FD1D4B">
      <w:trPr>
        <w:cantSplit/>
        <w:trHeight w:val="567"/>
      </w:trPr>
      <w:tc>
        <w:tcPr>
          <w:tcW w:w="595" w:type="dxa"/>
          <w:textDirection w:val="tbRl"/>
        </w:tcPr>
        <w:p w:rsidR="00290160" w:rsidRPr="00EB388E" w:rsidRDefault="00290160" w:rsidP="00FD1D4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FD1D4B">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300</w:t>
          </w:r>
          <w:r w:rsidRPr="00EB388E">
            <w:fldChar w:fldCharType="end"/>
          </w:r>
        </w:p>
      </w:tc>
    </w:tr>
    <w:tr w:rsidR="00290160" w:rsidRPr="00EB388E" w:rsidTr="00FD1D4B">
      <w:trPr>
        <w:cantSplit/>
        <w:trHeight w:val="8164"/>
      </w:trPr>
      <w:tc>
        <w:tcPr>
          <w:tcW w:w="595" w:type="dxa"/>
          <w:textDirection w:val="tbRl"/>
        </w:tcPr>
        <w:p w:rsidR="00290160" w:rsidRDefault="00290160" w:rsidP="00FD1D4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FD1D4B">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FD1D4B">
      <w:trPr>
        <w:cantSplit/>
        <w:trHeight w:val="8164"/>
      </w:trPr>
      <w:tc>
        <w:tcPr>
          <w:tcW w:w="595" w:type="dxa"/>
          <w:textDirection w:val="tbRl"/>
        </w:tcPr>
        <w:p w:rsidR="00290160" w:rsidRDefault="00290160" w:rsidP="00FD1D4B">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FD1D4B">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FD1D4B">
      <w:trPr>
        <w:cantSplit/>
        <w:trHeight w:val="850"/>
      </w:trPr>
      <w:tc>
        <w:tcPr>
          <w:tcW w:w="595" w:type="dxa"/>
          <w:textDirection w:val="tbRl"/>
        </w:tcPr>
        <w:p w:rsidR="00290160" w:rsidRDefault="00290160" w:rsidP="00FD1D4B">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FD1D4B">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299</w:t>
          </w:r>
          <w:r w:rsidRPr="00B917D0">
            <w:fldChar w:fldCharType="end"/>
          </w:r>
        </w:p>
      </w:tc>
    </w:tr>
  </w:tbl>
  <w:p w:rsidR="00290160" w:rsidRPr="00E350DC" w:rsidRDefault="00290160" w:rsidP="00712B79">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AE58CE">
      <w:trPr>
        <w:trHeight w:val="340"/>
      </w:trPr>
      <w:tc>
        <w:tcPr>
          <w:tcW w:w="567" w:type="dxa"/>
          <w:tcBorders>
            <w:right w:val="single" w:sz="4" w:space="0" w:color="788184" w:themeColor="background2"/>
          </w:tcBorders>
          <w:vAlign w:val="center"/>
        </w:tcPr>
        <w:p w:rsidR="00290160" w:rsidRPr="00CB70DF" w:rsidRDefault="00290160" w:rsidP="00AE58CE">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316</w:t>
          </w:r>
          <w:r w:rsidRPr="00EB388E">
            <w:fldChar w:fldCharType="end"/>
          </w:r>
        </w:p>
      </w:tc>
      <w:tc>
        <w:tcPr>
          <w:tcW w:w="8164" w:type="dxa"/>
          <w:tcBorders>
            <w:left w:val="single" w:sz="4" w:space="0" w:color="788184" w:themeColor="background2"/>
          </w:tcBorders>
          <w:vAlign w:val="center"/>
        </w:tcPr>
        <w:p w:rsidR="00290160" w:rsidRPr="00CB70DF" w:rsidRDefault="00290160" w:rsidP="00AE58CE">
          <w:pPr>
            <w:pStyle w:val="FooterLeft"/>
            <w:framePr w:wrap="auto" w:vAnchor="margin" w:hAnchor="text" w:yAlign="inline"/>
          </w:pPr>
          <w:r>
            <w:t>Post-election report of election commitments</w:t>
          </w:r>
        </w:p>
      </w:tc>
    </w:tr>
    <w:tr w:rsidR="00290160" w:rsidRPr="00EB388E" w:rsidTr="00AE58CE">
      <w:trPr>
        <w:trHeight w:hRule="exact" w:val="403"/>
      </w:trPr>
      <w:tc>
        <w:tcPr>
          <w:tcW w:w="567" w:type="dxa"/>
          <w:tcMar>
            <w:bottom w:w="284" w:type="dxa"/>
          </w:tcMar>
        </w:tcPr>
        <w:p w:rsidR="00290160" w:rsidRPr="00EB388E" w:rsidRDefault="00290160" w:rsidP="00AE58CE">
          <w:pPr>
            <w:pStyle w:val="FooterRightPageNumber"/>
          </w:pPr>
        </w:p>
      </w:tc>
      <w:tc>
        <w:tcPr>
          <w:tcW w:w="8164" w:type="dxa"/>
          <w:tcMar>
            <w:bottom w:w="284" w:type="dxa"/>
          </w:tcMar>
        </w:tcPr>
        <w:p w:rsidR="00290160" w:rsidRPr="00090E70" w:rsidRDefault="00290160" w:rsidP="00AE58CE"/>
      </w:tc>
    </w:tr>
  </w:tbl>
  <w:p w:rsidR="00290160" w:rsidRDefault="00290160">
    <w:pPr>
      <w:pStyle w:val="Footer"/>
    </w:pPr>
  </w:p>
  <w:p w:rsidR="00290160" w:rsidRPr="004816D7" w:rsidRDefault="00290160" w:rsidP="004816D7">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AE58CE">
      <w:trPr>
        <w:trHeight w:val="340"/>
      </w:trPr>
      <w:tc>
        <w:tcPr>
          <w:tcW w:w="8164" w:type="dxa"/>
          <w:tcBorders>
            <w:right w:val="single" w:sz="4" w:space="0" w:color="788184" w:themeColor="background2"/>
          </w:tcBorders>
          <w:vAlign w:val="center"/>
        </w:tcPr>
        <w:p w:rsidR="00290160" w:rsidRPr="00CB70DF" w:rsidRDefault="000279D8" w:rsidP="00AE58CE">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AE58CE">
          <w:pPr>
            <w:pStyle w:val="FooterRightPageNumber"/>
          </w:pPr>
          <w:r w:rsidRPr="00EB388E">
            <w:fldChar w:fldCharType="begin"/>
          </w:r>
          <w:r w:rsidRPr="00EB388E">
            <w:instrText xml:space="preserve"> PAGE   \* MERGEFORMAT </w:instrText>
          </w:r>
          <w:r w:rsidRPr="00EB388E">
            <w:fldChar w:fldCharType="separate"/>
          </w:r>
          <w:r w:rsidR="00490640">
            <w:t>301</w:t>
          </w:r>
          <w:r w:rsidRPr="00EB388E">
            <w:fldChar w:fldCharType="end"/>
          </w:r>
        </w:p>
      </w:tc>
    </w:tr>
    <w:tr w:rsidR="00290160" w:rsidRPr="00EB388E" w:rsidTr="00AE58CE">
      <w:trPr>
        <w:trHeight w:hRule="exact" w:val="403"/>
      </w:trPr>
      <w:tc>
        <w:tcPr>
          <w:tcW w:w="8164" w:type="dxa"/>
        </w:tcPr>
        <w:p w:rsidR="00290160" w:rsidRPr="00090E70" w:rsidRDefault="00290160" w:rsidP="00AE58CE"/>
      </w:tc>
      <w:tc>
        <w:tcPr>
          <w:tcW w:w="567" w:type="dxa"/>
          <w:tcMar>
            <w:bottom w:w="284" w:type="dxa"/>
          </w:tcMar>
        </w:tcPr>
        <w:p w:rsidR="00290160" w:rsidRPr="00090E70" w:rsidRDefault="00290160" w:rsidP="00AE58CE"/>
      </w:tc>
    </w:tr>
  </w:tbl>
  <w:p w:rsidR="00290160" w:rsidRDefault="00290160">
    <w:pPr>
      <w:pStyle w:val="Footer"/>
    </w:pPr>
  </w:p>
  <w:p w:rsidR="00290160" w:rsidRPr="004816D7" w:rsidRDefault="00290160" w:rsidP="00712B79">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6F56B8">
      <w:trPr>
        <w:cantSplit/>
        <w:trHeight w:val="567"/>
      </w:trPr>
      <w:tc>
        <w:tcPr>
          <w:tcW w:w="595" w:type="dxa"/>
          <w:textDirection w:val="tbRl"/>
        </w:tcPr>
        <w:p w:rsidR="00290160" w:rsidRPr="00EB388E" w:rsidRDefault="00290160" w:rsidP="006F56B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6F56B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318</w:t>
          </w:r>
          <w:r w:rsidRPr="00EB388E">
            <w:fldChar w:fldCharType="end"/>
          </w:r>
        </w:p>
      </w:tc>
    </w:tr>
    <w:tr w:rsidR="00290160" w:rsidRPr="00EB388E" w:rsidTr="006F56B8">
      <w:trPr>
        <w:cantSplit/>
        <w:trHeight w:val="8164"/>
      </w:trPr>
      <w:tc>
        <w:tcPr>
          <w:tcW w:w="595" w:type="dxa"/>
          <w:textDirection w:val="tbRl"/>
        </w:tcPr>
        <w:p w:rsidR="00290160" w:rsidRDefault="00290160" w:rsidP="006F56B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6F56B8">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6F56B8">
      <w:trPr>
        <w:cantSplit/>
        <w:trHeight w:val="8164"/>
      </w:trPr>
      <w:tc>
        <w:tcPr>
          <w:tcW w:w="595" w:type="dxa"/>
          <w:textDirection w:val="tbRl"/>
        </w:tcPr>
        <w:p w:rsidR="00290160" w:rsidRDefault="00290160" w:rsidP="006F56B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6F56B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6F56B8">
      <w:trPr>
        <w:cantSplit/>
        <w:trHeight w:val="850"/>
      </w:trPr>
      <w:tc>
        <w:tcPr>
          <w:tcW w:w="595" w:type="dxa"/>
          <w:textDirection w:val="tbRl"/>
        </w:tcPr>
        <w:p w:rsidR="00290160" w:rsidRDefault="00290160" w:rsidP="006F56B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6F56B8">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319</w:t>
          </w:r>
          <w:r w:rsidRPr="00B917D0">
            <w:fldChar w:fldCharType="end"/>
          </w:r>
        </w:p>
      </w:tc>
    </w:tr>
  </w:tbl>
  <w:p w:rsidR="00290160" w:rsidRPr="00E350DC" w:rsidRDefault="00290160" w:rsidP="00712B79">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17601C">
      <w:trPr>
        <w:trHeight w:val="340"/>
      </w:trPr>
      <w:tc>
        <w:tcPr>
          <w:tcW w:w="567" w:type="dxa"/>
          <w:tcBorders>
            <w:right w:val="single" w:sz="4" w:space="0" w:color="788184" w:themeColor="background2"/>
          </w:tcBorders>
          <w:vAlign w:val="center"/>
        </w:tcPr>
        <w:p w:rsidR="00290160" w:rsidRPr="00CB70DF" w:rsidRDefault="00290160" w:rsidP="0017601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320</w:t>
          </w:r>
          <w:r w:rsidRPr="00EB388E">
            <w:fldChar w:fldCharType="end"/>
          </w:r>
        </w:p>
      </w:tc>
      <w:tc>
        <w:tcPr>
          <w:tcW w:w="8164" w:type="dxa"/>
          <w:tcBorders>
            <w:left w:val="single" w:sz="4" w:space="0" w:color="788184" w:themeColor="background2"/>
          </w:tcBorders>
          <w:vAlign w:val="center"/>
        </w:tcPr>
        <w:p w:rsidR="00290160" w:rsidRPr="00CB70DF" w:rsidRDefault="00290160" w:rsidP="0017601C">
          <w:pPr>
            <w:pStyle w:val="FooterLeft"/>
            <w:framePr w:wrap="auto" w:vAnchor="margin" w:hAnchor="text" w:yAlign="inline"/>
          </w:pPr>
          <w:r>
            <w:t>Post-election report of election commitments</w:t>
          </w:r>
        </w:p>
      </w:tc>
    </w:tr>
    <w:tr w:rsidR="00290160" w:rsidRPr="00EB388E" w:rsidTr="0017601C">
      <w:trPr>
        <w:trHeight w:hRule="exact" w:val="403"/>
      </w:trPr>
      <w:tc>
        <w:tcPr>
          <w:tcW w:w="567" w:type="dxa"/>
          <w:tcMar>
            <w:bottom w:w="284" w:type="dxa"/>
          </w:tcMar>
        </w:tcPr>
        <w:p w:rsidR="00290160" w:rsidRPr="00EB388E" w:rsidRDefault="00290160" w:rsidP="0017601C">
          <w:pPr>
            <w:pStyle w:val="FooterRightPageNumber"/>
          </w:pPr>
        </w:p>
      </w:tc>
      <w:tc>
        <w:tcPr>
          <w:tcW w:w="8164" w:type="dxa"/>
          <w:tcMar>
            <w:bottom w:w="284" w:type="dxa"/>
          </w:tcMar>
        </w:tcPr>
        <w:p w:rsidR="00290160" w:rsidRPr="00090E70" w:rsidRDefault="00290160" w:rsidP="0017601C"/>
      </w:tc>
    </w:tr>
  </w:tbl>
  <w:p w:rsidR="00290160" w:rsidRDefault="00290160">
    <w:pPr>
      <w:pStyle w:val="Footer"/>
    </w:pPr>
  </w:p>
  <w:p w:rsidR="00290160" w:rsidRPr="004816D7" w:rsidRDefault="00290160" w:rsidP="004816D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17601C">
      <w:trPr>
        <w:trHeight w:val="340"/>
      </w:trPr>
      <w:tc>
        <w:tcPr>
          <w:tcW w:w="8164" w:type="dxa"/>
          <w:tcBorders>
            <w:right w:val="single" w:sz="4" w:space="0" w:color="788184" w:themeColor="background2"/>
          </w:tcBorders>
          <w:vAlign w:val="center"/>
        </w:tcPr>
        <w:p w:rsidR="00290160" w:rsidRPr="00CB70DF" w:rsidRDefault="000279D8" w:rsidP="0017601C">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17601C">
          <w:pPr>
            <w:pStyle w:val="FooterRightPageNumber"/>
          </w:pPr>
          <w:r w:rsidRPr="00EB388E">
            <w:fldChar w:fldCharType="begin"/>
          </w:r>
          <w:r w:rsidRPr="00EB388E">
            <w:instrText xml:space="preserve"> PAGE   \* MERGEFORMAT </w:instrText>
          </w:r>
          <w:r w:rsidRPr="00EB388E">
            <w:fldChar w:fldCharType="separate"/>
          </w:r>
          <w:r w:rsidR="00490640">
            <w:t>335</w:t>
          </w:r>
          <w:r w:rsidRPr="00EB388E">
            <w:fldChar w:fldCharType="end"/>
          </w:r>
        </w:p>
      </w:tc>
    </w:tr>
    <w:tr w:rsidR="00290160" w:rsidRPr="00EB388E" w:rsidTr="0017601C">
      <w:trPr>
        <w:trHeight w:hRule="exact" w:val="403"/>
      </w:trPr>
      <w:tc>
        <w:tcPr>
          <w:tcW w:w="8164" w:type="dxa"/>
        </w:tcPr>
        <w:p w:rsidR="00290160" w:rsidRPr="00090E70" w:rsidRDefault="00290160" w:rsidP="0017601C"/>
      </w:tc>
      <w:tc>
        <w:tcPr>
          <w:tcW w:w="567" w:type="dxa"/>
          <w:tcMar>
            <w:bottom w:w="284" w:type="dxa"/>
          </w:tcMar>
        </w:tcPr>
        <w:p w:rsidR="00290160" w:rsidRPr="00090E70" w:rsidRDefault="00290160" w:rsidP="0017601C"/>
      </w:tc>
    </w:tr>
  </w:tbl>
  <w:p w:rsidR="00290160" w:rsidRDefault="00290160">
    <w:pPr>
      <w:pStyle w:val="Footer"/>
    </w:pPr>
  </w:p>
  <w:p w:rsidR="00290160" w:rsidRPr="004816D7" w:rsidRDefault="00290160" w:rsidP="00712B79">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F469BD">
      <w:trPr>
        <w:cantSplit/>
        <w:trHeight w:val="567"/>
      </w:trPr>
      <w:tc>
        <w:tcPr>
          <w:tcW w:w="595" w:type="dxa"/>
          <w:textDirection w:val="tbRl"/>
        </w:tcPr>
        <w:p w:rsidR="00290160" w:rsidRPr="00EB388E" w:rsidRDefault="00290160" w:rsidP="00F469BD">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F469BD">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338</w:t>
          </w:r>
          <w:r w:rsidRPr="00EB388E">
            <w:fldChar w:fldCharType="end"/>
          </w:r>
        </w:p>
      </w:tc>
    </w:tr>
    <w:tr w:rsidR="00290160" w:rsidRPr="00EB388E" w:rsidTr="00F469BD">
      <w:trPr>
        <w:cantSplit/>
        <w:trHeight w:val="8164"/>
      </w:trPr>
      <w:tc>
        <w:tcPr>
          <w:tcW w:w="595" w:type="dxa"/>
          <w:textDirection w:val="tbRl"/>
        </w:tcPr>
        <w:p w:rsidR="00290160" w:rsidRDefault="00290160" w:rsidP="00F469BD">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F469BD">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62C05">
      <w:trPr>
        <w:trHeight w:val="340"/>
      </w:trPr>
      <w:tc>
        <w:tcPr>
          <w:tcW w:w="8164" w:type="dxa"/>
          <w:tcBorders>
            <w:right w:val="single" w:sz="4" w:space="0" w:color="788184" w:themeColor="background2"/>
          </w:tcBorders>
          <w:vAlign w:val="center"/>
        </w:tcPr>
        <w:p w:rsidR="00290160" w:rsidRPr="00CB70DF" w:rsidRDefault="000279D8" w:rsidP="00762C05">
          <w:pPr>
            <w:pStyle w:val="FooterRight"/>
            <w:framePr w:wrap="auto" w:vAnchor="margin" w:hAnchor="text" w:xAlign="left" w:yAlign="inline"/>
          </w:pPr>
          <w:r>
            <w:fldChar w:fldCharType="begin"/>
          </w:r>
          <w:r>
            <w:instrText xml:space="preserve"> STYLEREF  "Heading 8,Appendix Title" \r \* MERGEFORMAT </w:instrText>
          </w:r>
          <w:r>
            <w:fldChar w:fldCharType="separate"/>
          </w:r>
          <w:r>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62C05">
          <w:pPr>
            <w:pStyle w:val="FooterRightPageNumber"/>
          </w:pPr>
          <w:r w:rsidRPr="00EB388E">
            <w:fldChar w:fldCharType="begin"/>
          </w:r>
          <w:r w:rsidRPr="00EB388E">
            <w:instrText xml:space="preserve"> PAGE   \* MERGEFORMAT </w:instrText>
          </w:r>
          <w:r w:rsidRPr="00EB388E">
            <w:fldChar w:fldCharType="separate"/>
          </w:r>
          <w:r w:rsidR="000279D8">
            <w:t>147</w:t>
          </w:r>
          <w:r w:rsidRPr="00EB388E">
            <w:fldChar w:fldCharType="end"/>
          </w:r>
        </w:p>
      </w:tc>
    </w:tr>
    <w:tr w:rsidR="00290160" w:rsidRPr="00EB388E" w:rsidTr="00762C05">
      <w:trPr>
        <w:trHeight w:hRule="exact" w:val="403"/>
      </w:trPr>
      <w:tc>
        <w:tcPr>
          <w:tcW w:w="8164" w:type="dxa"/>
        </w:tcPr>
        <w:p w:rsidR="00290160" w:rsidRPr="00090E70" w:rsidRDefault="00290160" w:rsidP="00762C05"/>
      </w:tc>
      <w:tc>
        <w:tcPr>
          <w:tcW w:w="567" w:type="dxa"/>
          <w:tcMar>
            <w:bottom w:w="284" w:type="dxa"/>
          </w:tcMar>
        </w:tcPr>
        <w:p w:rsidR="00290160" w:rsidRPr="00090E70" w:rsidRDefault="00290160" w:rsidP="00762C05"/>
      </w:tc>
    </w:tr>
  </w:tbl>
  <w:p w:rsidR="00290160" w:rsidRDefault="00290160">
    <w:pPr>
      <w:pStyle w:val="Footer"/>
    </w:pPr>
  </w:p>
  <w:p w:rsidR="00290160" w:rsidRPr="004816D7" w:rsidRDefault="00290160" w:rsidP="00966C29">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F469BD">
      <w:trPr>
        <w:cantSplit/>
        <w:trHeight w:val="8164"/>
      </w:trPr>
      <w:tc>
        <w:tcPr>
          <w:tcW w:w="595" w:type="dxa"/>
          <w:textDirection w:val="tbRl"/>
        </w:tcPr>
        <w:p w:rsidR="00290160" w:rsidRDefault="00290160" w:rsidP="00F469BD">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F469BD">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F469BD">
      <w:trPr>
        <w:cantSplit/>
        <w:trHeight w:val="850"/>
      </w:trPr>
      <w:tc>
        <w:tcPr>
          <w:tcW w:w="595" w:type="dxa"/>
          <w:textDirection w:val="tbRl"/>
        </w:tcPr>
        <w:p w:rsidR="00290160" w:rsidRDefault="00290160" w:rsidP="00F469BD">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F469BD">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337</w:t>
          </w:r>
          <w:r w:rsidRPr="00B917D0">
            <w:fldChar w:fldCharType="end"/>
          </w:r>
        </w:p>
      </w:tc>
    </w:tr>
  </w:tbl>
  <w:p w:rsidR="00290160" w:rsidRPr="00E350DC" w:rsidRDefault="00290160" w:rsidP="00712B79">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5F5C76">
      <w:trPr>
        <w:trHeight w:val="340"/>
      </w:trPr>
      <w:tc>
        <w:tcPr>
          <w:tcW w:w="567" w:type="dxa"/>
          <w:tcBorders>
            <w:right w:val="single" w:sz="4" w:space="0" w:color="788184" w:themeColor="background2"/>
          </w:tcBorders>
          <w:vAlign w:val="center"/>
        </w:tcPr>
        <w:p w:rsidR="00290160" w:rsidRPr="00CB70DF" w:rsidRDefault="00290160" w:rsidP="005F5C7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344</w:t>
          </w:r>
          <w:r w:rsidRPr="00EB388E">
            <w:fldChar w:fldCharType="end"/>
          </w:r>
        </w:p>
      </w:tc>
      <w:tc>
        <w:tcPr>
          <w:tcW w:w="8164" w:type="dxa"/>
          <w:tcBorders>
            <w:left w:val="single" w:sz="4" w:space="0" w:color="788184" w:themeColor="background2"/>
          </w:tcBorders>
          <w:vAlign w:val="center"/>
        </w:tcPr>
        <w:p w:rsidR="00290160" w:rsidRPr="00CB70DF" w:rsidRDefault="00290160" w:rsidP="005F5C76">
          <w:pPr>
            <w:pStyle w:val="FooterLeft"/>
            <w:framePr w:wrap="auto" w:vAnchor="margin" w:hAnchor="text" w:yAlign="inline"/>
          </w:pPr>
          <w:r>
            <w:t>Post-election report of election commitments</w:t>
          </w:r>
        </w:p>
      </w:tc>
    </w:tr>
    <w:tr w:rsidR="00290160" w:rsidRPr="00EB388E" w:rsidTr="005F5C76">
      <w:trPr>
        <w:trHeight w:hRule="exact" w:val="403"/>
      </w:trPr>
      <w:tc>
        <w:tcPr>
          <w:tcW w:w="567" w:type="dxa"/>
          <w:tcMar>
            <w:bottom w:w="284" w:type="dxa"/>
          </w:tcMar>
        </w:tcPr>
        <w:p w:rsidR="00290160" w:rsidRPr="00EB388E" w:rsidRDefault="00290160" w:rsidP="005F5C76">
          <w:pPr>
            <w:pStyle w:val="FooterRightPageNumber"/>
          </w:pPr>
        </w:p>
      </w:tc>
      <w:tc>
        <w:tcPr>
          <w:tcW w:w="8164" w:type="dxa"/>
          <w:tcMar>
            <w:bottom w:w="284" w:type="dxa"/>
          </w:tcMar>
        </w:tcPr>
        <w:p w:rsidR="00290160" w:rsidRPr="00090E70" w:rsidRDefault="00290160" w:rsidP="005F5C76"/>
      </w:tc>
    </w:tr>
  </w:tbl>
  <w:p w:rsidR="00290160" w:rsidRDefault="00290160">
    <w:pPr>
      <w:pStyle w:val="Footer"/>
    </w:pPr>
  </w:p>
  <w:p w:rsidR="00290160" w:rsidRPr="004816D7" w:rsidRDefault="00290160" w:rsidP="004816D7">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5F5C76">
      <w:trPr>
        <w:trHeight w:val="340"/>
      </w:trPr>
      <w:tc>
        <w:tcPr>
          <w:tcW w:w="8164" w:type="dxa"/>
          <w:tcBorders>
            <w:right w:val="single" w:sz="4" w:space="0" w:color="788184" w:themeColor="background2"/>
          </w:tcBorders>
          <w:vAlign w:val="center"/>
        </w:tcPr>
        <w:p w:rsidR="00290160" w:rsidRPr="00CB70DF" w:rsidRDefault="000279D8" w:rsidP="005F5C76">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5F5C76">
          <w:pPr>
            <w:pStyle w:val="FooterRightPageNumber"/>
          </w:pPr>
          <w:r w:rsidRPr="00EB388E">
            <w:fldChar w:fldCharType="begin"/>
          </w:r>
          <w:r w:rsidRPr="00EB388E">
            <w:instrText xml:space="preserve"> PAGE   \* MERGEFORMAT </w:instrText>
          </w:r>
          <w:r w:rsidRPr="00EB388E">
            <w:fldChar w:fldCharType="separate"/>
          </w:r>
          <w:r w:rsidR="00490640">
            <w:t>345</w:t>
          </w:r>
          <w:r w:rsidRPr="00EB388E">
            <w:fldChar w:fldCharType="end"/>
          </w:r>
        </w:p>
      </w:tc>
    </w:tr>
    <w:tr w:rsidR="00290160" w:rsidRPr="00EB388E" w:rsidTr="005F5C76">
      <w:trPr>
        <w:trHeight w:hRule="exact" w:val="403"/>
      </w:trPr>
      <w:tc>
        <w:tcPr>
          <w:tcW w:w="8164" w:type="dxa"/>
        </w:tcPr>
        <w:p w:rsidR="00290160" w:rsidRPr="00090E70" w:rsidRDefault="00290160" w:rsidP="005F5C76"/>
      </w:tc>
      <w:tc>
        <w:tcPr>
          <w:tcW w:w="567" w:type="dxa"/>
          <w:tcMar>
            <w:bottom w:w="284" w:type="dxa"/>
          </w:tcMar>
        </w:tcPr>
        <w:p w:rsidR="00290160" w:rsidRPr="00090E70" w:rsidRDefault="00290160" w:rsidP="005F5C76"/>
      </w:tc>
    </w:tr>
  </w:tbl>
  <w:p w:rsidR="00290160" w:rsidRDefault="00290160">
    <w:pPr>
      <w:pStyle w:val="Footer"/>
    </w:pPr>
  </w:p>
  <w:p w:rsidR="00290160" w:rsidRPr="004816D7" w:rsidRDefault="00290160" w:rsidP="00712B79">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1E4B1C">
      <w:trPr>
        <w:cantSplit/>
        <w:trHeight w:val="567"/>
      </w:trPr>
      <w:tc>
        <w:tcPr>
          <w:tcW w:w="595" w:type="dxa"/>
          <w:textDirection w:val="tbRl"/>
        </w:tcPr>
        <w:p w:rsidR="00290160" w:rsidRPr="00EB388E" w:rsidRDefault="00290160" w:rsidP="001E4B1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1E4B1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348</w:t>
          </w:r>
          <w:r w:rsidRPr="00EB388E">
            <w:fldChar w:fldCharType="end"/>
          </w:r>
        </w:p>
      </w:tc>
    </w:tr>
    <w:tr w:rsidR="00290160" w:rsidRPr="00EB388E" w:rsidTr="001E4B1C">
      <w:trPr>
        <w:cantSplit/>
        <w:trHeight w:val="8164"/>
      </w:trPr>
      <w:tc>
        <w:tcPr>
          <w:tcW w:w="595" w:type="dxa"/>
          <w:textDirection w:val="tbRl"/>
        </w:tcPr>
        <w:p w:rsidR="00290160" w:rsidRDefault="00290160" w:rsidP="001E4B1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1E4B1C">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1E4B1C">
      <w:trPr>
        <w:cantSplit/>
        <w:trHeight w:val="8164"/>
      </w:trPr>
      <w:tc>
        <w:tcPr>
          <w:tcW w:w="595" w:type="dxa"/>
          <w:textDirection w:val="tbRl"/>
        </w:tcPr>
        <w:p w:rsidR="00290160" w:rsidRDefault="00290160" w:rsidP="001E4B1C">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1E4B1C">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1E4B1C">
      <w:trPr>
        <w:cantSplit/>
        <w:trHeight w:val="850"/>
      </w:trPr>
      <w:tc>
        <w:tcPr>
          <w:tcW w:w="595" w:type="dxa"/>
          <w:textDirection w:val="tbRl"/>
        </w:tcPr>
        <w:p w:rsidR="00290160" w:rsidRDefault="00290160" w:rsidP="001E4B1C">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1E4B1C">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347</w:t>
          </w:r>
          <w:r w:rsidRPr="00B917D0">
            <w:fldChar w:fldCharType="end"/>
          </w:r>
        </w:p>
      </w:tc>
    </w:tr>
  </w:tbl>
  <w:p w:rsidR="00290160" w:rsidRPr="00E350DC" w:rsidRDefault="00290160" w:rsidP="00712B79">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4109BA">
      <w:trPr>
        <w:trHeight w:val="340"/>
      </w:trPr>
      <w:tc>
        <w:tcPr>
          <w:tcW w:w="567" w:type="dxa"/>
          <w:tcBorders>
            <w:right w:val="single" w:sz="4" w:space="0" w:color="788184" w:themeColor="background2"/>
          </w:tcBorders>
          <w:vAlign w:val="center"/>
        </w:tcPr>
        <w:p w:rsidR="00290160" w:rsidRPr="00CB70DF" w:rsidRDefault="00290160" w:rsidP="004109BA">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386</w:t>
          </w:r>
          <w:r w:rsidRPr="00EB388E">
            <w:fldChar w:fldCharType="end"/>
          </w:r>
        </w:p>
      </w:tc>
      <w:tc>
        <w:tcPr>
          <w:tcW w:w="8164" w:type="dxa"/>
          <w:tcBorders>
            <w:left w:val="single" w:sz="4" w:space="0" w:color="788184" w:themeColor="background2"/>
          </w:tcBorders>
          <w:vAlign w:val="center"/>
        </w:tcPr>
        <w:p w:rsidR="00290160" w:rsidRPr="00CB70DF" w:rsidRDefault="00290160" w:rsidP="004109BA">
          <w:pPr>
            <w:pStyle w:val="FooterLeft"/>
            <w:framePr w:wrap="auto" w:vAnchor="margin" w:hAnchor="text" w:yAlign="inline"/>
          </w:pPr>
          <w:r>
            <w:t>Post-election report of election commitments</w:t>
          </w:r>
        </w:p>
      </w:tc>
    </w:tr>
    <w:tr w:rsidR="00290160" w:rsidRPr="00EB388E" w:rsidTr="004109BA">
      <w:trPr>
        <w:trHeight w:hRule="exact" w:val="403"/>
      </w:trPr>
      <w:tc>
        <w:tcPr>
          <w:tcW w:w="567" w:type="dxa"/>
          <w:tcMar>
            <w:bottom w:w="284" w:type="dxa"/>
          </w:tcMar>
        </w:tcPr>
        <w:p w:rsidR="00290160" w:rsidRPr="00EB388E" w:rsidRDefault="00290160" w:rsidP="004109BA">
          <w:pPr>
            <w:pStyle w:val="FooterRightPageNumber"/>
          </w:pPr>
        </w:p>
      </w:tc>
      <w:tc>
        <w:tcPr>
          <w:tcW w:w="8164" w:type="dxa"/>
          <w:tcMar>
            <w:bottom w:w="284" w:type="dxa"/>
          </w:tcMar>
        </w:tcPr>
        <w:p w:rsidR="00290160" w:rsidRPr="00090E70" w:rsidRDefault="00290160" w:rsidP="004109BA"/>
      </w:tc>
    </w:tr>
  </w:tbl>
  <w:p w:rsidR="00290160" w:rsidRDefault="00290160">
    <w:pPr>
      <w:pStyle w:val="Footer"/>
    </w:pPr>
  </w:p>
  <w:p w:rsidR="00290160" w:rsidRPr="004816D7" w:rsidRDefault="00290160" w:rsidP="004816D7">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4109BA">
      <w:trPr>
        <w:trHeight w:val="340"/>
      </w:trPr>
      <w:tc>
        <w:tcPr>
          <w:tcW w:w="8164" w:type="dxa"/>
          <w:tcBorders>
            <w:right w:val="single" w:sz="4" w:space="0" w:color="788184" w:themeColor="background2"/>
          </w:tcBorders>
          <w:vAlign w:val="center"/>
        </w:tcPr>
        <w:p w:rsidR="00290160" w:rsidRPr="00CB70DF" w:rsidRDefault="000279D8" w:rsidP="004109BA">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4109BA">
          <w:pPr>
            <w:pStyle w:val="FooterRightPageNumber"/>
          </w:pPr>
          <w:r w:rsidRPr="00EB388E">
            <w:fldChar w:fldCharType="begin"/>
          </w:r>
          <w:r w:rsidRPr="00EB388E">
            <w:instrText xml:space="preserve"> PAGE   \* MERGEFORMAT </w:instrText>
          </w:r>
          <w:r w:rsidRPr="00EB388E">
            <w:fldChar w:fldCharType="separate"/>
          </w:r>
          <w:r w:rsidR="00490640">
            <w:t>387</w:t>
          </w:r>
          <w:r w:rsidRPr="00EB388E">
            <w:fldChar w:fldCharType="end"/>
          </w:r>
        </w:p>
      </w:tc>
    </w:tr>
    <w:tr w:rsidR="00290160" w:rsidRPr="00EB388E" w:rsidTr="004109BA">
      <w:trPr>
        <w:trHeight w:hRule="exact" w:val="403"/>
      </w:trPr>
      <w:tc>
        <w:tcPr>
          <w:tcW w:w="8164" w:type="dxa"/>
        </w:tcPr>
        <w:p w:rsidR="00290160" w:rsidRPr="00090E70" w:rsidRDefault="00290160" w:rsidP="004109BA"/>
      </w:tc>
      <w:tc>
        <w:tcPr>
          <w:tcW w:w="567" w:type="dxa"/>
          <w:tcMar>
            <w:bottom w:w="284" w:type="dxa"/>
          </w:tcMar>
        </w:tcPr>
        <w:p w:rsidR="00290160" w:rsidRPr="00090E70" w:rsidRDefault="00290160" w:rsidP="004109BA"/>
      </w:tc>
    </w:tr>
  </w:tbl>
  <w:p w:rsidR="00290160" w:rsidRDefault="00290160">
    <w:pPr>
      <w:pStyle w:val="Footer"/>
    </w:pPr>
  </w:p>
  <w:p w:rsidR="00290160" w:rsidRPr="004816D7" w:rsidRDefault="00290160" w:rsidP="00712B79">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5C0932">
      <w:trPr>
        <w:cantSplit/>
        <w:trHeight w:val="567"/>
      </w:trPr>
      <w:tc>
        <w:tcPr>
          <w:tcW w:w="595" w:type="dxa"/>
          <w:textDirection w:val="tbRl"/>
        </w:tcPr>
        <w:p w:rsidR="00290160" w:rsidRPr="00EB388E" w:rsidRDefault="00290160" w:rsidP="005C0932">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5C0932">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388</w:t>
          </w:r>
          <w:r w:rsidRPr="00EB388E">
            <w:fldChar w:fldCharType="end"/>
          </w:r>
        </w:p>
      </w:tc>
    </w:tr>
    <w:tr w:rsidR="00290160" w:rsidRPr="00EB388E" w:rsidTr="005C0932">
      <w:trPr>
        <w:cantSplit/>
        <w:trHeight w:val="8164"/>
      </w:trPr>
      <w:tc>
        <w:tcPr>
          <w:tcW w:w="595" w:type="dxa"/>
          <w:textDirection w:val="tbRl"/>
        </w:tcPr>
        <w:p w:rsidR="00290160" w:rsidRDefault="00290160" w:rsidP="005C0932">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5C0932">
          <w:pPr>
            <w:pStyle w:val="FooterLeft"/>
            <w:framePr w:wrap="auto" w:vAnchor="margin" w:hAnchor="text" w:yAlign="inline"/>
          </w:pPr>
          <w:r>
            <w:t>Post-election report of election commitments</w:t>
          </w:r>
        </w:p>
      </w:tc>
    </w:tr>
  </w:tbl>
  <w:p w:rsidR="00290160" w:rsidRPr="00E350DC" w:rsidRDefault="00290160" w:rsidP="00712B79">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5C0932">
      <w:trPr>
        <w:cantSplit/>
        <w:trHeight w:val="8164"/>
      </w:trPr>
      <w:tc>
        <w:tcPr>
          <w:tcW w:w="595" w:type="dxa"/>
          <w:textDirection w:val="tbRl"/>
        </w:tcPr>
        <w:p w:rsidR="00290160" w:rsidRDefault="00290160" w:rsidP="005C0932">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5C0932">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5C0932">
      <w:trPr>
        <w:cantSplit/>
        <w:trHeight w:val="850"/>
      </w:trPr>
      <w:tc>
        <w:tcPr>
          <w:tcW w:w="595" w:type="dxa"/>
          <w:textDirection w:val="tbRl"/>
        </w:tcPr>
        <w:p w:rsidR="00290160" w:rsidRDefault="00290160" w:rsidP="005C0932">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5C0932">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389</w:t>
          </w:r>
          <w:r w:rsidRPr="00B917D0">
            <w:fldChar w:fldCharType="end"/>
          </w:r>
        </w:p>
      </w:tc>
    </w:tr>
  </w:tbl>
  <w:p w:rsidR="00290160" w:rsidRPr="00E350DC" w:rsidRDefault="00290160" w:rsidP="00712B79">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3362FF">
      <w:trPr>
        <w:trHeight w:val="340"/>
      </w:trPr>
      <w:tc>
        <w:tcPr>
          <w:tcW w:w="567" w:type="dxa"/>
          <w:tcBorders>
            <w:right w:val="single" w:sz="4" w:space="0" w:color="788184" w:themeColor="background2"/>
          </w:tcBorders>
          <w:vAlign w:val="center"/>
        </w:tcPr>
        <w:p w:rsidR="00290160" w:rsidRPr="00CB70DF" w:rsidRDefault="00290160" w:rsidP="00476D22">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392</w:t>
          </w:r>
          <w:r w:rsidRPr="00EB388E">
            <w:fldChar w:fldCharType="end"/>
          </w:r>
        </w:p>
      </w:tc>
      <w:tc>
        <w:tcPr>
          <w:tcW w:w="8164" w:type="dxa"/>
          <w:tcBorders>
            <w:left w:val="single" w:sz="4" w:space="0" w:color="788184" w:themeColor="background2"/>
          </w:tcBorders>
          <w:vAlign w:val="center"/>
        </w:tcPr>
        <w:p w:rsidR="00290160" w:rsidRPr="00CB70DF" w:rsidRDefault="00290160" w:rsidP="00476D22">
          <w:pPr>
            <w:pStyle w:val="FooterLeft"/>
            <w:framePr w:wrap="auto" w:vAnchor="margin" w:hAnchor="text" w:yAlign="inline"/>
          </w:pPr>
          <w:r>
            <w:t>Post-election report of election commitments</w:t>
          </w:r>
        </w:p>
      </w:tc>
    </w:tr>
    <w:tr w:rsidR="00290160" w:rsidRPr="00EB388E" w:rsidTr="003362FF">
      <w:trPr>
        <w:trHeight w:hRule="exact" w:val="403"/>
      </w:trPr>
      <w:tc>
        <w:tcPr>
          <w:tcW w:w="567" w:type="dxa"/>
          <w:tcMar>
            <w:bottom w:w="284" w:type="dxa"/>
          </w:tcMar>
        </w:tcPr>
        <w:p w:rsidR="00290160" w:rsidRPr="00EB388E" w:rsidRDefault="00290160" w:rsidP="00476D22">
          <w:pPr>
            <w:pStyle w:val="FooterRightPageNumber"/>
          </w:pPr>
        </w:p>
      </w:tc>
      <w:tc>
        <w:tcPr>
          <w:tcW w:w="8164" w:type="dxa"/>
          <w:tcMar>
            <w:bottom w:w="284" w:type="dxa"/>
          </w:tcMar>
        </w:tcPr>
        <w:p w:rsidR="00290160" w:rsidRPr="00090E70" w:rsidRDefault="00290160" w:rsidP="00476D22"/>
      </w:tc>
    </w:tr>
  </w:tbl>
  <w:p w:rsidR="00290160" w:rsidRDefault="00290160">
    <w:pPr>
      <w:pStyle w:val="Footer"/>
    </w:pPr>
  </w:p>
  <w:p w:rsidR="00290160" w:rsidRPr="004816D7" w:rsidRDefault="00290160" w:rsidP="004816D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62C05">
      <w:trPr>
        <w:trHeight w:val="340"/>
      </w:trPr>
      <w:tc>
        <w:tcPr>
          <w:tcW w:w="567" w:type="dxa"/>
          <w:tcBorders>
            <w:right w:val="single" w:sz="4" w:space="0" w:color="788184" w:themeColor="background2"/>
          </w:tcBorders>
          <w:vAlign w:val="center"/>
        </w:tcPr>
        <w:p w:rsidR="00290160" w:rsidRPr="00CB70DF" w:rsidRDefault="00290160" w:rsidP="005C10E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172</w:t>
          </w:r>
          <w:r w:rsidRPr="00EB388E">
            <w:fldChar w:fldCharType="end"/>
          </w:r>
        </w:p>
      </w:tc>
      <w:tc>
        <w:tcPr>
          <w:tcW w:w="8164" w:type="dxa"/>
          <w:tcBorders>
            <w:left w:val="single" w:sz="4" w:space="0" w:color="788184" w:themeColor="background2"/>
          </w:tcBorders>
          <w:vAlign w:val="center"/>
        </w:tcPr>
        <w:p w:rsidR="00290160" w:rsidRPr="00CB70DF" w:rsidRDefault="00290160" w:rsidP="005C10EF">
          <w:pPr>
            <w:pStyle w:val="FooterLeft"/>
            <w:framePr w:wrap="auto" w:vAnchor="margin" w:hAnchor="text" w:yAlign="inline"/>
          </w:pPr>
          <w:r>
            <w:t>Post-election report of election commitments</w:t>
          </w:r>
        </w:p>
      </w:tc>
    </w:tr>
    <w:tr w:rsidR="00290160" w:rsidRPr="00EB388E" w:rsidTr="00762C05">
      <w:trPr>
        <w:trHeight w:hRule="exact" w:val="403"/>
      </w:trPr>
      <w:tc>
        <w:tcPr>
          <w:tcW w:w="567" w:type="dxa"/>
          <w:tcMar>
            <w:bottom w:w="284" w:type="dxa"/>
          </w:tcMar>
        </w:tcPr>
        <w:p w:rsidR="00290160" w:rsidRPr="00EB388E" w:rsidRDefault="00290160" w:rsidP="00762C05">
          <w:pPr>
            <w:pStyle w:val="FooterRightPageNumber"/>
          </w:pPr>
        </w:p>
      </w:tc>
      <w:tc>
        <w:tcPr>
          <w:tcW w:w="8164" w:type="dxa"/>
          <w:tcMar>
            <w:bottom w:w="284" w:type="dxa"/>
          </w:tcMar>
        </w:tcPr>
        <w:p w:rsidR="00290160" w:rsidRPr="00090E70" w:rsidRDefault="00290160" w:rsidP="00762C05"/>
      </w:tc>
    </w:tr>
  </w:tbl>
  <w:p w:rsidR="00290160" w:rsidRDefault="00290160">
    <w:pPr>
      <w:pStyle w:val="Footer"/>
    </w:pPr>
  </w:p>
  <w:p w:rsidR="00290160" w:rsidRPr="004816D7" w:rsidRDefault="00290160" w:rsidP="004816D7">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3362FF">
      <w:trPr>
        <w:trHeight w:val="340"/>
      </w:trPr>
      <w:tc>
        <w:tcPr>
          <w:tcW w:w="8164" w:type="dxa"/>
          <w:tcBorders>
            <w:right w:val="single" w:sz="4" w:space="0" w:color="788184" w:themeColor="background2"/>
          </w:tcBorders>
          <w:vAlign w:val="center"/>
        </w:tcPr>
        <w:p w:rsidR="00290160" w:rsidRPr="00CB70DF" w:rsidRDefault="000279D8" w:rsidP="003362F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3362FF">
          <w:pPr>
            <w:pStyle w:val="FooterRightPageNumber"/>
          </w:pPr>
          <w:r w:rsidRPr="00EB388E">
            <w:fldChar w:fldCharType="begin"/>
          </w:r>
          <w:r w:rsidRPr="00EB388E">
            <w:instrText xml:space="preserve"> PAGE   \* MERGEFORMAT </w:instrText>
          </w:r>
          <w:r w:rsidRPr="00EB388E">
            <w:fldChar w:fldCharType="separate"/>
          </w:r>
          <w:r w:rsidR="00490640">
            <w:t>391</w:t>
          </w:r>
          <w:r w:rsidRPr="00EB388E">
            <w:fldChar w:fldCharType="end"/>
          </w:r>
        </w:p>
      </w:tc>
    </w:tr>
    <w:tr w:rsidR="00290160" w:rsidRPr="00EB388E" w:rsidTr="003362FF">
      <w:trPr>
        <w:trHeight w:hRule="exact" w:val="403"/>
      </w:trPr>
      <w:tc>
        <w:tcPr>
          <w:tcW w:w="8164" w:type="dxa"/>
        </w:tcPr>
        <w:p w:rsidR="00290160" w:rsidRPr="00090E70" w:rsidRDefault="00290160" w:rsidP="003362FF"/>
      </w:tc>
      <w:tc>
        <w:tcPr>
          <w:tcW w:w="567" w:type="dxa"/>
          <w:tcMar>
            <w:bottom w:w="284" w:type="dxa"/>
          </w:tcMar>
        </w:tcPr>
        <w:p w:rsidR="00290160" w:rsidRPr="00090E70" w:rsidRDefault="00290160" w:rsidP="003362FF"/>
      </w:tc>
    </w:tr>
  </w:tbl>
  <w:p w:rsidR="00290160" w:rsidRDefault="00290160">
    <w:pPr>
      <w:pStyle w:val="Footer"/>
    </w:pPr>
  </w:p>
  <w:p w:rsidR="00290160" w:rsidRPr="004816D7" w:rsidRDefault="00290160" w:rsidP="00712B79">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C241CC">
      <w:trPr>
        <w:trHeight w:val="340"/>
      </w:trPr>
      <w:tc>
        <w:tcPr>
          <w:tcW w:w="567" w:type="dxa"/>
          <w:tcBorders>
            <w:right w:val="single" w:sz="4" w:space="0" w:color="788184" w:themeColor="background2"/>
          </w:tcBorders>
          <w:vAlign w:val="center"/>
        </w:tcPr>
        <w:p w:rsidR="00290160" w:rsidRPr="00CB70DF" w:rsidRDefault="00290160" w:rsidP="00C241CC">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404</w:t>
          </w:r>
          <w:r w:rsidRPr="00EB388E">
            <w:fldChar w:fldCharType="end"/>
          </w:r>
        </w:p>
      </w:tc>
      <w:tc>
        <w:tcPr>
          <w:tcW w:w="8164" w:type="dxa"/>
          <w:tcBorders>
            <w:left w:val="single" w:sz="4" w:space="0" w:color="788184" w:themeColor="background2"/>
          </w:tcBorders>
          <w:vAlign w:val="center"/>
        </w:tcPr>
        <w:p w:rsidR="00290160" w:rsidRPr="00CB70DF" w:rsidRDefault="00290160" w:rsidP="00C241CC">
          <w:pPr>
            <w:pStyle w:val="FooterLeft"/>
            <w:framePr w:wrap="auto" w:vAnchor="margin" w:hAnchor="text" w:yAlign="inline"/>
          </w:pPr>
          <w:r>
            <w:t>Post-election report of election commitments</w:t>
          </w:r>
        </w:p>
      </w:tc>
    </w:tr>
    <w:tr w:rsidR="00290160" w:rsidRPr="00EB388E" w:rsidTr="00C241CC">
      <w:trPr>
        <w:trHeight w:hRule="exact" w:val="403"/>
      </w:trPr>
      <w:tc>
        <w:tcPr>
          <w:tcW w:w="567" w:type="dxa"/>
          <w:tcMar>
            <w:bottom w:w="284" w:type="dxa"/>
          </w:tcMar>
        </w:tcPr>
        <w:p w:rsidR="00290160" w:rsidRPr="00EB388E" w:rsidRDefault="00290160" w:rsidP="00C241CC">
          <w:pPr>
            <w:pStyle w:val="FooterRightPageNumber"/>
          </w:pPr>
        </w:p>
      </w:tc>
      <w:tc>
        <w:tcPr>
          <w:tcW w:w="8164" w:type="dxa"/>
          <w:tcMar>
            <w:bottom w:w="284" w:type="dxa"/>
          </w:tcMar>
        </w:tcPr>
        <w:p w:rsidR="00290160" w:rsidRPr="00090E70" w:rsidRDefault="00290160" w:rsidP="00C241CC"/>
      </w:tc>
    </w:tr>
  </w:tbl>
  <w:p w:rsidR="00290160" w:rsidRDefault="00290160">
    <w:pPr>
      <w:pStyle w:val="Footer"/>
    </w:pPr>
  </w:p>
  <w:p w:rsidR="00290160" w:rsidRPr="004816D7" w:rsidRDefault="00290160" w:rsidP="004816D7">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C241CC">
      <w:trPr>
        <w:trHeight w:val="340"/>
      </w:trPr>
      <w:tc>
        <w:tcPr>
          <w:tcW w:w="8164" w:type="dxa"/>
          <w:tcBorders>
            <w:right w:val="single" w:sz="4" w:space="0" w:color="788184" w:themeColor="background2"/>
          </w:tcBorders>
          <w:vAlign w:val="center"/>
        </w:tcPr>
        <w:p w:rsidR="00290160" w:rsidRPr="00CB70DF" w:rsidRDefault="000279D8" w:rsidP="00C241CC">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C241CC">
          <w:pPr>
            <w:pStyle w:val="FooterRightPageNumber"/>
          </w:pPr>
          <w:r w:rsidRPr="00EB388E">
            <w:fldChar w:fldCharType="begin"/>
          </w:r>
          <w:r w:rsidRPr="00EB388E">
            <w:instrText xml:space="preserve"> PAGE   \* MERGEFORMAT </w:instrText>
          </w:r>
          <w:r w:rsidRPr="00EB388E">
            <w:fldChar w:fldCharType="separate"/>
          </w:r>
          <w:r w:rsidR="00490640">
            <w:t>393</w:t>
          </w:r>
          <w:r w:rsidRPr="00EB388E">
            <w:fldChar w:fldCharType="end"/>
          </w:r>
        </w:p>
      </w:tc>
    </w:tr>
    <w:tr w:rsidR="00290160" w:rsidRPr="00EB388E" w:rsidTr="00C241CC">
      <w:trPr>
        <w:trHeight w:hRule="exact" w:val="403"/>
      </w:trPr>
      <w:tc>
        <w:tcPr>
          <w:tcW w:w="8164" w:type="dxa"/>
        </w:tcPr>
        <w:p w:rsidR="00290160" w:rsidRPr="00090E70" w:rsidRDefault="00290160" w:rsidP="00C241CC"/>
      </w:tc>
      <w:tc>
        <w:tcPr>
          <w:tcW w:w="567" w:type="dxa"/>
          <w:tcMar>
            <w:bottom w:w="284" w:type="dxa"/>
          </w:tcMar>
        </w:tcPr>
        <w:p w:rsidR="00290160" w:rsidRPr="00090E70" w:rsidRDefault="00290160" w:rsidP="00C241CC"/>
      </w:tc>
    </w:tr>
  </w:tbl>
  <w:p w:rsidR="00290160" w:rsidRDefault="00290160">
    <w:pPr>
      <w:pStyle w:val="Footer"/>
    </w:pPr>
  </w:p>
  <w:p w:rsidR="00290160" w:rsidRPr="004816D7" w:rsidRDefault="00290160" w:rsidP="00712B79">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65754F">
      <w:trPr>
        <w:trHeight w:val="340"/>
      </w:trPr>
      <w:tc>
        <w:tcPr>
          <w:tcW w:w="567" w:type="dxa"/>
          <w:tcBorders>
            <w:right w:val="single" w:sz="4" w:space="0" w:color="788184" w:themeColor="background2"/>
          </w:tcBorders>
          <w:vAlign w:val="center"/>
        </w:tcPr>
        <w:p w:rsidR="00290160" w:rsidRPr="00CB70DF" w:rsidRDefault="00290160" w:rsidP="0065754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410</w:t>
          </w:r>
          <w:r w:rsidRPr="00EB388E">
            <w:fldChar w:fldCharType="end"/>
          </w:r>
        </w:p>
      </w:tc>
      <w:tc>
        <w:tcPr>
          <w:tcW w:w="8164" w:type="dxa"/>
          <w:tcBorders>
            <w:left w:val="single" w:sz="4" w:space="0" w:color="788184" w:themeColor="background2"/>
          </w:tcBorders>
          <w:vAlign w:val="center"/>
        </w:tcPr>
        <w:p w:rsidR="00290160" w:rsidRPr="00CB70DF" w:rsidRDefault="00290160" w:rsidP="0065754F">
          <w:pPr>
            <w:pStyle w:val="FooterLeft"/>
            <w:framePr w:wrap="auto" w:vAnchor="margin" w:hAnchor="text" w:yAlign="inline"/>
          </w:pPr>
          <w:r>
            <w:t>Post-election report of election commitments</w:t>
          </w:r>
        </w:p>
      </w:tc>
    </w:tr>
    <w:tr w:rsidR="00290160" w:rsidRPr="00EB388E" w:rsidTr="0065754F">
      <w:trPr>
        <w:trHeight w:hRule="exact" w:val="403"/>
      </w:trPr>
      <w:tc>
        <w:tcPr>
          <w:tcW w:w="567" w:type="dxa"/>
          <w:tcMar>
            <w:bottom w:w="284" w:type="dxa"/>
          </w:tcMar>
        </w:tcPr>
        <w:p w:rsidR="00290160" w:rsidRPr="00EB388E" w:rsidRDefault="00290160" w:rsidP="0065754F">
          <w:pPr>
            <w:pStyle w:val="FooterRightPageNumber"/>
          </w:pPr>
        </w:p>
      </w:tc>
      <w:tc>
        <w:tcPr>
          <w:tcW w:w="8164" w:type="dxa"/>
          <w:tcMar>
            <w:bottom w:w="284" w:type="dxa"/>
          </w:tcMar>
        </w:tcPr>
        <w:p w:rsidR="00290160" w:rsidRPr="00090E70" w:rsidRDefault="00290160" w:rsidP="0065754F"/>
      </w:tc>
    </w:tr>
  </w:tbl>
  <w:p w:rsidR="00290160" w:rsidRDefault="00290160">
    <w:pPr>
      <w:pStyle w:val="Footer"/>
    </w:pPr>
  </w:p>
  <w:p w:rsidR="00290160" w:rsidRPr="004816D7" w:rsidRDefault="00290160" w:rsidP="004816D7">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65754F">
      <w:trPr>
        <w:trHeight w:val="340"/>
      </w:trPr>
      <w:tc>
        <w:tcPr>
          <w:tcW w:w="8164" w:type="dxa"/>
          <w:tcBorders>
            <w:right w:val="single" w:sz="4" w:space="0" w:color="788184" w:themeColor="background2"/>
          </w:tcBorders>
          <w:vAlign w:val="center"/>
        </w:tcPr>
        <w:p w:rsidR="00290160" w:rsidRPr="00CB70DF" w:rsidRDefault="000279D8" w:rsidP="0065754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65754F">
          <w:pPr>
            <w:pStyle w:val="FooterRightPageNumber"/>
          </w:pPr>
          <w:r w:rsidRPr="00EB388E">
            <w:fldChar w:fldCharType="begin"/>
          </w:r>
          <w:r w:rsidRPr="00EB388E">
            <w:instrText xml:space="preserve"> PAGE   \* MERGEFORMAT </w:instrText>
          </w:r>
          <w:r w:rsidRPr="00EB388E">
            <w:fldChar w:fldCharType="separate"/>
          </w:r>
          <w:r w:rsidR="00490640">
            <w:t>405</w:t>
          </w:r>
          <w:r w:rsidRPr="00EB388E">
            <w:fldChar w:fldCharType="end"/>
          </w:r>
        </w:p>
      </w:tc>
    </w:tr>
    <w:tr w:rsidR="00290160" w:rsidRPr="00EB388E" w:rsidTr="0065754F">
      <w:trPr>
        <w:trHeight w:hRule="exact" w:val="403"/>
      </w:trPr>
      <w:tc>
        <w:tcPr>
          <w:tcW w:w="8164" w:type="dxa"/>
        </w:tcPr>
        <w:p w:rsidR="00290160" w:rsidRPr="00090E70" w:rsidRDefault="00290160" w:rsidP="0065754F"/>
      </w:tc>
      <w:tc>
        <w:tcPr>
          <w:tcW w:w="567" w:type="dxa"/>
          <w:tcMar>
            <w:bottom w:w="284" w:type="dxa"/>
          </w:tcMar>
        </w:tcPr>
        <w:p w:rsidR="00290160" w:rsidRPr="00090E70" w:rsidRDefault="00290160" w:rsidP="0065754F"/>
      </w:tc>
    </w:tr>
  </w:tbl>
  <w:p w:rsidR="00290160" w:rsidRDefault="00290160">
    <w:pPr>
      <w:pStyle w:val="Footer"/>
    </w:pPr>
  </w:p>
  <w:p w:rsidR="00290160" w:rsidRPr="004816D7" w:rsidRDefault="00290160" w:rsidP="00712B79">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D71885">
      <w:trPr>
        <w:cantSplit/>
        <w:trHeight w:val="567"/>
      </w:trPr>
      <w:tc>
        <w:tcPr>
          <w:tcW w:w="595" w:type="dxa"/>
          <w:textDirection w:val="tbRl"/>
        </w:tcPr>
        <w:p w:rsidR="00290160" w:rsidRPr="00EB388E" w:rsidRDefault="00290160" w:rsidP="00D71885">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D7188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9F1D58">
            <w:rPr>
              <w:noProof/>
            </w:rPr>
            <w:t>411</w:t>
          </w:r>
          <w:r w:rsidRPr="00EB388E">
            <w:fldChar w:fldCharType="end"/>
          </w:r>
        </w:p>
      </w:tc>
    </w:tr>
    <w:tr w:rsidR="00290160" w:rsidRPr="00EB388E" w:rsidTr="00D71885">
      <w:trPr>
        <w:cantSplit/>
        <w:trHeight w:val="8164"/>
      </w:trPr>
      <w:tc>
        <w:tcPr>
          <w:tcW w:w="595" w:type="dxa"/>
          <w:textDirection w:val="tbRl"/>
        </w:tcPr>
        <w:p w:rsidR="00290160" w:rsidRDefault="00290160" w:rsidP="00D71885">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D71885">
          <w:pPr>
            <w:pStyle w:val="FooterLeft"/>
            <w:framePr w:wrap="auto" w:vAnchor="margin" w:hAnchor="text" w:yAlign="inline"/>
          </w:pPr>
          <w:r>
            <w:fldChar w:fldCharType="begin"/>
          </w:r>
          <w:r>
            <w:instrText xml:space="preserve"> STYLEREF  Title  \* MERGEFORMAT </w:instrText>
          </w:r>
          <w:r>
            <w:fldChar w:fldCharType="separate"/>
          </w:r>
          <w:r w:rsidR="009F1D58">
            <w:rPr>
              <w:b w:val="0"/>
              <w:bCs/>
              <w:noProof/>
              <w:lang w:val="en-US"/>
            </w:rPr>
            <w:t>Error! No text of specified style in document.</w:t>
          </w:r>
          <w:r>
            <w:rPr>
              <w:noProof/>
            </w:rPr>
            <w:fldChar w:fldCharType="end"/>
          </w:r>
        </w:p>
      </w:tc>
    </w:tr>
  </w:tbl>
  <w:p w:rsidR="00290160" w:rsidRPr="00E350DC" w:rsidRDefault="00290160" w:rsidP="00712B79">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D71885">
      <w:trPr>
        <w:cantSplit/>
        <w:trHeight w:val="8164"/>
      </w:trPr>
      <w:tc>
        <w:tcPr>
          <w:tcW w:w="595" w:type="dxa"/>
          <w:textDirection w:val="tbRl"/>
        </w:tcPr>
        <w:p w:rsidR="00290160" w:rsidRDefault="00290160" w:rsidP="00D71885">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D71885">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r>
    <w:tr w:rsidR="00290160" w:rsidRPr="00EB388E" w:rsidTr="00D71885">
      <w:trPr>
        <w:cantSplit/>
        <w:trHeight w:val="850"/>
      </w:trPr>
      <w:tc>
        <w:tcPr>
          <w:tcW w:w="595" w:type="dxa"/>
          <w:textDirection w:val="tbRl"/>
        </w:tcPr>
        <w:p w:rsidR="00290160" w:rsidRDefault="00290160" w:rsidP="00D71885">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D71885">
          <w:pPr>
            <w:pStyle w:val="FooterRightPageNumberLS"/>
            <w:framePr w:wrap="auto" w:xAlign="left"/>
          </w:pPr>
          <w:r w:rsidRPr="00B917D0">
            <w:fldChar w:fldCharType="begin"/>
          </w:r>
          <w:r w:rsidRPr="00B917D0">
            <w:instrText xml:space="preserve"> PAGE   \* MERGEFORMAT </w:instrText>
          </w:r>
          <w:r w:rsidRPr="00B917D0">
            <w:fldChar w:fldCharType="separate"/>
          </w:r>
          <w:r w:rsidR="00490640">
            <w:t>411</w:t>
          </w:r>
          <w:r w:rsidRPr="00B917D0">
            <w:fldChar w:fldCharType="end"/>
          </w:r>
        </w:p>
      </w:tc>
    </w:tr>
  </w:tbl>
  <w:p w:rsidR="00290160" w:rsidRPr="00E350DC" w:rsidRDefault="00290160" w:rsidP="00712B79">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80285">
      <w:trPr>
        <w:trHeight w:val="340"/>
      </w:trPr>
      <w:tc>
        <w:tcPr>
          <w:tcW w:w="567" w:type="dxa"/>
          <w:tcBorders>
            <w:right w:val="single" w:sz="4" w:space="0" w:color="788184" w:themeColor="background2"/>
          </w:tcBorders>
          <w:vAlign w:val="center"/>
        </w:tcPr>
        <w:p w:rsidR="00290160" w:rsidRPr="00CB70DF" w:rsidRDefault="00290160" w:rsidP="00080285">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420</w:t>
          </w:r>
          <w:r w:rsidRPr="00EB388E">
            <w:fldChar w:fldCharType="end"/>
          </w:r>
        </w:p>
      </w:tc>
      <w:tc>
        <w:tcPr>
          <w:tcW w:w="8164" w:type="dxa"/>
          <w:tcBorders>
            <w:left w:val="single" w:sz="4" w:space="0" w:color="788184" w:themeColor="background2"/>
          </w:tcBorders>
          <w:vAlign w:val="center"/>
        </w:tcPr>
        <w:p w:rsidR="00290160" w:rsidRPr="00CB70DF" w:rsidRDefault="00290160" w:rsidP="00080285">
          <w:pPr>
            <w:pStyle w:val="FooterLeft"/>
            <w:framePr w:wrap="auto" w:vAnchor="margin" w:hAnchor="text" w:yAlign="inline"/>
          </w:pPr>
          <w:r>
            <w:t>Post-election report of election commitments</w:t>
          </w:r>
        </w:p>
      </w:tc>
    </w:tr>
    <w:tr w:rsidR="00290160" w:rsidRPr="00EB388E" w:rsidTr="00080285">
      <w:trPr>
        <w:trHeight w:hRule="exact" w:val="403"/>
      </w:trPr>
      <w:tc>
        <w:tcPr>
          <w:tcW w:w="567" w:type="dxa"/>
          <w:tcMar>
            <w:bottom w:w="284" w:type="dxa"/>
          </w:tcMar>
        </w:tcPr>
        <w:p w:rsidR="00290160" w:rsidRPr="00EB388E" w:rsidRDefault="00290160" w:rsidP="00080285">
          <w:pPr>
            <w:pStyle w:val="FooterRightPageNumber"/>
          </w:pPr>
        </w:p>
      </w:tc>
      <w:tc>
        <w:tcPr>
          <w:tcW w:w="8164" w:type="dxa"/>
          <w:tcMar>
            <w:bottom w:w="284" w:type="dxa"/>
          </w:tcMar>
        </w:tcPr>
        <w:p w:rsidR="00290160" w:rsidRPr="00090E70" w:rsidRDefault="00290160" w:rsidP="00080285"/>
      </w:tc>
    </w:tr>
  </w:tbl>
  <w:p w:rsidR="00290160" w:rsidRDefault="00290160">
    <w:pPr>
      <w:pStyle w:val="Footer"/>
    </w:pPr>
  </w:p>
  <w:p w:rsidR="00290160" w:rsidRPr="004816D7" w:rsidRDefault="00290160" w:rsidP="004816D7">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80285">
      <w:trPr>
        <w:trHeight w:val="340"/>
      </w:trPr>
      <w:tc>
        <w:tcPr>
          <w:tcW w:w="8164" w:type="dxa"/>
          <w:tcBorders>
            <w:right w:val="single" w:sz="4" w:space="0" w:color="788184" w:themeColor="background2"/>
          </w:tcBorders>
          <w:vAlign w:val="center"/>
        </w:tcPr>
        <w:p w:rsidR="00290160" w:rsidRPr="00CB70DF" w:rsidRDefault="000279D8" w:rsidP="00080285">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80285">
          <w:pPr>
            <w:pStyle w:val="FooterRightPageNumber"/>
          </w:pPr>
          <w:r w:rsidRPr="00EB388E">
            <w:fldChar w:fldCharType="begin"/>
          </w:r>
          <w:r w:rsidRPr="00EB388E">
            <w:instrText xml:space="preserve"> PAGE   \* MERGEFORMAT </w:instrText>
          </w:r>
          <w:r w:rsidRPr="00EB388E">
            <w:fldChar w:fldCharType="separate"/>
          </w:r>
          <w:r w:rsidR="00490640">
            <w:t>419</w:t>
          </w:r>
          <w:r w:rsidRPr="00EB388E">
            <w:fldChar w:fldCharType="end"/>
          </w:r>
        </w:p>
      </w:tc>
    </w:tr>
    <w:tr w:rsidR="00290160" w:rsidRPr="00EB388E" w:rsidTr="00080285">
      <w:trPr>
        <w:trHeight w:hRule="exact" w:val="403"/>
      </w:trPr>
      <w:tc>
        <w:tcPr>
          <w:tcW w:w="8164" w:type="dxa"/>
        </w:tcPr>
        <w:p w:rsidR="00290160" w:rsidRPr="00090E70" w:rsidRDefault="00290160" w:rsidP="00080285"/>
      </w:tc>
      <w:tc>
        <w:tcPr>
          <w:tcW w:w="567" w:type="dxa"/>
          <w:tcMar>
            <w:bottom w:w="284" w:type="dxa"/>
          </w:tcMar>
        </w:tcPr>
        <w:p w:rsidR="00290160" w:rsidRPr="00090E70" w:rsidRDefault="00290160" w:rsidP="00080285"/>
      </w:tc>
    </w:tr>
  </w:tbl>
  <w:p w:rsidR="00290160" w:rsidRDefault="00290160">
    <w:pPr>
      <w:pStyle w:val="Footer"/>
    </w:pPr>
  </w:p>
  <w:p w:rsidR="00290160" w:rsidRPr="004816D7" w:rsidRDefault="00290160" w:rsidP="00712B79">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712B79">
      <w:trPr>
        <w:trHeight w:val="340"/>
      </w:trPr>
      <w:tc>
        <w:tcPr>
          <w:tcW w:w="567" w:type="dxa"/>
          <w:tcBorders>
            <w:right w:val="single" w:sz="4" w:space="0" w:color="788184" w:themeColor="background2"/>
          </w:tcBorders>
          <w:vAlign w:val="center"/>
        </w:tcPr>
        <w:p w:rsidR="00290160" w:rsidRPr="00CB70DF" w:rsidRDefault="00290160" w:rsidP="00712B7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422</w:t>
          </w:r>
          <w:r w:rsidRPr="00EB388E">
            <w:fldChar w:fldCharType="end"/>
          </w:r>
        </w:p>
      </w:tc>
      <w:tc>
        <w:tcPr>
          <w:tcW w:w="8164" w:type="dxa"/>
          <w:tcBorders>
            <w:left w:val="single" w:sz="4" w:space="0" w:color="788184" w:themeColor="background2"/>
          </w:tcBorders>
          <w:vAlign w:val="center"/>
        </w:tcPr>
        <w:p w:rsidR="00290160" w:rsidRPr="00CB70DF" w:rsidRDefault="00290160" w:rsidP="00712B79">
          <w:pPr>
            <w:pStyle w:val="FooterLeft"/>
            <w:framePr w:wrap="auto" w:vAnchor="margin" w:hAnchor="text" w:yAlign="inline"/>
          </w:pPr>
          <w:r>
            <w:t>Post-election report of election commitments</w:t>
          </w:r>
        </w:p>
      </w:tc>
    </w:tr>
    <w:tr w:rsidR="00290160" w:rsidRPr="00EB388E" w:rsidTr="00712B79">
      <w:trPr>
        <w:trHeight w:hRule="exact" w:val="403"/>
      </w:trPr>
      <w:tc>
        <w:tcPr>
          <w:tcW w:w="567" w:type="dxa"/>
          <w:tcMar>
            <w:bottom w:w="284" w:type="dxa"/>
          </w:tcMar>
        </w:tcPr>
        <w:p w:rsidR="00290160" w:rsidRPr="00EB388E" w:rsidRDefault="00290160" w:rsidP="00712B79">
          <w:pPr>
            <w:pStyle w:val="FooterRightPageNumber"/>
          </w:pPr>
        </w:p>
      </w:tc>
      <w:tc>
        <w:tcPr>
          <w:tcW w:w="8164" w:type="dxa"/>
          <w:tcMar>
            <w:bottom w:w="284" w:type="dxa"/>
          </w:tcMar>
        </w:tcPr>
        <w:p w:rsidR="00290160" w:rsidRPr="00090E70" w:rsidRDefault="00290160" w:rsidP="00712B79"/>
      </w:tc>
    </w:tr>
  </w:tbl>
  <w:p w:rsidR="00290160" w:rsidRDefault="00290160">
    <w:pPr>
      <w:pStyle w:val="Footer"/>
    </w:pPr>
  </w:p>
  <w:p w:rsidR="00290160" w:rsidRPr="004816D7" w:rsidRDefault="00290160" w:rsidP="004816D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62C05">
      <w:trPr>
        <w:trHeight w:val="340"/>
      </w:trPr>
      <w:tc>
        <w:tcPr>
          <w:tcW w:w="8164" w:type="dxa"/>
          <w:tcBorders>
            <w:right w:val="single" w:sz="4" w:space="0" w:color="788184" w:themeColor="background2"/>
          </w:tcBorders>
          <w:vAlign w:val="center"/>
        </w:tcPr>
        <w:p w:rsidR="00290160" w:rsidRPr="00CB70DF" w:rsidRDefault="000279D8" w:rsidP="00762C05">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62C05">
          <w:pPr>
            <w:pStyle w:val="FooterRightPageNumber"/>
          </w:pPr>
          <w:r w:rsidRPr="00EB388E">
            <w:fldChar w:fldCharType="begin"/>
          </w:r>
          <w:r w:rsidRPr="00EB388E">
            <w:instrText xml:space="preserve"> PAGE   \* MERGEFORMAT </w:instrText>
          </w:r>
          <w:r w:rsidRPr="00EB388E">
            <w:fldChar w:fldCharType="separate"/>
          </w:r>
          <w:r w:rsidR="00490640">
            <w:t>173</w:t>
          </w:r>
          <w:r w:rsidRPr="00EB388E">
            <w:fldChar w:fldCharType="end"/>
          </w:r>
        </w:p>
      </w:tc>
    </w:tr>
    <w:tr w:rsidR="00290160" w:rsidRPr="00EB388E" w:rsidTr="00762C05">
      <w:trPr>
        <w:trHeight w:hRule="exact" w:val="403"/>
      </w:trPr>
      <w:tc>
        <w:tcPr>
          <w:tcW w:w="8164" w:type="dxa"/>
        </w:tcPr>
        <w:p w:rsidR="00290160" w:rsidRPr="00090E70" w:rsidRDefault="00290160" w:rsidP="00762C05"/>
      </w:tc>
      <w:tc>
        <w:tcPr>
          <w:tcW w:w="567" w:type="dxa"/>
          <w:tcMar>
            <w:bottom w:w="284" w:type="dxa"/>
          </w:tcMar>
        </w:tcPr>
        <w:p w:rsidR="00290160" w:rsidRPr="00090E70" w:rsidRDefault="00290160" w:rsidP="00762C05"/>
      </w:tc>
    </w:tr>
  </w:tbl>
  <w:p w:rsidR="00290160" w:rsidRDefault="00290160">
    <w:pPr>
      <w:pStyle w:val="Footer"/>
    </w:pPr>
  </w:p>
  <w:p w:rsidR="00290160" w:rsidRPr="004816D7" w:rsidRDefault="00290160" w:rsidP="00966C29">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712B79">
      <w:trPr>
        <w:trHeight w:val="340"/>
      </w:trPr>
      <w:tc>
        <w:tcPr>
          <w:tcW w:w="8164" w:type="dxa"/>
          <w:tcBorders>
            <w:right w:val="single" w:sz="4" w:space="0" w:color="788184" w:themeColor="background2"/>
          </w:tcBorders>
          <w:vAlign w:val="center"/>
        </w:tcPr>
        <w:p w:rsidR="00290160" w:rsidRPr="00CB70DF" w:rsidRDefault="000279D8" w:rsidP="00712B79">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712B79">
          <w:pPr>
            <w:pStyle w:val="FooterRightPageNumber"/>
          </w:pPr>
          <w:r w:rsidRPr="00EB388E">
            <w:fldChar w:fldCharType="begin"/>
          </w:r>
          <w:r w:rsidRPr="00EB388E">
            <w:instrText xml:space="preserve"> PAGE   \* MERGEFORMAT </w:instrText>
          </w:r>
          <w:r w:rsidRPr="00EB388E">
            <w:fldChar w:fldCharType="separate"/>
          </w:r>
          <w:r w:rsidR="00490640">
            <w:t>423</w:t>
          </w:r>
          <w:r w:rsidRPr="00EB388E">
            <w:fldChar w:fldCharType="end"/>
          </w:r>
        </w:p>
      </w:tc>
    </w:tr>
    <w:tr w:rsidR="00290160" w:rsidRPr="00EB388E" w:rsidTr="00712B79">
      <w:trPr>
        <w:trHeight w:hRule="exact" w:val="403"/>
      </w:trPr>
      <w:tc>
        <w:tcPr>
          <w:tcW w:w="8164" w:type="dxa"/>
        </w:tcPr>
        <w:p w:rsidR="00290160" w:rsidRPr="00090E70" w:rsidRDefault="00290160" w:rsidP="00712B79"/>
      </w:tc>
      <w:tc>
        <w:tcPr>
          <w:tcW w:w="567" w:type="dxa"/>
          <w:tcMar>
            <w:bottom w:w="284" w:type="dxa"/>
          </w:tcMar>
        </w:tcPr>
        <w:p w:rsidR="00290160" w:rsidRPr="00090E70" w:rsidRDefault="00290160" w:rsidP="00712B79"/>
      </w:tc>
    </w:tr>
  </w:tbl>
  <w:p w:rsidR="00290160" w:rsidRDefault="00290160">
    <w:pPr>
      <w:pStyle w:val="Footer"/>
    </w:pPr>
  </w:p>
  <w:p w:rsidR="00290160" w:rsidRPr="004816D7" w:rsidRDefault="00290160" w:rsidP="00712B79">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C24267" w:rsidRDefault="00290160" w:rsidP="00B22C44">
    <w:pPr>
      <w:pStyle w:val="Footer"/>
    </w:pPr>
    <w:r w:rsidRPr="00C24267">
      <w:t xml:space="preserve">Page </w:t>
    </w:r>
    <w:r w:rsidRPr="00C24267">
      <w:fldChar w:fldCharType="begin"/>
    </w:r>
    <w:r w:rsidRPr="00C24267">
      <w:instrText xml:space="preserve"> PAGE  \* Arabic  \* MERGEFORMAT </w:instrText>
    </w:r>
    <w:r w:rsidRPr="00C24267">
      <w:fldChar w:fldCharType="separate"/>
    </w:r>
    <w:r w:rsidR="009F1D58">
      <w:rPr>
        <w:noProof/>
      </w:rPr>
      <w:t>440</w:t>
    </w:r>
    <w:r w:rsidRPr="00C24267">
      <w:fldChar w:fldCharType="end"/>
    </w:r>
    <w:r w:rsidRPr="00C24267">
      <w:t xml:space="preserve"> of </w:t>
    </w:r>
    <w:r w:rsidR="000279D8">
      <w:fldChar w:fldCharType="begin"/>
    </w:r>
    <w:r w:rsidR="000279D8">
      <w:instrText xml:space="preserve"> NUMPAGES  \* Arabic  \* MERGEFORMAT </w:instrText>
    </w:r>
    <w:r w:rsidR="000279D8">
      <w:fldChar w:fldCharType="separate"/>
    </w:r>
    <w:r w:rsidR="009F1D58">
      <w:rPr>
        <w:noProof/>
      </w:rPr>
      <w:t>316</w:t>
    </w:r>
    <w:r w:rsidR="000279D8">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397"/>
      <w:tblW w:w="1219" w:type="dxa"/>
      <w:tblLayout w:type="fixed"/>
      <w:tblCellMar>
        <w:top w:w="28" w:type="dxa"/>
      </w:tblCellMar>
      <w:tblLook w:val="04A0" w:firstRow="1" w:lastRow="0" w:firstColumn="1" w:lastColumn="0" w:noHBand="0" w:noVBand="1"/>
    </w:tblPr>
    <w:tblGrid>
      <w:gridCol w:w="595"/>
      <w:gridCol w:w="624"/>
    </w:tblGrid>
    <w:tr w:rsidR="00290160" w:rsidRPr="00EB388E" w:rsidTr="00691FD8">
      <w:trPr>
        <w:cantSplit/>
        <w:trHeight w:val="567"/>
      </w:trPr>
      <w:tc>
        <w:tcPr>
          <w:tcW w:w="595" w:type="dxa"/>
          <w:textDirection w:val="tbRl"/>
        </w:tcPr>
        <w:p w:rsidR="00290160" w:rsidRPr="00EB388E" w:rsidRDefault="00290160" w:rsidP="00691FD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AF7B25" w:rsidRDefault="00290160" w:rsidP="00691FD8">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424</w:t>
          </w:r>
          <w:r w:rsidRPr="00EB388E">
            <w:fldChar w:fldCharType="end"/>
          </w:r>
        </w:p>
      </w:tc>
    </w:tr>
    <w:tr w:rsidR="00290160" w:rsidRPr="00EB388E" w:rsidTr="00691FD8">
      <w:trPr>
        <w:cantSplit/>
        <w:trHeight w:val="8164"/>
      </w:trPr>
      <w:tc>
        <w:tcPr>
          <w:tcW w:w="595" w:type="dxa"/>
          <w:textDirection w:val="tbRl"/>
        </w:tcPr>
        <w:p w:rsidR="00290160" w:rsidRDefault="00290160" w:rsidP="00691FD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EB388E" w:rsidRDefault="00290160" w:rsidP="00691FD8">
          <w:pPr>
            <w:pStyle w:val="FooterLeft"/>
            <w:framePr w:wrap="auto" w:vAnchor="margin" w:hAnchor="text" w:yAlign="inline"/>
          </w:pPr>
          <w:r>
            <w:t>Post-election report of election commitments</w:t>
          </w:r>
        </w:p>
      </w:tc>
    </w:tr>
  </w:tbl>
  <w:p w:rsidR="00290160" w:rsidRPr="00E350DC" w:rsidRDefault="00290160" w:rsidP="000F6282">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horzAnchor="page" w:tblpX="1" w:tblpYSpec="bottom"/>
      <w:tblW w:w="1219" w:type="dxa"/>
      <w:tblLayout w:type="fixed"/>
      <w:tblCellMar>
        <w:top w:w="28" w:type="dxa"/>
      </w:tblCellMar>
      <w:tblLook w:val="04A0" w:firstRow="1" w:lastRow="0" w:firstColumn="1" w:lastColumn="0" w:noHBand="0" w:noVBand="1"/>
    </w:tblPr>
    <w:tblGrid>
      <w:gridCol w:w="595"/>
      <w:gridCol w:w="624"/>
    </w:tblGrid>
    <w:tr w:rsidR="00290160" w:rsidRPr="00EB388E" w:rsidTr="00691FD8">
      <w:trPr>
        <w:cantSplit/>
        <w:trHeight w:val="8164"/>
      </w:trPr>
      <w:tc>
        <w:tcPr>
          <w:tcW w:w="595" w:type="dxa"/>
          <w:textDirection w:val="tbRl"/>
        </w:tcPr>
        <w:p w:rsidR="00290160" w:rsidRDefault="00290160" w:rsidP="00691FD8">
          <w:pPr>
            <w:pStyle w:val="FooterLeftPageNumber"/>
            <w:framePr w:wrap="auto" w:vAnchor="margin" w:hAnchor="text" w:yAlign="inline"/>
            <w:ind w:left="113"/>
          </w:pPr>
        </w:p>
      </w:tc>
      <w:tc>
        <w:tcPr>
          <w:tcW w:w="624" w:type="dxa"/>
          <w:tcBorders>
            <w:bottom w:val="single" w:sz="4" w:space="0" w:color="788184" w:themeColor="background2"/>
          </w:tcBorders>
          <w:textDirection w:val="tbRl"/>
          <w:vAlign w:val="center"/>
        </w:tcPr>
        <w:p w:rsidR="00290160" w:rsidRPr="00EB388E" w:rsidRDefault="000279D8" w:rsidP="00691FD8">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9F1D58">
            <w:rPr>
              <w:noProof/>
            </w:rPr>
            <w:t>Appendix F</w:t>
          </w:r>
          <w:r>
            <w:rPr>
              <w:noProof/>
            </w:rPr>
            <w:fldChar w:fldCharType="end"/>
          </w:r>
        </w:p>
      </w:tc>
    </w:tr>
    <w:tr w:rsidR="00290160" w:rsidRPr="00EB388E" w:rsidTr="00691FD8">
      <w:trPr>
        <w:cantSplit/>
        <w:trHeight w:val="850"/>
      </w:trPr>
      <w:tc>
        <w:tcPr>
          <w:tcW w:w="595" w:type="dxa"/>
          <w:textDirection w:val="tbRl"/>
        </w:tcPr>
        <w:p w:rsidR="00290160" w:rsidRDefault="00290160" w:rsidP="00691FD8">
          <w:pPr>
            <w:pStyle w:val="FooterLeftPageNumber"/>
            <w:framePr w:wrap="auto" w:vAnchor="margin" w:hAnchor="text" w:yAlign="inline"/>
            <w:ind w:left="113"/>
          </w:pPr>
        </w:p>
      </w:tc>
      <w:tc>
        <w:tcPr>
          <w:tcW w:w="624" w:type="dxa"/>
          <w:tcBorders>
            <w:top w:val="single" w:sz="4" w:space="0" w:color="788184" w:themeColor="background2"/>
          </w:tcBorders>
          <w:textDirection w:val="tbRl"/>
          <w:vAlign w:val="center"/>
        </w:tcPr>
        <w:p w:rsidR="00290160" w:rsidRPr="00AF7B25" w:rsidRDefault="00290160" w:rsidP="00691FD8">
          <w:pPr>
            <w:pStyle w:val="FooterRightPageNumberLS"/>
            <w:framePr w:wrap="auto" w:xAlign="left"/>
          </w:pPr>
          <w:r w:rsidRPr="00B917D0">
            <w:fldChar w:fldCharType="begin"/>
          </w:r>
          <w:r w:rsidRPr="00B917D0">
            <w:instrText xml:space="preserve"> PAGE   \* MERGEFORMAT </w:instrText>
          </w:r>
          <w:r w:rsidRPr="00B917D0">
            <w:fldChar w:fldCharType="separate"/>
          </w:r>
          <w:r w:rsidR="009F1D58">
            <w:t>424</w:t>
          </w:r>
          <w:r w:rsidRPr="00B917D0">
            <w:fldChar w:fldCharType="end"/>
          </w:r>
        </w:p>
      </w:tc>
    </w:tr>
  </w:tbl>
  <w:p w:rsidR="00290160" w:rsidRPr="00E350DC" w:rsidRDefault="00290160" w:rsidP="000F6282">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85CBF">
      <w:trPr>
        <w:trHeight w:val="340"/>
      </w:trPr>
      <w:tc>
        <w:tcPr>
          <w:tcW w:w="567" w:type="dxa"/>
          <w:tcBorders>
            <w:right w:val="single" w:sz="4" w:space="0" w:color="788184" w:themeColor="background2"/>
          </w:tcBorders>
          <w:vAlign w:val="center"/>
        </w:tcPr>
        <w:p w:rsidR="00290160" w:rsidRPr="00CB70DF" w:rsidRDefault="00290160" w:rsidP="00085CB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426</w:t>
          </w:r>
          <w:r w:rsidRPr="00EB388E">
            <w:fldChar w:fldCharType="end"/>
          </w:r>
        </w:p>
      </w:tc>
      <w:tc>
        <w:tcPr>
          <w:tcW w:w="8164" w:type="dxa"/>
          <w:tcBorders>
            <w:left w:val="single" w:sz="4" w:space="0" w:color="788184" w:themeColor="background2"/>
          </w:tcBorders>
          <w:vAlign w:val="center"/>
        </w:tcPr>
        <w:p w:rsidR="00290160" w:rsidRPr="00CB70DF" w:rsidRDefault="00290160" w:rsidP="00085CBF">
          <w:pPr>
            <w:pStyle w:val="FooterLeft"/>
            <w:framePr w:wrap="auto" w:vAnchor="margin" w:hAnchor="text" w:yAlign="inline"/>
          </w:pPr>
          <w:r>
            <w:t>Post-election report of election commitments</w:t>
          </w:r>
        </w:p>
      </w:tc>
    </w:tr>
    <w:tr w:rsidR="00290160" w:rsidRPr="00EB388E" w:rsidTr="00085CBF">
      <w:trPr>
        <w:trHeight w:hRule="exact" w:val="403"/>
      </w:trPr>
      <w:tc>
        <w:tcPr>
          <w:tcW w:w="567" w:type="dxa"/>
          <w:tcMar>
            <w:bottom w:w="284" w:type="dxa"/>
          </w:tcMar>
        </w:tcPr>
        <w:p w:rsidR="00290160" w:rsidRPr="00EB388E" w:rsidRDefault="00290160" w:rsidP="00085CBF">
          <w:pPr>
            <w:pStyle w:val="FooterRightPageNumber"/>
          </w:pPr>
        </w:p>
      </w:tc>
      <w:tc>
        <w:tcPr>
          <w:tcW w:w="8164" w:type="dxa"/>
          <w:tcMar>
            <w:bottom w:w="284" w:type="dxa"/>
          </w:tcMar>
        </w:tcPr>
        <w:p w:rsidR="00290160" w:rsidRPr="00090E70" w:rsidRDefault="00290160" w:rsidP="00085CBF"/>
      </w:tc>
    </w:tr>
  </w:tbl>
  <w:p w:rsidR="00290160" w:rsidRDefault="00290160">
    <w:pPr>
      <w:pStyle w:val="Footer"/>
    </w:pPr>
  </w:p>
  <w:p w:rsidR="00290160" w:rsidRPr="004816D7" w:rsidRDefault="00290160" w:rsidP="004816D7">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85CBF">
      <w:trPr>
        <w:trHeight w:val="340"/>
      </w:trPr>
      <w:tc>
        <w:tcPr>
          <w:tcW w:w="8164" w:type="dxa"/>
          <w:tcBorders>
            <w:right w:val="single" w:sz="4" w:space="0" w:color="788184" w:themeColor="background2"/>
          </w:tcBorders>
          <w:vAlign w:val="center"/>
        </w:tcPr>
        <w:p w:rsidR="00290160" w:rsidRPr="00CB70DF" w:rsidRDefault="000279D8" w:rsidP="00085CB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85CBF">
          <w:pPr>
            <w:pStyle w:val="FooterRightPageNumber"/>
          </w:pPr>
          <w:r w:rsidRPr="00EB388E">
            <w:fldChar w:fldCharType="begin"/>
          </w:r>
          <w:r w:rsidRPr="00EB388E">
            <w:instrText xml:space="preserve"> PAGE   \* MERGEFORMAT </w:instrText>
          </w:r>
          <w:r w:rsidRPr="00EB388E">
            <w:fldChar w:fldCharType="separate"/>
          </w:r>
          <w:r w:rsidR="00490640">
            <w:t>427</w:t>
          </w:r>
          <w:r w:rsidRPr="00EB388E">
            <w:fldChar w:fldCharType="end"/>
          </w:r>
        </w:p>
      </w:tc>
    </w:tr>
    <w:tr w:rsidR="00290160" w:rsidRPr="00EB388E" w:rsidTr="00085CBF">
      <w:trPr>
        <w:trHeight w:hRule="exact" w:val="403"/>
      </w:trPr>
      <w:tc>
        <w:tcPr>
          <w:tcW w:w="8164" w:type="dxa"/>
        </w:tcPr>
        <w:p w:rsidR="00290160" w:rsidRPr="00090E70" w:rsidRDefault="00290160" w:rsidP="00085CBF"/>
      </w:tc>
      <w:tc>
        <w:tcPr>
          <w:tcW w:w="567" w:type="dxa"/>
          <w:tcMar>
            <w:bottom w:w="284" w:type="dxa"/>
          </w:tcMar>
        </w:tcPr>
        <w:p w:rsidR="00290160" w:rsidRPr="00090E70" w:rsidRDefault="00290160" w:rsidP="00085CBF"/>
      </w:tc>
    </w:tr>
  </w:tbl>
  <w:p w:rsidR="00290160" w:rsidRDefault="00290160">
    <w:pPr>
      <w:pStyle w:val="Footer"/>
    </w:pPr>
  </w:p>
  <w:p w:rsidR="00290160" w:rsidRPr="004816D7" w:rsidRDefault="00290160" w:rsidP="0073534F">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85CBF">
      <w:trPr>
        <w:trHeight w:val="340"/>
      </w:trPr>
      <w:tc>
        <w:tcPr>
          <w:tcW w:w="567" w:type="dxa"/>
          <w:tcBorders>
            <w:right w:val="single" w:sz="4" w:space="0" w:color="788184" w:themeColor="background2"/>
          </w:tcBorders>
          <w:vAlign w:val="center"/>
        </w:tcPr>
        <w:p w:rsidR="00290160" w:rsidRPr="00CB70DF" w:rsidRDefault="00290160" w:rsidP="00085CB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430</w:t>
          </w:r>
          <w:r w:rsidRPr="00EB388E">
            <w:fldChar w:fldCharType="end"/>
          </w:r>
        </w:p>
      </w:tc>
      <w:tc>
        <w:tcPr>
          <w:tcW w:w="8164" w:type="dxa"/>
          <w:tcBorders>
            <w:left w:val="single" w:sz="4" w:space="0" w:color="788184" w:themeColor="background2"/>
          </w:tcBorders>
          <w:vAlign w:val="center"/>
        </w:tcPr>
        <w:p w:rsidR="00290160" w:rsidRPr="00CB70DF" w:rsidRDefault="00290160" w:rsidP="00085CBF">
          <w:pPr>
            <w:pStyle w:val="FooterLeft"/>
            <w:framePr w:wrap="auto" w:vAnchor="margin" w:hAnchor="text" w:yAlign="inline"/>
          </w:pPr>
          <w:r>
            <w:t>Post-election report of election commitments</w:t>
          </w:r>
        </w:p>
      </w:tc>
    </w:tr>
    <w:tr w:rsidR="00290160" w:rsidRPr="00EB388E" w:rsidTr="00085CBF">
      <w:trPr>
        <w:trHeight w:hRule="exact" w:val="403"/>
      </w:trPr>
      <w:tc>
        <w:tcPr>
          <w:tcW w:w="567" w:type="dxa"/>
          <w:tcMar>
            <w:bottom w:w="284" w:type="dxa"/>
          </w:tcMar>
        </w:tcPr>
        <w:p w:rsidR="00290160" w:rsidRPr="00EB388E" w:rsidRDefault="00290160" w:rsidP="00085CBF">
          <w:pPr>
            <w:pStyle w:val="FooterRightPageNumber"/>
          </w:pPr>
        </w:p>
      </w:tc>
      <w:tc>
        <w:tcPr>
          <w:tcW w:w="8164" w:type="dxa"/>
          <w:tcMar>
            <w:bottom w:w="284" w:type="dxa"/>
          </w:tcMar>
        </w:tcPr>
        <w:p w:rsidR="00290160" w:rsidRPr="00090E70" w:rsidRDefault="00290160" w:rsidP="00085CBF"/>
      </w:tc>
    </w:tr>
  </w:tbl>
  <w:p w:rsidR="00290160" w:rsidRDefault="00290160">
    <w:pPr>
      <w:pStyle w:val="Footer"/>
    </w:pPr>
  </w:p>
  <w:p w:rsidR="00290160" w:rsidRPr="004816D7" w:rsidRDefault="00290160" w:rsidP="004816D7">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85CBF">
      <w:trPr>
        <w:trHeight w:val="340"/>
      </w:trPr>
      <w:tc>
        <w:tcPr>
          <w:tcW w:w="8164" w:type="dxa"/>
          <w:tcBorders>
            <w:right w:val="single" w:sz="4" w:space="0" w:color="788184" w:themeColor="background2"/>
          </w:tcBorders>
          <w:vAlign w:val="center"/>
        </w:tcPr>
        <w:p w:rsidR="00290160" w:rsidRPr="00CB70DF" w:rsidRDefault="000279D8" w:rsidP="00085CB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85CBF">
          <w:pPr>
            <w:pStyle w:val="FooterRightPageNumber"/>
          </w:pPr>
          <w:r w:rsidRPr="00EB388E">
            <w:fldChar w:fldCharType="begin"/>
          </w:r>
          <w:r w:rsidRPr="00EB388E">
            <w:instrText xml:space="preserve"> PAGE   \* MERGEFORMAT </w:instrText>
          </w:r>
          <w:r w:rsidRPr="00EB388E">
            <w:fldChar w:fldCharType="separate"/>
          </w:r>
          <w:r w:rsidR="00490640">
            <w:t>431</w:t>
          </w:r>
          <w:r w:rsidRPr="00EB388E">
            <w:fldChar w:fldCharType="end"/>
          </w:r>
        </w:p>
      </w:tc>
    </w:tr>
    <w:tr w:rsidR="00290160" w:rsidRPr="00EB388E" w:rsidTr="00085CBF">
      <w:trPr>
        <w:trHeight w:hRule="exact" w:val="403"/>
      </w:trPr>
      <w:tc>
        <w:tcPr>
          <w:tcW w:w="8164" w:type="dxa"/>
        </w:tcPr>
        <w:p w:rsidR="00290160" w:rsidRPr="00090E70" w:rsidRDefault="00290160" w:rsidP="00085CBF"/>
      </w:tc>
      <w:tc>
        <w:tcPr>
          <w:tcW w:w="567" w:type="dxa"/>
          <w:tcMar>
            <w:bottom w:w="284" w:type="dxa"/>
          </w:tcMar>
        </w:tcPr>
        <w:p w:rsidR="00290160" w:rsidRPr="00090E70" w:rsidRDefault="00290160" w:rsidP="00085CBF"/>
      </w:tc>
    </w:tr>
  </w:tbl>
  <w:p w:rsidR="00290160" w:rsidRDefault="00290160">
    <w:pPr>
      <w:pStyle w:val="Footer"/>
    </w:pPr>
  </w:p>
  <w:p w:rsidR="00290160" w:rsidRPr="004816D7" w:rsidRDefault="00290160" w:rsidP="0073534F">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290160" w:rsidRPr="00EB388E" w:rsidTr="00085CBF">
      <w:trPr>
        <w:trHeight w:val="340"/>
      </w:trPr>
      <w:tc>
        <w:tcPr>
          <w:tcW w:w="567" w:type="dxa"/>
          <w:tcBorders>
            <w:right w:val="single" w:sz="4" w:space="0" w:color="788184" w:themeColor="background2"/>
          </w:tcBorders>
          <w:vAlign w:val="center"/>
        </w:tcPr>
        <w:p w:rsidR="00290160" w:rsidRPr="00CB70DF" w:rsidRDefault="00290160" w:rsidP="00085CBF">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490640">
            <w:rPr>
              <w:noProof/>
            </w:rPr>
            <w:t>438</w:t>
          </w:r>
          <w:r w:rsidRPr="00EB388E">
            <w:fldChar w:fldCharType="end"/>
          </w:r>
        </w:p>
      </w:tc>
      <w:tc>
        <w:tcPr>
          <w:tcW w:w="8164" w:type="dxa"/>
          <w:tcBorders>
            <w:left w:val="single" w:sz="4" w:space="0" w:color="788184" w:themeColor="background2"/>
          </w:tcBorders>
          <w:vAlign w:val="center"/>
        </w:tcPr>
        <w:p w:rsidR="00290160" w:rsidRPr="00CB70DF" w:rsidRDefault="00290160" w:rsidP="00085CBF">
          <w:pPr>
            <w:pStyle w:val="FooterLeft"/>
            <w:framePr w:wrap="auto" w:vAnchor="margin" w:hAnchor="text" w:yAlign="inline"/>
          </w:pPr>
          <w:r>
            <w:t>Post-election report of election commitments</w:t>
          </w:r>
        </w:p>
      </w:tc>
    </w:tr>
    <w:tr w:rsidR="00290160" w:rsidRPr="00EB388E" w:rsidTr="00085CBF">
      <w:trPr>
        <w:trHeight w:hRule="exact" w:val="403"/>
      </w:trPr>
      <w:tc>
        <w:tcPr>
          <w:tcW w:w="567" w:type="dxa"/>
          <w:tcMar>
            <w:bottom w:w="284" w:type="dxa"/>
          </w:tcMar>
        </w:tcPr>
        <w:p w:rsidR="00290160" w:rsidRPr="00EB388E" w:rsidRDefault="00290160" w:rsidP="00085CBF">
          <w:pPr>
            <w:pStyle w:val="FooterRightPageNumber"/>
          </w:pPr>
        </w:p>
      </w:tc>
      <w:tc>
        <w:tcPr>
          <w:tcW w:w="8164" w:type="dxa"/>
          <w:tcMar>
            <w:bottom w:w="284" w:type="dxa"/>
          </w:tcMar>
        </w:tcPr>
        <w:p w:rsidR="00290160" w:rsidRPr="00090E70" w:rsidRDefault="00290160" w:rsidP="00085CBF"/>
      </w:tc>
    </w:tr>
  </w:tbl>
  <w:p w:rsidR="00290160" w:rsidRDefault="00290160">
    <w:pPr>
      <w:pStyle w:val="Footer"/>
    </w:pPr>
  </w:p>
  <w:p w:rsidR="00290160" w:rsidRPr="004816D7" w:rsidRDefault="00290160" w:rsidP="004816D7">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290160" w:rsidRPr="00EB388E" w:rsidTr="00085CBF">
      <w:trPr>
        <w:trHeight w:val="340"/>
      </w:trPr>
      <w:tc>
        <w:tcPr>
          <w:tcW w:w="8164" w:type="dxa"/>
          <w:tcBorders>
            <w:right w:val="single" w:sz="4" w:space="0" w:color="788184" w:themeColor="background2"/>
          </w:tcBorders>
          <w:vAlign w:val="center"/>
        </w:tcPr>
        <w:p w:rsidR="00290160" w:rsidRPr="00CB70DF" w:rsidRDefault="000279D8" w:rsidP="00085CBF">
          <w:pPr>
            <w:pStyle w:val="FooterRight"/>
            <w:framePr w:wrap="auto" w:vAnchor="margin" w:hAnchor="text" w:xAlign="left" w:yAlign="inline"/>
          </w:pPr>
          <w:r>
            <w:fldChar w:fldCharType="begin"/>
          </w:r>
          <w:r>
            <w:instrText xml:space="preserve"> STYLEREF  "Heading 8,Appendix Title" \r \* MERGEFORMAT </w:instrText>
          </w:r>
          <w:r>
            <w:fldChar w:fldCharType="separate"/>
          </w:r>
          <w:r w:rsidR="00490640">
            <w:rPr>
              <w:noProof/>
            </w:rPr>
            <w:t>Appendix F</w:t>
          </w:r>
          <w:r>
            <w:rPr>
              <w:noProof/>
            </w:rPr>
            <w:fldChar w:fldCharType="end"/>
          </w:r>
        </w:p>
      </w:tc>
      <w:tc>
        <w:tcPr>
          <w:tcW w:w="567" w:type="dxa"/>
          <w:tcBorders>
            <w:left w:val="single" w:sz="4" w:space="0" w:color="788184" w:themeColor="background2"/>
          </w:tcBorders>
          <w:vAlign w:val="center"/>
        </w:tcPr>
        <w:p w:rsidR="00290160" w:rsidRPr="00CB70DF" w:rsidRDefault="00290160" w:rsidP="00085CBF">
          <w:pPr>
            <w:pStyle w:val="FooterRightPageNumber"/>
          </w:pPr>
          <w:r w:rsidRPr="00EB388E">
            <w:fldChar w:fldCharType="begin"/>
          </w:r>
          <w:r w:rsidRPr="00EB388E">
            <w:instrText xml:space="preserve"> PAGE   \* MERGEFORMAT </w:instrText>
          </w:r>
          <w:r w:rsidRPr="00EB388E">
            <w:fldChar w:fldCharType="separate"/>
          </w:r>
          <w:r w:rsidR="00490640">
            <w:t>437</w:t>
          </w:r>
          <w:r w:rsidRPr="00EB388E">
            <w:fldChar w:fldCharType="end"/>
          </w:r>
        </w:p>
      </w:tc>
    </w:tr>
    <w:tr w:rsidR="00290160" w:rsidRPr="00EB388E" w:rsidTr="00085CBF">
      <w:trPr>
        <w:trHeight w:hRule="exact" w:val="403"/>
      </w:trPr>
      <w:tc>
        <w:tcPr>
          <w:tcW w:w="8164" w:type="dxa"/>
        </w:tcPr>
        <w:p w:rsidR="00290160" w:rsidRPr="00090E70" w:rsidRDefault="00290160" w:rsidP="00085CBF"/>
      </w:tc>
      <w:tc>
        <w:tcPr>
          <w:tcW w:w="567" w:type="dxa"/>
          <w:tcMar>
            <w:bottom w:w="284" w:type="dxa"/>
          </w:tcMar>
        </w:tcPr>
        <w:p w:rsidR="00290160" w:rsidRPr="00090E70" w:rsidRDefault="00290160" w:rsidP="00085CBF"/>
      </w:tc>
    </w:tr>
  </w:tbl>
  <w:p w:rsidR="00290160" w:rsidRDefault="00290160">
    <w:pPr>
      <w:pStyle w:val="Footer"/>
    </w:pPr>
  </w:p>
  <w:p w:rsidR="00290160" w:rsidRPr="004816D7" w:rsidRDefault="00290160" w:rsidP="00735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160" w:rsidRPr="000557A7" w:rsidRDefault="00290160" w:rsidP="008D5A11">
      <w:pPr>
        <w:pBdr>
          <w:top w:val="single" w:sz="4" w:space="1" w:color="auto"/>
        </w:pBdr>
        <w:spacing w:before="240" w:line="60" w:lineRule="exact"/>
        <w:rPr>
          <w:sz w:val="16"/>
          <w:szCs w:val="16"/>
        </w:rPr>
      </w:pPr>
    </w:p>
  </w:footnote>
  <w:footnote w:type="continuationSeparator" w:id="0">
    <w:p w:rsidR="00290160" w:rsidRDefault="00290160" w:rsidP="00A20802">
      <w:pPr>
        <w:spacing w:line="240" w:lineRule="auto"/>
      </w:pPr>
      <w:r>
        <w:continuationSeparator/>
      </w:r>
    </w:p>
    <w:p w:rsidR="00290160" w:rsidRDefault="00290160"/>
  </w:footnote>
  <w:footnote w:id="1">
    <w:p w:rsidR="00290160" w:rsidRPr="00A52A78" w:rsidRDefault="00290160">
      <w:pPr>
        <w:pStyle w:val="FootnoteText"/>
      </w:pPr>
      <w:r w:rsidRPr="00A52A78">
        <w:footnoteRef/>
      </w:r>
      <w:r>
        <w:tab/>
      </w:r>
      <w:r w:rsidRPr="00A52A78">
        <w:t>The 2014</w:t>
      </w:r>
      <w:r>
        <w:noBreakHyphen/>
      </w:r>
      <w:r w:rsidRPr="00A52A78">
        <w:t xml:space="preserve">15 Budget measure, </w:t>
      </w:r>
      <w:r w:rsidRPr="00A52A78">
        <w:rPr>
          <w:i/>
        </w:rPr>
        <w:t>Emissions Reduction Fund – establishment</w:t>
      </w:r>
      <w:r w:rsidRPr="00A52A78">
        <w:t xml:space="preserve"> stated that the cost of administering the ERF would be met from within existing resources of the Department of the Environment and the Clean Energy Regulator.</w:t>
      </w:r>
    </w:p>
  </w:footnote>
  <w:footnote w:id="2">
    <w:p w:rsidR="00290160" w:rsidRPr="00691858" w:rsidRDefault="00290160">
      <w:pPr>
        <w:pStyle w:val="FootnoteText"/>
      </w:pPr>
      <w:r w:rsidRPr="00691858">
        <w:footnoteRef/>
      </w:r>
      <w:r>
        <w:tab/>
      </w:r>
      <w:r w:rsidRPr="00691858">
        <w:t>Page 54 of the Dep</w:t>
      </w:r>
      <w:r>
        <w:t>artment of the Environment 2015</w:t>
      </w:r>
      <w:r>
        <w:noBreakHyphen/>
      </w:r>
      <w:r w:rsidRPr="00691858">
        <w:t>16 Portfolio Budget Statements states that the ERF “consists of an initial $2.55 billion” commitment.  This is consistent with the figure stated in the Coalition’s Direct Action Plan 2010.</w:t>
      </w:r>
    </w:p>
  </w:footnote>
  <w:footnote w:id="3">
    <w:p w:rsidR="00290160" w:rsidRPr="00111844" w:rsidRDefault="00290160">
      <w:pPr>
        <w:pStyle w:val="FootnoteText"/>
      </w:pPr>
      <w:r w:rsidRPr="00111844">
        <w:footnoteRef/>
      </w:r>
      <w:r>
        <w:tab/>
      </w:r>
      <w:r w:rsidRPr="00111844">
        <w:t>Mature for the purposes of th</w:t>
      </w:r>
      <w:r>
        <w:t>is</w:t>
      </w:r>
      <w:r w:rsidRPr="00111844">
        <w:t xml:space="preserve"> costing is the point at which the costing </w:t>
      </w:r>
      <w:r>
        <w:t>is</w:t>
      </w:r>
      <w:r w:rsidRPr="00111844">
        <w:t xml:space="preserve"> no longer affected by transitional influences.</w:t>
      </w:r>
    </w:p>
  </w:footnote>
  <w:footnote w:id="4">
    <w:p w:rsidR="00290160" w:rsidRPr="00111844" w:rsidRDefault="00290160">
      <w:pPr>
        <w:pStyle w:val="FootnoteText"/>
      </w:pPr>
      <w:r w:rsidRPr="00111844">
        <w:footnoteRef/>
      </w:r>
      <w:r>
        <w:tab/>
      </w:r>
      <w:r w:rsidRPr="00111844">
        <w:t>The PBO has examined projections of dwelling completions from the</w:t>
      </w:r>
      <w:r w:rsidRPr="00C859C2">
        <w:rPr>
          <w:i/>
        </w:rPr>
        <w:t xml:space="preserve"> National Housing Supply Council: State of Supply Report 2011 </w:t>
      </w:r>
      <w:r w:rsidRPr="00111844">
        <w:t>to ensure that this increase in demand for new dwellings could be met by supply.</w:t>
      </w:r>
    </w:p>
  </w:footnote>
  <w:footnote w:id="5">
    <w:p w:rsidR="00290160" w:rsidRPr="00111844" w:rsidRDefault="00290160">
      <w:pPr>
        <w:pStyle w:val="FootnoteText"/>
      </w:pPr>
      <w:r w:rsidRPr="00111844">
        <w:footnoteRef/>
      </w:r>
      <w:r>
        <w:tab/>
      </w:r>
      <w:r w:rsidRPr="00797BF4">
        <w:t>For the purposes of this costing, the definition of the construction and purchase of new dwellings is based on the ABS housing finance data.  New dwellings are those completed within 12 months of the lodgement of the loan application.  Construction of dwellings is defined as commitments made to individuals to finance, by way of progress payments, the construction of dwellings.</w:t>
      </w:r>
    </w:p>
  </w:footnote>
  <w:footnote w:id="6">
    <w:p w:rsidR="00290160" w:rsidRPr="00BB6FE7" w:rsidRDefault="00290160">
      <w:pPr>
        <w:pStyle w:val="FootnoteText"/>
      </w:pPr>
      <w:r w:rsidRPr="00BB6FE7">
        <w:footnoteRef/>
      </w:r>
      <w:r>
        <w:tab/>
      </w:r>
      <w:r w:rsidRPr="00BB6FE7">
        <w:t>Figures do not sum to the total impact due to rounding.</w:t>
      </w:r>
    </w:p>
  </w:footnote>
  <w:footnote w:id="7">
    <w:p w:rsidR="00290160" w:rsidRPr="00923E28" w:rsidRDefault="00290160">
      <w:pPr>
        <w:pStyle w:val="FootnoteText"/>
      </w:pPr>
      <w:r w:rsidRPr="00923E28">
        <w:footnoteRef/>
      </w:r>
      <w:r>
        <w:tab/>
      </w:r>
      <w:r w:rsidRPr="00923E28">
        <w:t>A taxable income elasticity is a measure of the responsiveness of taxable income to changes in after-tax income.  An increase in tax will result in a decrease in after-tax income.  An elasticity of 0.2 means that a 1</w:t>
      </w:r>
      <w:r>
        <w:t> </w:t>
      </w:r>
      <w:r w:rsidRPr="00923E28">
        <w:t>per cent decrease in the net-of-tax rate (the proportion of each additional dollar kept as take-home income) results in a 0.2 per cent decrease in taxable income.</w:t>
      </w:r>
    </w:p>
  </w:footnote>
  <w:footnote w:id="8">
    <w:p w:rsidR="00290160" w:rsidRPr="00CE66B6" w:rsidRDefault="00290160">
      <w:pPr>
        <w:pStyle w:val="FootnoteText"/>
      </w:pPr>
      <w:r w:rsidRPr="00CE66B6">
        <w:footnoteRef/>
      </w:r>
      <w:r>
        <w:tab/>
      </w:r>
      <w:r w:rsidRPr="00CE66B6">
        <w:t>Given this costing is over a defined time period with fewer loans being issued each year, the net impact of the CLD expense and the revenue from the unwinding of CLD will not be zero.  Were the analysis to be undertaken for a single loan and that loan were to be established and fully repaid during the analysis period then these two lines would net to zero.</w:t>
      </w:r>
    </w:p>
  </w:footnote>
  <w:footnote w:id="9">
    <w:p w:rsidR="00290160" w:rsidRPr="00CE66B6" w:rsidRDefault="00290160">
      <w:pPr>
        <w:pStyle w:val="FootnoteText"/>
      </w:pPr>
      <w:r w:rsidRPr="00CE66B6">
        <w:footnoteRef/>
      </w:r>
      <w:r>
        <w:tab/>
      </w:r>
      <w:r w:rsidRPr="00CE66B6">
        <w:t>As part of the National Partnership Agreement on Skills Reform, states and territories agreed to pay the Commonwealth half of the CLD expense in issuing VET FEE-HELP loans for state-subsidised VET courses.  The agreement has a nominal expiry date of 30 June 2017 and by convention the agreement would be renewed in its current form beyond the expiry date.</w:t>
      </w:r>
    </w:p>
  </w:footnote>
  <w:footnote w:id="10">
    <w:p w:rsidR="00290160" w:rsidRPr="004760AF" w:rsidRDefault="00290160">
      <w:pPr>
        <w:pStyle w:val="FootnoteText"/>
      </w:pPr>
      <w:r w:rsidRPr="004760AF">
        <w:footnoteRef/>
      </w:r>
      <w:r>
        <w:tab/>
      </w:r>
      <w:r w:rsidRPr="004760AF">
        <w:t>Expenses relating to preparing and lodging tax returns and activity statements include the costs of lodging tax returns through a registered tax agent, obtaining tax advice from a recognised tax adviser, and dealing with the ATO about tax affairs.  These fees generally occur in the year they are paid.</w:t>
      </w:r>
    </w:p>
  </w:footnote>
  <w:footnote w:id="11">
    <w:p w:rsidR="00290160" w:rsidRPr="000210C8" w:rsidRDefault="00290160">
      <w:pPr>
        <w:pStyle w:val="FootnoteText"/>
      </w:pPr>
      <w:r w:rsidRPr="000210C8">
        <w:footnoteRef/>
      </w:r>
      <w:r>
        <w:tab/>
      </w:r>
      <w:r w:rsidRPr="000210C8">
        <w:t xml:space="preserve">Refer related costing ALP047 – </w:t>
      </w:r>
      <w:r w:rsidRPr="000210C8">
        <w:rPr>
          <w:i/>
        </w:rPr>
        <w:t>Putting a $8,000 per year cap on VET FEE-HELP loans</w:t>
      </w:r>
      <w:r>
        <w:rPr>
          <w:i/>
        </w:rPr>
        <w:t>.</w:t>
      </w:r>
    </w:p>
  </w:footnote>
  <w:footnote w:id="12">
    <w:p w:rsidR="00290160" w:rsidRPr="00E6704B" w:rsidRDefault="00290160">
      <w:pPr>
        <w:pStyle w:val="FootnoteText"/>
      </w:pPr>
      <w:r w:rsidRPr="00E6704B">
        <w:footnoteRef/>
      </w:r>
      <w:r>
        <w:tab/>
      </w:r>
      <w:r w:rsidRPr="00E6704B">
        <w:t>Given this costing is over a defined time period with fewer loans being issued each year, the net impact of the CLD expense and the revenue from the unwinding of CLD would not be zero.  Were the analysis to be undertaken for a single loan and that loan were to be established and fully repaid during the analysis period then these two lines would net to ze</w:t>
      </w:r>
      <w:r>
        <w:t>ro.</w:t>
      </w:r>
    </w:p>
  </w:footnote>
  <w:footnote w:id="13">
    <w:p w:rsidR="00290160" w:rsidRPr="00602B06" w:rsidRDefault="00290160">
      <w:pPr>
        <w:pStyle w:val="FootnoteText"/>
      </w:pPr>
      <w:r w:rsidRPr="00602B06">
        <w:footnoteRef/>
      </w:r>
      <w:r>
        <w:tab/>
      </w:r>
      <w:r w:rsidRPr="00602B06">
        <w:t>Growth rates were comparable with the projected Australian population growth in persons aged 8 (the</w:t>
      </w:r>
      <w:r>
        <w:t> </w:t>
      </w:r>
      <w:r w:rsidRPr="00602B06">
        <w:t>most common age of year 3 students).</w:t>
      </w:r>
    </w:p>
  </w:footnote>
  <w:footnote w:id="14">
    <w:p w:rsidR="00290160" w:rsidRPr="006839DD" w:rsidRDefault="00290160">
      <w:pPr>
        <w:pStyle w:val="FootnoteText"/>
      </w:pPr>
      <w:r w:rsidRPr="006839DD">
        <w:footnoteRef/>
      </w:r>
      <w:r>
        <w:tab/>
      </w:r>
      <w:r w:rsidRPr="006839DD">
        <w:t>Note Western Australia, Queensland and the Northern Territory did not sign up to NERA.  Further, Victoria’s NERA aim to increase school funding to reach 95 per cent of SRS by 2022.</w:t>
      </w:r>
    </w:p>
  </w:footnote>
  <w:footnote w:id="15">
    <w:p w:rsidR="00290160" w:rsidRPr="006839DD" w:rsidRDefault="00290160">
      <w:pPr>
        <w:pStyle w:val="FootnoteText"/>
      </w:pPr>
      <w:r w:rsidRPr="006839DD">
        <w:footnoteRef/>
      </w:r>
      <w:r>
        <w:tab/>
      </w:r>
      <w:r w:rsidRPr="006839DD">
        <w:t>2014</w:t>
      </w:r>
      <w:r>
        <w:noBreakHyphen/>
      </w:r>
      <w:r w:rsidRPr="006839DD">
        <w:t>15 Budget measure, Students First – indexation of school funding from 2018.</w:t>
      </w:r>
    </w:p>
  </w:footnote>
  <w:footnote w:id="16">
    <w:p w:rsidR="00290160" w:rsidRPr="006839DD" w:rsidRDefault="00290160">
      <w:pPr>
        <w:pStyle w:val="FootnoteText"/>
      </w:pPr>
      <w:r w:rsidRPr="006839DD">
        <w:footnoteRef/>
      </w:r>
      <w:r>
        <w:tab/>
      </w:r>
      <w:r w:rsidRPr="00FE1466">
        <w:t>2016-17 Budget measure, School Funding – additional funding from 2018.</w:t>
      </w:r>
    </w:p>
  </w:footnote>
  <w:footnote w:id="17">
    <w:p w:rsidR="00290160" w:rsidRPr="006839DD" w:rsidRDefault="00290160">
      <w:pPr>
        <w:pStyle w:val="FootnoteText"/>
      </w:pPr>
      <w:r w:rsidRPr="006839DD">
        <w:footnoteRef/>
      </w:r>
      <w:r>
        <w:tab/>
      </w:r>
      <w:r w:rsidRPr="006839DD">
        <w:t>Note, as per the NERA, Victoria would not reach 95 per cent of the SRS until 2022.</w:t>
      </w:r>
    </w:p>
  </w:footnote>
  <w:footnote w:id="18">
    <w:p w:rsidR="00290160" w:rsidRPr="002C740E" w:rsidRDefault="00290160" w:rsidP="00D41682">
      <w:pPr>
        <w:pStyle w:val="FootnoteText"/>
      </w:pPr>
      <w:r w:rsidRPr="002C740E">
        <w:footnoteRef/>
      </w:r>
      <w:r>
        <w:tab/>
      </w:r>
      <w:r w:rsidRPr="002C740E">
        <w:t xml:space="preserve">The OMA would administer the proposed </w:t>
      </w:r>
      <w:r w:rsidRPr="002C740E">
        <w:rPr>
          <w:i/>
        </w:rPr>
        <w:t>Settlement and Multicultural Community Support</w:t>
      </w:r>
      <w:r w:rsidRPr="002C740E">
        <w:t xml:space="preserve"> capital works and human capital grants.  The administered expenses associated with these grant proposals are shown separately.</w:t>
      </w:r>
    </w:p>
  </w:footnote>
  <w:footnote w:id="19">
    <w:p w:rsidR="00290160" w:rsidRPr="00C775AC" w:rsidRDefault="00290160">
      <w:pPr>
        <w:pStyle w:val="FootnoteText"/>
      </w:pPr>
      <w:r w:rsidRPr="00C775AC">
        <w:footnoteRef/>
      </w:r>
      <w:r>
        <w:tab/>
      </w:r>
      <w:r w:rsidRPr="00C775AC">
        <w:t>Note that AIMS only receives departmental appropriations.</w:t>
      </w:r>
    </w:p>
  </w:footnote>
  <w:footnote w:id="20">
    <w:p w:rsidR="00290160" w:rsidRPr="000A2E9C" w:rsidRDefault="00290160" w:rsidP="00DD7E73">
      <w:pPr>
        <w:pStyle w:val="FootnoteText"/>
      </w:pPr>
      <w:r w:rsidRPr="000A2E9C">
        <w:footnoteRef/>
      </w:r>
      <w:r>
        <w:tab/>
        <w:t>Note: $37.5 million would be provided in 2019-2020.</w:t>
      </w:r>
    </w:p>
  </w:footnote>
  <w:footnote w:id="21">
    <w:p w:rsidR="00290160" w:rsidRPr="00A61730" w:rsidRDefault="00290160" w:rsidP="004645EF">
      <w:pPr>
        <w:pStyle w:val="FootnoteText"/>
      </w:pPr>
      <w:r w:rsidRPr="00A61730">
        <w:footnoteRef/>
      </w:r>
      <w:r>
        <w:tab/>
      </w:r>
      <w:r w:rsidRPr="00A61730">
        <w:t>Note under the IIF measure, capital investment commenced in year two of the program.</w:t>
      </w:r>
    </w:p>
  </w:footnote>
  <w:footnote w:id="22">
    <w:p w:rsidR="00290160" w:rsidRPr="006626F2" w:rsidRDefault="00290160" w:rsidP="001E6037">
      <w:pPr>
        <w:pStyle w:val="FootnoteText"/>
      </w:pPr>
      <w:r w:rsidRPr="006626F2">
        <w:footnoteRef/>
      </w:r>
      <w:r>
        <w:tab/>
        <w:t>Figures do not sum to total impact due to rounding.</w:t>
      </w:r>
    </w:p>
  </w:footnote>
  <w:footnote w:id="23">
    <w:p w:rsidR="00290160" w:rsidRPr="006D2BBB" w:rsidRDefault="00290160" w:rsidP="007B52C0">
      <w:pPr>
        <w:pStyle w:val="FootnoteText"/>
      </w:pPr>
      <w:r w:rsidRPr="006D2BBB">
        <w:footnoteRef/>
      </w:r>
      <w:r>
        <w:tab/>
      </w:r>
      <w:r w:rsidRPr="006D2BBB">
        <w:t>The proportion was derived from the allowance recipients microdata provided by the Department of Social Services and higher education statistics provided by the Department of Education and Training.</w:t>
      </w:r>
    </w:p>
  </w:footnote>
  <w:footnote w:id="24">
    <w:p w:rsidR="00290160" w:rsidRPr="00A5484F" w:rsidRDefault="00290160" w:rsidP="007B52C0">
      <w:pPr>
        <w:pStyle w:val="FootnoteText"/>
      </w:pPr>
      <w:r w:rsidRPr="00A5484F">
        <w:footnoteRef/>
      </w:r>
      <w:r>
        <w:tab/>
      </w:r>
      <w:r w:rsidRPr="00A5484F">
        <w:t>Given this costing is over a defined time period with more loans being issued each year, the net impact of the CLD expense and the revenue from the unwinding of CLD would not be zero.  Were the analysis to be undertaken for a single loan and that loan were to be established and fully repaid during the analysis period then these two lines would net to zero.</w:t>
      </w:r>
    </w:p>
  </w:footnote>
  <w:footnote w:id="25">
    <w:p w:rsidR="00290160" w:rsidRDefault="00290160" w:rsidP="00407FAE">
      <w:pPr>
        <w:pStyle w:val="FootnoteText"/>
      </w:pPr>
      <w:r>
        <w:rPr>
          <w:rStyle w:val="FootnoteReference"/>
        </w:rPr>
        <w:footnoteRef/>
      </w:r>
      <w:r>
        <w:t xml:space="preserve"> Note the proposal would not impact on the 2014-15 Budget measure, </w:t>
      </w:r>
      <w:r w:rsidRPr="008A61D7">
        <w:rPr>
          <w:i/>
        </w:rPr>
        <w:t>Pausing indexation of some Medicare Benefits Schedule fees and the Medicare Levy Surcharge and Private Health Insurance Rebate thresholds</w:t>
      </w:r>
      <w:r>
        <w:t xml:space="preserve"> as the related pause in indexation would be completed before the commencement of the proposed policy.</w:t>
      </w:r>
    </w:p>
  </w:footnote>
  <w:footnote w:id="26">
    <w:p w:rsidR="00290160" w:rsidRPr="00B560C8" w:rsidRDefault="00290160">
      <w:pPr>
        <w:pStyle w:val="FootnoteText"/>
      </w:pPr>
      <w:r w:rsidRPr="00B560C8">
        <w:footnoteRef/>
      </w:r>
      <w:r>
        <w:tab/>
      </w:r>
      <w:r w:rsidRPr="00B560C8">
        <w:t xml:space="preserve">Australian Hospital Statistics – National emergency access and elective surgery targets: </w:t>
      </w:r>
      <w:hyperlink r:id="rId1" w:history="1">
        <w:r w:rsidRPr="009A5363">
          <w:rPr>
            <w:rStyle w:val="Hyperlink"/>
          </w:rPr>
          <w:t>http://www.aihw.gov.au/publication-detail/?id=60129542734</w:t>
        </w:r>
      </w:hyperlink>
      <w:r>
        <w:t>.</w:t>
      </w:r>
    </w:p>
  </w:footnote>
  <w:footnote w:id="27">
    <w:p w:rsidR="00290160" w:rsidRPr="00C70116" w:rsidRDefault="00290160" w:rsidP="00761B5C">
      <w:pPr>
        <w:pStyle w:val="FootnoteText"/>
      </w:pPr>
      <w:r w:rsidRPr="00C70116">
        <w:footnoteRef/>
      </w:r>
      <w:r>
        <w:tab/>
      </w:r>
      <w:r w:rsidRPr="00C70116">
        <w:t>Note the Federal Circuit Court has the majority of domestic violence cases.</w:t>
      </w:r>
    </w:p>
  </w:footnote>
  <w:footnote w:id="28">
    <w:p w:rsidR="00290160" w:rsidRDefault="00290160" w:rsidP="00BB7A5F">
      <w:pPr>
        <w:pStyle w:val="FootnoteText"/>
        <w:spacing w:after="114"/>
      </w:pPr>
      <w:r>
        <w:rPr>
          <w:rStyle w:val="FootnoteReference"/>
        </w:rPr>
        <w:footnoteRef/>
      </w:r>
      <w:r>
        <w:t xml:space="preserve"> 2016-17 Budget measure, </w:t>
      </w:r>
      <w:r w:rsidRPr="005B60DE">
        <w:rPr>
          <w:i/>
        </w:rPr>
        <w:t>Public Sector Transformation and the Efficiency Dividend</w:t>
      </w:r>
      <w:r>
        <w:t>, page 71</w:t>
      </w:r>
    </w:p>
  </w:footnote>
  <w:footnote w:id="29">
    <w:p w:rsidR="00290160" w:rsidRDefault="00290160" w:rsidP="00BB7A5F">
      <w:pPr>
        <w:pStyle w:val="FootnoteText"/>
      </w:pPr>
      <w:r>
        <w:rPr>
          <w:rStyle w:val="FootnoteReference"/>
        </w:rPr>
        <w:footnoteRef/>
      </w:r>
      <w:r>
        <w:t xml:space="preserve"> 2015-16 MYEFO, </w:t>
      </w:r>
      <w:r w:rsidRPr="00D35BA6">
        <w:rPr>
          <w:i/>
        </w:rPr>
        <w:t>Communications and the Arts Portfolio – efficiencies</w:t>
      </w:r>
      <w:r>
        <w:t>, page 152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02B5B">
    <w:pPr>
      <w:pStyle w:val="Header"/>
    </w:pPr>
  </w:p>
  <w:p w:rsidR="00290160" w:rsidRPr="00B02B5B" w:rsidRDefault="00290160" w:rsidP="00B02B5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45988">
    <w:pPr>
      <w:pStyle w:val="Header"/>
    </w:pPr>
  </w:p>
  <w:p w:rsidR="00290160" w:rsidRPr="00745988" w:rsidRDefault="00290160" w:rsidP="00745988">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11844">
    <w:pPr>
      <w:pStyle w:val="Header"/>
    </w:pPr>
    <w:r>
      <w:rPr>
        <w:noProof/>
        <w:lang w:eastAsia="en-AU"/>
      </w:rPr>
      <w:drawing>
        <wp:inline distT="0" distB="0" distL="0" distR="0" wp14:anchorId="49FC2BD4" wp14:editId="6A2A372F">
          <wp:extent cx="2696845" cy="57213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4375F">
    <w:pPr>
      <w:pStyle w:val="Header"/>
    </w:pPr>
  </w:p>
  <w:p w:rsidR="00290160" w:rsidRPr="0004375F" w:rsidRDefault="00290160" w:rsidP="0004375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4375F">
    <w:pPr>
      <w:pStyle w:val="Header"/>
    </w:pPr>
  </w:p>
  <w:p w:rsidR="00290160" w:rsidRPr="0004375F" w:rsidRDefault="00290160" w:rsidP="0004375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4375F">
    <w:pPr>
      <w:pStyle w:val="Header"/>
    </w:pPr>
    <w:r>
      <w:rPr>
        <w:noProof/>
        <w:lang w:eastAsia="en-AU"/>
      </w:rPr>
      <mc:AlternateContent>
        <mc:Choice Requires="wps">
          <w:drawing>
            <wp:anchor distT="0" distB="0" distL="114300" distR="114300" simplePos="0" relativeHeight="251870208" behindDoc="1" locked="1" layoutInCell="1" allowOverlap="1" wp14:anchorId="7093F7BD" wp14:editId="7793FC8D">
              <wp:simplePos x="0" y="0"/>
              <wp:positionH relativeFrom="page">
                <wp:align>center</wp:align>
              </wp:positionH>
              <wp:positionV relativeFrom="page">
                <wp:align>center</wp:align>
              </wp:positionV>
              <wp:extent cx="7560000" cy="1796400"/>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04375F">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4462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uyNuwIAAMQ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5ZuyNuwIA&#10;AMQFAAAOAAAAAAAAAAAAAAAAAC4CAABkcnMvZTJvRG9jLnhtbFBLAQItABQABgAIAAAAIQA0xUTO&#10;2wAAAAYBAAAPAAAAAAAAAAAAAAAAABUFAABkcnMvZG93bnJldi54bWxQSwUGAAAAAAQABADzAAAA&#10;HQYAAAAA&#10;" filled="f" stroked="f">
              <v:textbox>
                <w:txbxContent>
                  <w:p w:rsidR="00290160" w:rsidRPr="0001226A" w:rsidRDefault="00290160" w:rsidP="0004375F">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04375F" w:rsidRDefault="00290160" w:rsidP="0004375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4375F">
    <w:pPr>
      <w:pStyle w:val="Header"/>
    </w:pPr>
  </w:p>
  <w:p w:rsidR="00290160" w:rsidRPr="0004375F" w:rsidRDefault="00290160" w:rsidP="0004375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D5651A" w:rsidRDefault="00290160" w:rsidP="00802C78">
    <w:pPr>
      <w:pStyle w:val="Header"/>
      <w:rPr>
        <w:rStyle w:val="IntenseReference"/>
        <w:b w:val="0"/>
        <w:bCs w:val="0"/>
      </w:rPr>
    </w:pPr>
    <w:r>
      <w:rPr>
        <w:noProof/>
        <w:lang w:eastAsia="en-AU"/>
      </w:rPr>
      <w:drawing>
        <wp:inline distT="0" distB="0" distL="0" distR="0" wp14:anchorId="034CA6D6" wp14:editId="2EA90BBA">
          <wp:extent cx="2696845" cy="57213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r>
      <w:rPr>
        <w:noProof/>
        <w:lang w:eastAsia="en-AU"/>
      </w:rPr>
      <mc:AlternateContent>
        <mc:Choice Requires="wps">
          <w:drawing>
            <wp:anchor distT="0" distB="0" distL="114300" distR="114300" simplePos="0" relativeHeight="251874304" behindDoc="1" locked="1" layoutInCell="1" allowOverlap="1" wp14:anchorId="2633A9F4" wp14:editId="270BB5C8">
              <wp:simplePos x="0" y="0"/>
              <wp:positionH relativeFrom="page">
                <wp:align>center</wp:align>
              </wp:positionH>
              <wp:positionV relativeFrom="page">
                <wp:align>center</wp:align>
              </wp:positionV>
              <wp:extent cx="7560000" cy="17964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8A35E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442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rtz2O6AgAA&#10;wwUAAA4AAAAAAAAAAAAAAAAALgIAAGRycy9lMm9Eb2MueG1sUEsBAi0AFAAGAAgAAAAhADTFRM7b&#10;AAAABgEAAA8AAAAAAAAAAAAAAAAAFAUAAGRycy9kb3ducmV2LnhtbFBLBQYAAAAABAAEAPMAAAAc&#10;BgAAAAA=&#10;" filled="f" stroked="f">
              <v:textbox>
                <w:txbxContent>
                  <w:p w:rsidR="00290160" w:rsidRPr="0001226A" w:rsidRDefault="00290160" w:rsidP="008A35E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8A35EA" w:rsidRDefault="00290160" w:rsidP="008A3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02B5B">
    <w:pPr>
      <w:pStyle w:val="Header"/>
    </w:pPr>
  </w:p>
  <w:p w:rsidR="00290160" w:rsidRDefault="00290160" w:rsidP="00B02B5B">
    <w:pPr>
      <w:pStyle w:val="Header"/>
      <w:tabs>
        <w:tab w:val="left" w:pos="5328"/>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r>
      <w:rPr>
        <w:noProof/>
        <w:lang w:eastAsia="en-AU"/>
      </w:rPr>
      <mc:AlternateContent>
        <mc:Choice Requires="wps">
          <w:drawing>
            <wp:anchor distT="0" distB="0" distL="114300" distR="114300" simplePos="0" relativeHeight="251872256" behindDoc="1" locked="1" layoutInCell="1" allowOverlap="1" wp14:anchorId="07497FB8" wp14:editId="29B562F4">
              <wp:simplePos x="0" y="0"/>
              <wp:positionH relativeFrom="page">
                <wp:align>center</wp:align>
              </wp:positionH>
              <wp:positionV relativeFrom="page">
                <wp:align>center</wp:align>
              </wp:positionV>
              <wp:extent cx="7560000" cy="1796400"/>
              <wp:effectExtent l="0" t="0" r="0" b="0"/>
              <wp:wrapNone/>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8A35E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4442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dysTFuwIA&#10;AMMFAAAOAAAAAAAAAAAAAAAAAC4CAABkcnMvZTJvRG9jLnhtbFBLAQItABQABgAIAAAAIQA0xUTO&#10;2wAAAAYBAAAPAAAAAAAAAAAAAAAAABUFAABkcnMvZG93bnJldi54bWxQSwUGAAAAAAQABADzAAAA&#10;HQYAAAAA&#10;" filled="f" stroked="f">
              <v:textbox>
                <w:txbxContent>
                  <w:p w:rsidR="00290160" w:rsidRPr="0001226A" w:rsidRDefault="00290160" w:rsidP="008A35EA">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8A35EA" w:rsidRDefault="00290160" w:rsidP="008A35E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A35EA">
    <w:pPr>
      <w:pStyle w:val="Header"/>
    </w:pPr>
  </w:p>
  <w:p w:rsidR="00290160" w:rsidRPr="008A35EA" w:rsidRDefault="00290160" w:rsidP="008A35E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20505">
    <w:pPr>
      <w:pStyle w:val="Header"/>
    </w:pPr>
  </w:p>
  <w:p w:rsidR="00290160" w:rsidRPr="00620505" w:rsidRDefault="00290160" w:rsidP="0062050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20505">
    <w:pPr>
      <w:pStyle w:val="Header"/>
    </w:pPr>
  </w:p>
  <w:p w:rsidR="00290160" w:rsidRPr="00620505" w:rsidRDefault="00290160" w:rsidP="0062050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02D76">
    <w:pPr>
      <w:pStyle w:val="Header"/>
    </w:pPr>
  </w:p>
  <w:p w:rsidR="00290160" w:rsidRPr="00B02D76" w:rsidRDefault="00290160" w:rsidP="00B02D7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02D76">
    <w:pPr>
      <w:pStyle w:val="Header"/>
    </w:pPr>
    <w:r>
      <w:rPr>
        <w:noProof/>
        <w:lang w:eastAsia="en-AU"/>
      </w:rPr>
      <mc:AlternateContent>
        <mc:Choice Requires="wps">
          <w:drawing>
            <wp:anchor distT="0" distB="0" distL="114300" distR="114300" simplePos="0" relativeHeight="251760640" behindDoc="1" locked="1" layoutInCell="1" allowOverlap="1" wp14:anchorId="2EA1EB74" wp14:editId="14D29F8E">
              <wp:simplePos x="0" y="0"/>
              <wp:positionH relativeFrom="page">
                <wp:align>center</wp:align>
              </wp:positionH>
              <wp:positionV relativeFrom="page">
                <wp:align>center</wp:align>
              </wp:positionV>
              <wp:extent cx="7560000" cy="1796400"/>
              <wp:effectExtent l="0" t="0" r="0" b="0"/>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B02D76">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555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EDuwIAAMQ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GDHEDuwIA&#10;AMQFAAAOAAAAAAAAAAAAAAAAAC4CAABkcnMvZTJvRG9jLnhtbFBLAQItABQABgAIAAAAIQA0xUTO&#10;2wAAAAYBAAAPAAAAAAAAAAAAAAAAABUFAABkcnMvZG93bnJldi54bWxQSwUGAAAAAAQABADzAAAA&#10;HQYAAAAA&#10;" filled="f" stroked="f">
              <v:textbox>
                <w:txbxContent>
                  <w:p w:rsidR="00290160" w:rsidRPr="0001226A" w:rsidRDefault="00290160" w:rsidP="00B02D76">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B02D76" w:rsidRDefault="00290160" w:rsidP="00B02D7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3578C">
    <w:pPr>
      <w:pStyle w:val="Header"/>
    </w:pPr>
  </w:p>
  <w:p w:rsidR="00290160" w:rsidRPr="00B3578C" w:rsidRDefault="00290160" w:rsidP="00B357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pPr>
      <w:pStyle w:val="Header"/>
    </w:pPr>
    <w:r>
      <w:rPr>
        <w:noProof/>
        <w:lang w:eastAsia="en-AU"/>
      </w:rPr>
      <mc:AlternateContent>
        <mc:Choice Requires="wps">
          <w:drawing>
            <wp:anchor distT="0" distB="0" distL="114300" distR="114300" simplePos="0" relativeHeight="251772928" behindDoc="1" locked="1" layoutInCell="1" allowOverlap="1" wp14:anchorId="7EAC6389" wp14:editId="36737E00">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543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OpnZ1LYCAAC9BQAA&#10;DgAAAAAAAAAAAAAAAAAuAgAAZHJzL2Uyb0RvYy54bWxQSwECLQAUAAYACAAAACEANMVEztsAAAAG&#10;AQAADwAAAAAAAAAAAAAAAAAQBQAAZHJzL2Rvd25yZXYueG1sUEsFBgAAAAAEAAQA8wAAABgGAAAA&#10;AA==&#10;" filled="f" stroked="f">
              <v:textbox>
                <w:txbxContent>
                  <w:p w:rsidR="00290160" w:rsidRPr="0001226A" w:rsidRDefault="00290160"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B3578C">
    <w:pPr>
      <w:pStyle w:val="Header"/>
    </w:pPr>
  </w:p>
  <w:p w:rsidR="00290160" w:rsidRPr="00B3578C" w:rsidRDefault="00290160" w:rsidP="00B3578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9B344E">
    <w:pPr>
      <w:pStyle w:val="Header"/>
    </w:pPr>
  </w:p>
  <w:p w:rsidR="00290160" w:rsidRPr="009B344E" w:rsidRDefault="00290160" w:rsidP="009B344E">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9B344E">
    <w:pPr>
      <w:pStyle w:val="Header"/>
    </w:pPr>
  </w:p>
  <w:p w:rsidR="00290160" w:rsidRPr="009B344E" w:rsidRDefault="00290160" w:rsidP="009B344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2274A">
    <w:pPr>
      <w:pStyle w:val="Header"/>
    </w:pPr>
  </w:p>
  <w:p w:rsidR="00290160" w:rsidRPr="0082274A" w:rsidRDefault="00290160" w:rsidP="0082274A">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82274A">
    <w:pPr>
      <w:pStyle w:val="Header"/>
    </w:pPr>
  </w:p>
  <w:p w:rsidR="00290160" w:rsidRPr="0082274A" w:rsidRDefault="00290160" w:rsidP="0082274A">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96D7A">
    <w:pPr>
      <w:pStyle w:val="Header"/>
    </w:pPr>
  </w:p>
  <w:p w:rsidR="00290160" w:rsidRPr="00096D7A" w:rsidRDefault="00290160" w:rsidP="00096D7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96D7A">
    <w:pPr>
      <w:pStyle w:val="Header"/>
    </w:pPr>
  </w:p>
  <w:p w:rsidR="00290160" w:rsidRPr="00096D7A" w:rsidRDefault="00290160" w:rsidP="00096D7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3D396D">
    <w:pPr>
      <w:pStyle w:val="Header"/>
    </w:pPr>
  </w:p>
  <w:p w:rsidR="00290160" w:rsidRPr="003D396D" w:rsidRDefault="00290160" w:rsidP="003D396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3D396D">
    <w:pPr>
      <w:pStyle w:val="Header"/>
    </w:pPr>
  </w:p>
  <w:p w:rsidR="00290160" w:rsidRPr="003D396D" w:rsidRDefault="00290160" w:rsidP="003D396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A70F88">
    <w:pPr>
      <w:pStyle w:val="Header"/>
    </w:pPr>
  </w:p>
  <w:p w:rsidR="00290160" w:rsidRPr="00A70F88" w:rsidRDefault="00290160" w:rsidP="00A70F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62C05">
    <w:pPr>
      <w:pStyle w:val="Header"/>
    </w:pPr>
  </w:p>
  <w:p w:rsidR="00290160" w:rsidRPr="00762C05" w:rsidRDefault="00290160" w:rsidP="00762C0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A70F88">
    <w:pPr>
      <w:pStyle w:val="Header"/>
    </w:pPr>
    <w:r>
      <w:rPr>
        <w:noProof/>
        <w:lang w:eastAsia="en-AU"/>
      </w:rPr>
      <mc:AlternateContent>
        <mc:Choice Requires="wps">
          <w:drawing>
            <wp:anchor distT="0" distB="0" distL="114300" distR="114300" simplePos="0" relativeHeight="251880448" behindDoc="1" locked="1" layoutInCell="1" allowOverlap="1" wp14:anchorId="2020948B" wp14:editId="1CEF4E13">
              <wp:simplePos x="0" y="0"/>
              <wp:positionH relativeFrom="page">
                <wp:align>center</wp:align>
              </wp:positionH>
              <wp:positionV relativeFrom="page">
                <wp:align>center</wp:align>
              </wp:positionV>
              <wp:extent cx="7560000" cy="1796400"/>
              <wp:effectExtent l="0" t="0" r="0" b="0"/>
              <wp:wrapNone/>
              <wp:docPr id="6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A70F88">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4360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BDuwIAAMQ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LqRBDuwIA&#10;AMQFAAAOAAAAAAAAAAAAAAAAAC4CAABkcnMvZTJvRG9jLnhtbFBLAQItABQABgAIAAAAIQA0xUTO&#10;2wAAAAYBAAAPAAAAAAAAAAAAAAAAABUFAABkcnMvZG93bnJldi54bWxQSwUGAAAAAAQABADzAAAA&#10;HQYAAAAA&#10;" filled="f" stroked="f">
              <v:textbox>
                <w:txbxContent>
                  <w:p w:rsidR="00290160" w:rsidRPr="0001226A" w:rsidRDefault="00290160" w:rsidP="00A70F88">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A70F88" w:rsidRDefault="00290160" w:rsidP="00A70F8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C3B63">
    <w:pPr>
      <w:pStyle w:val="Header"/>
    </w:pPr>
  </w:p>
  <w:p w:rsidR="00290160" w:rsidRPr="004C3B63" w:rsidRDefault="00290160" w:rsidP="004C3B6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C3B63">
    <w:pPr>
      <w:pStyle w:val="Header"/>
    </w:pPr>
  </w:p>
  <w:p w:rsidR="00290160" w:rsidRPr="004C3B63" w:rsidRDefault="00290160" w:rsidP="004C3B6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C3B63">
    <w:pPr>
      <w:pStyle w:val="Header"/>
    </w:pPr>
  </w:p>
  <w:p w:rsidR="00290160" w:rsidRPr="004C3B63" w:rsidRDefault="00290160" w:rsidP="004C3B6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C3B63">
    <w:pPr>
      <w:pStyle w:val="Header"/>
    </w:pPr>
  </w:p>
  <w:p w:rsidR="00290160" w:rsidRPr="004C3B63" w:rsidRDefault="00290160" w:rsidP="004C3B6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DC17E4">
    <w:pPr>
      <w:pStyle w:val="Header"/>
    </w:pPr>
  </w:p>
  <w:p w:rsidR="00290160" w:rsidRPr="00DC17E4" w:rsidRDefault="00290160" w:rsidP="00DC17E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DC17E4">
    <w:pPr>
      <w:pStyle w:val="Header"/>
    </w:pPr>
  </w:p>
  <w:p w:rsidR="00290160" w:rsidRPr="00DC17E4" w:rsidRDefault="00290160" w:rsidP="00DC17E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2C3AC8">
    <w:pPr>
      <w:pStyle w:val="Header"/>
    </w:pPr>
  </w:p>
  <w:p w:rsidR="00290160" w:rsidRPr="002C3AC8" w:rsidRDefault="00290160" w:rsidP="002C3AC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2C3AC8">
    <w:pPr>
      <w:pStyle w:val="Header"/>
    </w:pPr>
    <w:r>
      <w:rPr>
        <w:noProof/>
        <w:lang w:eastAsia="en-AU"/>
      </w:rPr>
      <mc:AlternateContent>
        <mc:Choice Requires="wps">
          <w:drawing>
            <wp:anchor distT="0" distB="0" distL="114300" distR="114300" simplePos="0" relativeHeight="251804672" behindDoc="1" locked="1" layoutInCell="1" allowOverlap="1" wp14:anchorId="2392DD83" wp14:editId="54489D51">
              <wp:simplePos x="0" y="0"/>
              <wp:positionH relativeFrom="page">
                <wp:align>center</wp:align>
              </wp:positionH>
              <wp:positionV relativeFrom="page">
                <wp:align>center</wp:align>
              </wp:positionV>
              <wp:extent cx="7560000" cy="1796400"/>
              <wp:effectExtent l="0" t="0" r="0" b="0"/>
              <wp:wrapNone/>
              <wp:docPr id="33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2C3AC8">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511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OLVH1bwC&#10;AADFBQAADgAAAAAAAAAAAAAAAAAuAgAAZHJzL2Uyb0RvYy54bWxQSwECLQAUAAYACAAAACEANMVE&#10;ztsAAAAGAQAADwAAAAAAAAAAAAAAAAAWBQAAZHJzL2Rvd25yZXYueG1sUEsFBgAAAAAEAAQA8wAA&#10;AB4GAAAAAA==&#10;" filled="f" stroked="f">
              <v:textbox>
                <w:txbxContent>
                  <w:p w:rsidR="00290160" w:rsidRPr="0001226A" w:rsidRDefault="00290160" w:rsidP="002C3AC8">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2C3AC8" w:rsidRDefault="00290160" w:rsidP="002C3AC8">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45988">
    <w:pPr>
      <w:pStyle w:val="Header"/>
    </w:pPr>
  </w:p>
  <w:p w:rsidR="00290160" w:rsidRPr="00745988" w:rsidRDefault="00290160" w:rsidP="007459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62C05">
    <w:pPr>
      <w:pStyle w:val="Header"/>
    </w:pPr>
  </w:p>
  <w:p w:rsidR="00290160" w:rsidRPr="00762C05" w:rsidRDefault="00290160" w:rsidP="00762C0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45988">
    <w:pPr>
      <w:pStyle w:val="Header"/>
    </w:pPr>
  </w:p>
  <w:p w:rsidR="00290160" w:rsidRPr="00745988" w:rsidRDefault="00290160" w:rsidP="0074598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967B83">
    <w:pPr>
      <w:pStyle w:val="Header"/>
    </w:pPr>
  </w:p>
  <w:p w:rsidR="00290160" w:rsidRPr="00967B83" w:rsidRDefault="00290160" w:rsidP="00967B8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967B83">
    <w:pPr>
      <w:pStyle w:val="Header"/>
    </w:pPr>
  </w:p>
  <w:p w:rsidR="00290160" w:rsidRPr="00967B83" w:rsidRDefault="00290160" w:rsidP="00967B8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04B47">
    <w:pPr>
      <w:pStyle w:val="Header"/>
    </w:pPr>
    <w:r>
      <w:rPr>
        <w:noProof/>
        <w:lang w:eastAsia="en-AU"/>
      </w:rPr>
      <mc:AlternateContent>
        <mc:Choice Requires="wps">
          <w:drawing>
            <wp:anchor distT="0" distB="0" distL="114300" distR="114300" simplePos="0" relativeHeight="251884544" behindDoc="1" locked="1" layoutInCell="1" allowOverlap="1" wp14:anchorId="00C80525" wp14:editId="147A1251">
              <wp:simplePos x="0" y="0"/>
              <wp:positionH relativeFrom="page">
                <wp:align>center</wp:align>
              </wp:positionH>
              <wp:positionV relativeFrom="page">
                <wp:align>center</wp:align>
              </wp:positionV>
              <wp:extent cx="7560000" cy="1796400"/>
              <wp:effectExtent l="0" t="0" r="0" b="0"/>
              <wp:wrapNone/>
              <wp:docPr id="40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004B47">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4319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truwIAAMU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adrtruwIA&#10;AMUFAAAOAAAAAAAAAAAAAAAAAC4CAABkcnMvZTJvRG9jLnhtbFBLAQItABQABgAIAAAAIQA0xUTO&#10;2wAAAAYBAAAPAAAAAAAAAAAAAAAAABUFAABkcnMvZG93bnJldi54bWxQSwUGAAAAAAQABADzAAAA&#10;HQYAAAAA&#10;" filled="f" stroked="f">
              <v:textbox>
                <w:txbxContent>
                  <w:p w:rsidR="00290160" w:rsidRPr="0001226A" w:rsidRDefault="00290160" w:rsidP="00004B47">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004B47" w:rsidRDefault="00290160" w:rsidP="00004B47">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04B47">
    <w:pPr>
      <w:pStyle w:val="Header"/>
    </w:pPr>
  </w:p>
  <w:p w:rsidR="00290160" w:rsidRPr="00004B47" w:rsidRDefault="00290160" w:rsidP="00004B4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A2A7B">
    <w:pPr>
      <w:pStyle w:val="Header"/>
    </w:pPr>
  </w:p>
  <w:p w:rsidR="00290160" w:rsidRPr="007A2A7B" w:rsidRDefault="00290160" w:rsidP="007A2A7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A2A7B">
    <w:pPr>
      <w:pStyle w:val="Header"/>
    </w:pPr>
  </w:p>
  <w:p w:rsidR="00290160" w:rsidRPr="007A2A7B" w:rsidRDefault="00290160" w:rsidP="007A2A7B">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222D6">
    <w:pPr>
      <w:pStyle w:val="Header"/>
    </w:pPr>
  </w:p>
  <w:p w:rsidR="00290160" w:rsidRPr="004222D6" w:rsidRDefault="00290160" w:rsidP="004222D6">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222D6">
    <w:pPr>
      <w:pStyle w:val="Header"/>
    </w:pPr>
  </w:p>
  <w:p w:rsidR="00290160" w:rsidRPr="004222D6" w:rsidRDefault="00290160" w:rsidP="004222D6">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FD1D4B">
    <w:pPr>
      <w:pStyle w:val="Header"/>
    </w:pPr>
  </w:p>
  <w:p w:rsidR="00290160" w:rsidRPr="00FD1D4B" w:rsidRDefault="00290160" w:rsidP="00FD1D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62C05">
    <w:pPr>
      <w:pStyle w:val="Header"/>
    </w:pPr>
  </w:p>
  <w:p w:rsidR="00290160" w:rsidRPr="00762C05" w:rsidRDefault="00290160" w:rsidP="00762C05">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FD1D4B">
    <w:pPr>
      <w:pStyle w:val="Header"/>
    </w:pPr>
  </w:p>
  <w:p w:rsidR="00290160" w:rsidRPr="00FD1D4B" w:rsidRDefault="00290160" w:rsidP="00FD1D4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AE58CE">
    <w:pPr>
      <w:pStyle w:val="Header"/>
    </w:pPr>
  </w:p>
  <w:p w:rsidR="00290160" w:rsidRPr="00AE58CE" w:rsidRDefault="00290160" w:rsidP="00AE58CE">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AE58CE">
    <w:pPr>
      <w:pStyle w:val="Header"/>
    </w:pPr>
  </w:p>
  <w:p w:rsidR="00290160" w:rsidRPr="00AE58CE" w:rsidRDefault="00290160" w:rsidP="00AE58CE">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F56B8">
    <w:pPr>
      <w:pStyle w:val="Header"/>
    </w:pPr>
  </w:p>
  <w:p w:rsidR="00290160" w:rsidRPr="006F56B8" w:rsidRDefault="00290160" w:rsidP="006F56B8">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F56B8">
    <w:pPr>
      <w:pStyle w:val="Header"/>
    </w:pPr>
  </w:p>
  <w:p w:rsidR="00290160" w:rsidRPr="006F56B8" w:rsidRDefault="00290160" w:rsidP="006F56B8">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7601C">
    <w:pPr>
      <w:pStyle w:val="Header"/>
    </w:pPr>
  </w:p>
  <w:p w:rsidR="00290160" w:rsidRPr="0017601C" w:rsidRDefault="00290160" w:rsidP="0017601C">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7601C">
    <w:pPr>
      <w:pStyle w:val="Header"/>
    </w:pPr>
  </w:p>
  <w:p w:rsidR="00290160" w:rsidRPr="0017601C" w:rsidRDefault="00290160" w:rsidP="0017601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F469BD">
    <w:pPr>
      <w:pStyle w:val="Header"/>
    </w:pPr>
  </w:p>
  <w:p w:rsidR="00290160" w:rsidRPr="00F469BD" w:rsidRDefault="00290160" w:rsidP="00F469BD">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F469BD">
    <w:pPr>
      <w:pStyle w:val="Header"/>
    </w:pPr>
  </w:p>
  <w:p w:rsidR="00290160" w:rsidRPr="00F469BD" w:rsidRDefault="00290160" w:rsidP="00F469BD">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5F5C76">
    <w:pPr>
      <w:pStyle w:val="Header"/>
    </w:pPr>
  </w:p>
  <w:p w:rsidR="00290160" w:rsidRPr="005F5C76" w:rsidRDefault="00290160" w:rsidP="005F5C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62C05">
    <w:pPr>
      <w:pStyle w:val="Header"/>
    </w:pPr>
  </w:p>
  <w:p w:rsidR="00290160" w:rsidRPr="00762C05" w:rsidRDefault="00290160" w:rsidP="00762C05">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5F5C76">
    <w:pPr>
      <w:pStyle w:val="Header"/>
    </w:pPr>
  </w:p>
  <w:p w:rsidR="00290160" w:rsidRPr="005F5C76" w:rsidRDefault="00290160" w:rsidP="005F5C76">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E4B1C">
    <w:pPr>
      <w:pStyle w:val="Header"/>
    </w:pPr>
    <w:r>
      <w:rPr>
        <w:noProof/>
        <w:lang w:eastAsia="en-AU"/>
      </w:rPr>
      <mc:AlternateContent>
        <mc:Choice Requires="wps">
          <w:drawing>
            <wp:anchor distT="0" distB="0" distL="114300" distR="114300" simplePos="0" relativeHeight="251888640" behindDoc="1" locked="1" layoutInCell="1" allowOverlap="1" wp14:anchorId="2A1D77E8" wp14:editId="478DD363">
              <wp:simplePos x="0" y="0"/>
              <wp:positionH relativeFrom="page">
                <wp:align>center</wp:align>
              </wp:positionH>
              <wp:positionV relativeFrom="page">
                <wp:align>center</wp:align>
              </wp:positionV>
              <wp:extent cx="7560000" cy="1796400"/>
              <wp:effectExtent l="0" t="0" r="0" b="0"/>
              <wp:wrapNone/>
              <wp:docPr id="48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1E4B1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427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nAxqxrwC&#10;AADFBQAADgAAAAAAAAAAAAAAAAAuAgAAZHJzL2Uyb0RvYy54bWxQSwECLQAUAAYACAAAACEANMVE&#10;ztsAAAAGAQAADwAAAAAAAAAAAAAAAAAWBQAAZHJzL2Rvd25yZXYueG1sUEsFBgAAAAAEAAQA8wAA&#10;AB4GAAAAAA==&#10;" filled="f" stroked="f">
              <v:textbox>
                <w:txbxContent>
                  <w:p w:rsidR="00290160" w:rsidRPr="0001226A" w:rsidRDefault="00290160" w:rsidP="001E4B1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1E4B1C" w:rsidRDefault="00290160" w:rsidP="001E4B1C">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1E4B1C">
    <w:pPr>
      <w:pStyle w:val="Header"/>
    </w:pPr>
    <w:r>
      <w:rPr>
        <w:noProof/>
        <w:lang w:eastAsia="en-AU"/>
      </w:rPr>
      <mc:AlternateContent>
        <mc:Choice Requires="wps">
          <w:drawing>
            <wp:anchor distT="0" distB="0" distL="114300" distR="114300" simplePos="0" relativeHeight="251886592" behindDoc="1" locked="1" layoutInCell="1" allowOverlap="1" wp14:anchorId="26F365D4" wp14:editId="6296449D">
              <wp:simplePos x="0" y="0"/>
              <wp:positionH relativeFrom="page">
                <wp:align>center</wp:align>
              </wp:positionH>
              <wp:positionV relativeFrom="page">
                <wp:align>center</wp:align>
              </wp:positionV>
              <wp:extent cx="7560000" cy="1796400"/>
              <wp:effectExtent l="0" t="0" r="0" b="0"/>
              <wp:wrapNone/>
              <wp:docPr id="48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1E4B1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429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2RvAIAAMU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6rRtkbwC&#10;AADFBQAADgAAAAAAAAAAAAAAAAAuAgAAZHJzL2Uyb0RvYy54bWxQSwECLQAUAAYACAAAACEANMVE&#10;ztsAAAAGAQAADwAAAAAAAAAAAAAAAAAWBQAAZHJzL2Rvd25yZXYueG1sUEsFBgAAAAAEAAQA8wAA&#10;AB4GAAAAAA==&#10;" filled="f" stroked="f">
              <v:textbox>
                <w:txbxContent>
                  <w:p w:rsidR="00290160" w:rsidRPr="0001226A" w:rsidRDefault="00290160" w:rsidP="001E4B1C">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1E4B1C" w:rsidRDefault="00290160" w:rsidP="001E4B1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109BA">
    <w:pPr>
      <w:pStyle w:val="Header"/>
    </w:pPr>
  </w:p>
  <w:p w:rsidR="00290160" w:rsidRPr="004109BA" w:rsidRDefault="00290160" w:rsidP="004109BA">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4109BA">
    <w:pPr>
      <w:pStyle w:val="Header"/>
    </w:pPr>
  </w:p>
  <w:p w:rsidR="00290160" w:rsidRPr="004109BA" w:rsidRDefault="00290160" w:rsidP="004109BA">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5C0932">
    <w:pPr>
      <w:pStyle w:val="Header"/>
    </w:pPr>
  </w:p>
  <w:p w:rsidR="00290160" w:rsidRPr="005C0932" w:rsidRDefault="00290160" w:rsidP="005C0932">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5C0932">
    <w:pPr>
      <w:pStyle w:val="Header"/>
    </w:pPr>
  </w:p>
  <w:p w:rsidR="00290160" w:rsidRPr="005C0932" w:rsidRDefault="00290160" w:rsidP="005C0932">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3362FF">
    <w:pPr>
      <w:pStyle w:val="Header"/>
    </w:pPr>
  </w:p>
  <w:p w:rsidR="00290160" w:rsidRPr="003362FF" w:rsidRDefault="00290160" w:rsidP="003362FF">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3362FF">
    <w:pPr>
      <w:pStyle w:val="Header"/>
    </w:pPr>
  </w:p>
  <w:p w:rsidR="00290160" w:rsidRPr="003362FF" w:rsidRDefault="00290160" w:rsidP="003362FF">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C241CC">
    <w:pPr>
      <w:pStyle w:val="Header"/>
    </w:pPr>
  </w:p>
  <w:p w:rsidR="00290160" w:rsidRPr="00C241CC" w:rsidRDefault="00290160" w:rsidP="00C241C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C17112" w:rsidRDefault="00290160" w:rsidP="00420BD0">
    <w:pPr>
      <w:pStyle w:val="Header"/>
    </w:pPr>
    <w:r>
      <w:rPr>
        <w:noProof/>
        <w:lang w:eastAsia="en-AU"/>
      </w:rPr>
      <w:drawing>
        <wp:inline distT="0" distB="0" distL="0" distR="0" wp14:anchorId="07B589D0" wp14:editId="5A74B2CC">
          <wp:extent cx="2696845" cy="57213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 Logo 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845" cy="572135"/>
                  </a:xfrm>
                  <a:prstGeom prst="rect">
                    <a:avLst/>
                  </a:prstGeom>
                </pic:spPr>
              </pic:pic>
            </a:graphicData>
          </a:graphic>
        </wp:inline>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C241CC">
    <w:pPr>
      <w:pStyle w:val="Header"/>
    </w:pPr>
  </w:p>
  <w:p w:rsidR="00290160" w:rsidRPr="00C241CC" w:rsidRDefault="00290160" w:rsidP="00C241CC">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5754F">
    <w:pPr>
      <w:pStyle w:val="Header"/>
    </w:pPr>
  </w:p>
  <w:p w:rsidR="00290160" w:rsidRPr="0065754F" w:rsidRDefault="00290160" w:rsidP="0065754F">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5754F">
    <w:pPr>
      <w:pStyle w:val="Header"/>
    </w:pPr>
  </w:p>
  <w:p w:rsidR="00290160" w:rsidRPr="0065754F" w:rsidRDefault="00290160" w:rsidP="0065754F">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D71885">
    <w:pPr>
      <w:pStyle w:val="Header"/>
    </w:pPr>
    <w:r>
      <w:rPr>
        <w:noProof/>
        <w:lang w:eastAsia="en-AU"/>
      </w:rPr>
      <mc:AlternateContent>
        <mc:Choice Requires="wps">
          <w:drawing>
            <wp:anchor distT="0" distB="0" distL="114300" distR="114300" simplePos="0" relativeHeight="251896832" behindDoc="1" locked="1" layoutInCell="1" allowOverlap="1" wp14:anchorId="7B1782C8" wp14:editId="50012D77">
              <wp:simplePos x="0" y="0"/>
              <wp:positionH relativeFrom="page">
                <wp:align>center</wp:align>
              </wp:positionH>
              <wp:positionV relativeFrom="page">
                <wp:align>center</wp:align>
              </wp:positionV>
              <wp:extent cx="7560000" cy="1796400"/>
              <wp:effectExtent l="0" t="0" r="0" b="0"/>
              <wp:wrapNone/>
              <wp:docPr id="49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60" w:rsidRPr="0001226A" w:rsidRDefault="00290160" w:rsidP="00D7188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419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rnori7wC&#10;AADGBQAADgAAAAAAAAAAAAAAAAAuAgAAZHJzL2Uyb0RvYy54bWxQSwECLQAUAAYACAAAACEANMVE&#10;ztsAAAAGAQAADwAAAAAAAAAAAAAAAAAWBQAAZHJzL2Rvd25yZXYueG1sUEsFBgAAAAAEAAQA8wAA&#10;AB4GAAAAAA==&#10;" filled="f" stroked="f">
              <v:textbox>
                <w:txbxContent>
                  <w:p w:rsidR="00290160" w:rsidRPr="0001226A" w:rsidRDefault="00290160" w:rsidP="00D71885">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p w:rsidR="00290160" w:rsidRPr="00D71885" w:rsidRDefault="00290160" w:rsidP="00D71885">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D71885">
    <w:pPr>
      <w:pStyle w:val="Header"/>
    </w:pPr>
  </w:p>
  <w:p w:rsidR="00290160" w:rsidRPr="00D71885" w:rsidRDefault="00290160" w:rsidP="00D71885">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0285">
    <w:pPr>
      <w:pStyle w:val="Header"/>
    </w:pPr>
  </w:p>
  <w:p w:rsidR="00290160" w:rsidRPr="00080285" w:rsidRDefault="00290160" w:rsidP="00080285">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0285">
    <w:pPr>
      <w:pStyle w:val="Header"/>
    </w:pPr>
  </w:p>
  <w:p w:rsidR="00290160" w:rsidRPr="00080285" w:rsidRDefault="00290160" w:rsidP="00080285">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12B79">
    <w:pPr>
      <w:pStyle w:val="Header"/>
    </w:pPr>
  </w:p>
  <w:p w:rsidR="00290160" w:rsidRPr="00712B79" w:rsidRDefault="00290160" w:rsidP="00712B7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12B79">
    <w:pPr>
      <w:pStyle w:val="Header"/>
    </w:pPr>
  </w:p>
  <w:p w:rsidR="00290160" w:rsidRPr="00712B79" w:rsidRDefault="00290160" w:rsidP="00712B79">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Pr="006B63AC" w:rsidRDefault="00290160" w:rsidP="006B63AC">
    <w:pPr>
      <w:pStyle w:val="Header"/>
    </w:pPr>
  </w:p>
  <w:p w:rsidR="00290160" w:rsidRPr="006B63AC" w:rsidRDefault="00290160" w:rsidP="006B63A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745988">
    <w:pPr>
      <w:pStyle w:val="Header"/>
    </w:pPr>
  </w:p>
  <w:p w:rsidR="00290160" w:rsidRPr="00745988" w:rsidRDefault="00290160" w:rsidP="00745988">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91FD8">
    <w:pPr>
      <w:pStyle w:val="Header"/>
    </w:pPr>
  </w:p>
  <w:p w:rsidR="00290160" w:rsidRPr="00691FD8" w:rsidRDefault="00290160" w:rsidP="00691FD8">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691FD8">
    <w:pPr>
      <w:pStyle w:val="Header"/>
    </w:pPr>
  </w:p>
  <w:p w:rsidR="00290160" w:rsidRPr="00691FD8" w:rsidRDefault="00290160" w:rsidP="00691FD8">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60" w:rsidRDefault="00290160" w:rsidP="00085CBF">
    <w:pPr>
      <w:pStyle w:val="Header"/>
    </w:pPr>
  </w:p>
  <w:p w:rsidR="00290160" w:rsidRPr="00085CBF" w:rsidRDefault="00290160" w:rsidP="00085C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3D4"/>
    <w:multiLevelType w:val="hybridMultilevel"/>
    <w:tmpl w:val="093A3B04"/>
    <w:lvl w:ilvl="0" w:tplc="FF3A0396">
      <w:start w:val="1929"/>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68B37FE"/>
    <w:multiLevelType w:val="multilevel"/>
    <w:tmpl w:val="D1A2BED4"/>
    <w:name w:val="Bullets"/>
    <w:lvl w:ilvl="0">
      <w:start w:val="1"/>
      <w:numFmt w:val="bullet"/>
      <w:pStyle w:val="ListBullet"/>
      <w:lvlText w:val="•"/>
      <w:lvlJc w:val="left"/>
      <w:pPr>
        <w:tabs>
          <w:tab w:val="num" w:pos="454"/>
        </w:tabs>
        <w:ind w:left="454" w:hanging="454"/>
      </w:pPr>
      <w:rPr>
        <w:rFonts w:ascii="Calibri" w:hAnsi="Calibri" w:hint="default"/>
        <w:b w:val="0"/>
        <w:i w:val="0"/>
        <w:color w:val="auto"/>
        <w:position w:val="0"/>
        <w:sz w:val="22"/>
      </w:rPr>
    </w:lvl>
    <w:lvl w:ilvl="1">
      <w:start w:val="1"/>
      <w:numFmt w:val="bullet"/>
      <w:pStyle w:val="ListBullet2"/>
      <w:lvlText w:val="–"/>
      <w:lvlJc w:val="left"/>
      <w:pPr>
        <w:tabs>
          <w:tab w:val="num" w:pos="907"/>
        </w:tabs>
        <w:ind w:left="907" w:hanging="453"/>
      </w:pPr>
      <w:rPr>
        <w:rFonts w:ascii="Calibri" w:hAnsi="Calibri" w:hint="default"/>
        <w:b w:val="0"/>
        <w:i w:val="0"/>
        <w:color w:val="auto"/>
        <w:position w:val="0"/>
        <w:sz w:val="22"/>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D745448"/>
    <w:multiLevelType w:val="multilevel"/>
    <w:tmpl w:val="A164135C"/>
    <w:name w:val="PBOHeadings"/>
    <w:lvl w:ilvl="0">
      <w:start w:val="1"/>
      <w:numFmt w:val="none"/>
      <w:lvlRestart w:val="0"/>
      <w:pStyle w:val="Heading1"/>
      <w:suff w:val="nothing"/>
      <w:lvlText w:val=""/>
      <w:lvlJc w:val="left"/>
      <w:pPr>
        <w:tabs>
          <w:tab w:val="num" w:pos="0"/>
        </w:tabs>
        <w:ind w:left="0" w:firstLine="0"/>
      </w:pPr>
      <w:rPr>
        <w:rFonts w:hint="default"/>
      </w:rPr>
    </w:lvl>
    <w:lvl w:ilvl="1">
      <w:start w:val="1"/>
      <w:numFmt w:val="none"/>
      <w:pStyle w:val="Heading2"/>
      <w:suff w:val="nothing"/>
      <w:lvlText w:val=""/>
      <w:lvlJc w:val="left"/>
      <w:pPr>
        <w:tabs>
          <w:tab w:val="num" w:pos="0"/>
        </w:tabs>
        <w:ind w:left="0" w:firstLine="0"/>
      </w:pPr>
      <w:rPr>
        <w:rFonts w:hint="default"/>
      </w:rPr>
    </w:lvl>
    <w:lvl w:ilvl="2">
      <w:start w:val="1"/>
      <w:numFmt w:val="none"/>
      <w:pStyle w:val="Heading3"/>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3">
    <w:nsid w:val="0FB2573F"/>
    <w:multiLevelType w:val="multilevel"/>
    <w:tmpl w:val="93FEDA8E"/>
    <w:name w:val="TableFootnotes"/>
    <w:lvl w:ilvl="0">
      <w:start w:val="1"/>
      <w:numFmt w:val="decimal"/>
      <w:pStyle w:val="TableFootnotes"/>
      <w:lvlText w:val="%1"/>
      <w:lvlJc w:val="left"/>
      <w:pPr>
        <w:ind w:left="227" w:hanging="227"/>
      </w:pPr>
      <w:rPr>
        <w:rFonts w:hint="default"/>
        <w:color w:val="788184" w:themeColor="background2"/>
        <w:spacing w:val="0"/>
        <w:sz w:val="20"/>
        <w:vertAlign w:val="superscript"/>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4">
    <w:nsid w:val="135D13F2"/>
    <w:multiLevelType w:val="hybridMultilevel"/>
    <w:tmpl w:val="68002410"/>
    <w:lvl w:ilvl="0" w:tplc="67162D4E">
      <w:start w:val="28"/>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40249D7"/>
    <w:multiLevelType w:val="multilevel"/>
    <w:tmpl w:val="C9F0A91C"/>
    <w:lvl w:ilvl="0">
      <w:start w:val="1"/>
      <w:numFmt w:val="bullet"/>
      <w:pStyle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2268"/>
        </w:tabs>
        <w:ind w:left="2268" w:hanging="567"/>
      </w:pPr>
      <w:rPr>
        <w:rFonts w:ascii="Symbol" w:hAnsi="Symbol" w:hint="default"/>
      </w:rPr>
    </w:lvl>
    <w:lvl w:ilvl="7">
      <w:start w:val="1"/>
      <w:numFmt w:val="bullet"/>
      <w:lvlText w:val=""/>
      <w:lvlJc w:val="left"/>
      <w:pPr>
        <w:tabs>
          <w:tab w:val="num" w:pos="2835"/>
        </w:tabs>
        <w:ind w:left="2835" w:hanging="567"/>
      </w:pPr>
      <w:rPr>
        <w:rFonts w:ascii="Symbol" w:hAnsi="Symbol" w:hint="default"/>
      </w:rPr>
    </w:lvl>
    <w:lvl w:ilvl="8">
      <w:start w:val="1"/>
      <w:numFmt w:val="bullet"/>
      <w:lvlText w:val=""/>
      <w:lvlJc w:val="left"/>
      <w:pPr>
        <w:tabs>
          <w:tab w:val="num" w:pos="3402"/>
        </w:tabs>
        <w:ind w:left="3402" w:hanging="567"/>
      </w:pPr>
      <w:rPr>
        <w:rFonts w:ascii="Symbol" w:hAnsi="Symbol" w:hint="default"/>
      </w:rPr>
    </w:lvl>
  </w:abstractNum>
  <w:abstractNum w:abstractNumId="6">
    <w:nsid w:val="194A695C"/>
    <w:multiLevelType w:val="multilevel"/>
    <w:tmpl w:val="9710D28A"/>
    <w:name w:val="TableBullets"/>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nsid w:val="19DE2101"/>
    <w:multiLevelType w:val="hybridMultilevel"/>
    <w:tmpl w:val="0030AC0C"/>
    <w:lvl w:ilvl="0" w:tplc="C5946D62">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
    <w:nsid w:val="276F0A08"/>
    <w:multiLevelType w:val="hybridMultilevel"/>
    <w:tmpl w:val="2218758C"/>
    <w:lvl w:ilvl="0" w:tplc="17CC2D0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7178BE"/>
    <w:multiLevelType w:val="hybridMultilevel"/>
    <w:tmpl w:val="AECC6646"/>
    <w:lvl w:ilvl="0" w:tplc="0682EE12">
      <w:start w:val="22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72580B"/>
    <w:multiLevelType w:val="multilevel"/>
    <w:tmpl w:val="A1605A0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30E45E35"/>
    <w:multiLevelType w:val="hybridMultilevel"/>
    <w:tmpl w:val="BAC84328"/>
    <w:lvl w:ilvl="0" w:tplc="EE46B378">
      <w:start w:val="1"/>
      <w:numFmt w:val="lowerLetter"/>
      <w:pStyle w:val="Footnotes"/>
      <w:lvlText w:val="(%1)"/>
      <w:lvlJc w:val="left"/>
      <w:pPr>
        <w:ind w:left="360" w:hanging="360"/>
      </w:pPr>
      <w:rPr>
        <w:rFonts w:hint="default"/>
      </w:rPr>
    </w:lvl>
    <w:lvl w:ilvl="1" w:tplc="0C090019">
      <w:start w:val="1"/>
      <w:numFmt w:val="lowerLetter"/>
      <w:lvlText w:val="%2."/>
      <w:lvlJc w:val="left"/>
      <w:pPr>
        <w:ind w:left="967" w:hanging="360"/>
      </w:pPr>
    </w:lvl>
    <w:lvl w:ilvl="2" w:tplc="0C09001B" w:tentative="1">
      <w:start w:val="1"/>
      <w:numFmt w:val="lowerRoman"/>
      <w:lvlText w:val="%3."/>
      <w:lvlJc w:val="right"/>
      <w:pPr>
        <w:ind w:left="1687" w:hanging="180"/>
      </w:pPr>
    </w:lvl>
    <w:lvl w:ilvl="3" w:tplc="0C09000F" w:tentative="1">
      <w:start w:val="1"/>
      <w:numFmt w:val="decimal"/>
      <w:lvlText w:val="%4."/>
      <w:lvlJc w:val="left"/>
      <w:pPr>
        <w:ind w:left="2407" w:hanging="360"/>
      </w:pPr>
    </w:lvl>
    <w:lvl w:ilvl="4" w:tplc="0C090019" w:tentative="1">
      <w:start w:val="1"/>
      <w:numFmt w:val="lowerLetter"/>
      <w:lvlText w:val="%5."/>
      <w:lvlJc w:val="left"/>
      <w:pPr>
        <w:ind w:left="3127" w:hanging="360"/>
      </w:pPr>
    </w:lvl>
    <w:lvl w:ilvl="5" w:tplc="0C09001B" w:tentative="1">
      <w:start w:val="1"/>
      <w:numFmt w:val="lowerRoman"/>
      <w:lvlText w:val="%6."/>
      <w:lvlJc w:val="right"/>
      <w:pPr>
        <w:ind w:left="3847" w:hanging="180"/>
      </w:pPr>
    </w:lvl>
    <w:lvl w:ilvl="6" w:tplc="0C09000F" w:tentative="1">
      <w:start w:val="1"/>
      <w:numFmt w:val="decimal"/>
      <w:lvlText w:val="%7."/>
      <w:lvlJc w:val="left"/>
      <w:pPr>
        <w:ind w:left="4567" w:hanging="360"/>
      </w:pPr>
    </w:lvl>
    <w:lvl w:ilvl="7" w:tplc="0C090019" w:tentative="1">
      <w:start w:val="1"/>
      <w:numFmt w:val="lowerLetter"/>
      <w:lvlText w:val="%8."/>
      <w:lvlJc w:val="left"/>
      <w:pPr>
        <w:ind w:left="5287" w:hanging="360"/>
      </w:pPr>
    </w:lvl>
    <w:lvl w:ilvl="8" w:tplc="0C09001B" w:tentative="1">
      <w:start w:val="1"/>
      <w:numFmt w:val="lowerRoman"/>
      <w:lvlText w:val="%9."/>
      <w:lvlJc w:val="right"/>
      <w:pPr>
        <w:ind w:left="6007" w:hanging="180"/>
      </w:pPr>
    </w:lvl>
  </w:abstractNum>
  <w:abstractNum w:abstractNumId="12">
    <w:nsid w:val="35F706BB"/>
    <w:multiLevelType w:val="hybridMultilevel"/>
    <w:tmpl w:val="8B92C710"/>
    <w:lvl w:ilvl="0" w:tplc="959CE90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723AD4"/>
    <w:multiLevelType w:val="multilevel"/>
    <w:tmpl w:val="CC2400A2"/>
    <w:name w:val="PullOutBullets"/>
    <w:lvl w:ilvl="0">
      <w:start w:val="1"/>
      <w:numFmt w:val="bullet"/>
      <w:pStyle w:val="PullOutBoxBullet"/>
      <w:lvlText w:val="•"/>
      <w:lvlJc w:val="left"/>
      <w:pPr>
        <w:tabs>
          <w:tab w:val="num" w:pos="624"/>
        </w:tabs>
        <w:ind w:left="624" w:hanging="340"/>
      </w:pPr>
      <w:rPr>
        <w:rFonts w:ascii="Calibri" w:hAnsi="Calibri" w:hint="default"/>
        <w:color w:val="auto"/>
        <w:sz w:val="22"/>
      </w:rPr>
    </w:lvl>
    <w:lvl w:ilvl="1">
      <w:start w:val="1"/>
      <w:numFmt w:val="bullet"/>
      <w:pStyle w:val="PullOutBoxBullet2"/>
      <w:lvlText w:val="–"/>
      <w:lvlJc w:val="left"/>
      <w:pPr>
        <w:tabs>
          <w:tab w:val="num" w:pos="964"/>
        </w:tabs>
        <w:ind w:left="964" w:hanging="340"/>
      </w:pPr>
      <w:rPr>
        <w:rFonts w:ascii="Calibri" w:hAnsi="Calibri" w:hint="default"/>
        <w:color w:val="auto"/>
        <w:sz w:val="22"/>
      </w:rPr>
    </w:lvl>
    <w:lvl w:ilvl="2">
      <w:start w:val="1"/>
      <w:numFmt w:val="bullet"/>
      <w:pStyle w:val="PullOutBoxBullet3"/>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3B2E19AC"/>
    <w:multiLevelType w:val="singleLevel"/>
    <w:tmpl w:val="9D4A881E"/>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5">
    <w:nsid w:val="4C9A6D3D"/>
    <w:multiLevelType w:val="hybridMultilevel"/>
    <w:tmpl w:val="3EE67274"/>
    <w:lvl w:ilvl="0" w:tplc="6DFCD9D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58473BB"/>
    <w:multiLevelType w:val="hybridMultilevel"/>
    <w:tmpl w:val="E580F65C"/>
    <w:lvl w:ilvl="0" w:tplc="8E8AEB14">
      <w:start w:val="92"/>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A483255"/>
    <w:multiLevelType w:val="hybridMultilevel"/>
    <w:tmpl w:val="42B47B0A"/>
    <w:lvl w:ilvl="0" w:tplc="21F0748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5CBA04E6"/>
    <w:multiLevelType w:val="hybridMultilevel"/>
    <w:tmpl w:val="246A4B62"/>
    <w:lvl w:ilvl="0" w:tplc="67162D4E">
      <w:start w:val="28"/>
      <w:numFmt w:val="bullet"/>
      <w:lvlText w:val="-"/>
      <w:lvlJc w:val="left"/>
      <w:pPr>
        <w:ind w:left="360" w:hanging="360"/>
      </w:pPr>
      <w:rPr>
        <w:rFonts w:ascii="Calibri" w:eastAsiaTheme="minorHAnsi" w:hAnsi="Calibri" w:cstheme="minorBidi" w:hint="default"/>
      </w:rPr>
    </w:lvl>
    <w:lvl w:ilvl="1" w:tplc="0C090019" w:tentative="1">
      <w:start w:val="1"/>
      <w:numFmt w:val="lowerLetter"/>
      <w:lvlText w:val="%2."/>
      <w:lvlJc w:val="left"/>
      <w:pPr>
        <w:ind w:left="967" w:hanging="360"/>
      </w:pPr>
    </w:lvl>
    <w:lvl w:ilvl="2" w:tplc="0C09001B" w:tentative="1">
      <w:start w:val="1"/>
      <w:numFmt w:val="lowerRoman"/>
      <w:lvlText w:val="%3."/>
      <w:lvlJc w:val="right"/>
      <w:pPr>
        <w:ind w:left="1687" w:hanging="180"/>
      </w:pPr>
    </w:lvl>
    <w:lvl w:ilvl="3" w:tplc="0C09000F" w:tentative="1">
      <w:start w:val="1"/>
      <w:numFmt w:val="decimal"/>
      <w:lvlText w:val="%4."/>
      <w:lvlJc w:val="left"/>
      <w:pPr>
        <w:ind w:left="2407" w:hanging="360"/>
      </w:pPr>
    </w:lvl>
    <w:lvl w:ilvl="4" w:tplc="0C090019" w:tentative="1">
      <w:start w:val="1"/>
      <w:numFmt w:val="lowerLetter"/>
      <w:lvlText w:val="%5."/>
      <w:lvlJc w:val="left"/>
      <w:pPr>
        <w:ind w:left="3127" w:hanging="360"/>
      </w:pPr>
    </w:lvl>
    <w:lvl w:ilvl="5" w:tplc="0C09001B" w:tentative="1">
      <w:start w:val="1"/>
      <w:numFmt w:val="lowerRoman"/>
      <w:lvlText w:val="%6."/>
      <w:lvlJc w:val="right"/>
      <w:pPr>
        <w:ind w:left="3847" w:hanging="180"/>
      </w:pPr>
    </w:lvl>
    <w:lvl w:ilvl="6" w:tplc="0C09000F" w:tentative="1">
      <w:start w:val="1"/>
      <w:numFmt w:val="decimal"/>
      <w:lvlText w:val="%7."/>
      <w:lvlJc w:val="left"/>
      <w:pPr>
        <w:ind w:left="4567" w:hanging="360"/>
      </w:pPr>
    </w:lvl>
    <w:lvl w:ilvl="7" w:tplc="0C090019" w:tentative="1">
      <w:start w:val="1"/>
      <w:numFmt w:val="lowerLetter"/>
      <w:lvlText w:val="%8."/>
      <w:lvlJc w:val="left"/>
      <w:pPr>
        <w:ind w:left="5287" w:hanging="360"/>
      </w:pPr>
    </w:lvl>
    <w:lvl w:ilvl="8" w:tplc="0C09001B" w:tentative="1">
      <w:start w:val="1"/>
      <w:numFmt w:val="lowerRoman"/>
      <w:lvlText w:val="%9."/>
      <w:lvlJc w:val="right"/>
      <w:pPr>
        <w:ind w:left="6007" w:hanging="180"/>
      </w:pPr>
    </w:lvl>
  </w:abstractNum>
  <w:abstractNum w:abstractNumId="19">
    <w:nsid w:val="5D0540A9"/>
    <w:multiLevelType w:val="multilevel"/>
    <w:tmpl w:val="A664D72E"/>
    <w:name w:val="AppendicesNumbering"/>
    <w:lvl w:ilvl="0">
      <w:start w:val="6"/>
      <w:numFmt w:val="upperLetter"/>
      <w:lvlRestart w:val="0"/>
      <w:pStyle w:val="Heading8"/>
      <w:suff w:val="space"/>
      <w:lvlText w:val="Appendix %1"/>
      <w:lvlJc w:val="left"/>
      <w:pPr>
        <w:ind w:left="0" w:firstLine="0"/>
      </w:pPr>
      <w:rPr>
        <w:rFonts w:hint="default"/>
        <w:b w:val="0"/>
        <w:i w:val="0"/>
        <w:sz w:val="40"/>
      </w:rPr>
    </w:lvl>
    <w:lvl w:ilvl="1">
      <w:start w:val="1"/>
      <w:numFmt w:val="none"/>
      <w:pStyle w:val="Heading9"/>
      <w:suff w:val="nothing"/>
      <w:lvlText w:val=""/>
      <w:lvlJc w:val="left"/>
      <w:pPr>
        <w:ind w:left="0" w:firstLine="0"/>
      </w:pPr>
      <w:rPr>
        <w:rFonts w:hint="default"/>
        <w:sz w:val="26"/>
      </w:rPr>
    </w:lvl>
    <w:lvl w:ilvl="2">
      <w:start w:val="1"/>
      <w:numFmt w:val="none"/>
      <w:pStyle w:val="AppendixHeading2"/>
      <w:suff w:val="nothing"/>
      <w:lvlText w:val=""/>
      <w:lvlJc w:val="left"/>
      <w:pPr>
        <w:ind w:left="0" w:firstLine="0"/>
      </w:pPr>
      <w:rPr>
        <w:rFonts w:hint="default"/>
      </w:rPr>
    </w:lvl>
    <w:lvl w:ilvl="3">
      <w:start w:val="1"/>
      <w:numFmt w:val="none"/>
      <w:lvlRestart w:val="2"/>
      <w:pStyle w:val="AppendixHeading3"/>
      <w:suff w:val="nothing"/>
      <w:lvlText w:val=""/>
      <w:lvlJc w:val="left"/>
      <w:pPr>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20">
    <w:nsid w:val="60932728"/>
    <w:multiLevelType w:val="hybridMultilevel"/>
    <w:tmpl w:val="1C8217A6"/>
    <w:lvl w:ilvl="0" w:tplc="B4EAFEEA">
      <w:numFmt w:val="bullet"/>
      <w:lvlText w:val="-"/>
      <w:lvlJc w:val="left"/>
      <w:pPr>
        <w:ind w:left="720" w:hanging="360"/>
      </w:pPr>
      <w:rPr>
        <w:rFonts w:ascii="Calibri" w:eastAsiaTheme="minorHAnsi" w:hAnsi="Calibri" w:cstheme="minorBid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1D40AC"/>
    <w:multiLevelType w:val="multilevel"/>
    <w:tmpl w:val="D18C6390"/>
    <w:name w:val="TableNumbering"/>
    <w:lvl w:ilvl="0">
      <w:start w:val="1"/>
      <w:numFmt w:val="decimal"/>
      <w:pStyle w:val="TableTextNumber"/>
      <w:lvlText w:val="%1"/>
      <w:lvlJc w:val="left"/>
      <w:pPr>
        <w:tabs>
          <w:tab w:val="num" w:pos="397"/>
        </w:tabs>
        <w:ind w:left="397" w:hanging="284"/>
      </w:pPr>
      <w:rPr>
        <w:rFonts w:hint="default"/>
      </w:rPr>
    </w:lvl>
    <w:lvl w:ilvl="1">
      <w:start w:val="1"/>
      <w:numFmt w:val="lowerLetter"/>
      <w:pStyle w:val="TableTextNumber2"/>
      <w:lvlText w:val="%2"/>
      <w:lvlJc w:val="left"/>
      <w:pPr>
        <w:tabs>
          <w:tab w:val="num" w:pos="709"/>
        </w:tabs>
        <w:ind w:left="709" w:hanging="283"/>
      </w:pPr>
      <w:rPr>
        <w:rFonts w:hint="default"/>
      </w:rPr>
    </w:lvl>
    <w:lvl w:ilvl="2">
      <w:start w:val="1"/>
      <w:numFmt w:val="lowerRoman"/>
      <w:pStyle w:val="TableTextNumber3"/>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70250B03"/>
    <w:multiLevelType w:val="multilevel"/>
    <w:tmpl w:val="5796740A"/>
    <w:name w:val="QuoteBullets"/>
    <w:lvl w:ilvl="0">
      <w:start w:val="1"/>
      <w:numFmt w:val="bullet"/>
      <w:pStyle w:val="QuoteBullet"/>
      <w:lvlText w:val="•"/>
      <w:lvlJc w:val="left"/>
      <w:pPr>
        <w:tabs>
          <w:tab w:val="num" w:pos="567"/>
        </w:tabs>
        <w:ind w:left="567" w:hanging="283"/>
      </w:pPr>
      <w:rPr>
        <w:rFonts w:ascii="Arial" w:hAnsi="Arial" w:hint="default"/>
        <w:color w:val="auto"/>
        <w:sz w:val="18"/>
      </w:rPr>
    </w:lvl>
    <w:lvl w:ilvl="1">
      <w:start w:val="1"/>
      <w:numFmt w:val="bullet"/>
      <w:pStyle w:val="QuoteBullet2"/>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B3B5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nsid w:val="71CE2F93"/>
    <w:multiLevelType w:val="multilevel"/>
    <w:tmpl w:val="850CAC36"/>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1"/>
      <w:lvlText w:val=""/>
      <w:lvlJc w:val="left"/>
      <w:pPr>
        <w:tabs>
          <w:tab w:val="num" w:pos="624"/>
        </w:tabs>
        <w:ind w:left="624" w:hanging="170"/>
      </w:pPr>
      <w:rPr>
        <w:rFonts w:ascii="Symbol" w:hAnsi="Symbol"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nsid w:val="745C3AB2"/>
    <w:multiLevelType w:val="hybridMultilevel"/>
    <w:tmpl w:val="5EB0E89C"/>
    <w:lvl w:ilvl="0" w:tplc="661CA76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4C91062"/>
    <w:multiLevelType w:val="hybridMultilevel"/>
    <w:tmpl w:val="5F68AC8C"/>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6">
    <w:nsid w:val="78133BEC"/>
    <w:multiLevelType w:val="hybridMultilevel"/>
    <w:tmpl w:val="BC98A764"/>
    <w:lvl w:ilvl="0" w:tplc="21F0748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839021E"/>
    <w:multiLevelType w:val="multilevel"/>
    <w:tmpl w:val="C186E662"/>
    <w:name w:val="ListNumbering"/>
    <w:lvl w:ilvl="0">
      <w:start w:val="1"/>
      <w:numFmt w:val="decimal"/>
      <w:pStyle w:val="ListNumber"/>
      <w:lvlText w:val="%1"/>
      <w:lvlJc w:val="left"/>
      <w:pPr>
        <w:tabs>
          <w:tab w:val="num" w:pos="454"/>
        </w:tabs>
        <w:ind w:left="454" w:hanging="454"/>
      </w:pPr>
      <w:rPr>
        <w:rFonts w:hint="default"/>
        <w:color w:val="auto"/>
        <w:spacing w:val="0"/>
        <w:sz w:val="22"/>
      </w:rPr>
    </w:lvl>
    <w:lvl w:ilvl="1">
      <w:start w:val="1"/>
      <w:numFmt w:val="lowerLetter"/>
      <w:pStyle w:val="ListNumber2"/>
      <w:lvlText w:val="%2"/>
      <w:lvlJc w:val="left"/>
      <w:pPr>
        <w:tabs>
          <w:tab w:val="num" w:pos="907"/>
        </w:tabs>
        <w:ind w:left="907" w:hanging="453"/>
      </w:pPr>
      <w:rPr>
        <w:rFonts w:hint="default"/>
        <w:color w:val="auto"/>
        <w:spacing w:val="0"/>
        <w:sz w:val="22"/>
      </w:rPr>
    </w:lvl>
    <w:lvl w:ilvl="2">
      <w:start w:val="1"/>
      <w:numFmt w:val="lowerRoman"/>
      <w:pStyle w:val="ListNumber3"/>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1"/>
  </w:num>
  <w:num w:numId="3">
    <w:abstractNumId w:val="27"/>
  </w:num>
  <w:num w:numId="4">
    <w:abstractNumId w:val="13"/>
  </w:num>
  <w:num w:numId="5">
    <w:abstractNumId w:val="10"/>
  </w:num>
  <w:num w:numId="6">
    <w:abstractNumId w:val="22"/>
  </w:num>
  <w:num w:numId="7">
    <w:abstractNumId w:val="3"/>
  </w:num>
  <w:num w:numId="8">
    <w:abstractNumId w:val="6"/>
  </w:num>
  <w:num w:numId="9">
    <w:abstractNumId w:val="21"/>
  </w:num>
  <w:num w:numId="10">
    <w:abstractNumId w:val="2"/>
  </w:num>
  <w:num w:numId="11">
    <w:abstractNumId w:val="14"/>
    <w:lvlOverride w:ilvl="0">
      <w:startOverride w:val="1"/>
    </w:lvlOverride>
  </w:num>
  <w:num w:numId="12">
    <w:abstractNumId w:val="5"/>
  </w:num>
  <w:num w:numId="13">
    <w:abstractNumId w:val="17"/>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8"/>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24"/>
  </w:num>
  <w:num w:numId="28">
    <w:abstractNumId w:val="16"/>
  </w:num>
  <w:num w:numId="29">
    <w:abstractNumId w:val="11"/>
    <w:lvlOverride w:ilvl="0">
      <w:startOverride w:val="1"/>
    </w:lvlOverride>
  </w:num>
  <w:num w:numId="30">
    <w:abstractNumId w:val="11"/>
    <w:lvlOverride w:ilvl="0">
      <w:startOverride w:val="1"/>
    </w:lvlOverride>
  </w:num>
  <w:num w:numId="31">
    <w:abstractNumId w:val="8"/>
  </w:num>
  <w:num w:numId="32">
    <w:abstractNumId w:val="11"/>
    <w:lvlOverride w:ilvl="0">
      <w:startOverride w:val="1"/>
    </w:lvlOverride>
  </w:num>
  <w:num w:numId="33">
    <w:abstractNumId w:val="0"/>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lvlOverride w:ilvl="0">
      <w:startOverride w:val="1"/>
    </w:lvlOverride>
  </w:num>
  <w:num w:numId="50">
    <w:abstractNumId w:val="11"/>
    <w:lvlOverride w:ilvl="0">
      <w:startOverride w:val="1"/>
    </w:lvlOverride>
  </w:num>
  <w:num w:numId="51">
    <w:abstractNumId w:val="11"/>
    <w:lvlOverride w:ilvl="0">
      <w:startOverride w:val="1"/>
    </w:lvlOverride>
  </w:num>
  <w:num w:numId="52">
    <w:abstractNumId w:val="11"/>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9"/>
  </w:num>
  <w:num w:numId="56">
    <w:abstractNumId w:val="11"/>
    <w:lvlOverride w:ilvl="0">
      <w:startOverride w:val="1"/>
    </w:lvlOverride>
  </w:num>
  <w:num w:numId="57">
    <w:abstractNumId w:val="11"/>
  </w:num>
  <w:num w:numId="58">
    <w:abstractNumId w:val="11"/>
    <w:lvlOverride w:ilvl="0">
      <w:startOverride w:val="1"/>
    </w:lvlOverride>
  </w:num>
  <w:num w:numId="59">
    <w:abstractNumId w:val="11"/>
    <w:lvlOverride w:ilvl="0">
      <w:startOverride w:val="1"/>
    </w:lvlOverride>
  </w:num>
  <w:num w:numId="60">
    <w:abstractNumId w:val="11"/>
    <w:lvlOverride w:ilvl="0">
      <w:startOverride w:val="1"/>
    </w:lvlOverride>
  </w:num>
  <w:num w:numId="61">
    <w:abstractNumId w:val="11"/>
    <w:lvlOverride w:ilvl="0">
      <w:startOverride w:val="1"/>
    </w:lvlOverride>
  </w:num>
  <w:num w:numId="62">
    <w:abstractNumId w:val="11"/>
    <w:lvlOverride w:ilvl="0">
      <w:startOverride w:val="1"/>
    </w:lvlOverride>
  </w:num>
  <w:num w:numId="63">
    <w:abstractNumId w:val="11"/>
    <w:lvlOverride w:ilvl="0">
      <w:startOverride w:val="1"/>
    </w:lvlOverride>
  </w:num>
  <w:num w:numId="64">
    <w:abstractNumId w:val="11"/>
    <w:lvlOverride w:ilvl="0">
      <w:startOverride w:val="1"/>
    </w:lvlOverride>
  </w:num>
  <w:num w:numId="65">
    <w:abstractNumId w:val="12"/>
  </w:num>
  <w:num w:numId="66">
    <w:abstractNumId w:val="11"/>
    <w:lvlOverride w:ilvl="0">
      <w:startOverride w:val="1"/>
    </w:lvlOverride>
  </w:num>
  <w:num w:numId="67">
    <w:abstractNumId w:val="11"/>
    <w:lvlOverride w:ilvl="0">
      <w:startOverride w:val="1"/>
    </w:lvlOverride>
  </w:num>
  <w:num w:numId="68">
    <w:abstractNumId w:val="11"/>
    <w:lvlOverride w:ilvl="0">
      <w:startOverride w:val="1"/>
    </w:lvlOverride>
  </w:num>
  <w:num w:numId="69">
    <w:abstractNumId w:val="11"/>
    <w:lvlOverride w:ilvl="0">
      <w:startOverride w:val="1"/>
    </w:lvlOverride>
  </w:num>
  <w:num w:numId="70">
    <w:abstractNumId w:val="11"/>
    <w:lvlOverride w:ilvl="0">
      <w:startOverride w:val="1"/>
    </w:lvlOverride>
  </w:num>
  <w:num w:numId="71">
    <w:abstractNumId w:val="11"/>
    <w:lvlOverride w:ilvl="0">
      <w:startOverride w:val="1"/>
    </w:lvlOverride>
  </w:num>
  <w:num w:numId="72">
    <w:abstractNumId w:val="11"/>
    <w:lvlOverride w:ilvl="0">
      <w:startOverride w:val="1"/>
    </w:lvlOverride>
  </w:num>
  <w:num w:numId="73">
    <w:abstractNumId w:val="11"/>
    <w:lvlOverride w:ilvl="0">
      <w:startOverride w:val="1"/>
    </w:lvlOverride>
  </w:num>
  <w:num w:numId="74">
    <w:abstractNumId w:val="11"/>
    <w:lvlOverride w:ilvl="0">
      <w:startOverride w:val="1"/>
    </w:lvlOverride>
  </w:num>
  <w:num w:numId="75">
    <w:abstractNumId w:val="11"/>
    <w:lvlOverride w:ilvl="0">
      <w:startOverride w:val="1"/>
    </w:lvlOverride>
  </w:num>
  <w:num w:numId="76">
    <w:abstractNumId w:val="11"/>
    <w:lvlOverride w:ilvl="0">
      <w:startOverride w:val="1"/>
    </w:lvlOverride>
  </w:num>
  <w:num w:numId="77">
    <w:abstractNumId w:val="11"/>
    <w:lvlOverride w:ilvl="0">
      <w:startOverride w:val="1"/>
    </w:lvlOverride>
  </w:num>
  <w:num w:numId="78">
    <w:abstractNumId w:val="11"/>
    <w:lvlOverride w:ilvl="0">
      <w:startOverride w:val="1"/>
    </w:lvlOverride>
  </w:num>
  <w:num w:numId="79">
    <w:abstractNumId w:val="11"/>
    <w:lvlOverride w:ilvl="0">
      <w:startOverride w:val="1"/>
    </w:lvlOverride>
  </w:num>
  <w:num w:numId="80">
    <w:abstractNumId w:val="11"/>
    <w:lvlOverride w:ilvl="0">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num>
  <w:num w:numId="83">
    <w:abstractNumId w:val="11"/>
    <w:lvlOverride w:ilvl="0">
      <w:startOverride w:val="1"/>
    </w:lvlOverride>
  </w:num>
  <w:num w:numId="84">
    <w:abstractNumId w:val="11"/>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26"/>
  </w:num>
  <w:num w:numId="88">
    <w:abstractNumId w:val="11"/>
    <w:lvlOverride w:ilvl="0">
      <w:startOverride w:val="1"/>
    </w:lvlOverride>
  </w:num>
  <w:num w:numId="89">
    <w:abstractNumId w:val="11"/>
    <w:lvlOverride w:ilvl="0">
      <w:startOverride w:val="1"/>
    </w:lvlOverride>
  </w:num>
  <w:num w:numId="90">
    <w:abstractNumId w:val="11"/>
    <w:lvlOverride w:ilvl="0">
      <w:startOverride w:val="1"/>
    </w:lvlOverride>
  </w:num>
  <w:num w:numId="91">
    <w:abstractNumId w:val="11"/>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11"/>
    <w:lvlOverride w:ilvl="0">
      <w:startOverride w:val="1"/>
    </w:lvlOverride>
  </w:num>
  <w:num w:numId="95">
    <w:abstractNumId w:val="11"/>
    <w:lvlOverride w:ilvl="0">
      <w:startOverride w:val="1"/>
    </w:lvlOverride>
  </w:num>
  <w:num w:numId="96">
    <w:abstractNumId w:val="11"/>
    <w:lvlOverride w:ilvl="0">
      <w:startOverride w:val="1"/>
    </w:lvlOverride>
  </w:num>
  <w:num w:numId="97">
    <w:abstractNumId w:val="11"/>
    <w:lvlOverride w:ilvl="0">
      <w:startOverride w:val="1"/>
    </w:lvlOverride>
  </w:num>
  <w:num w:numId="98">
    <w:abstractNumId w:val="11"/>
    <w:lvlOverride w:ilvl="0">
      <w:startOverride w:val="1"/>
    </w:lvlOverride>
  </w:num>
  <w:num w:numId="99">
    <w:abstractNumId w:val="11"/>
    <w:lvlOverride w:ilvl="0">
      <w:startOverride w:val="1"/>
    </w:lvlOverride>
  </w:num>
  <w:num w:numId="100">
    <w:abstractNumId w:val="11"/>
    <w:lvlOverride w:ilvl="0">
      <w:startOverride w:val="1"/>
    </w:lvlOverride>
  </w:num>
  <w:num w:numId="101">
    <w:abstractNumId w:val="11"/>
    <w:lvlOverride w:ilvl="0">
      <w:startOverride w:val="1"/>
    </w:lvlOverride>
  </w:num>
  <w:num w:numId="102">
    <w:abstractNumId w:val="11"/>
    <w:lvlOverride w:ilvl="0">
      <w:startOverride w:val="1"/>
    </w:lvlOverride>
  </w:num>
  <w:num w:numId="103">
    <w:abstractNumId w:val="11"/>
    <w:lvlOverride w:ilvl="0">
      <w:startOverride w:val="1"/>
    </w:lvlOverride>
  </w:num>
  <w:num w:numId="104">
    <w:abstractNumId w:val="11"/>
    <w:lvlOverride w:ilvl="0">
      <w:startOverride w:val="1"/>
    </w:lvlOverride>
  </w:num>
  <w:num w:numId="105">
    <w:abstractNumId w:val="11"/>
    <w:lvlOverride w:ilvl="0">
      <w:startOverride w:val="1"/>
    </w:lvlOverride>
  </w:num>
  <w:num w:numId="106">
    <w:abstractNumId w:val="11"/>
    <w:lvlOverride w:ilvl="0">
      <w:startOverride w:val="1"/>
    </w:lvlOverride>
  </w:num>
  <w:num w:numId="107">
    <w:abstractNumId w:val="11"/>
    <w:lvlOverride w:ilvl="0">
      <w:startOverride w:val="1"/>
    </w:lvlOverride>
  </w:num>
  <w:num w:numId="108">
    <w:abstractNumId w:val="11"/>
    <w:lvlOverride w:ilvl="0">
      <w:startOverride w:val="1"/>
    </w:lvlOverride>
  </w:num>
  <w:num w:numId="109">
    <w:abstractNumId w:val="11"/>
    <w:lvlOverride w:ilvl="0">
      <w:startOverride w:val="1"/>
    </w:lvlOverride>
  </w:num>
  <w:num w:numId="110">
    <w:abstractNumId w:val="11"/>
    <w:lvlOverride w:ilvl="0">
      <w:startOverride w:val="1"/>
    </w:lvlOverride>
  </w:num>
  <w:num w:numId="111">
    <w:abstractNumId w:val="11"/>
    <w:lvlOverride w:ilvl="0">
      <w:startOverride w:val="1"/>
    </w:lvlOverride>
  </w:num>
  <w:num w:numId="112">
    <w:abstractNumId w:val="11"/>
    <w:lvlOverride w:ilvl="0">
      <w:startOverride w:val="1"/>
    </w:lvlOverride>
  </w:num>
  <w:num w:numId="113">
    <w:abstractNumId w:val="11"/>
    <w:lvlOverride w:ilvl="0">
      <w:startOverride w:val="1"/>
    </w:lvlOverride>
  </w:num>
  <w:num w:numId="114">
    <w:abstractNumId w:val="11"/>
    <w:lvlOverride w:ilvl="0">
      <w:startOverride w:val="1"/>
    </w:lvlOverride>
  </w:num>
  <w:num w:numId="115">
    <w:abstractNumId w:val="11"/>
    <w:lvlOverride w:ilvl="0">
      <w:startOverride w:val="1"/>
    </w:lvlOverride>
  </w:num>
  <w:num w:numId="116">
    <w:abstractNumId w:val="11"/>
    <w:lvlOverride w:ilvl="0">
      <w:startOverride w:val="1"/>
    </w:lvlOverride>
  </w:num>
  <w:num w:numId="117">
    <w:abstractNumId w:val="11"/>
    <w:lvlOverride w:ilvl="0">
      <w:startOverride w:val="1"/>
    </w:lvlOverride>
  </w:num>
  <w:num w:numId="118">
    <w:abstractNumId w:val="11"/>
    <w:lvlOverride w:ilvl="0">
      <w:startOverride w:val="1"/>
    </w:lvlOverride>
  </w:num>
  <w:num w:numId="119">
    <w:abstractNumId w:val="11"/>
    <w:lvlOverride w:ilvl="0">
      <w:startOverride w:val="1"/>
    </w:lvlOverride>
  </w:num>
  <w:num w:numId="120">
    <w:abstractNumId w:val="11"/>
    <w:lvlOverride w:ilvl="0">
      <w:startOverride w:val="1"/>
    </w:lvlOverride>
  </w:num>
  <w:num w:numId="121">
    <w:abstractNumId w:val="11"/>
    <w:lvlOverride w:ilvl="0">
      <w:startOverride w:val="1"/>
    </w:lvlOverride>
  </w:num>
  <w:num w:numId="122">
    <w:abstractNumId w:val="11"/>
    <w:lvlOverride w:ilvl="0">
      <w:startOverride w:val="1"/>
    </w:lvlOverride>
  </w:num>
  <w:num w:numId="123">
    <w:abstractNumId w:val="11"/>
  </w:num>
  <w:num w:numId="124">
    <w:abstractNumId w:val="11"/>
    <w:lvlOverride w:ilvl="0">
      <w:startOverride w:val="1"/>
    </w:lvlOverride>
  </w:num>
  <w:num w:numId="125">
    <w:abstractNumId w:val="11"/>
    <w:lvlOverride w:ilvl="0">
      <w:startOverride w:val="1"/>
    </w:lvlOverride>
  </w:num>
  <w:num w:numId="126">
    <w:abstractNumId w:val="11"/>
    <w:lvlOverride w:ilvl="0">
      <w:startOverride w:val="1"/>
    </w:lvlOverride>
  </w:num>
  <w:num w:numId="127">
    <w:abstractNumId w:val="11"/>
    <w:lvlOverride w:ilvl="0">
      <w:startOverride w:val="1"/>
    </w:lvlOverride>
  </w:num>
  <w:num w:numId="128">
    <w:abstractNumId w:val="11"/>
    <w:lvlOverride w:ilvl="0">
      <w:startOverride w:val="1"/>
    </w:lvlOverride>
  </w:num>
  <w:num w:numId="129">
    <w:abstractNumId w:val="11"/>
    <w:lvlOverride w:ilvl="0">
      <w:startOverride w:val="1"/>
    </w:lvlOverride>
  </w:num>
  <w:num w:numId="130">
    <w:abstractNumId w:val="11"/>
    <w:lvlOverride w:ilvl="0">
      <w:startOverride w:val="1"/>
    </w:lvlOverride>
  </w:num>
  <w:num w:numId="131">
    <w:abstractNumId w:val="11"/>
    <w:lvlOverride w:ilvl="0">
      <w:startOverride w:val="1"/>
    </w:lvlOverride>
  </w:num>
  <w:num w:numId="132">
    <w:abstractNumId w:val="11"/>
    <w:lvlOverride w:ilvl="0">
      <w:startOverride w:val="1"/>
    </w:lvlOverride>
  </w:num>
  <w:num w:numId="133">
    <w:abstractNumId w:val="11"/>
    <w:lvlOverride w:ilvl="0">
      <w:startOverride w:val="1"/>
    </w:lvlOverride>
  </w:num>
  <w:num w:numId="134">
    <w:abstractNumId w:val="11"/>
    <w:lvlOverride w:ilvl="0">
      <w:startOverride w:val="1"/>
    </w:lvlOverride>
  </w:num>
  <w:num w:numId="135">
    <w:abstractNumId w:val="11"/>
    <w:lvlOverride w:ilvl="0">
      <w:startOverride w:val="1"/>
    </w:lvlOverride>
  </w:num>
  <w:num w:numId="136">
    <w:abstractNumId w:val="11"/>
    <w:lvlOverride w:ilvl="0">
      <w:startOverride w:val="1"/>
    </w:lvlOverride>
  </w:num>
  <w:num w:numId="137">
    <w:abstractNumId w:val="11"/>
    <w:lvlOverride w:ilvl="0">
      <w:startOverride w:val="1"/>
    </w:lvlOverride>
  </w:num>
  <w:num w:numId="138">
    <w:abstractNumId w:val="11"/>
    <w:lvlOverride w:ilvl="0">
      <w:startOverride w:val="1"/>
    </w:lvlOverride>
  </w:num>
  <w:num w:numId="139">
    <w:abstractNumId w:val="11"/>
    <w:lvlOverride w:ilvl="0">
      <w:startOverride w:val="1"/>
    </w:lvlOverride>
  </w:num>
  <w:num w:numId="140">
    <w:abstractNumId w:val="11"/>
    <w:lvlOverride w:ilvl="0">
      <w:startOverride w:val="1"/>
    </w:lvlOverride>
  </w:num>
  <w:num w:numId="141">
    <w:abstractNumId w:val="11"/>
    <w:lvlOverride w:ilvl="0">
      <w:startOverride w:val="1"/>
    </w:lvlOverride>
  </w:num>
  <w:num w:numId="142">
    <w:abstractNumId w:val="11"/>
    <w:lvlOverride w:ilvl="0">
      <w:startOverride w:val="1"/>
    </w:lvlOverride>
  </w:num>
  <w:num w:numId="143">
    <w:abstractNumId w:val="11"/>
    <w:lvlOverride w:ilvl="0">
      <w:startOverride w:val="1"/>
    </w:lvlOverride>
  </w:num>
  <w:num w:numId="144">
    <w:abstractNumId w:val="11"/>
    <w:lvlOverride w:ilvl="0">
      <w:startOverride w:val="1"/>
    </w:lvlOverride>
  </w:num>
  <w:num w:numId="145">
    <w:abstractNumId w:val="11"/>
    <w:lvlOverride w:ilvl="0">
      <w:startOverride w:val="1"/>
    </w:lvlOverride>
  </w:num>
  <w:num w:numId="146">
    <w:abstractNumId w:val="11"/>
    <w:lvlOverride w:ilvl="0">
      <w:startOverride w:val="1"/>
    </w:lvlOverride>
  </w:num>
  <w:num w:numId="147">
    <w:abstractNumId w:val="11"/>
    <w:lvlOverride w:ilvl="0">
      <w:startOverride w:val="1"/>
    </w:lvlOverride>
  </w:num>
  <w:num w:numId="148">
    <w:abstractNumId w:val="11"/>
    <w:lvlOverride w:ilvl="0">
      <w:startOverride w:val="1"/>
    </w:lvlOverride>
  </w:num>
  <w:num w:numId="149">
    <w:abstractNumId w:val="11"/>
    <w:lvlOverride w:ilvl="0">
      <w:startOverride w:val="1"/>
    </w:lvlOverride>
  </w:num>
  <w:num w:numId="150">
    <w:abstractNumId w:val="11"/>
    <w:lvlOverride w:ilvl="0">
      <w:startOverride w:val="1"/>
    </w:lvlOverride>
  </w:num>
  <w:num w:numId="151">
    <w:abstractNumId w:val="11"/>
    <w:lvlOverride w:ilvl="0">
      <w:startOverride w:val="1"/>
    </w:lvlOverride>
  </w:num>
  <w:num w:numId="152">
    <w:abstractNumId w:val="11"/>
    <w:lvlOverride w:ilvl="0">
      <w:startOverride w:val="1"/>
    </w:lvlOverride>
  </w:num>
  <w:num w:numId="153">
    <w:abstractNumId w:val="11"/>
    <w:lvlOverride w:ilvl="0">
      <w:startOverride w:val="1"/>
    </w:lvlOverride>
  </w:num>
  <w:num w:numId="154">
    <w:abstractNumId w:val="11"/>
    <w:lvlOverride w:ilvl="0">
      <w:startOverride w:val="1"/>
    </w:lvlOverride>
  </w:num>
  <w:num w:numId="155">
    <w:abstractNumId w:val="11"/>
    <w:lvlOverride w:ilvl="0">
      <w:startOverride w:val="1"/>
    </w:lvlOverride>
  </w:num>
  <w:num w:numId="156">
    <w:abstractNumId w:val="11"/>
    <w:lvlOverride w:ilvl="0">
      <w:startOverride w:val="1"/>
    </w:lvlOverride>
  </w:num>
  <w:num w:numId="157">
    <w:abstractNumId w:val="11"/>
    <w:lvlOverride w:ilvl="0">
      <w:startOverride w:val="1"/>
    </w:lvlOverride>
  </w:num>
  <w:num w:numId="158">
    <w:abstractNumId w:val="11"/>
    <w:lvlOverride w:ilvl="0">
      <w:startOverride w:val="1"/>
    </w:lvlOverride>
  </w:num>
  <w:num w:numId="159">
    <w:abstractNumId w:val="11"/>
    <w:lvlOverride w:ilvl="0">
      <w:startOverride w:val="1"/>
    </w:lvlOverride>
  </w:num>
  <w:num w:numId="160">
    <w:abstractNumId w:val="11"/>
    <w:lvlOverride w:ilvl="0">
      <w:startOverride w:val="1"/>
    </w:lvlOverride>
  </w:num>
  <w:num w:numId="161">
    <w:abstractNumId w:val="11"/>
    <w:lvlOverride w:ilvl="0">
      <w:startOverride w:val="1"/>
    </w:lvlOverride>
  </w:num>
  <w:num w:numId="162">
    <w:abstractNumId w:val="11"/>
    <w:lvlOverride w:ilvl="0">
      <w:startOverride w:val="1"/>
    </w:lvlOverride>
  </w:num>
  <w:num w:numId="163">
    <w:abstractNumId w:val="11"/>
    <w:lvlOverride w:ilvl="0">
      <w:startOverride w:val="1"/>
    </w:lvlOverride>
  </w:num>
  <w:num w:numId="164">
    <w:abstractNumId w:val="11"/>
    <w:lvlOverride w:ilvl="0">
      <w:startOverride w:val="1"/>
    </w:lvlOverride>
  </w:num>
  <w:num w:numId="165">
    <w:abstractNumId w:val="11"/>
    <w:lvlOverride w:ilvl="0">
      <w:startOverride w:val="1"/>
    </w:lvlOverride>
  </w:num>
  <w:num w:numId="166">
    <w:abstractNumId w:val="11"/>
    <w:lvlOverride w:ilvl="0">
      <w:startOverride w:val="1"/>
    </w:lvlOverride>
  </w:num>
  <w:num w:numId="167">
    <w:abstractNumId w:val="11"/>
    <w:lvlOverride w:ilvl="0">
      <w:startOverride w:val="1"/>
    </w:lvlOverride>
  </w:num>
  <w:num w:numId="168">
    <w:abstractNumId w:val="11"/>
    <w:lvlOverride w:ilvl="0">
      <w:startOverride w:val="1"/>
    </w:lvlOverride>
  </w:num>
  <w:num w:numId="169">
    <w:abstractNumId w:val="11"/>
    <w:lvlOverride w:ilvl="0">
      <w:startOverride w:val="1"/>
    </w:lvlOverride>
  </w:num>
  <w:num w:numId="170">
    <w:abstractNumId w:val="11"/>
    <w:lvlOverride w:ilvl="0">
      <w:startOverride w:val="1"/>
    </w:lvlOverride>
  </w:num>
  <w:num w:numId="171">
    <w:abstractNumId w:val="11"/>
    <w:lvlOverride w:ilvl="0">
      <w:startOverride w:val="1"/>
    </w:lvlOverride>
  </w:num>
  <w:num w:numId="172">
    <w:abstractNumId w:val="11"/>
    <w:lvlOverride w:ilvl="0">
      <w:startOverride w:val="1"/>
    </w:lvlOverride>
  </w:num>
  <w:num w:numId="173">
    <w:abstractNumId w:val="11"/>
    <w:lvlOverride w:ilvl="0">
      <w:startOverride w:val="1"/>
    </w:lvlOverride>
  </w:num>
  <w:num w:numId="174">
    <w:abstractNumId w:val="11"/>
    <w:lvlOverride w:ilvl="0">
      <w:startOverride w:val="1"/>
    </w:lvlOverride>
  </w:num>
  <w:num w:numId="175">
    <w:abstractNumId w:val="11"/>
    <w:lvlOverride w:ilvl="0">
      <w:startOverride w:val="1"/>
    </w:lvlOverride>
  </w:num>
  <w:num w:numId="176">
    <w:abstractNumId w:val="11"/>
    <w:lvlOverride w:ilvl="0">
      <w:startOverride w:val="1"/>
    </w:lvlOverride>
  </w:num>
  <w:num w:numId="177">
    <w:abstractNumId w:val="11"/>
    <w:lvlOverride w:ilvl="0">
      <w:startOverride w:val="1"/>
    </w:lvlOverride>
  </w:num>
  <w:num w:numId="178">
    <w:abstractNumId w:val="11"/>
    <w:lvlOverride w:ilvl="0">
      <w:startOverride w:val="1"/>
    </w:lvlOverride>
  </w:num>
  <w:num w:numId="179">
    <w:abstractNumId w:val="11"/>
    <w:lvlOverride w:ilvl="0">
      <w:startOverride w:val="1"/>
    </w:lvlOverride>
  </w:num>
  <w:num w:numId="180">
    <w:abstractNumId w:val="11"/>
    <w:lvlOverride w:ilvl="0">
      <w:startOverride w:val="1"/>
    </w:lvlOverride>
  </w:num>
  <w:num w:numId="181">
    <w:abstractNumId w:val="11"/>
    <w:lvlOverride w:ilvl="0">
      <w:startOverride w:val="1"/>
    </w:lvlOverride>
  </w:num>
  <w:num w:numId="182">
    <w:abstractNumId w:val="11"/>
    <w:lvlOverride w:ilvl="0">
      <w:startOverride w:val="1"/>
    </w:lvlOverride>
  </w:num>
  <w:num w:numId="183">
    <w:abstractNumId w:val="11"/>
    <w:lvlOverride w:ilvl="0">
      <w:startOverride w:val="1"/>
    </w:lvlOverride>
  </w:num>
  <w:num w:numId="184">
    <w:abstractNumId w:val="11"/>
    <w:lvlOverride w:ilvl="0">
      <w:startOverride w:val="1"/>
    </w:lvlOverride>
  </w:num>
  <w:num w:numId="185">
    <w:abstractNumId w:val="11"/>
    <w:lvlOverride w:ilvl="0">
      <w:startOverride w:val="1"/>
    </w:lvlOverride>
  </w:num>
  <w:num w:numId="186">
    <w:abstractNumId w:val="11"/>
    <w:lvlOverride w:ilvl="0">
      <w:startOverride w:val="1"/>
    </w:lvlOverride>
  </w:num>
  <w:num w:numId="187">
    <w:abstractNumId w:val="11"/>
    <w:lvlOverride w:ilvl="0">
      <w:startOverride w:val="1"/>
    </w:lvlOverride>
  </w:num>
  <w:num w:numId="188">
    <w:abstractNumId w:val="11"/>
    <w:lvlOverride w:ilvl="0">
      <w:startOverride w:val="1"/>
    </w:lvlOverride>
  </w:num>
  <w:num w:numId="189">
    <w:abstractNumId w:val="11"/>
    <w:lvlOverride w:ilvl="0">
      <w:startOverride w:val="1"/>
    </w:lvlOverride>
  </w:num>
  <w:num w:numId="190">
    <w:abstractNumId w:val="11"/>
    <w:lvlOverride w:ilvl="0">
      <w:startOverride w:val="1"/>
    </w:lvlOverride>
  </w:num>
  <w:num w:numId="191">
    <w:abstractNumId w:val="11"/>
    <w:lvlOverride w:ilvl="0">
      <w:startOverride w:val="1"/>
    </w:lvlOverride>
  </w:num>
  <w:num w:numId="192">
    <w:abstractNumId w:val="11"/>
    <w:lvlOverride w:ilvl="0">
      <w:startOverride w:val="1"/>
    </w:lvlOverride>
  </w:num>
  <w:num w:numId="193">
    <w:abstractNumId w:val="11"/>
    <w:lvlOverride w:ilvl="0">
      <w:startOverride w:val="1"/>
    </w:lvlOverride>
  </w:num>
  <w:num w:numId="194">
    <w:abstractNumId w:val="11"/>
    <w:lvlOverride w:ilvl="0">
      <w:startOverride w:val="1"/>
    </w:lvlOverride>
  </w:num>
  <w:num w:numId="195">
    <w:abstractNumId w:val="11"/>
    <w:lvlOverride w:ilvl="0">
      <w:startOverride w:val="1"/>
    </w:lvlOverride>
  </w:num>
  <w:num w:numId="196">
    <w:abstractNumId w:val="11"/>
    <w:lvlOverride w:ilvl="0">
      <w:startOverride w:val="1"/>
    </w:lvlOverride>
  </w:num>
  <w:num w:numId="197">
    <w:abstractNumId w:val="11"/>
    <w:lvlOverride w:ilvl="0">
      <w:startOverride w:val="1"/>
    </w:lvlOverride>
  </w:num>
  <w:num w:numId="198">
    <w:abstractNumId w:val="11"/>
    <w:lvlOverride w:ilvl="0">
      <w:startOverride w:val="1"/>
    </w:lvlOverride>
  </w:num>
  <w:num w:numId="199">
    <w:abstractNumId w:val="11"/>
    <w:lvlOverride w:ilvl="0">
      <w:startOverride w:val="1"/>
    </w:lvlOverride>
  </w:num>
  <w:num w:numId="200">
    <w:abstractNumId w:val="11"/>
    <w:lvlOverride w:ilvl="0">
      <w:startOverride w:val="1"/>
    </w:lvlOverride>
  </w:num>
  <w:num w:numId="201">
    <w:abstractNumId w:val="11"/>
    <w:lvlOverride w:ilvl="0">
      <w:startOverride w:val="1"/>
    </w:lvlOverride>
  </w:num>
  <w:num w:numId="202">
    <w:abstractNumId w:val="11"/>
    <w:lvlOverride w:ilvl="0">
      <w:startOverride w:val="1"/>
    </w:lvlOverride>
  </w:num>
  <w:num w:numId="203">
    <w:abstractNumId w:val="20"/>
  </w:num>
  <w:num w:numId="204">
    <w:abstractNumId w:val="11"/>
    <w:lvlOverride w:ilvl="0">
      <w:startOverride w:val="1"/>
    </w:lvlOverride>
  </w:num>
  <w:num w:numId="205">
    <w:abstractNumId w:val="11"/>
    <w:lvlOverride w:ilvl="0">
      <w:startOverride w:val="1"/>
    </w:lvlOverride>
  </w:num>
  <w:num w:numId="206">
    <w:abstractNumId w:val="11"/>
    <w:lvlOverride w:ilvl="0">
      <w:startOverride w:val="1"/>
    </w:lvlOverride>
  </w:num>
  <w:num w:numId="207">
    <w:abstractNumId w:val="11"/>
    <w:lvlOverride w:ilvl="0">
      <w:startOverride w:val="1"/>
    </w:lvlOverride>
  </w:num>
  <w:num w:numId="208">
    <w:abstractNumId w:val="11"/>
    <w:lvlOverride w:ilvl="0">
      <w:startOverride w:val="1"/>
    </w:lvlOverride>
  </w:num>
  <w:num w:numId="209">
    <w:abstractNumId w:val="11"/>
    <w:lvlOverride w:ilvl="0">
      <w:startOverride w:val="1"/>
    </w:lvlOverride>
  </w:num>
  <w:num w:numId="210">
    <w:abstractNumId w:val="23"/>
  </w:num>
  <w:num w:numId="211">
    <w:abstractNumId w:val="15"/>
  </w:num>
  <w:num w:numId="212">
    <w:abstractNumId w:val="11"/>
    <w:lvlOverride w:ilvl="0">
      <w:startOverride w:val="1"/>
    </w:lvlOverride>
  </w:num>
  <w:num w:numId="213">
    <w:abstractNumId w:val="11"/>
    <w:lvlOverride w:ilvl="0">
      <w:startOverride w:val="1"/>
    </w:lvlOverride>
  </w:num>
  <w:num w:numId="2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1"/>
  </w:num>
  <w:num w:numId="216">
    <w:abstractNumId w:val="11"/>
    <w:lvlOverride w:ilvl="0">
      <w:startOverride w:val="1"/>
    </w:lvlOverride>
  </w:num>
  <w:num w:numId="217">
    <w:abstractNumId w:val="11"/>
    <w:lvlOverride w:ilvl="0">
      <w:startOverride w:val="1"/>
    </w:lvlOverride>
  </w:num>
  <w:num w:numId="218">
    <w:abstractNumId w:val="11"/>
    <w:lvlOverride w:ilvl="0">
      <w:startOverride w:val="1"/>
    </w:lvlOverride>
  </w:num>
  <w:num w:numId="219">
    <w:abstractNumId w:val="11"/>
    <w:lvlOverride w:ilvl="0">
      <w:startOverride w:val="1"/>
    </w:lvlOverride>
  </w:num>
  <w:num w:numId="220">
    <w:abstractNumId w:val="11"/>
    <w:lvlOverride w:ilvl="0">
      <w:startOverride w:val="1"/>
    </w:lvlOverride>
  </w:num>
  <w:num w:numId="221">
    <w:abstractNumId w:val="11"/>
    <w:lvlOverride w:ilvl="0">
      <w:startOverride w:val="1"/>
    </w:lvlOverride>
  </w:num>
  <w:num w:numId="222">
    <w:abstractNumId w:val="11"/>
    <w:lvlOverride w:ilvl="0">
      <w:startOverride w:val="1"/>
    </w:lvlOverride>
  </w:num>
  <w:num w:numId="223">
    <w:abstractNumId w:val="11"/>
    <w:lvlOverride w:ilvl="0">
      <w:startOverride w:val="1"/>
    </w:lvlOverride>
  </w:num>
  <w:num w:numId="224">
    <w:abstractNumId w:val="11"/>
    <w:lvlOverride w:ilvl="0">
      <w:startOverride w:val="1"/>
    </w:lvlOverride>
  </w:num>
  <w:num w:numId="225">
    <w:abstractNumId w:val="11"/>
    <w:lvlOverride w:ilvl="0">
      <w:startOverride w:val="1"/>
    </w:lvlOverride>
  </w:num>
  <w:num w:numId="226">
    <w:abstractNumId w:val="11"/>
    <w:lvlOverride w:ilvl="0">
      <w:startOverride w:val="1"/>
    </w:lvlOverride>
  </w:num>
  <w:num w:numId="227">
    <w:abstractNumId w:val="7"/>
  </w:num>
  <w:num w:numId="228">
    <w:abstractNumId w:val="13"/>
  </w:num>
  <w:num w:numId="229">
    <w:abstractNumId w:val="13"/>
  </w:num>
  <w:num w:numId="230">
    <w:abstractNumId w:val="25"/>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attachedTemplate r:id="rId1"/>
  <w:defaultTabStop w:val="720"/>
  <w:evenAndOddHeaders/>
  <w:characterSpacingControl w:val="doNotCompress"/>
  <w:hdrShapeDefaults>
    <o:shapedefaults v:ext="edit" spidmax="16076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True"/>
    <w:docVar w:name="AppendixName" w:val="Appendix"/>
    <w:docVar w:name="Disclaimer" w:val="False"/>
    <w:docVar w:name="Foreword" w:val="False"/>
    <w:docVar w:name="Heading1Numbered" w:val="False"/>
    <w:docVar w:name="Heading2Numbered" w:val="False"/>
    <w:docVar w:name="Heading3Numbered" w:val="False"/>
    <w:docVar w:name="IsWordingOverview" w:val="True"/>
    <w:docVar w:name="NumberedBodyText" w:val="False"/>
    <w:docVar w:name="optHeading1OddPage" w:val="False"/>
    <w:docVar w:name="Overview" w:val="False"/>
    <w:docVar w:name="PageSetup" w:val="Double"/>
    <w:docVar w:name="RibbonLabel" w:val="Appendix"/>
    <w:docVar w:name="TOC" w:val="False"/>
    <w:docVar w:name="TOCNew" w:val="False"/>
    <w:docVar w:name="Version" w:val="Version 1"/>
  </w:docVars>
  <w:rsids>
    <w:rsidRoot w:val="00420CF4"/>
    <w:rsid w:val="00002C16"/>
    <w:rsid w:val="0000322C"/>
    <w:rsid w:val="00003CDD"/>
    <w:rsid w:val="000045F9"/>
    <w:rsid w:val="00004B47"/>
    <w:rsid w:val="0000595E"/>
    <w:rsid w:val="000068B6"/>
    <w:rsid w:val="00006EF6"/>
    <w:rsid w:val="000133BA"/>
    <w:rsid w:val="000155B0"/>
    <w:rsid w:val="00016166"/>
    <w:rsid w:val="000168A7"/>
    <w:rsid w:val="00017F5D"/>
    <w:rsid w:val="00020177"/>
    <w:rsid w:val="000210C8"/>
    <w:rsid w:val="000212A9"/>
    <w:rsid w:val="0002270A"/>
    <w:rsid w:val="00022B47"/>
    <w:rsid w:val="00024014"/>
    <w:rsid w:val="00025390"/>
    <w:rsid w:val="000267DC"/>
    <w:rsid w:val="00026B9A"/>
    <w:rsid w:val="000271AC"/>
    <w:rsid w:val="000278D0"/>
    <w:rsid w:val="000279D8"/>
    <w:rsid w:val="00027E62"/>
    <w:rsid w:val="00030420"/>
    <w:rsid w:val="000307C8"/>
    <w:rsid w:val="00030F73"/>
    <w:rsid w:val="00033F82"/>
    <w:rsid w:val="00035ADE"/>
    <w:rsid w:val="00037F23"/>
    <w:rsid w:val="0004224B"/>
    <w:rsid w:val="0004375F"/>
    <w:rsid w:val="00046226"/>
    <w:rsid w:val="0005330D"/>
    <w:rsid w:val="000533F0"/>
    <w:rsid w:val="000557A7"/>
    <w:rsid w:val="00055805"/>
    <w:rsid w:val="00056CB3"/>
    <w:rsid w:val="00060644"/>
    <w:rsid w:val="00063C5B"/>
    <w:rsid w:val="0006453A"/>
    <w:rsid w:val="00065D55"/>
    <w:rsid w:val="00067A28"/>
    <w:rsid w:val="000713C6"/>
    <w:rsid w:val="0007260F"/>
    <w:rsid w:val="000763F1"/>
    <w:rsid w:val="00080285"/>
    <w:rsid w:val="000805D5"/>
    <w:rsid w:val="0008103B"/>
    <w:rsid w:val="00082EAD"/>
    <w:rsid w:val="000832F7"/>
    <w:rsid w:val="00085CBF"/>
    <w:rsid w:val="00085F97"/>
    <w:rsid w:val="00092A33"/>
    <w:rsid w:val="000934B4"/>
    <w:rsid w:val="000962E3"/>
    <w:rsid w:val="00096D7A"/>
    <w:rsid w:val="00097567"/>
    <w:rsid w:val="000A2FEC"/>
    <w:rsid w:val="000A348F"/>
    <w:rsid w:val="000A3B1E"/>
    <w:rsid w:val="000A4373"/>
    <w:rsid w:val="000A5C15"/>
    <w:rsid w:val="000B021A"/>
    <w:rsid w:val="000B6942"/>
    <w:rsid w:val="000C0267"/>
    <w:rsid w:val="000C09EE"/>
    <w:rsid w:val="000C09FA"/>
    <w:rsid w:val="000C37A9"/>
    <w:rsid w:val="000C4DD9"/>
    <w:rsid w:val="000C6728"/>
    <w:rsid w:val="000C702E"/>
    <w:rsid w:val="000D0CDA"/>
    <w:rsid w:val="000D15E9"/>
    <w:rsid w:val="000D3182"/>
    <w:rsid w:val="000D45C4"/>
    <w:rsid w:val="000E063A"/>
    <w:rsid w:val="000E1022"/>
    <w:rsid w:val="000E1638"/>
    <w:rsid w:val="000E18F3"/>
    <w:rsid w:val="000E1D3C"/>
    <w:rsid w:val="000E266E"/>
    <w:rsid w:val="000F1515"/>
    <w:rsid w:val="000F16B5"/>
    <w:rsid w:val="000F2572"/>
    <w:rsid w:val="000F43EA"/>
    <w:rsid w:val="000F616E"/>
    <w:rsid w:val="000F6282"/>
    <w:rsid w:val="00100ACF"/>
    <w:rsid w:val="0010437E"/>
    <w:rsid w:val="00105E93"/>
    <w:rsid w:val="00107754"/>
    <w:rsid w:val="00110D43"/>
    <w:rsid w:val="00111844"/>
    <w:rsid w:val="00112135"/>
    <w:rsid w:val="00112A11"/>
    <w:rsid w:val="001159EA"/>
    <w:rsid w:val="00116ECE"/>
    <w:rsid w:val="001176B4"/>
    <w:rsid w:val="00125410"/>
    <w:rsid w:val="00127BB2"/>
    <w:rsid w:val="00130858"/>
    <w:rsid w:val="00130954"/>
    <w:rsid w:val="00130D00"/>
    <w:rsid w:val="001351B0"/>
    <w:rsid w:val="00136C26"/>
    <w:rsid w:val="0014059F"/>
    <w:rsid w:val="00141551"/>
    <w:rsid w:val="001417CE"/>
    <w:rsid w:val="001419E2"/>
    <w:rsid w:val="00142212"/>
    <w:rsid w:val="00142CA8"/>
    <w:rsid w:val="0014479F"/>
    <w:rsid w:val="00153D53"/>
    <w:rsid w:val="00154DC5"/>
    <w:rsid w:val="0016055F"/>
    <w:rsid w:val="00160C8D"/>
    <w:rsid w:val="001629C0"/>
    <w:rsid w:val="00165122"/>
    <w:rsid w:val="00165854"/>
    <w:rsid w:val="00173DFD"/>
    <w:rsid w:val="0017449E"/>
    <w:rsid w:val="0017579E"/>
    <w:rsid w:val="001759D2"/>
    <w:rsid w:val="0017601C"/>
    <w:rsid w:val="00180A1C"/>
    <w:rsid w:val="00180FF9"/>
    <w:rsid w:val="00184DDC"/>
    <w:rsid w:val="00186799"/>
    <w:rsid w:val="0018796A"/>
    <w:rsid w:val="001918EF"/>
    <w:rsid w:val="001929FB"/>
    <w:rsid w:val="00194A1D"/>
    <w:rsid w:val="00195228"/>
    <w:rsid w:val="00195696"/>
    <w:rsid w:val="00196032"/>
    <w:rsid w:val="00196532"/>
    <w:rsid w:val="001A16D8"/>
    <w:rsid w:val="001A1EFC"/>
    <w:rsid w:val="001A48EF"/>
    <w:rsid w:val="001A49CC"/>
    <w:rsid w:val="001A53DA"/>
    <w:rsid w:val="001A5553"/>
    <w:rsid w:val="001A716E"/>
    <w:rsid w:val="001B14F6"/>
    <w:rsid w:val="001B2C65"/>
    <w:rsid w:val="001B4E8C"/>
    <w:rsid w:val="001B7058"/>
    <w:rsid w:val="001C08CC"/>
    <w:rsid w:val="001C1573"/>
    <w:rsid w:val="001C20CF"/>
    <w:rsid w:val="001C25D9"/>
    <w:rsid w:val="001C3A4F"/>
    <w:rsid w:val="001C4121"/>
    <w:rsid w:val="001C470D"/>
    <w:rsid w:val="001C48DE"/>
    <w:rsid w:val="001D13BF"/>
    <w:rsid w:val="001D17D4"/>
    <w:rsid w:val="001D52E3"/>
    <w:rsid w:val="001D576F"/>
    <w:rsid w:val="001D69EB"/>
    <w:rsid w:val="001D7C29"/>
    <w:rsid w:val="001E0475"/>
    <w:rsid w:val="001E4B1C"/>
    <w:rsid w:val="001E6037"/>
    <w:rsid w:val="001E638F"/>
    <w:rsid w:val="001E7B9A"/>
    <w:rsid w:val="001F0DB5"/>
    <w:rsid w:val="001F2692"/>
    <w:rsid w:val="001F3E68"/>
    <w:rsid w:val="001F5C90"/>
    <w:rsid w:val="001F5E15"/>
    <w:rsid w:val="001F6055"/>
    <w:rsid w:val="001F767C"/>
    <w:rsid w:val="0020349F"/>
    <w:rsid w:val="002034DB"/>
    <w:rsid w:val="00210FCF"/>
    <w:rsid w:val="00221EB1"/>
    <w:rsid w:val="00222EFF"/>
    <w:rsid w:val="002240D5"/>
    <w:rsid w:val="002261A7"/>
    <w:rsid w:val="00226AEC"/>
    <w:rsid w:val="00232140"/>
    <w:rsid w:val="00232D19"/>
    <w:rsid w:val="00234121"/>
    <w:rsid w:val="002420DF"/>
    <w:rsid w:val="00246C89"/>
    <w:rsid w:val="00251A84"/>
    <w:rsid w:val="00252ECF"/>
    <w:rsid w:val="002545F3"/>
    <w:rsid w:val="0026344F"/>
    <w:rsid w:val="002643B1"/>
    <w:rsid w:val="00266A17"/>
    <w:rsid w:val="00270372"/>
    <w:rsid w:val="00271012"/>
    <w:rsid w:val="00271A58"/>
    <w:rsid w:val="00275534"/>
    <w:rsid w:val="00275C35"/>
    <w:rsid w:val="00276912"/>
    <w:rsid w:val="00277075"/>
    <w:rsid w:val="002775D2"/>
    <w:rsid w:val="00281ADD"/>
    <w:rsid w:val="00282419"/>
    <w:rsid w:val="00284B97"/>
    <w:rsid w:val="00290160"/>
    <w:rsid w:val="00293E0D"/>
    <w:rsid w:val="00293E80"/>
    <w:rsid w:val="002973B0"/>
    <w:rsid w:val="00297C14"/>
    <w:rsid w:val="00297CCF"/>
    <w:rsid w:val="002A1A8A"/>
    <w:rsid w:val="002A220F"/>
    <w:rsid w:val="002A24F1"/>
    <w:rsid w:val="002A5778"/>
    <w:rsid w:val="002A6FD7"/>
    <w:rsid w:val="002B02E1"/>
    <w:rsid w:val="002B1E84"/>
    <w:rsid w:val="002B2085"/>
    <w:rsid w:val="002B317F"/>
    <w:rsid w:val="002B3EC4"/>
    <w:rsid w:val="002B4BAB"/>
    <w:rsid w:val="002C0B26"/>
    <w:rsid w:val="002C2888"/>
    <w:rsid w:val="002C37D5"/>
    <w:rsid w:val="002C3AC8"/>
    <w:rsid w:val="002C43F8"/>
    <w:rsid w:val="002C5BAF"/>
    <w:rsid w:val="002C6D5A"/>
    <w:rsid w:val="002D0A5A"/>
    <w:rsid w:val="002D1B5B"/>
    <w:rsid w:val="002D34DB"/>
    <w:rsid w:val="002D4B11"/>
    <w:rsid w:val="002D5D02"/>
    <w:rsid w:val="002E2175"/>
    <w:rsid w:val="002E32B6"/>
    <w:rsid w:val="002E5633"/>
    <w:rsid w:val="002F1963"/>
    <w:rsid w:val="002F2F23"/>
    <w:rsid w:val="002F5B6E"/>
    <w:rsid w:val="002F61B5"/>
    <w:rsid w:val="0030209B"/>
    <w:rsid w:val="003045C0"/>
    <w:rsid w:val="00304947"/>
    <w:rsid w:val="003124BF"/>
    <w:rsid w:val="003127E4"/>
    <w:rsid w:val="00313215"/>
    <w:rsid w:val="003174C3"/>
    <w:rsid w:val="003200DA"/>
    <w:rsid w:val="003205CF"/>
    <w:rsid w:val="00320960"/>
    <w:rsid w:val="00324024"/>
    <w:rsid w:val="0032557A"/>
    <w:rsid w:val="00325E69"/>
    <w:rsid w:val="00327C55"/>
    <w:rsid w:val="003337A8"/>
    <w:rsid w:val="003362FF"/>
    <w:rsid w:val="00337FF7"/>
    <w:rsid w:val="00340778"/>
    <w:rsid w:val="00343A79"/>
    <w:rsid w:val="00344D2C"/>
    <w:rsid w:val="003458CE"/>
    <w:rsid w:val="00345A57"/>
    <w:rsid w:val="0034662A"/>
    <w:rsid w:val="00346680"/>
    <w:rsid w:val="00346D90"/>
    <w:rsid w:val="00351F62"/>
    <w:rsid w:val="00354A19"/>
    <w:rsid w:val="003601F4"/>
    <w:rsid w:val="00360BC2"/>
    <w:rsid w:val="003671E2"/>
    <w:rsid w:val="0037146E"/>
    <w:rsid w:val="0037160A"/>
    <w:rsid w:val="00371DC0"/>
    <w:rsid w:val="00372AE6"/>
    <w:rsid w:val="003731AE"/>
    <w:rsid w:val="0037381B"/>
    <w:rsid w:val="003768DC"/>
    <w:rsid w:val="003837E1"/>
    <w:rsid w:val="0038584D"/>
    <w:rsid w:val="003909F7"/>
    <w:rsid w:val="0039257F"/>
    <w:rsid w:val="003931DE"/>
    <w:rsid w:val="00397D1A"/>
    <w:rsid w:val="003A163C"/>
    <w:rsid w:val="003A2B4E"/>
    <w:rsid w:val="003A2FBB"/>
    <w:rsid w:val="003A3799"/>
    <w:rsid w:val="003A4913"/>
    <w:rsid w:val="003A54A9"/>
    <w:rsid w:val="003A7083"/>
    <w:rsid w:val="003B0318"/>
    <w:rsid w:val="003B38B3"/>
    <w:rsid w:val="003B3A97"/>
    <w:rsid w:val="003B3D44"/>
    <w:rsid w:val="003B6499"/>
    <w:rsid w:val="003C1923"/>
    <w:rsid w:val="003C7A55"/>
    <w:rsid w:val="003C7CC2"/>
    <w:rsid w:val="003D0352"/>
    <w:rsid w:val="003D2EF8"/>
    <w:rsid w:val="003D396D"/>
    <w:rsid w:val="003D3D39"/>
    <w:rsid w:val="003D50B6"/>
    <w:rsid w:val="003E0234"/>
    <w:rsid w:val="003E05DF"/>
    <w:rsid w:val="003E6085"/>
    <w:rsid w:val="003E6244"/>
    <w:rsid w:val="003E6CA3"/>
    <w:rsid w:val="003F06DD"/>
    <w:rsid w:val="003F16B1"/>
    <w:rsid w:val="003F2AA5"/>
    <w:rsid w:val="003F4C96"/>
    <w:rsid w:val="00400217"/>
    <w:rsid w:val="00406002"/>
    <w:rsid w:val="00406AD3"/>
    <w:rsid w:val="00407FAE"/>
    <w:rsid w:val="004109BA"/>
    <w:rsid w:val="004125B6"/>
    <w:rsid w:val="00412767"/>
    <w:rsid w:val="00412E42"/>
    <w:rsid w:val="00420BD0"/>
    <w:rsid w:val="00420CF4"/>
    <w:rsid w:val="00421B35"/>
    <w:rsid w:val="004222D6"/>
    <w:rsid w:val="00426356"/>
    <w:rsid w:val="00426929"/>
    <w:rsid w:val="00430AA9"/>
    <w:rsid w:val="00431106"/>
    <w:rsid w:val="004316B2"/>
    <w:rsid w:val="00437878"/>
    <w:rsid w:val="00442C16"/>
    <w:rsid w:val="00445D92"/>
    <w:rsid w:val="00446439"/>
    <w:rsid w:val="004501E8"/>
    <w:rsid w:val="00450BDA"/>
    <w:rsid w:val="00451BA2"/>
    <w:rsid w:val="00453A3E"/>
    <w:rsid w:val="0045452F"/>
    <w:rsid w:val="0045766B"/>
    <w:rsid w:val="00461663"/>
    <w:rsid w:val="004645EF"/>
    <w:rsid w:val="00465602"/>
    <w:rsid w:val="00465E8D"/>
    <w:rsid w:val="00466245"/>
    <w:rsid w:val="00473A26"/>
    <w:rsid w:val="00474BB7"/>
    <w:rsid w:val="004760AF"/>
    <w:rsid w:val="00476D22"/>
    <w:rsid w:val="004816D7"/>
    <w:rsid w:val="0048342E"/>
    <w:rsid w:val="00484098"/>
    <w:rsid w:val="00485BA6"/>
    <w:rsid w:val="00486465"/>
    <w:rsid w:val="00487478"/>
    <w:rsid w:val="0048782D"/>
    <w:rsid w:val="00490640"/>
    <w:rsid w:val="00494DC1"/>
    <w:rsid w:val="004A0937"/>
    <w:rsid w:val="004A3F56"/>
    <w:rsid w:val="004A5DEF"/>
    <w:rsid w:val="004A5E21"/>
    <w:rsid w:val="004A666A"/>
    <w:rsid w:val="004A6DB2"/>
    <w:rsid w:val="004B143F"/>
    <w:rsid w:val="004B154D"/>
    <w:rsid w:val="004B48EA"/>
    <w:rsid w:val="004B49A0"/>
    <w:rsid w:val="004B6196"/>
    <w:rsid w:val="004C2538"/>
    <w:rsid w:val="004C268F"/>
    <w:rsid w:val="004C2EF8"/>
    <w:rsid w:val="004C3B63"/>
    <w:rsid w:val="004C467C"/>
    <w:rsid w:val="004C6306"/>
    <w:rsid w:val="004C6F5E"/>
    <w:rsid w:val="004C7E94"/>
    <w:rsid w:val="004D2EC9"/>
    <w:rsid w:val="004D5F83"/>
    <w:rsid w:val="004D7CF8"/>
    <w:rsid w:val="004D7EDA"/>
    <w:rsid w:val="004E0E49"/>
    <w:rsid w:val="004E197A"/>
    <w:rsid w:val="004E5C66"/>
    <w:rsid w:val="004E5D52"/>
    <w:rsid w:val="004F07D7"/>
    <w:rsid w:val="004F1297"/>
    <w:rsid w:val="004F16DB"/>
    <w:rsid w:val="004F4C2E"/>
    <w:rsid w:val="004F4D7E"/>
    <w:rsid w:val="004F5B16"/>
    <w:rsid w:val="004F5D9D"/>
    <w:rsid w:val="004F68E5"/>
    <w:rsid w:val="004F741B"/>
    <w:rsid w:val="00503049"/>
    <w:rsid w:val="00503253"/>
    <w:rsid w:val="00503677"/>
    <w:rsid w:val="00503BB0"/>
    <w:rsid w:val="00503E03"/>
    <w:rsid w:val="00504002"/>
    <w:rsid w:val="00505104"/>
    <w:rsid w:val="005103B7"/>
    <w:rsid w:val="00512226"/>
    <w:rsid w:val="005147C6"/>
    <w:rsid w:val="0051488A"/>
    <w:rsid w:val="005159B1"/>
    <w:rsid w:val="00520438"/>
    <w:rsid w:val="00520C39"/>
    <w:rsid w:val="00522502"/>
    <w:rsid w:val="005255A1"/>
    <w:rsid w:val="0052641C"/>
    <w:rsid w:val="0053088C"/>
    <w:rsid w:val="00530CF8"/>
    <w:rsid w:val="00532ABE"/>
    <w:rsid w:val="00534BB3"/>
    <w:rsid w:val="0053795D"/>
    <w:rsid w:val="005405A6"/>
    <w:rsid w:val="00544522"/>
    <w:rsid w:val="005448CC"/>
    <w:rsid w:val="005468AB"/>
    <w:rsid w:val="005501A0"/>
    <w:rsid w:val="00550831"/>
    <w:rsid w:val="005527C4"/>
    <w:rsid w:val="00552F65"/>
    <w:rsid w:val="00554273"/>
    <w:rsid w:val="00554C94"/>
    <w:rsid w:val="005632F5"/>
    <w:rsid w:val="005642B6"/>
    <w:rsid w:val="0056643E"/>
    <w:rsid w:val="00571D5E"/>
    <w:rsid w:val="00573C0B"/>
    <w:rsid w:val="00573D13"/>
    <w:rsid w:val="00573D82"/>
    <w:rsid w:val="005823D0"/>
    <w:rsid w:val="005826BC"/>
    <w:rsid w:val="005924FA"/>
    <w:rsid w:val="00592660"/>
    <w:rsid w:val="00593999"/>
    <w:rsid w:val="00597ACF"/>
    <w:rsid w:val="005A2748"/>
    <w:rsid w:val="005A443F"/>
    <w:rsid w:val="005A7C12"/>
    <w:rsid w:val="005B11F6"/>
    <w:rsid w:val="005B3F90"/>
    <w:rsid w:val="005B53BF"/>
    <w:rsid w:val="005B58D4"/>
    <w:rsid w:val="005B5DA9"/>
    <w:rsid w:val="005B5E6A"/>
    <w:rsid w:val="005C07B3"/>
    <w:rsid w:val="005C0932"/>
    <w:rsid w:val="005C10EF"/>
    <w:rsid w:val="005C129D"/>
    <w:rsid w:val="005C284E"/>
    <w:rsid w:val="005C47D4"/>
    <w:rsid w:val="005D51D0"/>
    <w:rsid w:val="005D6F83"/>
    <w:rsid w:val="005D7877"/>
    <w:rsid w:val="005D7CCF"/>
    <w:rsid w:val="005E18B5"/>
    <w:rsid w:val="005E4586"/>
    <w:rsid w:val="005E48E9"/>
    <w:rsid w:val="005E58C4"/>
    <w:rsid w:val="005E5D8F"/>
    <w:rsid w:val="005E628D"/>
    <w:rsid w:val="005F5A5C"/>
    <w:rsid w:val="005F5C76"/>
    <w:rsid w:val="005F5CD9"/>
    <w:rsid w:val="00602B06"/>
    <w:rsid w:val="006030D3"/>
    <w:rsid w:val="0061135C"/>
    <w:rsid w:val="0061274E"/>
    <w:rsid w:val="006136DD"/>
    <w:rsid w:val="006149F0"/>
    <w:rsid w:val="00617983"/>
    <w:rsid w:val="00620505"/>
    <w:rsid w:val="006220A5"/>
    <w:rsid w:val="00624AC8"/>
    <w:rsid w:val="006265AB"/>
    <w:rsid w:val="00633C60"/>
    <w:rsid w:val="006347B8"/>
    <w:rsid w:val="0064126D"/>
    <w:rsid w:val="006440E9"/>
    <w:rsid w:val="006451B8"/>
    <w:rsid w:val="00645722"/>
    <w:rsid w:val="00650CF0"/>
    <w:rsid w:val="00651800"/>
    <w:rsid w:val="00652432"/>
    <w:rsid w:val="0065382B"/>
    <w:rsid w:val="00654D61"/>
    <w:rsid w:val="00655EB5"/>
    <w:rsid w:val="0065754F"/>
    <w:rsid w:val="00657840"/>
    <w:rsid w:val="0066003C"/>
    <w:rsid w:val="0066041E"/>
    <w:rsid w:val="00665B89"/>
    <w:rsid w:val="00666B3A"/>
    <w:rsid w:val="0066734C"/>
    <w:rsid w:val="00670756"/>
    <w:rsid w:val="00673CCC"/>
    <w:rsid w:val="00675B52"/>
    <w:rsid w:val="00675C98"/>
    <w:rsid w:val="00675DFF"/>
    <w:rsid w:val="00676556"/>
    <w:rsid w:val="0068150F"/>
    <w:rsid w:val="006839DD"/>
    <w:rsid w:val="0069026B"/>
    <w:rsid w:val="006914E8"/>
    <w:rsid w:val="00691858"/>
    <w:rsid w:val="00691FD8"/>
    <w:rsid w:val="006927EA"/>
    <w:rsid w:val="0069344E"/>
    <w:rsid w:val="00693DDB"/>
    <w:rsid w:val="006956EA"/>
    <w:rsid w:val="00695B97"/>
    <w:rsid w:val="00697926"/>
    <w:rsid w:val="006A1985"/>
    <w:rsid w:val="006A3125"/>
    <w:rsid w:val="006A490C"/>
    <w:rsid w:val="006A523F"/>
    <w:rsid w:val="006A576E"/>
    <w:rsid w:val="006B4F7D"/>
    <w:rsid w:val="006B5FE9"/>
    <w:rsid w:val="006B63AC"/>
    <w:rsid w:val="006C0AA1"/>
    <w:rsid w:val="006C114C"/>
    <w:rsid w:val="006C3864"/>
    <w:rsid w:val="006C3EA1"/>
    <w:rsid w:val="006C3F94"/>
    <w:rsid w:val="006C5383"/>
    <w:rsid w:val="006C5E72"/>
    <w:rsid w:val="006D268D"/>
    <w:rsid w:val="006D2AEC"/>
    <w:rsid w:val="006D3B74"/>
    <w:rsid w:val="006D4C8E"/>
    <w:rsid w:val="006D57AA"/>
    <w:rsid w:val="006E19D1"/>
    <w:rsid w:val="006E1CBB"/>
    <w:rsid w:val="006E7A9D"/>
    <w:rsid w:val="006F03D2"/>
    <w:rsid w:val="006F100B"/>
    <w:rsid w:val="006F239A"/>
    <w:rsid w:val="006F2C9D"/>
    <w:rsid w:val="006F423E"/>
    <w:rsid w:val="006F56B8"/>
    <w:rsid w:val="0070637D"/>
    <w:rsid w:val="0070642F"/>
    <w:rsid w:val="007071DD"/>
    <w:rsid w:val="0070771F"/>
    <w:rsid w:val="007116AB"/>
    <w:rsid w:val="00712A14"/>
    <w:rsid w:val="00712B79"/>
    <w:rsid w:val="00712FE7"/>
    <w:rsid w:val="00716C04"/>
    <w:rsid w:val="00717180"/>
    <w:rsid w:val="007179D2"/>
    <w:rsid w:val="00720750"/>
    <w:rsid w:val="0072549C"/>
    <w:rsid w:val="00725A80"/>
    <w:rsid w:val="00725D7C"/>
    <w:rsid w:val="007329A3"/>
    <w:rsid w:val="00733970"/>
    <w:rsid w:val="0073534F"/>
    <w:rsid w:val="00735D34"/>
    <w:rsid w:val="00744F5E"/>
    <w:rsid w:val="00745988"/>
    <w:rsid w:val="00754C58"/>
    <w:rsid w:val="00754E5E"/>
    <w:rsid w:val="00761B5C"/>
    <w:rsid w:val="00762C05"/>
    <w:rsid w:val="00763944"/>
    <w:rsid w:val="00765441"/>
    <w:rsid w:val="00767CC7"/>
    <w:rsid w:val="0077181D"/>
    <w:rsid w:val="00773C4A"/>
    <w:rsid w:val="00776E78"/>
    <w:rsid w:val="0078138A"/>
    <w:rsid w:val="00782E22"/>
    <w:rsid w:val="00783014"/>
    <w:rsid w:val="007834DC"/>
    <w:rsid w:val="00785079"/>
    <w:rsid w:val="0079080F"/>
    <w:rsid w:val="0079116F"/>
    <w:rsid w:val="007940F9"/>
    <w:rsid w:val="0079567B"/>
    <w:rsid w:val="007959D8"/>
    <w:rsid w:val="0079630F"/>
    <w:rsid w:val="007A04C2"/>
    <w:rsid w:val="007A10FB"/>
    <w:rsid w:val="007A1F77"/>
    <w:rsid w:val="007A2A7B"/>
    <w:rsid w:val="007A33ED"/>
    <w:rsid w:val="007A387A"/>
    <w:rsid w:val="007B0A8C"/>
    <w:rsid w:val="007B146A"/>
    <w:rsid w:val="007B1C9A"/>
    <w:rsid w:val="007B269D"/>
    <w:rsid w:val="007B52C0"/>
    <w:rsid w:val="007B703D"/>
    <w:rsid w:val="007C0E7C"/>
    <w:rsid w:val="007C0EAA"/>
    <w:rsid w:val="007C19CE"/>
    <w:rsid w:val="007C3B4F"/>
    <w:rsid w:val="007C44B2"/>
    <w:rsid w:val="007C4BB3"/>
    <w:rsid w:val="007C4D4F"/>
    <w:rsid w:val="007C6496"/>
    <w:rsid w:val="007C745E"/>
    <w:rsid w:val="007D334C"/>
    <w:rsid w:val="007D4011"/>
    <w:rsid w:val="007E3F8C"/>
    <w:rsid w:val="007E7832"/>
    <w:rsid w:val="007F2058"/>
    <w:rsid w:val="007F7685"/>
    <w:rsid w:val="0080011D"/>
    <w:rsid w:val="00800EA5"/>
    <w:rsid w:val="0080154C"/>
    <w:rsid w:val="00801C01"/>
    <w:rsid w:val="00802C78"/>
    <w:rsid w:val="00803CDF"/>
    <w:rsid w:val="008040A4"/>
    <w:rsid w:val="008130BB"/>
    <w:rsid w:val="0082274A"/>
    <w:rsid w:val="00822AA2"/>
    <w:rsid w:val="008237FA"/>
    <w:rsid w:val="00825D37"/>
    <w:rsid w:val="00834801"/>
    <w:rsid w:val="008369B0"/>
    <w:rsid w:val="008379A4"/>
    <w:rsid w:val="008449DF"/>
    <w:rsid w:val="008470E0"/>
    <w:rsid w:val="0085732C"/>
    <w:rsid w:val="00860B45"/>
    <w:rsid w:val="00863860"/>
    <w:rsid w:val="008638B5"/>
    <w:rsid w:val="00871DEA"/>
    <w:rsid w:val="008733E9"/>
    <w:rsid w:val="008734DB"/>
    <w:rsid w:val="0087390B"/>
    <w:rsid w:val="00873A7A"/>
    <w:rsid w:val="008741C6"/>
    <w:rsid w:val="008745A1"/>
    <w:rsid w:val="00874619"/>
    <w:rsid w:val="008768E9"/>
    <w:rsid w:val="0087751B"/>
    <w:rsid w:val="00882C45"/>
    <w:rsid w:val="008851BD"/>
    <w:rsid w:val="00890995"/>
    <w:rsid w:val="008914FB"/>
    <w:rsid w:val="00891574"/>
    <w:rsid w:val="00891BCB"/>
    <w:rsid w:val="0089451D"/>
    <w:rsid w:val="00895394"/>
    <w:rsid w:val="00896AB0"/>
    <w:rsid w:val="00897E99"/>
    <w:rsid w:val="008A17EE"/>
    <w:rsid w:val="008A35EA"/>
    <w:rsid w:val="008A4829"/>
    <w:rsid w:val="008A71E5"/>
    <w:rsid w:val="008A72E0"/>
    <w:rsid w:val="008A7F96"/>
    <w:rsid w:val="008B06C1"/>
    <w:rsid w:val="008B194B"/>
    <w:rsid w:val="008B2384"/>
    <w:rsid w:val="008B2720"/>
    <w:rsid w:val="008B2EF9"/>
    <w:rsid w:val="008B38D6"/>
    <w:rsid w:val="008B4802"/>
    <w:rsid w:val="008B69E3"/>
    <w:rsid w:val="008C1FD1"/>
    <w:rsid w:val="008C24A8"/>
    <w:rsid w:val="008C30A8"/>
    <w:rsid w:val="008C35EF"/>
    <w:rsid w:val="008C45AA"/>
    <w:rsid w:val="008C5996"/>
    <w:rsid w:val="008C5C75"/>
    <w:rsid w:val="008C711A"/>
    <w:rsid w:val="008C7879"/>
    <w:rsid w:val="008D2FB6"/>
    <w:rsid w:val="008D5A11"/>
    <w:rsid w:val="008D5C63"/>
    <w:rsid w:val="008D5E23"/>
    <w:rsid w:val="008D64A9"/>
    <w:rsid w:val="008E34E8"/>
    <w:rsid w:val="008E4F88"/>
    <w:rsid w:val="008E6D59"/>
    <w:rsid w:val="008F4C8F"/>
    <w:rsid w:val="008F4D57"/>
    <w:rsid w:val="008F5D66"/>
    <w:rsid w:val="009028AA"/>
    <w:rsid w:val="00903E3F"/>
    <w:rsid w:val="009049C3"/>
    <w:rsid w:val="009057D9"/>
    <w:rsid w:val="0090719D"/>
    <w:rsid w:val="0090774A"/>
    <w:rsid w:val="0090797A"/>
    <w:rsid w:val="00910D07"/>
    <w:rsid w:val="00914B2F"/>
    <w:rsid w:val="009150E6"/>
    <w:rsid w:val="00916D57"/>
    <w:rsid w:val="00917BF0"/>
    <w:rsid w:val="00917E0D"/>
    <w:rsid w:val="00917F89"/>
    <w:rsid w:val="009205D5"/>
    <w:rsid w:val="00921AC6"/>
    <w:rsid w:val="009221D1"/>
    <w:rsid w:val="00923993"/>
    <w:rsid w:val="00923E28"/>
    <w:rsid w:val="009255EE"/>
    <w:rsid w:val="00925603"/>
    <w:rsid w:val="00925B8C"/>
    <w:rsid w:val="00925F76"/>
    <w:rsid w:val="00926175"/>
    <w:rsid w:val="00932E89"/>
    <w:rsid w:val="0093359D"/>
    <w:rsid w:val="00933F2B"/>
    <w:rsid w:val="009340B7"/>
    <w:rsid w:val="009346E9"/>
    <w:rsid w:val="00935CA3"/>
    <w:rsid w:val="00941E82"/>
    <w:rsid w:val="00942C5F"/>
    <w:rsid w:val="00942EEB"/>
    <w:rsid w:val="0094468E"/>
    <w:rsid w:val="009447D4"/>
    <w:rsid w:val="00945261"/>
    <w:rsid w:val="00946956"/>
    <w:rsid w:val="009506A5"/>
    <w:rsid w:val="00951C19"/>
    <w:rsid w:val="009541CC"/>
    <w:rsid w:val="00955F16"/>
    <w:rsid w:val="00956564"/>
    <w:rsid w:val="00956D5A"/>
    <w:rsid w:val="00961B2C"/>
    <w:rsid w:val="00961DBB"/>
    <w:rsid w:val="0096618E"/>
    <w:rsid w:val="00966C29"/>
    <w:rsid w:val="00967B83"/>
    <w:rsid w:val="00967BCD"/>
    <w:rsid w:val="00973721"/>
    <w:rsid w:val="00981433"/>
    <w:rsid w:val="009830EF"/>
    <w:rsid w:val="009852B5"/>
    <w:rsid w:val="00985C07"/>
    <w:rsid w:val="009952A2"/>
    <w:rsid w:val="00995B4F"/>
    <w:rsid w:val="00997582"/>
    <w:rsid w:val="009A2C21"/>
    <w:rsid w:val="009A3B0A"/>
    <w:rsid w:val="009A3E58"/>
    <w:rsid w:val="009A5F02"/>
    <w:rsid w:val="009A7AB1"/>
    <w:rsid w:val="009B1CED"/>
    <w:rsid w:val="009B344E"/>
    <w:rsid w:val="009B3768"/>
    <w:rsid w:val="009B524A"/>
    <w:rsid w:val="009C1813"/>
    <w:rsid w:val="009C28BD"/>
    <w:rsid w:val="009C533F"/>
    <w:rsid w:val="009C6DAA"/>
    <w:rsid w:val="009D0E74"/>
    <w:rsid w:val="009D1A96"/>
    <w:rsid w:val="009D3447"/>
    <w:rsid w:val="009D370B"/>
    <w:rsid w:val="009E077A"/>
    <w:rsid w:val="009E2087"/>
    <w:rsid w:val="009E252B"/>
    <w:rsid w:val="009E3265"/>
    <w:rsid w:val="009E3353"/>
    <w:rsid w:val="009E446D"/>
    <w:rsid w:val="009E44AF"/>
    <w:rsid w:val="009E7C09"/>
    <w:rsid w:val="009F146D"/>
    <w:rsid w:val="009F1D58"/>
    <w:rsid w:val="009F20CF"/>
    <w:rsid w:val="009F4F1E"/>
    <w:rsid w:val="00A00D61"/>
    <w:rsid w:val="00A015E4"/>
    <w:rsid w:val="00A06D47"/>
    <w:rsid w:val="00A075BC"/>
    <w:rsid w:val="00A1101A"/>
    <w:rsid w:val="00A11222"/>
    <w:rsid w:val="00A12C39"/>
    <w:rsid w:val="00A134FB"/>
    <w:rsid w:val="00A16C8D"/>
    <w:rsid w:val="00A1709D"/>
    <w:rsid w:val="00A176C8"/>
    <w:rsid w:val="00A20802"/>
    <w:rsid w:val="00A2228E"/>
    <w:rsid w:val="00A2371E"/>
    <w:rsid w:val="00A25B4F"/>
    <w:rsid w:val="00A37B78"/>
    <w:rsid w:val="00A40B62"/>
    <w:rsid w:val="00A442BF"/>
    <w:rsid w:val="00A4769C"/>
    <w:rsid w:val="00A52A78"/>
    <w:rsid w:val="00A53716"/>
    <w:rsid w:val="00A547F5"/>
    <w:rsid w:val="00A5629E"/>
    <w:rsid w:val="00A64832"/>
    <w:rsid w:val="00A65C0E"/>
    <w:rsid w:val="00A70F88"/>
    <w:rsid w:val="00A71694"/>
    <w:rsid w:val="00A71F7B"/>
    <w:rsid w:val="00A72AFC"/>
    <w:rsid w:val="00A732DB"/>
    <w:rsid w:val="00A7333B"/>
    <w:rsid w:val="00A80A91"/>
    <w:rsid w:val="00A84927"/>
    <w:rsid w:val="00A86F04"/>
    <w:rsid w:val="00A916F5"/>
    <w:rsid w:val="00A924B8"/>
    <w:rsid w:val="00A946C4"/>
    <w:rsid w:val="00AC01F8"/>
    <w:rsid w:val="00AC059A"/>
    <w:rsid w:val="00AC658F"/>
    <w:rsid w:val="00AC7F7B"/>
    <w:rsid w:val="00AD0308"/>
    <w:rsid w:val="00AD048A"/>
    <w:rsid w:val="00AD092D"/>
    <w:rsid w:val="00AD251C"/>
    <w:rsid w:val="00AD377A"/>
    <w:rsid w:val="00AD67BB"/>
    <w:rsid w:val="00AE0074"/>
    <w:rsid w:val="00AE1CC1"/>
    <w:rsid w:val="00AE3658"/>
    <w:rsid w:val="00AE39F7"/>
    <w:rsid w:val="00AE3EA4"/>
    <w:rsid w:val="00AE411A"/>
    <w:rsid w:val="00AE58CE"/>
    <w:rsid w:val="00AE5E69"/>
    <w:rsid w:val="00AF1B02"/>
    <w:rsid w:val="00AF3FCF"/>
    <w:rsid w:val="00AF41E4"/>
    <w:rsid w:val="00AF5F62"/>
    <w:rsid w:val="00AF6ADB"/>
    <w:rsid w:val="00B02587"/>
    <w:rsid w:val="00B02B5B"/>
    <w:rsid w:val="00B02D18"/>
    <w:rsid w:val="00B02D76"/>
    <w:rsid w:val="00B06A75"/>
    <w:rsid w:val="00B06BC3"/>
    <w:rsid w:val="00B07683"/>
    <w:rsid w:val="00B1464B"/>
    <w:rsid w:val="00B15A0F"/>
    <w:rsid w:val="00B17489"/>
    <w:rsid w:val="00B1758D"/>
    <w:rsid w:val="00B20236"/>
    <w:rsid w:val="00B20937"/>
    <w:rsid w:val="00B220A0"/>
    <w:rsid w:val="00B22B64"/>
    <w:rsid w:val="00B22C44"/>
    <w:rsid w:val="00B22FEA"/>
    <w:rsid w:val="00B24083"/>
    <w:rsid w:val="00B24321"/>
    <w:rsid w:val="00B24392"/>
    <w:rsid w:val="00B300E4"/>
    <w:rsid w:val="00B30FEB"/>
    <w:rsid w:val="00B321B6"/>
    <w:rsid w:val="00B3578C"/>
    <w:rsid w:val="00B37BCB"/>
    <w:rsid w:val="00B4097F"/>
    <w:rsid w:val="00B40AA3"/>
    <w:rsid w:val="00B437E1"/>
    <w:rsid w:val="00B44478"/>
    <w:rsid w:val="00B45091"/>
    <w:rsid w:val="00B45BA0"/>
    <w:rsid w:val="00B45D93"/>
    <w:rsid w:val="00B45FF5"/>
    <w:rsid w:val="00B4626E"/>
    <w:rsid w:val="00B46589"/>
    <w:rsid w:val="00B5609B"/>
    <w:rsid w:val="00B560C8"/>
    <w:rsid w:val="00B567D7"/>
    <w:rsid w:val="00B6002C"/>
    <w:rsid w:val="00B606B2"/>
    <w:rsid w:val="00B620EE"/>
    <w:rsid w:val="00B65C00"/>
    <w:rsid w:val="00B71116"/>
    <w:rsid w:val="00B727D9"/>
    <w:rsid w:val="00B76CAC"/>
    <w:rsid w:val="00B77CCE"/>
    <w:rsid w:val="00B8138C"/>
    <w:rsid w:val="00B83716"/>
    <w:rsid w:val="00B85366"/>
    <w:rsid w:val="00B86374"/>
    <w:rsid w:val="00B86881"/>
    <w:rsid w:val="00B87F60"/>
    <w:rsid w:val="00B91A9C"/>
    <w:rsid w:val="00B93D3D"/>
    <w:rsid w:val="00B94892"/>
    <w:rsid w:val="00BA0EB9"/>
    <w:rsid w:val="00BA45BF"/>
    <w:rsid w:val="00BA471F"/>
    <w:rsid w:val="00BA4F28"/>
    <w:rsid w:val="00BA5A1F"/>
    <w:rsid w:val="00BB5013"/>
    <w:rsid w:val="00BB528E"/>
    <w:rsid w:val="00BB6FE7"/>
    <w:rsid w:val="00BB7A5F"/>
    <w:rsid w:val="00BC1A2A"/>
    <w:rsid w:val="00BC22C0"/>
    <w:rsid w:val="00BC2600"/>
    <w:rsid w:val="00BC36F0"/>
    <w:rsid w:val="00BC4FA7"/>
    <w:rsid w:val="00BC5E30"/>
    <w:rsid w:val="00BC64FC"/>
    <w:rsid w:val="00BD0133"/>
    <w:rsid w:val="00BD02C5"/>
    <w:rsid w:val="00BD042C"/>
    <w:rsid w:val="00BD068D"/>
    <w:rsid w:val="00BD5BE6"/>
    <w:rsid w:val="00BD5C09"/>
    <w:rsid w:val="00BD69AE"/>
    <w:rsid w:val="00BE0D9A"/>
    <w:rsid w:val="00BE1A50"/>
    <w:rsid w:val="00BE2F0D"/>
    <w:rsid w:val="00BE6B1F"/>
    <w:rsid w:val="00BE71C3"/>
    <w:rsid w:val="00BF0BD5"/>
    <w:rsid w:val="00BF2C6B"/>
    <w:rsid w:val="00BF55F8"/>
    <w:rsid w:val="00C051FD"/>
    <w:rsid w:val="00C07157"/>
    <w:rsid w:val="00C1432E"/>
    <w:rsid w:val="00C203DD"/>
    <w:rsid w:val="00C20C7D"/>
    <w:rsid w:val="00C20DEF"/>
    <w:rsid w:val="00C21EBE"/>
    <w:rsid w:val="00C241CC"/>
    <w:rsid w:val="00C24B25"/>
    <w:rsid w:val="00C27FA2"/>
    <w:rsid w:val="00C31C4E"/>
    <w:rsid w:val="00C321BC"/>
    <w:rsid w:val="00C32C2F"/>
    <w:rsid w:val="00C36B0A"/>
    <w:rsid w:val="00C3738A"/>
    <w:rsid w:val="00C4315A"/>
    <w:rsid w:val="00C43F5E"/>
    <w:rsid w:val="00C44074"/>
    <w:rsid w:val="00C4651F"/>
    <w:rsid w:val="00C51158"/>
    <w:rsid w:val="00C51D0B"/>
    <w:rsid w:val="00C52A50"/>
    <w:rsid w:val="00C63C5D"/>
    <w:rsid w:val="00C642D4"/>
    <w:rsid w:val="00C730F4"/>
    <w:rsid w:val="00C775AC"/>
    <w:rsid w:val="00C80200"/>
    <w:rsid w:val="00C8270B"/>
    <w:rsid w:val="00C841A9"/>
    <w:rsid w:val="00C84A46"/>
    <w:rsid w:val="00C859C2"/>
    <w:rsid w:val="00C868F4"/>
    <w:rsid w:val="00C8728F"/>
    <w:rsid w:val="00C97FBC"/>
    <w:rsid w:val="00CA0B7E"/>
    <w:rsid w:val="00CA1997"/>
    <w:rsid w:val="00CA275D"/>
    <w:rsid w:val="00CA3F11"/>
    <w:rsid w:val="00CA5598"/>
    <w:rsid w:val="00CA5EF8"/>
    <w:rsid w:val="00CA70AE"/>
    <w:rsid w:val="00CB04A0"/>
    <w:rsid w:val="00CB2617"/>
    <w:rsid w:val="00CB28A3"/>
    <w:rsid w:val="00CB75B6"/>
    <w:rsid w:val="00CC00A0"/>
    <w:rsid w:val="00CC5239"/>
    <w:rsid w:val="00CC5455"/>
    <w:rsid w:val="00CC5E67"/>
    <w:rsid w:val="00CC6C06"/>
    <w:rsid w:val="00CD19D5"/>
    <w:rsid w:val="00CD2329"/>
    <w:rsid w:val="00CD5509"/>
    <w:rsid w:val="00CD5F40"/>
    <w:rsid w:val="00CE041D"/>
    <w:rsid w:val="00CE1EB0"/>
    <w:rsid w:val="00CE2C1D"/>
    <w:rsid w:val="00CE3DF2"/>
    <w:rsid w:val="00CE66B6"/>
    <w:rsid w:val="00CE6725"/>
    <w:rsid w:val="00CE6D13"/>
    <w:rsid w:val="00CE79E0"/>
    <w:rsid w:val="00CE7D3E"/>
    <w:rsid w:val="00CF0C0F"/>
    <w:rsid w:val="00CF1690"/>
    <w:rsid w:val="00CF1E68"/>
    <w:rsid w:val="00CF1F2A"/>
    <w:rsid w:val="00CF5CE3"/>
    <w:rsid w:val="00CF7412"/>
    <w:rsid w:val="00D030F8"/>
    <w:rsid w:val="00D03F08"/>
    <w:rsid w:val="00D077B7"/>
    <w:rsid w:val="00D07929"/>
    <w:rsid w:val="00D13050"/>
    <w:rsid w:val="00D142AF"/>
    <w:rsid w:val="00D14973"/>
    <w:rsid w:val="00D164AA"/>
    <w:rsid w:val="00D20297"/>
    <w:rsid w:val="00D21E6B"/>
    <w:rsid w:val="00D23634"/>
    <w:rsid w:val="00D23EEC"/>
    <w:rsid w:val="00D254A1"/>
    <w:rsid w:val="00D325D1"/>
    <w:rsid w:val="00D33489"/>
    <w:rsid w:val="00D34551"/>
    <w:rsid w:val="00D379BD"/>
    <w:rsid w:val="00D406E8"/>
    <w:rsid w:val="00D41682"/>
    <w:rsid w:val="00D43837"/>
    <w:rsid w:val="00D44CAE"/>
    <w:rsid w:val="00D457D6"/>
    <w:rsid w:val="00D50E07"/>
    <w:rsid w:val="00D571AA"/>
    <w:rsid w:val="00D6027F"/>
    <w:rsid w:val="00D62A06"/>
    <w:rsid w:val="00D64CE2"/>
    <w:rsid w:val="00D66C65"/>
    <w:rsid w:val="00D67B9E"/>
    <w:rsid w:val="00D71885"/>
    <w:rsid w:val="00D71D9C"/>
    <w:rsid w:val="00D75DE2"/>
    <w:rsid w:val="00D774DC"/>
    <w:rsid w:val="00D7751B"/>
    <w:rsid w:val="00D815DC"/>
    <w:rsid w:val="00D822B5"/>
    <w:rsid w:val="00D83D3C"/>
    <w:rsid w:val="00D84B6F"/>
    <w:rsid w:val="00D867AE"/>
    <w:rsid w:val="00D87BBB"/>
    <w:rsid w:val="00D87C87"/>
    <w:rsid w:val="00D921C4"/>
    <w:rsid w:val="00D9296A"/>
    <w:rsid w:val="00D92B29"/>
    <w:rsid w:val="00D93C23"/>
    <w:rsid w:val="00D9424E"/>
    <w:rsid w:val="00D9545A"/>
    <w:rsid w:val="00D95638"/>
    <w:rsid w:val="00D9584C"/>
    <w:rsid w:val="00DA14D9"/>
    <w:rsid w:val="00DA40A0"/>
    <w:rsid w:val="00DB13AD"/>
    <w:rsid w:val="00DB23F9"/>
    <w:rsid w:val="00DB4F41"/>
    <w:rsid w:val="00DB58BE"/>
    <w:rsid w:val="00DB6176"/>
    <w:rsid w:val="00DB6AA0"/>
    <w:rsid w:val="00DB7C3A"/>
    <w:rsid w:val="00DC17E4"/>
    <w:rsid w:val="00DC57F9"/>
    <w:rsid w:val="00DD32AB"/>
    <w:rsid w:val="00DD4448"/>
    <w:rsid w:val="00DD55DB"/>
    <w:rsid w:val="00DD5BF6"/>
    <w:rsid w:val="00DD7E73"/>
    <w:rsid w:val="00DE075A"/>
    <w:rsid w:val="00DE1865"/>
    <w:rsid w:val="00DE267B"/>
    <w:rsid w:val="00DE2A4C"/>
    <w:rsid w:val="00DE3DCC"/>
    <w:rsid w:val="00DE6CEF"/>
    <w:rsid w:val="00DF11C2"/>
    <w:rsid w:val="00DF270A"/>
    <w:rsid w:val="00DF2EFD"/>
    <w:rsid w:val="00DF35C1"/>
    <w:rsid w:val="00DF4593"/>
    <w:rsid w:val="00DF700E"/>
    <w:rsid w:val="00E10D05"/>
    <w:rsid w:val="00E11E5F"/>
    <w:rsid w:val="00E1300A"/>
    <w:rsid w:val="00E14D03"/>
    <w:rsid w:val="00E15047"/>
    <w:rsid w:val="00E15FC9"/>
    <w:rsid w:val="00E2223E"/>
    <w:rsid w:val="00E22D98"/>
    <w:rsid w:val="00E24623"/>
    <w:rsid w:val="00E252E3"/>
    <w:rsid w:val="00E26735"/>
    <w:rsid w:val="00E27CD9"/>
    <w:rsid w:val="00E306EE"/>
    <w:rsid w:val="00E3348F"/>
    <w:rsid w:val="00E366AB"/>
    <w:rsid w:val="00E37B89"/>
    <w:rsid w:val="00E37EBD"/>
    <w:rsid w:val="00E40505"/>
    <w:rsid w:val="00E42A41"/>
    <w:rsid w:val="00E44952"/>
    <w:rsid w:val="00E45766"/>
    <w:rsid w:val="00E45EEF"/>
    <w:rsid w:val="00E478E6"/>
    <w:rsid w:val="00E47D57"/>
    <w:rsid w:val="00E51946"/>
    <w:rsid w:val="00E53973"/>
    <w:rsid w:val="00E55B1B"/>
    <w:rsid w:val="00E567E5"/>
    <w:rsid w:val="00E61A21"/>
    <w:rsid w:val="00E6593E"/>
    <w:rsid w:val="00E6704B"/>
    <w:rsid w:val="00E6708B"/>
    <w:rsid w:val="00E73A8C"/>
    <w:rsid w:val="00E75050"/>
    <w:rsid w:val="00E753A2"/>
    <w:rsid w:val="00E758BA"/>
    <w:rsid w:val="00E76042"/>
    <w:rsid w:val="00E7625F"/>
    <w:rsid w:val="00E76F42"/>
    <w:rsid w:val="00E8071A"/>
    <w:rsid w:val="00E84183"/>
    <w:rsid w:val="00E84989"/>
    <w:rsid w:val="00E87381"/>
    <w:rsid w:val="00E9116A"/>
    <w:rsid w:val="00E915E6"/>
    <w:rsid w:val="00EA02AE"/>
    <w:rsid w:val="00EA3A8F"/>
    <w:rsid w:val="00EA3B5B"/>
    <w:rsid w:val="00EA3E11"/>
    <w:rsid w:val="00EA6EB3"/>
    <w:rsid w:val="00EB19E8"/>
    <w:rsid w:val="00EB27FE"/>
    <w:rsid w:val="00EB4A8E"/>
    <w:rsid w:val="00EB5134"/>
    <w:rsid w:val="00EB587F"/>
    <w:rsid w:val="00EB5EF3"/>
    <w:rsid w:val="00EB640A"/>
    <w:rsid w:val="00EB695D"/>
    <w:rsid w:val="00EC102A"/>
    <w:rsid w:val="00EC3804"/>
    <w:rsid w:val="00EC4962"/>
    <w:rsid w:val="00EC6443"/>
    <w:rsid w:val="00ED1D90"/>
    <w:rsid w:val="00ED39CE"/>
    <w:rsid w:val="00ED4134"/>
    <w:rsid w:val="00ED5578"/>
    <w:rsid w:val="00EE05F1"/>
    <w:rsid w:val="00EE471A"/>
    <w:rsid w:val="00EE5492"/>
    <w:rsid w:val="00EE7311"/>
    <w:rsid w:val="00EF53BE"/>
    <w:rsid w:val="00EF6727"/>
    <w:rsid w:val="00EF7BE8"/>
    <w:rsid w:val="00F06ED1"/>
    <w:rsid w:val="00F07BD5"/>
    <w:rsid w:val="00F1093C"/>
    <w:rsid w:val="00F122D6"/>
    <w:rsid w:val="00F15BF4"/>
    <w:rsid w:val="00F17940"/>
    <w:rsid w:val="00F2046C"/>
    <w:rsid w:val="00F20647"/>
    <w:rsid w:val="00F22007"/>
    <w:rsid w:val="00F23619"/>
    <w:rsid w:val="00F24DEA"/>
    <w:rsid w:val="00F2634C"/>
    <w:rsid w:val="00F31392"/>
    <w:rsid w:val="00F348B5"/>
    <w:rsid w:val="00F3652B"/>
    <w:rsid w:val="00F377B9"/>
    <w:rsid w:val="00F41F70"/>
    <w:rsid w:val="00F4218C"/>
    <w:rsid w:val="00F42986"/>
    <w:rsid w:val="00F446FA"/>
    <w:rsid w:val="00F45442"/>
    <w:rsid w:val="00F469BD"/>
    <w:rsid w:val="00F47F2D"/>
    <w:rsid w:val="00F5145E"/>
    <w:rsid w:val="00F5589B"/>
    <w:rsid w:val="00F558EA"/>
    <w:rsid w:val="00F613CB"/>
    <w:rsid w:val="00F61F79"/>
    <w:rsid w:val="00F656A4"/>
    <w:rsid w:val="00F6665E"/>
    <w:rsid w:val="00F66C4D"/>
    <w:rsid w:val="00F7075F"/>
    <w:rsid w:val="00F71D76"/>
    <w:rsid w:val="00F738E9"/>
    <w:rsid w:val="00F7554A"/>
    <w:rsid w:val="00F76693"/>
    <w:rsid w:val="00F80D87"/>
    <w:rsid w:val="00F8349F"/>
    <w:rsid w:val="00F83FB7"/>
    <w:rsid w:val="00F85935"/>
    <w:rsid w:val="00F85D29"/>
    <w:rsid w:val="00F85FD7"/>
    <w:rsid w:val="00F87975"/>
    <w:rsid w:val="00F93C68"/>
    <w:rsid w:val="00F95230"/>
    <w:rsid w:val="00F969D3"/>
    <w:rsid w:val="00F96C8D"/>
    <w:rsid w:val="00FA190E"/>
    <w:rsid w:val="00FA54D8"/>
    <w:rsid w:val="00FA7E12"/>
    <w:rsid w:val="00FB0153"/>
    <w:rsid w:val="00FB12F1"/>
    <w:rsid w:val="00FB3A9F"/>
    <w:rsid w:val="00FB579C"/>
    <w:rsid w:val="00FB6434"/>
    <w:rsid w:val="00FC4FB7"/>
    <w:rsid w:val="00FC5C45"/>
    <w:rsid w:val="00FC72D4"/>
    <w:rsid w:val="00FD1D4B"/>
    <w:rsid w:val="00FD2A07"/>
    <w:rsid w:val="00FD357B"/>
    <w:rsid w:val="00FD38FC"/>
    <w:rsid w:val="00FD6119"/>
    <w:rsid w:val="00FD688E"/>
    <w:rsid w:val="00FD7C0C"/>
    <w:rsid w:val="00FE045C"/>
    <w:rsid w:val="00FE0C52"/>
    <w:rsid w:val="00FE1466"/>
    <w:rsid w:val="00FE15AC"/>
    <w:rsid w:val="00FE1692"/>
    <w:rsid w:val="00FE44E3"/>
    <w:rsid w:val="00FE5152"/>
    <w:rsid w:val="00FF0566"/>
    <w:rsid w:val="00FF4867"/>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er" w:qFormat="1"/>
    <w:lsdException w:name="caption" w:qFormat="1"/>
    <w:lsdException w:name="table of figures" w:semiHidden="0"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Plain Text" w:uiPriority="99"/>
    <w:lsdException w:name="HTML Top of Form" w:uiPriority="99"/>
    <w:lsdException w:name="HTML Bottom of Form" w:uiPriority="99"/>
    <w:lsdException w:name="HTML Cit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uiPriority="39" w:qFormat="1"/>
  </w:latentStyles>
  <w:style w:type="paragraph" w:default="1" w:styleId="Normal">
    <w:name w:val="Normal"/>
    <w:qFormat/>
    <w:rsid w:val="00A80A91"/>
  </w:style>
  <w:style w:type="paragraph" w:styleId="Heading1">
    <w:name w:val="heading 1"/>
    <w:basedOn w:val="Normal"/>
    <w:next w:val="BodyText"/>
    <w:link w:val="Heading1Char"/>
    <w:qFormat/>
    <w:rsid w:val="00733970"/>
    <w:pPr>
      <w:keepNext/>
      <w:keepLines/>
      <w:numPr>
        <w:numId w:val="10"/>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961DBB"/>
    <w:pPr>
      <w:keepNext/>
      <w:keepLines/>
      <w:numPr>
        <w:ilvl w:val="1"/>
        <w:numId w:val="10"/>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10"/>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593999"/>
    <w:pPr>
      <w:keepNext/>
      <w:keepLines/>
      <w:spacing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4C2EF8"/>
    <w:pPr>
      <w:keepNext/>
      <w:keepLines/>
      <w:spacing w:before="240" w:after="340"/>
      <w:outlineLvl w:val="5"/>
    </w:pPr>
    <w:rPr>
      <w:rFonts w:asciiTheme="majorHAnsi" w:eastAsiaTheme="majorEastAsia" w:hAnsiTheme="majorHAnsi" w:cstheme="majorBidi"/>
      <w:iCs/>
      <w:color w:val="2B3B5F" w:themeColor="text2"/>
      <w:sz w:val="32"/>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A5598"/>
    <w:pPr>
      <w:keepNext/>
      <w:keepLines/>
      <w:numPr>
        <w:numId w:val="1"/>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rsid w:val="00CA5598"/>
    <w:pPr>
      <w:keepNext/>
      <w:keepLines/>
      <w:numPr>
        <w:ilvl w:val="1"/>
        <w:numId w:val="1"/>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0E266E"/>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593999"/>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4C2EF8"/>
    <w:rPr>
      <w:rFonts w:asciiTheme="majorHAnsi" w:eastAsiaTheme="majorEastAsia" w:hAnsiTheme="majorHAnsi" w:cstheme="majorBidi"/>
      <w:iCs/>
      <w:color w:val="2B3B5F" w:themeColor="text2"/>
      <w:sz w:val="32"/>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1"/>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1"/>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link w:val="CaptionChar"/>
    <w:qFormat/>
    <w:rsid w:val="00961DBB"/>
    <w:pPr>
      <w:keepNext/>
      <w:spacing w:before="340" w:after="114"/>
    </w:pPr>
    <w:rPr>
      <w:b/>
      <w:bCs/>
      <w:color w:val="2B3B5F" w:themeColor="text2"/>
      <w:spacing w:val="-4"/>
    </w:rPr>
  </w:style>
  <w:style w:type="paragraph" w:styleId="Footer">
    <w:name w:val="footer"/>
    <w:basedOn w:val="Normal"/>
    <w:link w:val="FooterChar"/>
    <w:qFormat/>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2"/>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3"/>
      </w:numPr>
      <w:spacing w:before="113" w:after="113"/>
    </w:pPr>
    <w:rPr>
      <w:spacing w:val="-1"/>
    </w:rPr>
  </w:style>
  <w:style w:type="paragraph" w:styleId="ListNumber2">
    <w:name w:val="List Number 2"/>
    <w:basedOn w:val="Normal"/>
    <w:qFormat/>
    <w:rsid w:val="00961DBB"/>
    <w:pPr>
      <w:numPr>
        <w:ilvl w:val="1"/>
        <w:numId w:val="3"/>
      </w:numPr>
      <w:spacing w:before="113" w:after="113"/>
    </w:pPr>
    <w:rPr>
      <w:spacing w:val="-1"/>
    </w:rPr>
  </w:style>
  <w:style w:type="paragraph" w:styleId="ListNumber3">
    <w:name w:val="List Number 3"/>
    <w:basedOn w:val="Normal"/>
    <w:qFormat/>
    <w:rsid w:val="00961DBB"/>
    <w:pPr>
      <w:numPr>
        <w:ilvl w:val="2"/>
        <w:numId w:val="3"/>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6440E9"/>
    <w:pPr>
      <w:spacing w:before="113" w:after="113" w:line="260" w:lineRule="atLeast"/>
      <w:ind w:left="57" w:right="57"/>
    </w:pPr>
    <w:rPr>
      <w:spacing w:val="-1"/>
    </w:rPr>
  </w:style>
  <w:style w:type="paragraph" w:customStyle="1" w:styleId="PullOutBoxBullet">
    <w:name w:val="Pull Out Box Bullet"/>
    <w:basedOn w:val="PullOutBoxBodyText"/>
    <w:qFormat/>
    <w:rsid w:val="000155B0"/>
    <w:pPr>
      <w:numPr>
        <w:numId w:val="4"/>
      </w:numPr>
      <w:spacing w:before="70" w:after="70"/>
      <w:ind w:left="341" w:hanging="284"/>
    </w:pPr>
  </w:style>
  <w:style w:type="paragraph" w:customStyle="1" w:styleId="PullOutBoxBullet2">
    <w:name w:val="Pull Out Box Bullet 2"/>
    <w:basedOn w:val="PullOutBoxBodyText"/>
    <w:qFormat/>
    <w:rsid w:val="00130954"/>
    <w:pPr>
      <w:numPr>
        <w:ilvl w:val="1"/>
        <w:numId w:val="4"/>
      </w:numPr>
      <w:spacing w:before="70" w:after="70"/>
    </w:pPr>
  </w:style>
  <w:style w:type="paragraph" w:customStyle="1" w:styleId="PullOutBoxBullet3">
    <w:name w:val="Pull Out Box Bullet 3"/>
    <w:basedOn w:val="PullOutBoxBodyText"/>
    <w:qFormat/>
    <w:rsid w:val="00961DBB"/>
    <w:pPr>
      <w:numPr>
        <w:ilvl w:val="2"/>
        <w:numId w:val="4"/>
      </w:numPr>
    </w:pPr>
  </w:style>
  <w:style w:type="paragraph" w:customStyle="1" w:styleId="PullOutBoxHeading">
    <w:name w:val="Pull Out Box Heading"/>
    <w:basedOn w:val="PullOutBoxBodyText"/>
    <w:qFormat/>
    <w:rsid w:val="00AF6ADB"/>
    <w:pPr>
      <w:keepNext/>
      <w:keepLines/>
      <w:spacing w:before="114" w:after="114"/>
    </w:pPr>
    <w:rPr>
      <w:b/>
    </w:rPr>
  </w:style>
  <w:style w:type="paragraph" w:customStyle="1" w:styleId="PullOutBoxNumber">
    <w:name w:val="Pull Out Box Number"/>
    <w:basedOn w:val="PullOutBoxBodyText"/>
    <w:uiPriority w:val="99"/>
    <w:qFormat/>
    <w:rsid w:val="00961DBB"/>
    <w:pPr>
      <w:numPr>
        <w:numId w:val="5"/>
      </w:numPr>
    </w:pPr>
  </w:style>
  <w:style w:type="paragraph" w:customStyle="1" w:styleId="PullOutBoxNumber2">
    <w:name w:val="Pull Out Box Number 2"/>
    <w:basedOn w:val="PullOutBoxBodyText"/>
    <w:uiPriority w:val="99"/>
    <w:qFormat/>
    <w:rsid w:val="00961DBB"/>
    <w:pPr>
      <w:numPr>
        <w:ilvl w:val="1"/>
        <w:numId w:val="5"/>
      </w:numPr>
    </w:pPr>
  </w:style>
  <w:style w:type="paragraph" w:customStyle="1" w:styleId="PullOutBoxNumber3">
    <w:name w:val="Pull Out Box Number 3"/>
    <w:basedOn w:val="PullOutBoxBodyText"/>
    <w:uiPriority w:val="99"/>
    <w:qFormat/>
    <w:rsid w:val="00961DBB"/>
    <w:pPr>
      <w:numPr>
        <w:ilvl w:val="2"/>
        <w:numId w:val="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6"/>
      </w:numPr>
    </w:pPr>
  </w:style>
  <w:style w:type="paragraph" w:customStyle="1" w:styleId="QuoteBullet2">
    <w:name w:val="Quote Bullet 2"/>
    <w:basedOn w:val="Quote"/>
    <w:qFormat/>
    <w:rsid w:val="00961DBB"/>
    <w:pPr>
      <w:numPr>
        <w:ilvl w:val="1"/>
        <w:numId w:val="6"/>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7"/>
      </w:numPr>
      <w:spacing w:after="50"/>
    </w:pPr>
    <w:rPr>
      <w:color w:val="788184" w:themeColor="background2"/>
      <w:sz w:val="20"/>
    </w:rPr>
  </w:style>
  <w:style w:type="table" w:styleId="TableGrid">
    <w:name w:val="Table Grid"/>
    <w:basedOn w:val="TableNormal"/>
    <w:uiPriority w:val="59"/>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761B5C"/>
    <w:pPr>
      <w:keepNext/>
      <w:keepLines/>
      <w:spacing w:before="70" w:after="70" w:line="260" w:lineRule="atLeast"/>
      <w:ind w:left="57" w:right="57"/>
    </w:pPr>
    <w:rPr>
      <w:rFonts w:cs="Times New Roman"/>
      <w:b/>
      <w:sz w:val="20"/>
    </w:rPr>
  </w:style>
  <w:style w:type="paragraph" w:customStyle="1" w:styleId="TableHeadingCentred">
    <w:name w:val="Table Heading Centred"/>
    <w:basedOn w:val="TableHeading"/>
    <w:qFormat/>
    <w:rsid w:val="00761B5C"/>
    <w:pPr>
      <w:jc w:val="center"/>
    </w:pPr>
  </w:style>
  <w:style w:type="paragraph" w:customStyle="1" w:styleId="TableHeadingRight">
    <w:name w:val="Table Heading Right"/>
    <w:basedOn w:val="TableHeading"/>
    <w:qFormat/>
    <w:rsid w:val="00761B5C"/>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link w:val="TableTextChar"/>
    <w:qFormat/>
    <w:rsid w:val="00142CA8"/>
    <w:pPr>
      <w:spacing w:before="70" w:after="70" w:line="260" w:lineRule="atLeast"/>
      <w:ind w:left="57" w:right="57"/>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9"/>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142CA8"/>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right" w:leader="underscore" w:pos="8164"/>
      </w:tabs>
      <w:spacing w:after="227"/>
      <w:ind w:right="851"/>
    </w:pPr>
    <w:rPr>
      <w:b/>
      <w:noProof/>
      <w:color w:val="2B3B5F" w:themeColor="text2"/>
    </w:rPr>
  </w:style>
  <w:style w:type="paragraph" w:styleId="TOC2">
    <w:name w:val="toc 2"/>
    <w:basedOn w:val="Normal"/>
    <w:next w:val="Normal"/>
    <w:uiPriority w:val="39"/>
    <w:rsid w:val="001B2C65"/>
    <w:pPr>
      <w:tabs>
        <w:tab w:val="right" w:leader="underscore" w:pos="8164"/>
      </w:tabs>
      <w:spacing w:after="227"/>
      <w:ind w:left="454" w:right="851"/>
    </w:pPr>
    <w:rPr>
      <w:noProof/>
      <w:szCs w:val="28"/>
    </w:rPr>
  </w:style>
  <w:style w:type="paragraph" w:styleId="TOC3">
    <w:name w:val="toc 3"/>
    <w:basedOn w:val="Normal"/>
    <w:next w:val="Normal"/>
    <w:uiPriority w:val="39"/>
    <w:rsid w:val="001B2C65"/>
    <w:pPr>
      <w:tabs>
        <w:tab w:val="right" w:leader="underscore" w:pos="8164"/>
      </w:tabs>
      <w:spacing w:after="227"/>
      <w:ind w:left="907" w:right="851"/>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rsid w:val="00961DBB"/>
    <w:pPr>
      <w:spacing w:after="100"/>
      <w:ind w:left="1000"/>
    </w:pPr>
  </w:style>
  <w:style w:type="paragraph" w:styleId="TOC7">
    <w:name w:val="toc 7"/>
    <w:basedOn w:val="Normal"/>
    <w:next w:val="Normal"/>
    <w:autoRedefine/>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uiPriority w:val="39"/>
    <w:qFormat/>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character" w:customStyle="1" w:styleId="CaptionChar">
    <w:name w:val="Caption Char"/>
    <w:basedOn w:val="DefaultParagraphFont"/>
    <w:link w:val="Caption"/>
    <w:locked/>
    <w:rsid w:val="00420CF4"/>
    <w:rPr>
      <w:b/>
      <w:bCs/>
      <w:color w:val="2B3B5F" w:themeColor="text2"/>
      <w:spacing w:val="-4"/>
    </w:rPr>
  </w:style>
  <w:style w:type="character" w:styleId="CommentReference">
    <w:name w:val="annotation reference"/>
    <w:basedOn w:val="DefaultParagraphFont"/>
    <w:semiHidden/>
    <w:unhideWhenUsed/>
    <w:rsid w:val="00420CF4"/>
    <w:rPr>
      <w:sz w:val="16"/>
      <w:szCs w:val="16"/>
    </w:rPr>
  </w:style>
  <w:style w:type="paragraph" w:styleId="CommentText">
    <w:name w:val="annotation text"/>
    <w:basedOn w:val="Normal"/>
    <w:link w:val="CommentTextChar"/>
    <w:semiHidden/>
    <w:unhideWhenUsed/>
    <w:rsid w:val="00420CF4"/>
    <w:pPr>
      <w:spacing w:line="240" w:lineRule="auto"/>
    </w:pPr>
    <w:rPr>
      <w:sz w:val="20"/>
      <w:szCs w:val="20"/>
    </w:rPr>
  </w:style>
  <w:style w:type="character" w:customStyle="1" w:styleId="CommentTextChar">
    <w:name w:val="Comment Text Char"/>
    <w:basedOn w:val="DefaultParagraphFont"/>
    <w:link w:val="CommentText"/>
    <w:semiHidden/>
    <w:rsid w:val="00420CF4"/>
    <w:rPr>
      <w:sz w:val="20"/>
      <w:szCs w:val="20"/>
    </w:rPr>
  </w:style>
  <w:style w:type="paragraph" w:styleId="CommentSubject">
    <w:name w:val="annotation subject"/>
    <w:basedOn w:val="CommentText"/>
    <w:next w:val="CommentText"/>
    <w:link w:val="CommentSubjectChar"/>
    <w:semiHidden/>
    <w:unhideWhenUsed/>
    <w:rsid w:val="00420CF4"/>
    <w:rPr>
      <w:b/>
      <w:bCs/>
    </w:rPr>
  </w:style>
  <w:style w:type="character" w:customStyle="1" w:styleId="CommentSubjectChar">
    <w:name w:val="Comment Subject Char"/>
    <w:basedOn w:val="CommentTextChar"/>
    <w:link w:val="CommentSubject"/>
    <w:semiHidden/>
    <w:rsid w:val="00420CF4"/>
    <w:rPr>
      <w:b/>
      <w:bCs/>
      <w:sz w:val="20"/>
      <w:szCs w:val="20"/>
    </w:rPr>
  </w:style>
  <w:style w:type="paragraph" w:styleId="EndnoteText">
    <w:name w:val="endnote text"/>
    <w:basedOn w:val="Normal"/>
    <w:link w:val="EndnoteTextChar"/>
    <w:semiHidden/>
    <w:unhideWhenUsed/>
    <w:rsid w:val="00420CF4"/>
    <w:pPr>
      <w:spacing w:line="240" w:lineRule="auto"/>
    </w:pPr>
    <w:rPr>
      <w:sz w:val="20"/>
      <w:szCs w:val="20"/>
    </w:rPr>
  </w:style>
  <w:style w:type="character" w:customStyle="1" w:styleId="EndnoteTextChar">
    <w:name w:val="Endnote Text Char"/>
    <w:basedOn w:val="DefaultParagraphFont"/>
    <w:link w:val="EndnoteText"/>
    <w:semiHidden/>
    <w:rsid w:val="00420CF4"/>
    <w:rPr>
      <w:sz w:val="20"/>
      <w:szCs w:val="20"/>
    </w:rPr>
  </w:style>
  <w:style w:type="character" w:styleId="EndnoteReference">
    <w:name w:val="endnote reference"/>
    <w:basedOn w:val="DefaultParagraphFont"/>
    <w:semiHidden/>
    <w:unhideWhenUsed/>
    <w:rsid w:val="00420CF4"/>
    <w:rPr>
      <w:vertAlign w:val="superscript"/>
    </w:rPr>
  </w:style>
  <w:style w:type="table" w:customStyle="1" w:styleId="TableGrid1">
    <w:name w:val="Table Grid1"/>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tandTableFootnoteAlpha">
    <w:name w:val="Chart and Table Footnote Alpha"/>
    <w:basedOn w:val="Normal"/>
    <w:next w:val="Normal"/>
    <w:uiPriority w:val="99"/>
    <w:rsid w:val="00420CF4"/>
    <w:pPr>
      <w:keepNext/>
      <w:numPr>
        <w:numId w:val="11"/>
      </w:numPr>
      <w:spacing w:line="240" w:lineRule="auto"/>
      <w:jc w:val="both"/>
    </w:pPr>
    <w:rPr>
      <w:rFonts w:ascii="Arial" w:eastAsia="Times New Roman" w:hAnsi="Arial" w:cs="Times New Roman"/>
      <w:sz w:val="16"/>
      <w:szCs w:val="20"/>
      <w:lang w:eastAsia="en-AU"/>
    </w:rPr>
  </w:style>
  <w:style w:type="paragraph" w:customStyle="1" w:styleId="Bullet">
    <w:name w:val="Bullet"/>
    <w:basedOn w:val="Normal"/>
    <w:link w:val="BulletChar"/>
    <w:uiPriority w:val="99"/>
    <w:rsid w:val="00420CF4"/>
    <w:pPr>
      <w:numPr>
        <w:numId w:val="12"/>
      </w:numPr>
      <w:spacing w:after="60" w:line="200" w:lineRule="atLeast"/>
    </w:pPr>
    <w:rPr>
      <w:rFonts w:ascii="Times New Roman" w:eastAsia="Times New Roman" w:hAnsi="Times New Roman" w:cs="Times New Roman"/>
      <w:sz w:val="24"/>
      <w:szCs w:val="20"/>
      <w:lang w:eastAsia="en-AU"/>
    </w:rPr>
  </w:style>
  <w:style w:type="character" w:customStyle="1" w:styleId="BulletChar">
    <w:name w:val="Bullet Char"/>
    <w:basedOn w:val="DefaultParagraphFont"/>
    <w:link w:val="Bullet"/>
    <w:uiPriority w:val="99"/>
    <w:rsid w:val="00420CF4"/>
    <w:rPr>
      <w:rFonts w:ascii="Times New Roman" w:eastAsia="Times New Roman" w:hAnsi="Times New Roman" w:cs="Times New Roman"/>
      <w:sz w:val="24"/>
      <w:szCs w:val="20"/>
      <w:lang w:eastAsia="en-AU"/>
    </w:rPr>
  </w:style>
  <w:style w:type="character" w:styleId="Strong">
    <w:name w:val="Strong"/>
    <w:qFormat/>
    <w:rsid w:val="00420CF4"/>
    <w:rPr>
      <w:b/>
      <w:bCs/>
    </w:rPr>
  </w:style>
  <w:style w:type="table" w:customStyle="1" w:styleId="TableGrid2">
    <w:name w:val="Table Grid2"/>
    <w:basedOn w:val="TableNormal"/>
    <w:next w:val="TableGrid"/>
    <w:uiPriority w:val="59"/>
    <w:rsid w:val="00420CF4"/>
    <w:pPr>
      <w:keepNext/>
      <w:keepLines/>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0CF4"/>
    <w:pPr>
      <w:keepNext/>
      <w:keepLines/>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20CF4"/>
    <w:pPr>
      <w:ind w:left="720"/>
      <w:contextualSpacing/>
    </w:pPr>
  </w:style>
  <w:style w:type="paragraph" w:styleId="TOC9">
    <w:name w:val="toc 9"/>
    <w:basedOn w:val="Normal"/>
    <w:next w:val="Normal"/>
    <w:autoRedefine/>
    <w:uiPriority w:val="39"/>
    <w:unhideWhenUsed/>
    <w:rsid w:val="00420CF4"/>
    <w:pPr>
      <w:spacing w:after="100"/>
      <w:ind w:left="1760"/>
    </w:pPr>
  </w:style>
  <w:style w:type="paragraph" w:customStyle="1" w:styleId="Footnotes">
    <w:name w:val="Footnotes"/>
    <w:basedOn w:val="ListParagraph"/>
    <w:link w:val="FootnotesChar"/>
    <w:qFormat/>
    <w:rsid w:val="00420CF4"/>
    <w:pPr>
      <w:numPr>
        <w:numId w:val="57"/>
      </w:numPr>
      <w:spacing w:before="114" w:line="260" w:lineRule="atLeast"/>
    </w:pPr>
    <w:rPr>
      <w:sz w:val="20"/>
      <w:szCs w:val="20"/>
    </w:rPr>
  </w:style>
  <w:style w:type="character" w:customStyle="1" w:styleId="FootnotesChar">
    <w:name w:val="Footnotes Char"/>
    <w:basedOn w:val="DefaultParagraphFont"/>
    <w:link w:val="Footnotes"/>
    <w:rsid w:val="00420CF4"/>
    <w:rPr>
      <w:sz w:val="20"/>
      <w:szCs w:val="20"/>
    </w:rPr>
  </w:style>
  <w:style w:type="paragraph" w:customStyle="1" w:styleId="TableParagraph">
    <w:name w:val="Table Paragraph"/>
    <w:basedOn w:val="Normal"/>
    <w:uiPriority w:val="1"/>
    <w:qFormat/>
    <w:rsid w:val="00420CF4"/>
    <w:pPr>
      <w:widowControl w:val="0"/>
      <w:autoSpaceDE w:val="0"/>
      <w:autoSpaceDN w:val="0"/>
      <w:adjustRightInd w:val="0"/>
      <w:spacing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semiHidden/>
    <w:unhideWhenUsed/>
    <w:rsid w:val="00420CF4"/>
    <w:rPr>
      <w:color w:val="000000" w:themeColor="followedHyperlink"/>
      <w:u w:val="single"/>
    </w:rPr>
  </w:style>
  <w:style w:type="paragraph" w:customStyle="1" w:styleId="xl52411">
    <w:name w:val="xl52411"/>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2">
    <w:name w:val="xl52412"/>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3">
    <w:name w:val="xl52413"/>
    <w:basedOn w:val="Normal"/>
    <w:rsid w:val="00420CF4"/>
    <w:pPr>
      <w:pBdr>
        <w:bottom w:val="single" w:sz="12"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4">
    <w:name w:val="xl52414"/>
    <w:basedOn w:val="Normal"/>
    <w:rsid w:val="00420CF4"/>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15">
    <w:name w:val="xl52415"/>
    <w:basedOn w:val="Normal"/>
    <w:rsid w:val="00420CF4"/>
    <w:pPr>
      <w:pBdr>
        <w:bottom w:val="single" w:sz="12"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6">
    <w:name w:val="xl52416"/>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52417">
    <w:name w:val="xl52417"/>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52418">
    <w:name w:val="xl52418"/>
    <w:basedOn w:val="Normal"/>
    <w:rsid w:val="00420CF4"/>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19">
    <w:name w:val="xl52419"/>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20">
    <w:name w:val="xl52420"/>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1">
    <w:name w:val="xl52421"/>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2">
    <w:name w:val="xl52422"/>
    <w:basedOn w:val="Normal"/>
    <w:rsid w:val="00420CF4"/>
    <w:pPr>
      <w:shd w:val="clear" w:color="000000" w:fill="2B3B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n-AU"/>
    </w:rPr>
  </w:style>
  <w:style w:type="paragraph" w:customStyle="1" w:styleId="xl52423">
    <w:name w:val="xl52423"/>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24">
    <w:name w:val="xl52424"/>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5">
    <w:name w:val="xl52425"/>
    <w:basedOn w:val="Normal"/>
    <w:rsid w:val="00420CF4"/>
    <w:pPr>
      <w:shd w:val="clear" w:color="000000" w:fill="D7DDE9"/>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26">
    <w:name w:val="xl52426"/>
    <w:basedOn w:val="Normal"/>
    <w:rsid w:val="00420CF4"/>
    <w:pP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27">
    <w:name w:val="xl52427"/>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8">
    <w:name w:val="xl52428"/>
    <w:basedOn w:val="Normal"/>
    <w:rsid w:val="00420CF4"/>
    <w:pP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29">
    <w:name w:val="xl52429"/>
    <w:basedOn w:val="Normal"/>
    <w:rsid w:val="00420CF4"/>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0">
    <w:name w:val="xl52430"/>
    <w:basedOn w:val="Normal"/>
    <w:rsid w:val="00420CF4"/>
    <w:pPr>
      <w:pBdr>
        <w:bottom w:val="single" w:sz="12" w:space="0" w:color="2B3B5F"/>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1">
    <w:name w:val="xl52431"/>
    <w:basedOn w:val="Normal"/>
    <w:rsid w:val="00420CF4"/>
    <w:pPr>
      <w:pBdr>
        <w:bottom w:val="single" w:sz="12" w:space="0" w:color="2B3B5F"/>
      </w:pBd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2">
    <w:name w:val="xl52432"/>
    <w:basedOn w:val="Normal"/>
    <w:rsid w:val="00420CF4"/>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52433">
    <w:name w:val="xl52433"/>
    <w:basedOn w:val="Normal"/>
    <w:rsid w:val="00420CF4"/>
    <w:pP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52434">
    <w:name w:val="xl52434"/>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35">
    <w:name w:val="xl52435"/>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36">
    <w:name w:val="xl52436"/>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37">
    <w:name w:val="xl52437"/>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38">
    <w:name w:val="xl52438"/>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39">
    <w:name w:val="xl52439"/>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0">
    <w:name w:val="xl52440"/>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41">
    <w:name w:val="xl52441"/>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2">
    <w:name w:val="xl52442"/>
    <w:basedOn w:val="Normal"/>
    <w:rsid w:val="00420CF4"/>
    <w:pPr>
      <w:pBdr>
        <w:top w:val="single" w:sz="4" w:space="0" w:color="2B3B5F"/>
        <w:bottom w:val="single" w:sz="8" w:space="0" w:color="2B3B5F"/>
      </w:pBd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3">
    <w:name w:val="xl52443"/>
    <w:basedOn w:val="Normal"/>
    <w:rsid w:val="00420CF4"/>
    <w:pPr>
      <w:pBdr>
        <w:top w:val="single" w:sz="4" w:space="0" w:color="2B3B5F"/>
        <w:bottom w:val="single" w:sz="8" w:space="0" w:color="2B3B5F"/>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44">
    <w:name w:val="xl52444"/>
    <w:basedOn w:val="Normal"/>
    <w:rsid w:val="00420CF4"/>
    <w:pPr>
      <w:pBdr>
        <w:top w:val="single" w:sz="4" w:space="0" w:color="2B3B5F"/>
        <w:bottom w:val="single" w:sz="8" w:space="0" w:color="2B3B5F"/>
      </w:pBdr>
      <w:shd w:val="clear" w:color="000000" w:fill="D7DDE9"/>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45">
    <w:name w:val="xl52445"/>
    <w:basedOn w:val="Normal"/>
    <w:rsid w:val="00420CF4"/>
    <w:pP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46">
    <w:name w:val="xl52446"/>
    <w:basedOn w:val="Normal"/>
    <w:rsid w:val="00420CF4"/>
    <w:pPr>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47">
    <w:name w:val="xl52447"/>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48">
    <w:name w:val="xl52448"/>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49">
    <w:name w:val="xl52449"/>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50">
    <w:name w:val="xl52450"/>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51">
    <w:name w:val="xl52451"/>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2">
    <w:name w:val="xl52452"/>
    <w:basedOn w:val="Normal"/>
    <w:rsid w:val="00420CF4"/>
    <w:pPr>
      <w:pBdr>
        <w:top w:val="single" w:sz="4" w:space="0" w:color="2B3B5F"/>
        <w:bottom w:val="single" w:sz="8" w:space="0" w:color="2B3B5F"/>
      </w:pBd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3">
    <w:name w:val="xl52453"/>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54">
    <w:name w:val="xl52454"/>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5">
    <w:name w:val="xl52455"/>
    <w:basedOn w:val="Normal"/>
    <w:rsid w:val="00420CF4"/>
    <w:pPr>
      <w:pBdr>
        <w:top w:val="single" w:sz="8" w:space="0" w:color="2B3B5F"/>
      </w:pBd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6">
    <w:name w:val="xl52456"/>
    <w:basedOn w:val="Normal"/>
    <w:rsid w:val="00420CF4"/>
    <w:pPr>
      <w:spacing w:before="100" w:beforeAutospacing="1" w:after="100" w:afterAutospacing="1" w:line="240" w:lineRule="auto"/>
    </w:pPr>
    <w:rPr>
      <w:rFonts w:ascii="Times New Roman" w:eastAsia="Times New Roman" w:hAnsi="Times New Roman" w:cs="Times New Roman"/>
      <w:i/>
      <w:iCs/>
      <w:sz w:val="16"/>
      <w:szCs w:val="16"/>
      <w:lang w:eastAsia="en-AU"/>
    </w:rPr>
  </w:style>
  <w:style w:type="paragraph" w:customStyle="1" w:styleId="xl52457">
    <w:name w:val="xl52457"/>
    <w:basedOn w:val="Normal"/>
    <w:rsid w:val="00420CF4"/>
    <w:pPr>
      <w:spacing w:before="100" w:beforeAutospacing="1" w:after="100" w:afterAutospacing="1" w:line="240" w:lineRule="auto"/>
      <w:textAlignment w:val="center"/>
    </w:pPr>
    <w:rPr>
      <w:rFonts w:ascii="Times New Roman" w:eastAsia="Times New Roman" w:hAnsi="Times New Roman" w:cs="Times New Roman"/>
      <w:i/>
      <w:iCs/>
      <w:sz w:val="16"/>
      <w:szCs w:val="16"/>
      <w:lang w:eastAsia="en-AU"/>
    </w:rPr>
  </w:style>
  <w:style w:type="paragraph" w:customStyle="1" w:styleId="xl52458">
    <w:name w:val="xl52458"/>
    <w:basedOn w:val="Normal"/>
    <w:rsid w:val="00420CF4"/>
    <w:pP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16"/>
      <w:szCs w:val="16"/>
      <w:lang w:eastAsia="en-AU"/>
    </w:rPr>
  </w:style>
  <w:style w:type="paragraph" w:customStyle="1" w:styleId="xl52459">
    <w:name w:val="xl52459"/>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60">
    <w:name w:val="xl52460"/>
    <w:basedOn w:val="Normal"/>
    <w:rsid w:val="00420CF4"/>
    <w:pPr>
      <w:spacing w:before="100" w:beforeAutospacing="1" w:after="100" w:afterAutospacing="1" w:line="240" w:lineRule="auto"/>
      <w:textAlignment w:val="center"/>
    </w:pPr>
    <w:rPr>
      <w:rFonts w:ascii="Times New Roman" w:eastAsia="Times New Roman" w:hAnsi="Times New Roman" w:cs="Times New Roman"/>
      <w:color w:val="000000"/>
      <w:sz w:val="15"/>
      <w:szCs w:val="15"/>
      <w:lang w:eastAsia="en-AU"/>
    </w:rPr>
  </w:style>
  <w:style w:type="paragraph" w:customStyle="1" w:styleId="xl52461">
    <w:name w:val="xl52461"/>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2">
    <w:name w:val="xl52462"/>
    <w:basedOn w:val="Normal"/>
    <w:rsid w:val="00420CF4"/>
    <w:pPr>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63">
    <w:name w:val="xl52463"/>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4">
    <w:name w:val="xl52464"/>
    <w:basedOn w:val="Normal"/>
    <w:rsid w:val="00420CF4"/>
    <w:pPr>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65">
    <w:name w:val="xl52465"/>
    <w:basedOn w:val="Normal"/>
    <w:rsid w:val="00420CF4"/>
    <w:pPr>
      <w:shd w:val="clear" w:color="000000" w:fill="2B3B5F"/>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66">
    <w:name w:val="xl52466"/>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7">
    <w:name w:val="xl52467"/>
    <w:basedOn w:val="Normal"/>
    <w:rsid w:val="00420CF4"/>
    <w:pPr>
      <w:shd w:val="clear" w:color="000000" w:fill="2B3B5F"/>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68">
    <w:name w:val="xl52468"/>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sz w:val="15"/>
      <w:szCs w:val="15"/>
      <w:lang w:eastAsia="en-AU"/>
    </w:rPr>
  </w:style>
  <w:style w:type="paragraph" w:customStyle="1" w:styleId="xl52469">
    <w:name w:val="xl52469"/>
    <w:basedOn w:val="Normal"/>
    <w:rsid w:val="00420CF4"/>
    <w:pPr>
      <w:shd w:val="clear" w:color="000000" w:fill="CCD5E8"/>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70">
    <w:name w:val="xl52470"/>
    <w:basedOn w:val="Normal"/>
    <w:rsid w:val="00420CF4"/>
    <w:pPr>
      <w:shd w:val="clear" w:color="000000" w:fill="CCD5E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52471">
    <w:name w:val="xl52471"/>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72">
    <w:name w:val="xl52472"/>
    <w:basedOn w:val="Normal"/>
    <w:rsid w:val="00420CF4"/>
    <w:pPr>
      <w:shd w:val="clear" w:color="000000" w:fill="CCD5E8"/>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73">
    <w:name w:val="xl52473"/>
    <w:basedOn w:val="Normal"/>
    <w:rsid w:val="00420CF4"/>
    <w:pPr>
      <w:pBdr>
        <w:top w:val="single" w:sz="8" w:space="0" w:color="2B3B5F"/>
      </w:pBdr>
      <w:spacing w:before="100" w:beforeAutospacing="1" w:after="100" w:afterAutospacing="1" w:line="240" w:lineRule="auto"/>
      <w:textAlignment w:val="center"/>
    </w:pPr>
    <w:rPr>
      <w:rFonts w:ascii="Times New Roman" w:eastAsia="Times New Roman" w:hAnsi="Times New Roman" w:cs="Times New Roman"/>
      <w:b/>
      <w:bCs/>
      <w:i/>
      <w:iCs/>
      <w:sz w:val="15"/>
      <w:szCs w:val="15"/>
      <w:lang w:eastAsia="en-AU"/>
    </w:rPr>
  </w:style>
  <w:style w:type="paragraph" w:customStyle="1" w:styleId="xl52474">
    <w:name w:val="xl52474"/>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table" w:customStyle="1" w:styleId="TableGrid4">
    <w:name w:val="Table Grid4"/>
    <w:basedOn w:val="TableNormal"/>
    <w:next w:val="TableGrid"/>
    <w:rsid w:val="00420CF4"/>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
    <w:name w:val="Table Grid5"/>
    <w:basedOn w:val="TableNormal"/>
    <w:next w:val="TableGrid"/>
    <w:rsid w:val="00420CF4"/>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6">
    <w:name w:val="Table Grid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
    <w:name w:val="Dash"/>
    <w:basedOn w:val="Normal"/>
    <w:uiPriority w:val="99"/>
    <w:rsid w:val="00420CF4"/>
    <w:pPr>
      <w:tabs>
        <w:tab w:val="num" w:pos="567"/>
      </w:tabs>
      <w:spacing w:after="240" w:line="260" w:lineRule="exact"/>
      <w:ind w:left="567" w:hanging="284"/>
      <w:jc w:val="both"/>
    </w:pPr>
    <w:rPr>
      <w:rFonts w:ascii="Book Antiqua" w:eastAsia="Times New Roman" w:hAnsi="Book Antiqua" w:cs="Times New Roman"/>
      <w:sz w:val="20"/>
      <w:szCs w:val="20"/>
      <w:lang w:eastAsia="en-AU"/>
    </w:rPr>
  </w:style>
  <w:style w:type="paragraph" w:customStyle="1" w:styleId="DoubleDot">
    <w:name w:val="Double Dot"/>
    <w:basedOn w:val="Normal"/>
    <w:uiPriority w:val="99"/>
    <w:rsid w:val="00420CF4"/>
    <w:pPr>
      <w:tabs>
        <w:tab w:val="num" w:pos="850"/>
      </w:tabs>
      <w:spacing w:after="240" w:line="260" w:lineRule="exact"/>
      <w:ind w:left="850" w:hanging="283"/>
      <w:jc w:val="both"/>
    </w:pPr>
    <w:rPr>
      <w:rFonts w:ascii="Book Antiqua" w:eastAsia="Times New Roman" w:hAnsi="Book Antiqua" w:cs="Times New Roman"/>
      <w:sz w:val="20"/>
      <w:szCs w:val="20"/>
      <w:lang w:eastAsia="en-AU"/>
    </w:rPr>
  </w:style>
  <w:style w:type="paragraph" w:customStyle="1" w:styleId="PageHeading">
    <w:name w:val="Page Heading"/>
    <w:basedOn w:val="Normal"/>
    <w:qFormat/>
    <w:rsid w:val="00420CF4"/>
    <w:pPr>
      <w:spacing w:after="200" w:line="276" w:lineRule="auto"/>
      <w:jc w:val="center"/>
    </w:pPr>
    <w:rPr>
      <w:rFonts w:ascii="Verdana" w:eastAsia="Times New Roman" w:hAnsi="Verdana" w:cs="Times New Roman"/>
      <w:b/>
      <w:sz w:val="32"/>
      <w:szCs w:val="20"/>
      <w:lang w:eastAsia="en-AU"/>
    </w:rPr>
  </w:style>
  <w:style w:type="paragraph" w:customStyle="1" w:styleId="Text">
    <w:name w:val="Text"/>
    <w:basedOn w:val="Normal"/>
    <w:link w:val="TextChar"/>
    <w:qFormat/>
    <w:rsid w:val="00420CF4"/>
    <w:pPr>
      <w:spacing w:line="240" w:lineRule="auto"/>
    </w:pPr>
    <w:rPr>
      <w:rFonts w:ascii="Verdana" w:hAnsi="Verdana"/>
      <w:sz w:val="20"/>
      <w:szCs w:val="20"/>
    </w:rPr>
  </w:style>
  <w:style w:type="paragraph" w:customStyle="1" w:styleId="Headings">
    <w:name w:val="Headings"/>
    <w:basedOn w:val="Normal"/>
    <w:link w:val="HeadingsChar"/>
    <w:rsid w:val="00420CF4"/>
    <w:pPr>
      <w:spacing w:before="120" w:after="20" w:line="240" w:lineRule="auto"/>
    </w:pPr>
    <w:rPr>
      <w:rFonts w:ascii="Verdana" w:eastAsia="Times New Roman" w:hAnsi="Verdana" w:cs="Times New Roman"/>
      <w:b/>
      <w:lang w:eastAsia="en-AU"/>
    </w:rPr>
  </w:style>
  <w:style w:type="character" w:customStyle="1" w:styleId="TextChar">
    <w:name w:val="Text Char"/>
    <w:basedOn w:val="DefaultParagraphFont"/>
    <w:link w:val="Text"/>
    <w:rsid w:val="00420CF4"/>
    <w:rPr>
      <w:rFonts w:ascii="Verdana" w:hAnsi="Verdana"/>
      <w:sz w:val="20"/>
      <w:szCs w:val="20"/>
    </w:rPr>
  </w:style>
  <w:style w:type="paragraph" w:customStyle="1" w:styleId="Table-RowHeadings">
    <w:name w:val="Table - Row Headings"/>
    <w:basedOn w:val="Normal"/>
    <w:link w:val="Table-RowHeadingsChar"/>
    <w:qFormat/>
    <w:rsid w:val="00420CF4"/>
    <w:pPr>
      <w:spacing w:line="240" w:lineRule="auto"/>
    </w:pPr>
    <w:rPr>
      <w:rFonts w:ascii="Verdana" w:hAnsi="Verdana"/>
      <w:sz w:val="20"/>
      <w:szCs w:val="20"/>
    </w:rPr>
  </w:style>
  <w:style w:type="character" w:customStyle="1" w:styleId="HeadingsChar">
    <w:name w:val="Headings Char"/>
    <w:basedOn w:val="DefaultParagraphFont"/>
    <w:link w:val="Headings"/>
    <w:rsid w:val="00420CF4"/>
    <w:rPr>
      <w:rFonts w:ascii="Verdana" w:eastAsia="Times New Roman" w:hAnsi="Verdana" w:cs="Times New Roman"/>
      <w:b/>
      <w:lang w:eastAsia="en-AU"/>
    </w:rPr>
  </w:style>
  <w:style w:type="paragraph" w:customStyle="1" w:styleId="Table-YearlyColumnHeadings">
    <w:name w:val="Table - Yearly Column Headings"/>
    <w:basedOn w:val="Table-RowHeadings"/>
    <w:link w:val="Table-YearlyColumnHeadingsChar"/>
    <w:qFormat/>
    <w:rsid w:val="00420CF4"/>
    <w:pPr>
      <w:jc w:val="right"/>
    </w:pPr>
  </w:style>
  <w:style w:type="character" w:customStyle="1" w:styleId="Table-RowHeadingsChar">
    <w:name w:val="Table - Row Headings Char"/>
    <w:basedOn w:val="DefaultParagraphFont"/>
    <w:link w:val="Table-RowHeadings"/>
    <w:rsid w:val="00420CF4"/>
    <w:rPr>
      <w:rFonts w:ascii="Verdana" w:hAnsi="Verdana"/>
      <w:sz w:val="20"/>
      <w:szCs w:val="20"/>
    </w:rPr>
  </w:style>
  <w:style w:type="character" w:customStyle="1" w:styleId="Table-YearlyColumnHeadingsChar">
    <w:name w:val="Table - Yearly Column Headings Char"/>
    <w:basedOn w:val="Table-RowHeadingsChar"/>
    <w:link w:val="Table-YearlyColumnHeadings"/>
    <w:rsid w:val="00420CF4"/>
    <w:rPr>
      <w:rFonts w:ascii="Verdana" w:hAnsi="Verdana"/>
      <w:sz w:val="20"/>
      <w:szCs w:val="20"/>
    </w:rPr>
  </w:style>
  <w:style w:type="paragraph" w:customStyle="1" w:styleId="Notes">
    <w:name w:val="Notes"/>
    <w:basedOn w:val="ChartandTableFootnoteAlpha"/>
    <w:link w:val="NotesChar"/>
    <w:qFormat/>
    <w:rsid w:val="00420CF4"/>
    <w:pPr>
      <w:numPr>
        <w:numId w:val="0"/>
      </w:numPr>
    </w:pPr>
    <w:rPr>
      <w:rFonts w:ascii="Verdana" w:hAnsi="Verdana"/>
    </w:rPr>
  </w:style>
  <w:style w:type="paragraph" w:customStyle="1" w:styleId="TextItalicised">
    <w:name w:val="Text Italicised"/>
    <w:basedOn w:val="Normal"/>
    <w:link w:val="TextItalicisedChar"/>
    <w:qFormat/>
    <w:rsid w:val="00420CF4"/>
    <w:pPr>
      <w:spacing w:line="240" w:lineRule="auto"/>
    </w:pPr>
    <w:rPr>
      <w:rFonts w:ascii="Verdana" w:hAnsi="Verdana"/>
      <w:i/>
      <w:iCs/>
      <w:sz w:val="20"/>
      <w:szCs w:val="20"/>
    </w:rPr>
  </w:style>
  <w:style w:type="character" w:customStyle="1" w:styleId="NotesChar">
    <w:name w:val="Notes Char"/>
    <w:basedOn w:val="DefaultParagraphFont"/>
    <w:link w:val="Notes"/>
    <w:rsid w:val="00420CF4"/>
    <w:rPr>
      <w:rFonts w:ascii="Verdana" w:eastAsia="Times New Roman" w:hAnsi="Verdana" w:cs="Times New Roman"/>
      <w:sz w:val="16"/>
      <w:szCs w:val="20"/>
      <w:lang w:eastAsia="en-AU"/>
    </w:rPr>
  </w:style>
  <w:style w:type="character" w:customStyle="1" w:styleId="TextItalicisedChar">
    <w:name w:val="Text Italicised Char"/>
    <w:basedOn w:val="DefaultParagraphFont"/>
    <w:link w:val="TextItalicised"/>
    <w:rsid w:val="00420CF4"/>
    <w:rPr>
      <w:rFonts w:ascii="Verdana" w:hAnsi="Verdana"/>
      <w:i/>
      <w:iCs/>
      <w:sz w:val="20"/>
      <w:szCs w:val="20"/>
    </w:rPr>
  </w:style>
  <w:style w:type="table" w:customStyle="1" w:styleId="TableGrid7">
    <w:name w:val="Table Grid7"/>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rsid w:val="00420CF4"/>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paragraph" w:customStyle="1" w:styleId="Captionheading">
    <w:name w:val="Caption heading"/>
    <w:basedOn w:val="Caption"/>
    <w:link w:val="CaptionheadingChar"/>
    <w:qFormat/>
    <w:rsid w:val="00420CF4"/>
  </w:style>
  <w:style w:type="character" w:customStyle="1" w:styleId="CaptionheadingChar">
    <w:name w:val="Caption heading Char"/>
    <w:basedOn w:val="CaptionChar"/>
    <w:link w:val="Captionheading"/>
    <w:rsid w:val="00420CF4"/>
    <w:rPr>
      <w:b/>
      <w:bCs/>
      <w:color w:val="2B3B5F" w:themeColor="text2"/>
      <w:spacing w:val="-4"/>
    </w:rPr>
  </w:style>
  <w:style w:type="paragraph" w:customStyle="1" w:styleId="Bullet1">
    <w:name w:val="Bullet 1"/>
    <w:basedOn w:val="ListBullet"/>
    <w:link w:val="Bullet1Char"/>
    <w:qFormat/>
    <w:rsid w:val="00420CF4"/>
    <w:pPr>
      <w:numPr>
        <w:numId w:val="0"/>
      </w:numPr>
      <w:ind w:left="227" w:hanging="227"/>
    </w:pPr>
    <w:rPr>
      <w:rFonts w:eastAsia="Times New Roman" w:cs="Times New Roman"/>
      <w:spacing w:val="0"/>
      <w:lang w:eastAsia="en-AU"/>
    </w:rPr>
  </w:style>
  <w:style w:type="character" w:customStyle="1" w:styleId="Bullet1Char">
    <w:name w:val="Bullet 1 Char"/>
    <w:basedOn w:val="DefaultParagraphFont"/>
    <w:link w:val="Bullet1"/>
    <w:rsid w:val="00420CF4"/>
    <w:rPr>
      <w:rFonts w:eastAsia="Times New Roman" w:cs="Times New Roman"/>
      <w:lang w:eastAsia="en-AU"/>
    </w:rPr>
  </w:style>
  <w:style w:type="paragraph" w:customStyle="1" w:styleId="Bullet3">
    <w:name w:val="Bullet 3"/>
    <w:basedOn w:val="TableTextBullet3"/>
    <w:link w:val="Bullet3Char"/>
    <w:qFormat/>
    <w:rsid w:val="00420CF4"/>
    <w:pPr>
      <w:numPr>
        <w:ilvl w:val="0"/>
        <w:numId w:val="0"/>
      </w:numPr>
      <w:tabs>
        <w:tab w:val="num" w:pos="1361"/>
      </w:tabs>
      <w:spacing w:before="0" w:after="113" w:line="300" w:lineRule="atLeast"/>
      <w:ind w:left="1361" w:right="0" w:hanging="454"/>
    </w:pPr>
    <w:rPr>
      <w:sz w:val="22"/>
    </w:rPr>
  </w:style>
  <w:style w:type="character" w:customStyle="1" w:styleId="TableTextChar">
    <w:name w:val="Table Text Char"/>
    <w:basedOn w:val="DefaultParagraphFont"/>
    <w:link w:val="TableText"/>
    <w:rsid w:val="00142CA8"/>
    <w:rPr>
      <w:rFonts w:cs="Times New Roman"/>
      <w:sz w:val="20"/>
    </w:rPr>
  </w:style>
  <w:style w:type="character" w:customStyle="1" w:styleId="Bullet3Char">
    <w:name w:val="Bullet 3 Char"/>
    <w:basedOn w:val="DefaultParagraphFont"/>
    <w:link w:val="Bullet3"/>
    <w:rsid w:val="00420CF4"/>
    <w:rPr>
      <w:rFonts w:cs="Times New Roman"/>
    </w:rPr>
  </w:style>
  <w:style w:type="table" w:customStyle="1" w:styleId="TableGrid9">
    <w:name w:val="Table Grid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7Costings">
    <w:name w:val="H7 Costings"/>
    <w:basedOn w:val="Heading2"/>
    <w:rsid w:val="00420CF4"/>
    <w:pPr>
      <w:numPr>
        <w:ilvl w:val="0"/>
        <w:numId w:val="0"/>
      </w:numPr>
      <w:tabs>
        <w:tab w:val="num" w:pos="907"/>
      </w:tabs>
      <w:ind w:left="907" w:hanging="453"/>
    </w:pPr>
    <w:rPr>
      <w:sz w:val="28"/>
    </w:rPr>
  </w:style>
  <w:style w:type="paragraph" w:customStyle="1" w:styleId="CostingsH7">
    <w:name w:val="Costings H7"/>
    <w:basedOn w:val="Heading7"/>
    <w:next w:val="BodyText"/>
    <w:qFormat/>
    <w:rsid w:val="00420CF4"/>
    <w:pPr>
      <w:spacing w:before="470" w:after="228"/>
    </w:pPr>
    <w:rPr>
      <w:b w:val="0"/>
      <w:color w:val="2B3B5F" w:themeColor="text2"/>
      <w:sz w:val="28"/>
    </w:rPr>
  </w:style>
  <w:style w:type="paragraph" w:customStyle="1" w:styleId="CostingsH8">
    <w:name w:val="Costings H8"/>
    <w:basedOn w:val="Heading8"/>
    <w:next w:val="BodyText"/>
    <w:qFormat/>
    <w:rsid w:val="006440E9"/>
    <w:pPr>
      <w:numPr>
        <w:numId w:val="0"/>
      </w:numPr>
      <w:spacing w:before="240" w:after="120"/>
    </w:pPr>
    <w:rPr>
      <w:rFonts w:ascii="Calibri" w:hAnsi="Calibri"/>
      <w:b/>
      <w:sz w:val="24"/>
      <w:szCs w:val="24"/>
    </w:rPr>
  </w:style>
  <w:style w:type="paragraph" w:customStyle="1" w:styleId="Bullet2">
    <w:name w:val="Bullet 2"/>
    <w:basedOn w:val="ListBullet2"/>
    <w:link w:val="Bullet2Char"/>
    <w:qFormat/>
    <w:rsid w:val="00111844"/>
    <w:pPr>
      <w:numPr>
        <w:ilvl w:val="0"/>
        <w:numId w:val="0"/>
      </w:numPr>
      <w:tabs>
        <w:tab w:val="num" w:pos="0"/>
      </w:tabs>
      <w:ind w:left="908" w:hanging="454"/>
    </w:pPr>
    <w:rPr>
      <w:rFonts w:eastAsia="Times New Roman" w:cs="Times New Roman"/>
      <w:lang w:eastAsia="en-AU"/>
    </w:rPr>
  </w:style>
  <w:style w:type="character" w:customStyle="1" w:styleId="Bullet2Char">
    <w:name w:val="Bullet 2 Char"/>
    <w:basedOn w:val="DefaultParagraphFont"/>
    <w:link w:val="Bullet2"/>
    <w:rsid w:val="00111844"/>
    <w:rPr>
      <w:rFonts w:eastAsia="Times New Roman" w:cs="Times New Roman"/>
      <w:spacing w:val="-1"/>
      <w:lang w:eastAsia="en-AU"/>
    </w:rPr>
  </w:style>
  <w:style w:type="table" w:customStyle="1" w:styleId="TableGrid34">
    <w:name w:val="Table Grid34"/>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5">
    <w:name w:val="Table Grid35"/>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6">
    <w:name w:val="Table Grid36"/>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character" w:styleId="IntenseReference">
    <w:name w:val="Intense Reference"/>
    <w:aliases w:val="DLM format"/>
    <w:basedOn w:val="DefaultParagraphFont"/>
    <w:qFormat/>
    <w:rsid w:val="007116AB"/>
    <w:rPr>
      <w:rFonts w:ascii="Arial" w:hAnsi="Arial"/>
      <w:b/>
      <w:bCs/>
      <w:color w:val="FF0000"/>
      <w:spacing w:val="5"/>
      <w:sz w:val="28"/>
      <w:szCs w:val="28"/>
    </w:rPr>
  </w:style>
  <w:style w:type="table" w:customStyle="1" w:styleId="TableGrid37">
    <w:name w:val="Table Grid37"/>
    <w:basedOn w:val="TableNormal"/>
    <w:next w:val="TableGrid"/>
    <w:uiPriority w:val="59"/>
    <w:rsid w:val="00060644"/>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8">
    <w:name w:val="Table Grid38"/>
    <w:basedOn w:val="TableNormal"/>
    <w:next w:val="TableGrid"/>
    <w:rsid w:val="00CE66B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9">
    <w:name w:val="Table Grid39"/>
    <w:basedOn w:val="TableNormal"/>
    <w:next w:val="TableGrid"/>
    <w:rsid w:val="00E478E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0">
    <w:name w:val="Table Grid40"/>
    <w:basedOn w:val="TableNormal"/>
    <w:next w:val="TableGrid"/>
    <w:rsid w:val="00B45FF5"/>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1">
    <w:name w:val="Table Grid41"/>
    <w:basedOn w:val="TableNormal"/>
    <w:next w:val="TableGrid"/>
    <w:rsid w:val="009C28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2">
    <w:name w:val="Table Grid42"/>
    <w:basedOn w:val="TableNormal"/>
    <w:next w:val="TableGrid"/>
    <w:rsid w:val="0079567B"/>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3">
    <w:name w:val="Table Grid43"/>
    <w:basedOn w:val="TableNormal"/>
    <w:next w:val="TableGrid"/>
    <w:rsid w:val="00617983"/>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styleId="Revision">
    <w:name w:val="Revision"/>
    <w:hidden/>
    <w:uiPriority w:val="99"/>
    <w:semiHidden/>
    <w:rsid w:val="00AF3FCF"/>
    <w:pPr>
      <w:spacing w:line="240" w:lineRule="auto"/>
    </w:pPr>
  </w:style>
  <w:style w:type="table" w:customStyle="1" w:styleId="TableGrid44">
    <w:name w:val="Table Grid44"/>
    <w:basedOn w:val="TableNormal"/>
    <w:next w:val="TableGrid"/>
    <w:rsid w:val="001D69EB"/>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5">
    <w:name w:val="Table Grid45"/>
    <w:basedOn w:val="TableNormal"/>
    <w:next w:val="TableGrid"/>
    <w:rsid w:val="00D379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6">
    <w:name w:val="Table Grid46"/>
    <w:basedOn w:val="TableNormal"/>
    <w:next w:val="TableGrid"/>
    <w:rsid w:val="00D379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character" w:styleId="HTMLCite">
    <w:name w:val="HTML Cite"/>
    <w:basedOn w:val="DefaultParagraphFont"/>
    <w:uiPriority w:val="99"/>
    <w:semiHidden/>
    <w:unhideWhenUsed/>
    <w:rsid w:val="00F22007"/>
    <w:rPr>
      <w:i/>
      <w:iCs/>
    </w:rPr>
  </w:style>
  <w:style w:type="table" w:customStyle="1" w:styleId="TableGrid47">
    <w:name w:val="Table Grid47"/>
    <w:basedOn w:val="TableNormal"/>
    <w:next w:val="TableGrid"/>
    <w:rsid w:val="007D4011"/>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8">
    <w:name w:val="Table Grid48"/>
    <w:basedOn w:val="TableNormal"/>
    <w:next w:val="TableGrid"/>
    <w:rsid w:val="00A176C8"/>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9">
    <w:name w:val="Table Grid49"/>
    <w:basedOn w:val="TableNormal"/>
    <w:next w:val="TableGrid"/>
    <w:rsid w:val="00407FA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customStyle="1" w:styleId="TableTextBullet1">
    <w:name w:val="Table Text Bullet 1"/>
    <w:qFormat/>
    <w:rsid w:val="00407FAE"/>
    <w:pPr>
      <w:numPr>
        <w:ilvl w:val="2"/>
        <w:numId w:val="210"/>
      </w:numPr>
      <w:tabs>
        <w:tab w:val="clear" w:pos="624"/>
        <w:tab w:val="num" w:pos="1304"/>
      </w:tabs>
      <w:spacing w:before="240" w:line="240" w:lineRule="auto"/>
      <w:ind w:left="397" w:hanging="284"/>
    </w:pPr>
    <w:rPr>
      <w:rFonts w:eastAsia="Times New Roman" w:cs="Times New Roman"/>
      <w:sz w:val="20"/>
      <w:lang w:eastAsia="en-AU"/>
    </w:rPr>
  </w:style>
  <w:style w:type="table" w:customStyle="1" w:styleId="Style11">
    <w:name w:val="Style11"/>
    <w:basedOn w:val="TableNormal"/>
    <w:uiPriority w:val="99"/>
    <w:rsid w:val="00407FAE"/>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0">
    <w:name w:val="Table Grid110"/>
    <w:basedOn w:val="TableNormal"/>
    <w:next w:val="TableGrid"/>
    <w:rsid w:val="00407FA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50">
    <w:name w:val="Table Grid50"/>
    <w:basedOn w:val="TableNormal"/>
    <w:next w:val="TableGrid"/>
    <w:rsid w:val="00BB7A5F"/>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2">
    <w:name w:val="Style12"/>
    <w:basedOn w:val="TableNormal"/>
    <w:uiPriority w:val="99"/>
    <w:rsid w:val="00BB7A5F"/>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51">
    <w:name w:val="Table Grid51"/>
    <w:basedOn w:val="TableNormal"/>
    <w:next w:val="TableGrid"/>
    <w:rsid w:val="000A3B1E"/>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styleId="PlainText">
    <w:name w:val="Plain Text"/>
    <w:basedOn w:val="Normal"/>
    <w:link w:val="PlainTextChar"/>
    <w:uiPriority w:val="99"/>
    <w:semiHidden/>
    <w:unhideWhenUsed/>
    <w:rsid w:val="002C43F8"/>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2C43F8"/>
    <w:rPr>
      <w:rFonts w:ascii="Calibri" w:hAnsi="Calibri"/>
      <w:szCs w:val="21"/>
    </w:rPr>
  </w:style>
  <w:style w:type="paragraph" w:customStyle="1" w:styleId="CostingsH9">
    <w:name w:val="Costings H9"/>
    <w:basedOn w:val="CostingsH8"/>
    <w:next w:val="BodyText"/>
    <w:qFormat/>
    <w:rsid w:val="000C0267"/>
    <w:rPr>
      <w:b w:val="0"/>
      <w:i/>
    </w:rPr>
  </w:style>
  <w:style w:type="paragraph" w:customStyle="1" w:styleId="Bullet4">
    <w:name w:val="Bullet 4"/>
    <w:basedOn w:val="Normal"/>
    <w:qFormat/>
    <w:rsid w:val="00142212"/>
    <w:pPr>
      <w:spacing w:before="120" w:line="240" w:lineRule="auto"/>
      <w:ind w:left="1135" w:hanging="284"/>
    </w:pPr>
    <w:rPr>
      <w:rFonts w:ascii="Times New Roman" w:eastAsia="Times New Roman" w:hAnsi="Times New Roman" w:cs="Times New Roman"/>
      <w:sz w:val="24"/>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footer" w:qFormat="1"/>
    <w:lsdException w:name="caption" w:qFormat="1"/>
    <w:lsdException w:name="table of figures" w:semiHidden="0"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Plain Text" w:uiPriority="99"/>
    <w:lsdException w:name="HTML Top of Form" w:uiPriority="99"/>
    <w:lsdException w:name="HTML Bottom of Form" w:uiPriority="99"/>
    <w:lsdException w:name="HTML Cit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uiPriority="39" w:qFormat="1"/>
  </w:latentStyles>
  <w:style w:type="paragraph" w:default="1" w:styleId="Normal">
    <w:name w:val="Normal"/>
    <w:qFormat/>
    <w:rsid w:val="00A80A91"/>
  </w:style>
  <w:style w:type="paragraph" w:styleId="Heading1">
    <w:name w:val="heading 1"/>
    <w:basedOn w:val="Normal"/>
    <w:next w:val="BodyText"/>
    <w:link w:val="Heading1Char"/>
    <w:qFormat/>
    <w:rsid w:val="00733970"/>
    <w:pPr>
      <w:keepNext/>
      <w:keepLines/>
      <w:numPr>
        <w:numId w:val="10"/>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961DBB"/>
    <w:pPr>
      <w:keepNext/>
      <w:keepLines/>
      <w:numPr>
        <w:ilvl w:val="1"/>
        <w:numId w:val="10"/>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10"/>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593999"/>
    <w:pPr>
      <w:keepNext/>
      <w:keepLines/>
      <w:spacing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4C2EF8"/>
    <w:pPr>
      <w:keepNext/>
      <w:keepLines/>
      <w:spacing w:before="240" w:after="340"/>
      <w:outlineLvl w:val="5"/>
    </w:pPr>
    <w:rPr>
      <w:rFonts w:asciiTheme="majorHAnsi" w:eastAsiaTheme="majorEastAsia" w:hAnsiTheme="majorHAnsi" w:cstheme="majorBidi"/>
      <w:iCs/>
      <w:color w:val="2B3B5F" w:themeColor="text2"/>
      <w:sz w:val="32"/>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A5598"/>
    <w:pPr>
      <w:keepNext/>
      <w:keepLines/>
      <w:numPr>
        <w:numId w:val="1"/>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rsid w:val="00CA5598"/>
    <w:pPr>
      <w:keepNext/>
      <w:keepLines/>
      <w:numPr>
        <w:ilvl w:val="1"/>
        <w:numId w:val="1"/>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0E266E"/>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593999"/>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4C2EF8"/>
    <w:rPr>
      <w:rFonts w:asciiTheme="majorHAnsi" w:eastAsiaTheme="majorEastAsia" w:hAnsiTheme="majorHAnsi" w:cstheme="majorBidi"/>
      <w:iCs/>
      <w:color w:val="2B3B5F" w:themeColor="text2"/>
      <w:sz w:val="32"/>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1"/>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1"/>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link w:val="CaptionChar"/>
    <w:qFormat/>
    <w:rsid w:val="00961DBB"/>
    <w:pPr>
      <w:keepNext/>
      <w:spacing w:before="340" w:after="114"/>
    </w:pPr>
    <w:rPr>
      <w:b/>
      <w:bCs/>
      <w:color w:val="2B3B5F" w:themeColor="text2"/>
      <w:spacing w:val="-4"/>
    </w:rPr>
  </w:style>
  <w:style w:type="paragraph" w:styleId="Footer">
    <w:name w:val="footer"/>
    <w:basedOn w:val="Normal"/>
    <w:link w:val="FooterChar"/>
    <w:qFormat/>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2"/>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3"/>
      </w:numPr>
      <w:spacing w:before="113" w:after="113"/>
    </w:pPr>
    <w:rPr>
      <w:spacing w:val="-1"/>
    </w:rPr>
  </w:style>
  <w:style w:type="paragraph" w:styleId="ListNumber2">
    <w:name w:val="List Number 2"/>
    <w:basedOn w:val="Normal"/>
    <w:qFormat/>
    <w:rsid w:val="00961DBB"/>
    <w:pPr>
      <w:numPr>
        <w:ilvl w:val="1"/>
        <w:numId w:val="3"/>
      </w:numPr>
      <w:spacing w:before="113" w:after="113"/>
    </w:pPr>
    <w:rPr>
      <w:spacing w:val="-1"/>
    </w:rPr>
  </w:style>
  <w:style w:type="paragraph" w:styleId="ListNumber3">
    <w:name w:val="List Number 3"/>
    <w:basedOn w:val="Normal"/>
    <w:qFormat/>
    <w:rsid w:val="00961DBB"/>
    <w:pPr>
      <w:numPr>
        <w:ilvl w:val="2"/>
        <w:numId w:val="3"/>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6440E9"/>
    <w:pPr>
      <w:spacing w:before="113" w:after="113" w:line="260" w:lineRule="atLeast"/>
      <w:ind w:left="57" w:right="57"/>
    </w:pPr>
    <w:rPr>
      <w:spacing w:val="-1"/>
    </w:rPr>
  </w:style>
  <w:style w:type="paragraph" w:customStyle="1" w:styleId="PullOutBoxBullet">
    <w:name w:val="Pull Out Box Bullet"/>
    <w:basedOn w:val="PullOutBoxBodyText"/>
    <w:qFormat/>
    <w:rsid w:val="000155B0"/>
    <w:pPr>
      <w:numPr>
        <w:numId w:val="4"/>
      </w:numPr>
      <w:spacing w:before="70" w:after="70"/>
      <w:ind w:left="341" w:hanging="284"/>
    </w:pPr>
  </w:style>
  <w:style w:type="paragraph" w:customStyle="1" w:styleId="PullOutBoxBullet2">
    <w:name w:val="Pull Out Box Bullet 2"/>
    <w:basedOn w:val="PullOutBoxBodyText"/>
    <w:qFormat/>
    <w:rsid w:val="00130954"/>
    <w:pPr>
      <w:numPr>
        <w:ilvl w:val="1"/>
        <w:numId w:val="4"/>
      </w:numPr>
      <w:spacing w:before="70" w:after="70"/>
    </w:pPr>
  </w:style>
  <w:style w:type="paragraph" w:customStyle="1" w:styleId="PullOutBoxBullet3">
    <w:name w:val="Pull Out Box Bullet 3"/>
    <w:basedOn w:val="PullOutBoxBodyText"/>
    <w:qFormat/>
    <w:rsid w:val="00961DBB"/>
    <w:pPr>
      <w:numPr>
        <w:ilvl w:val="2"/>
        <w:numId w:val="4"/>
      </w:numPr>
    </w:pPr>
  </w:style>
  <w:style w:type="paragraph" w:customStyle="1" w:styleId="PullOutBoxHeading">
    <w:name w:val="Pull Out Box Heading"/>
    <w:basedOn w:val="PullOutBoxBodyText"/>
    <w:qFormat/>
    <w:rsid w:val="00AF6ADB"/>
    <w:pPr>
      <w:keepNext/>
      <w:keepLines/>
      <w:spacing w:before="114" w:after="114"/>
    </w:pPr>
    <w:rPr>
      <w:b/>
    </w:rPr>
  </w:style>
  <w:style w:type="paragraph" w:customStyle="1" w:styleId="PullOutBoxNumber">
    <w:name w:val="Pull Out Box Number"/>
    <w:basedOn w:val="PullOutBoxBodyText"/>
    <w:uiPriority w:val="99"/>
    <w:qFormat/>
    <w:rsid w:val="00961DBB"/>
    <w:pPr>
      <w:numPr>
        <w:numId w:val="5"/>
      </w:numPr>
    </w:pPr>
  </w:style>
  <w:style w:type="paragraph" w:customStyle="1" w:styleId="PullOutBoxNumber2">
    <w:name w:val="Pull Out Box Number 2"/>
    <w:basedOn w:val="PullOutBoxBodyText"/>
    <w:uiPriority w:val="99"/>
    <w:qFormat/>
    <w:rsid w:val="00961DBB"/>
    <w:pPr>
      <w:numPr>
        <w:ilvl w:val="1"/>
        <w:numId w:val="5"/>
      </w:numPr>
    </w:pPr>
  </w:style>
  <w:style w:type="paragraph" w:customStyle="1" w:styleId="PullOutBoxNumber3">
    <w:name w:val="Pull Out Box Number 3"/>
    <w:basedOn w:val="PullOutBoxBodyText"/>
    <w:uiPriority w:val="99"/>
    <w:qFormat/>
    <w:rsid w:val="00961DBB"/>
    <w:pPr>
      <w:numPr>
        <w:ilvl w:val="2"/>
        <w:numId w:val="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6"/>
      </w:numPr>
    </w:pPr>
  </w:style>
  <w:style w:type="paragraph" w:customStyle="1" w:styleId="QuoteBullet2">
    <w:name w:val="Quote Bullet 2"/>
    <w:basedOn w:val="Quote"/>
    <w:qFormat/>
    <w:rsid w:val="00961DBB"/>
    <w:pPr>
      <w:numPr>
        <w:ilvl w:val="1"/>
        <w:numId w:val="6"/>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7"/>
      </w:numPr>
      <w:spacing w:after="50"/>
    </w:pPr>
    <w:rPr>
      <w:color w:val="788184" w:themeColor="background2"/>
      <w:sz w:val="20"/>
    </w:rPr>
  </w:style>
  <w:style w:type="table" w:styleId="TableGrid">
    <w:name w:val="Table Grid"/>
    <w:basedOn w:val="TableNormal"/>
    <w:uiPriority w:val="59"/>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761B5C"/>
    <w:pPr>
      <w:keepNext/>
      <w:keepLines/>
      <w:spacing w:before="70" w:after="70" w:line="260" w:lineRule="atLeast"/>
      <w:ind w:left="57" w:right="57"/>
    </w:pPr>
    <w:rPr>
      <w:rFonts w:cs="Times New Roman"/>
      <w:b/>
      <w:sz w:val="20"/>
    </w:rPr>
  </w:style>
  <w:style w:type="paragraph" w:customStyle="1" w:styleId="TableHeadingCentred">
    <w:name w:val="Table Heading Centred"/>
    <w:basedOn w:val="TableHeading"/>
    <w:qFormat/>
    <w:rsid w:val="00761B5C"/>
    <w:pPr>
      <w:jc w:val="center"/>
    </w:pPr>
  </w:style>
  <w:style w:type="paragraph" w:customStyle="1" w:styleId="TableHeadingRight">
    <w:name w:val="Table Heading Right"/>
    <w:basedOn w:val="TableHeading"/>
    <w:qFormat/>
    <w:rsid w:val="00761B5C"/>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link w:val="TableTextChar"/>
    <w:qFormat/>
    <w:rsid w:val="00142CA8"/>
    <w:pPr>
      <w:spacing w:before="70" w:after="70" w:line="260" w:lineRule="atLeast"/>
      <w:ind w:left="57" w:right="57"/>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9"/>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142CA8"/>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right" w:leader="underscore" w:pos="8164"/>
      </w:tabs>
      <w:spacing w:after="227"/>
      <w:ind w:right="851"/>
    </w:pPr>
    <w:rPr>
      <w:b/>
      <w:noProof/>
      <w:color w:val="2B3B5F" w:themeColor="text2"/>
    </w:rPr>
  </w:style>
  <w:style w:type="paragraph" w:styleId="TOC2">
    <w:name w:val="toc 2"/>
    <w:basedOn w:val="Normal"/>
    <w:next w:val="Normal"/>
    <w:uiPriority w:val="39"/>
    <w:rsid w:val="001B2C65"/>
    <w:pPr>
      <w:tabs>
        <w:tab w:val="right" w:leader="underscore" w:pos="8164"/>
      </w:tabs>
      <w:spacing w:after="227"/>
      <w:ind w:left="454" w:right="851"/>
    </w:pPr>
    <w:rPr>
      <w:noProof/>
      <w:szCs w:val="28"/>
    </w:rPr>
  </w:style>
  <w:style w:type="paragraph" w:styleId="TOC3">
    <w:name w:val="toc 3"/>
    <w:basedOn w:val="Normal"/>
    <w:next w:val="Normal"/>
    <w:uiPriority w:val="39"/>
    <w:rsid w:val="001B2C65"/>
    <w:pPr>
      <w:tabs>
        <w:tab w:val="right" w:leader="underscore" w:pos="8164"/>
      </w:tabs>
      <w:spacing w:after="227"/>
      <w:ind w:left="907" w:right="851"/>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rsid w:val="00961DBB"/>
    <w:pPr>
      <w:spacing w:after="100"/>
      <w:ind w:left="1000"/>
    </w:pPr>
  </w:style>
  <w:style w:type="paragraph" w:styleId="TOC7">
    <w:name w:val="toc 7"/>
    <w:basedOn w:val="Normal"/>
    <w:next w:val="Normal"/>
    <w:autoRedefine/>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uiPriority w:val="39"/>
    <w:qFormat/>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character" w:customStyle="1" w:styleId="CaptionChar">
    <w:name w:val="Caption Char"/>
    <w:basedOn w:val="DefaultParagraphFont"/>
    <w:link w:val="Caption"/>
    <w:locked/>
    <w:rsid w:val="00420CF4"/>
    <w:rPr>
      <w:b/>
      <w:bCs/>
      <w:color w:val="2B3B5F" w:themeColor="text2"/>
      <w:spacing w:val="-4"/>
    </w:rPr>
  </w:style>
  <w:style w:type="character" w:styleId="CommentReference">
    <w:name w:val="annotation reference"/>
    <w:basedOn w:val="DefaultParagraphFont"/>
    <w:semiHidden/>
    <w:unhideWhenUsed/>
    <w:rsid w:val="00420CF4"/>
    <w:rPr>
      <w:sz w:val="16"/>
      <w:szCs w:val="16"/>
    </w:rPr>
  </w:style>
  <w:style w:type="paragraph" w:styleId="CommentText">
    <w:name w:val="annotation text"/>
    <w:basedOn w:val="Normal"/>
    <w:link w:val="CommentTextChar"/>
    <w:semiHidden/>
    <w:unhideWhenUsed/>
    <w:rsid w:val="00420CF4"/>
    <w:pPr>
      <w:spacing w:line="240" w:lineRule="auto"/>
    </w:pPr>
    <w:rPr>
      <w:sz w:val="20"/>
      <w:szCs w:val="20"/>
    </w:rPr>
  </w:style>
  <w:style w:type="character" w:customStyle="1" w:styleId="CommentTextChar">
    <w:name w:val="Comment Text Char"/>
    <w:basedOn w:val="DefaultParagraphFont"/>
    <w:link w:val="CommentText"/>
    <w:semiHidden/>
    <w:rsid w:val="00420CF4"/>
    <w:rPr>
      <w:sz w:val="20"/>
      <w:szCs w:val="20"/>
    </w:rPr>
  </w:style>
  <w:style w:type="paragraph" w:styleId="CommentSubject">
    <w:name w:val="annotation subject"/>
    <w:basedOn w:val="CommentText"/>
    <w:next w:val="CommentText"/>
    <w:link w:val="CommentSubjectChar"/>
    <w:semiHidden/>
    <w:unhideWhenUsed/>
    <w:rsid w:val="00420CF4"/>
    <w:rPr>
      <w:b/>
      <w:bCs/>
    </w:rPr>
  </w:style>
  <w:style w:type="character" w:customStyle="1" w:styleId="CommentSubjectChar">
    <w:name w:val="Comment Subject Char"/>
    <w:basedOn w:val="CommentTextChar"/>
    <w:link w:val="CommentSubject"/>
    <w:semiHidden/>
    <w:rsid w:val="00420CF4"/>
    <w:rPr>
      <w:b/>
      <w:bCs/>
      <w:sz w:val="20"/>
      <w:szCs w:val="20"/>
    </w:rPr>
  </w:style>
  <w:style w:type="paragraph" w:styleId="EndnoteText">
    <w:name w:val="endnote text"/>
    <w:basedOn w:val="Normal"/>
    <w:link w:val="EndnoteTextChar"/>
    <w:semiHidden/>
    <w:unhideWhenUsed/>
    <w:rsid w:val="00420CF4"/>
    <w:pPr>
      <w:spacing w:line="240" w:lineRule="auto"/>
    </w:pPr>
    <w:rPr>
      <w:sz w:val="20"/>
      <w:szCs w:val="20"/>
    </w:rPr>
  </w:style>
  <w:style w:type="character" w:customStyle="1" w:styleId="EndnoteTextChar">
    <w:name w:val="Endnote Text Char"/>
    <w:basedOn w:val="DefaultParagraphFont"/>
    <w:link w:val="EndnoteText"/>
    <w:semiHidden/>
    <w:rsid w:val="00420CF4"/>
    <w:rPr>
      <w:sz w:val="20"/>
      <w:szCs w:val="20"/>
    </w:rPr>
  </w:style>
  <w:style w:type="character" w:styleId="EndnoteReference">
    <w:name w:val="endnote reference"/>
    <w:basedOn w:val="DefaultParagraphFont"/>
    <w:semiHidden/>
    <w:unhideWhenUsed/>
    <w:rsid w:val="00420CF4"/>
    <w:rPr>
      <w:vertAlign w:val="superscript"/>
    </w:rPr>
  </w:style>
  <w:style w:type="table" w:customStyle="1" w:styleId="TableGrid1">
    <w:name w:val="Table Grid1"/>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tandTableFootnoteAlpha">
    <w:name w:val="Chart and Table Footnote Alpha"/>
    <w:basedOn w:val="Normal"/>
    <w:next w:val="Normal"/>
    <w:uiPriority w:val="99"/>
    <w:rsid w:val="00420CF4"/>
    <w:pPr>
      <w:keepNext/>
      <w:numPr>
        <w:numId w:val="11"/>
      </w:numPr>
      <w:spacing w:line="240" w:lineRule="auto"/>
      <w:jc w:val="both"/>
    </w:pPr>
    <w:rPr>
      <w:rFonts w:ascii="Arial" w:eastAsia="Times New Roman" w:hAnsi="Arial" w:cs="Times New Roman"/>
      <w:sz w:val="16"/>
      <w:szCs w:val="20"/>
      <w:lang w:eastAsia="en-AU"/>
    </w:rPr>
  </w:style>
  <w:style w:type="paragraph" w:customStyle="1" w:styleId="Bullet">
    <w:name w:val="Bullet"/>
    <w:basedOn w:val="Normal"/>
    <w:link w:val="BulletChar"/>
    <w:uiPriority w:val="99"/>
    <w:rsid w:val="00420CF4"/>
    <w:pPr>
      <w:numPr>
        <w:numId w:val="12"/>
      </w:numPr>
      <w:spacing w:after="60" w:line="200" w:lineRule="atLeast"/>
    </w:pPr>
    <w:rPr>
      <w:rFonts w:ascii="Times New Roman" w:eastAsia="Times New Roman" w:hAnsi="Times New Roman" w:cs="Times New Roman"/>
      <w:sz w:val="24"/>
      <w:szCs w:val="20"/>
      <w:lang w:eastAsia="en-AU"/>
    </w:rPr>
  </w:style>
  <w:style w:type="character" w:customStyle="1" w:styleId="BulletChar">
    <w:name w:val="Bullet Char"/>
    <w:basedOn w:val="DefaultParagraphFont"/>
    <w:link w:val="Bullet"/>
    <w:uiPriority w:val="99"/>
    <w:rsid w:val="00420CF4"/>
    <w:rPr>
      <w:rFonts w:ascii="Times New Roman" w:eastAsia="Times New Roman" w:hAnsi="Times New Roman" w:cs="Times New Roman"/>
      <w:sz w:val="24"/>
      <w:szCs w:val="20"/>
      <w:lang w:eastAsia="en-AU"/>
    </w:rPr>
  </w:style>
  <w:style w:type="character" w:styleId="Strong">
    <w:name w:val="Strong"/>
    <w:qFormat/>
    <w:rsid w:val="00420CF4"/>
    <w:rPr>
      <w:b/>
      <w:bCs/>
    </w:rPr>
  </w:style>
  <w:style w:type="table" w:customStyle="1" w:styleId="TableGrid2">
    <w:name w:val="Table Grid2"/>
    <w:basedOn w:val="TableNormal"/>
    <w:next w:val="TableGrid"/>
    <w:uiPriority w:val="59"/>
    <w:rsid w:val="00420CF4"/>
    <w:pPr>
      <w:keepNext/>
      <w:keepLines/>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0CF4"/>
    <w:pPr>
      <w:keepNext/>
      <w:keepLines/>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420CF4"/>
    <w:pPr>
      <w:ind w:left="720"/>
      <w:contextualSpacing/>
    </w:pPr>
  </w:style>
  <w:style w:type="paragraph" w:styleId="TOC9">
    <w:name w:val="toc 9"/>
    <w:basedOn w:val="Normal"/>
    <w:next w:val="Normal"/>
    <w:autoRedefine/>
    <w:uiPriority w:val="39"/>
    <w:unhideWhenUsed/>
    <w:rsid w:val="00420CF4"/>
    <w:pPr>
      <w:spacing w:after="100"/>
      <w:ind w:left="1760"/>
    </w:pPr>
  </w:style>
  <w:style w:type="paragraph" w:customStyle="1" w:styleId="Footnotes">
    <w:name w:val="Footnotes"/>
    <w:basedOn w:val="ListParagraph"/>
    <w:link w:val="FootnotesChar"/>
    <w:qFormat/>
    <w:rsid w:val="00420CF4"/>
    <w:pPr>
      <w:numPr>
        <w:numId w:val="57"/>
      </w:numPr>
      <w:spacing w:before="114" w:line="260" w:lineRule="atLeast"/>
    </w:pPr>
    <w:rPr>
      <w:sz w:val="20"/>
      <w:szCs w:val="20"/>
    </w:rPr>
  </w:style>
  <w:style w:type="character" w:customStyle="1" w:styleId="FootnotesChar">
    <w:name w:val="Footnotes Char"/>
    <w:basedOn w:val="DefaultParagraphFont"/>
    <w:link w:val="Footnotes"/>
    <w:rsid w:val="00420CF4"/>
    <w:rPr>
      <w:sz w:val="20"/>
      <w:szCs w:val="20"/>
    </w:rPr>
  </w:style>
  <w:style w:type="paragraph" w:customStyle="1" w:styleId="TableParagraph">
    <w:name w:val="Table Paragraph"/>
    <w:basedOn w:val="Normal"/>
    <w:uiPriority w:val="1"/>
    <w:qFormat/>
    <w:rsid w:val="00420CF4"/>
    <w:pPr>
      <w:widowControl w:val="0"/>
      <w:autoSpaceDE w:val="0"/>
      <w:autoSpaceDN w:val="0"/>
      <w:adjustRightInd w:val="0"/>
      <w:spacing w:line="240" w:lineRule="auto"/>
    </w:pPr>
    <w:rPr>
      <w:rFonts w:ascii="Times New Roman" w:eastAsiaTheme="minorEastAsia" w:hAnsi="Times New Roman" w:cs="Times New Roman"/>
      <w:sz w:val="24"/>
      <w:szCs w:val="24"/>
      <w:lang w:eastAsia="en-AU"/>
    </w:rPr>
  </w:style>
  <w:style w:type="character" w:styleId="FollowedHyperlink">
    <w:name w:val="FollowedHyperlink"/>
    <w:basedOn w:val="DefaultParagraphFont"/>
    <w:semiHidden/>
    <w:unhideWhenUsed/>
    <w:rsid w:val="00420CF4"/>
    <w:rPr>
      <w:color w:val="000000" w:themeColor="followedHyperlink"/>
      <w:u w:val="single"/>
    </w:rPr>
  </w:style>
  <w:style w:type="paragraph" w:customStyle="1" w:styleId="xl52411">
    <w:name w:val="xl52411"/>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2">
    <w:name w:val="xl52412"/>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3">
    <w:name w:val="xl52413"/>
    <w:basedOn w:val="Normal"/>
    <w:rsid w:val="00420CF4"/>
    <w:pPr>
      <w:pBdr>
        <w:bottom w:val="single" w:sz="12"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4">
    <w:name w:val="xl52414"/>
    <w:basedOn w:val="Normal"/>
    <w:rsid w:val="00420CF4"/>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15">
    <w:name w:val="xl52415"/>
    <w:basedOn w:val="Normal"/>
    <w:rsid w:val="00420CF4"/>
    <w:pPr>
      <w:pBdr>
        <w:bottom w:val="single" w:sz="12"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16">
    <w:name w:val="xl52416"/>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52417">
    <w:name w:val="xl52417"/>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52418">
    <w:name w:val="xl52418"/>
    <w:basedOn w:val="Normal"/>
    <w:rsid w:val="00420CF4"/>
    <w:pP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19">
    <w:name w:val="xl52419"/>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20">
    <w:name w:val="xl52420"/>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1">
    <w:name w:val="xl52421"/>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2">
    <w:name w:val="xl52422"/>
    <w:basedOn w:val="Normal"/>
    <w:rsid w:val="00420CF4"/>
    <w:pPr>
      <w:shd w:val="clear" w:color="000000" w:fill="2B3B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eastAsia="en-AU"/>
    </w:rPr>
  </w:style>
  <w:style w:type="paragraph" w:customStyle="1" w:styleId="xl52423">
    <w:name w:val="xl52423"/>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24">
    <w:name w:val="xl52424"/>
    <w:basedOn w:val="Normal"/>
    <w:rsid w:val="00420CF4"/>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5">
    <w:name w:val="xl52425"/>
    <w:basedOn w:val="Normal"/>
    <w:rsid w:val="00420CF4"/>
    <w:pPr>
      <w:shd w:val="clear" w:color="000000" w:fill="D7DDE9"/>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26">
    <w:name w:val="xl52426"/>
    <w:basedOn w:val="Normal"/>
    <w:rsid w:val="00420CF4"/>
    <w:pP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27">
    <w:name w:val="xl52427"/>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28">
    <w:name w:val="xl52428"/>
    <w:basedOn w:val="Normal"/>
    <w:rsid w:val="00420CF4"/>
    <w:pP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29">
    <w:name w:val="xl52429"/>
    <w:basedOn w:val="Normal"/>
    <w:rsid w:val="00420CF4"/>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0">
    <w:name w:val="xl52430"/>
    <w:basedOn w:val="Normal"/>
    <w:rsid w:val="00420CF4"/>
    <w:pPr>
      <w:pBdr>
        <w:bottom w:val="single" w:sz="12" w:space="0" w:color="2B3B5F"/>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1">
    <w:name w:val="xl52431"/>
    <w:basedOn w:val="Normal"/>
    <w:rsid w:val="00420CF4"/>
    <w:pPr>
      <w:pBdr>
        <w:bottom w:val="single" w:sz="12" w:space="0" w:color="2B3B5F"/>
      </w:pBd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n-AU"/>
    </w:rPr>
  </w:style>
  <w:style w:type="paragraph" w:customStyle="1" w:styleId="xl52432">
    <w:name w:val="xl52432"/>
    <w:basedOn w:val="Normal"/>
    <w:rsid w:val="00420CF4"/>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52433">
    <w:name w:val="xl52433"/>
    <w:basedOn w:val="Normal"/>
    <w:rsid w:val="00420CF4"/>
    <w:pPr>
      <w:shd w:val="clear" w:color="000000" w:fill="D7DDE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AU"/>
    </w:rPr>
  </w:style>
  <w:style w:type="paragraph" w:customStyle="1" w:styleId="xl52434">
    <w:name w:val="xl52434"/>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35">
    <w:name w:val="xl52435"/>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36">
    <w:name w:val="xl52436"/>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37">
    <w:name w:val="xl52437"/>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38">
    <w:name w:val="xl52438"/>
    <w:basedOn w:val="Normal"/>
    <w:rsid w:val="00420CF4"/>
    <w:pP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39">
    <w:name w:val="xl52439"/>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0">
    <w:name w:val="xl52440"/>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41">
    <w:name w:val="xl52441"/>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2">
    <w:name w:val="xl52442"/>
    <w:basedOn w:val="Normal"/>
    <w:rsid w:val="00420CF4"/>
    <w:pPr>
      <w:pBdr>
        <w:top w:val="single" w:sz="4" w:space="0" w:color="2B3B5F"/>
        <w:bottom w:val="single" w:sz="8" w:space="0" w:color="2B3B5F"/>
      </w:pBdr>
      <w:shd w:val="clear" w:color="000000" w:fill="D7DDE9"/>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43">
    <w:name w:val="xl52443"/>
    <w:basedOn w:val="Normal"/>
    <w:rsid w:val="00420CF4"/>
    <w:pPr>
      <w:pBdr>
        <w:top w:val="single" w:sz="4" w:space="0" w:color="2B3B5F"/>
        <w:bottom w:val="single" w:sz="8" w:space="0" w:color="2B3B5F"/>
      </w:pBdr>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44">
    <w:name w:val="xl52444"/>
    <w:basedOn w:val="Normal"/>
    <w:rsid w:val="00420CF4"/>
    <w:pPr>
      <w:pBdr>
        <w:top w:val="single" w:sz="4" w:space="0" w:color="2B3B5F"/>
        <w:bottom w:val="single" w:sz="8" w:space="0" w:color="2B3B5F"/>
      </w:pBdr>
      <w:shd w:val="clear" w:color="000000" w:fill="D7DDE9"/>
      <w:spacing w:before="100" w:beforeAutospacing="1" w:after="100" w:afterAutospacing="1" w:line="240" w:lineRule="auto"/>
      <w:jc w:val="right"/>
      <w:textAlignment w:val="center"/>
    </w:pPr>
    <w:rPr>
      <w:rFonts w:ascii="Times New Roman" w:eastAsia="Times New Roman" w:hAnsi="Times New Roman" w:cs="Times New Roman"/>
      <w:sz w:val="16"/>
      <w:szCs w:val="16"/>
      <w:lang w:eastAsia="en-AU"/>
    </w:rPr>
  </w:style>
  <w:style w:type="paragraph" w:customStyle="1" w:styleId="xl52445">
    <w:name w:val="xl52445"/>
    <w:basedOn w:val="Normal"/>
    <w:rsid w:val="00420CF4"/>
    <w:pPr>
      <w:spacing w:before="100" w:beforeAutospacing="1" w:after="100" w:afterAutospacing="1" w:line="240" w:lineRule="auto"/>
      <w:textAlignment w:val="center"/>
    </w:pPr>
    <w:rPr>
      <w:rFonts w:ascii="Times New Roman" w:eastAsia="Times New Roman" w:hAnsi="Times New Roman" w:cs="Times New Roman"/>
      <w:b/>
      <w:bCs/>
      <w:i/>
      <w:iCs/>
      <w:sz w:val="16"/>
      <w:szCs w:val="16"/>
      <w:lang w:eastAsia="en-AU"/>
    </w:rPr>
  </w:style>
  <w:style w:type="paragraph" w:customStyle="1" w:styleId="xl52446">
    <w:name w:val="xl52446"/>
    <w:basedOn w:val="Normal"/>
    <w:rsid w:val="00420CF4"/>
    <w:pPr>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47">
    <w:name w:val="xl52447"/>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48">
    <w:name w:val="xl52448"/>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49">
    <w:name w:val="xl52449"/>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b/>
      <w:bCs/>
      <w:i/>
      <w:iCs/>
      <w:sz w:val="16"/>
      <w:szCs w:val="16"/>
      <w:lang w:eastAsia="en-AU"/>
    </w:rPr>
  </w:style>
  <w:style w:type="paragraph" w:customStyle="1" w:styleId="xl52450">
    <w:name w:val="xl52450"/>
    <w:basedOn w:val="Normal"/>
    <w:rsid w:val="00420CF4"/>
    <w:pPr>
      <w:pBdr>
        <w:top w:val="single" w:sz="4" w:space="0" w:color="2B3B5F"/>
        <w:bottom w:val="single" w:sz="8" w:space="0" w:color="2B3B5F"/>
      </w:pBd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xl52451">
    <w:name w:val="xl52451"/>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2">
    <w:name w:val="xl52452"/>
    <w:basedOn w:val="Normal"/>
    <w:rsid w:val="00420CF4"/>
    <w:pPr>
      <w:pBdr>
        <w:top w:val="single" w:sz="4" w:space="0" w:color="2B3B5F"/>
        <w:bottom w:val="single" w:sz="8" w:space="0" w:color="2B3B5F"/>
      </w:pBd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3">
    <w:name w:val="xl52453"/>
    <w:basedOn w:val="Normal"/>
    <w:rsid w:val="00420CF4"/>
    <w:pPr>
      <w:pBdr>
        <w:top w:val="single" w:sz="4" w:space="0" w:color="2B3B5F"/>
        <w:bottom w:val="single" w:sz="8" w:space="0" w:color="2B3B5F"/>
      </w:pBdr>
      <w:spacing w:before="100" w:beforeAutospacing="1" w:after="100" w:afterAutospacing="1" w:line="240" w:lineRule="auto"/>
      <w:textAlignment w:val="center"/>
    </w:pPr>
    <w:rPr>
      <w:rFonts w:ascii="Times New Roman" w:eastAsia="Times New Roman" w:hAnsi="Times New Roman" w:cs="Times New Roman"/>
      <w:b/>
      <w:bCs/>
      <w:sz w:val="16"/>
      <w:szCs w:val="16"/>
      <w:lang w:eastAsia="en-AU"/>
    </w:rPr>
  </w:style>
  <w:style w:type="paragraph" w:customStyle="1" w:styleId="xl52454">
    <w:name w:val="xl52454"/>
    <w:basedOn w:val="Normal"/>
    <w:rsid w:val="00420CF4"/>
    <w:pP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5">
    <w:name w:val="xl52455"/>
    <w:basedOn w:val="Normal"/>
    <w:rsid w:val="00420CF4"/>
    <w:pPr>
      <w:pBdr>
        <w:top w:val="single" w:sz="8" w:space="0" w:color="2B3B5F"/>
      </w:pBdr>
      <w:shd w:val="clear" w:color="000000" w:fill="D7DDE9"/>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56">
    <w:name w:val="xl52456"/>
    <w:basedOn w:val="Normal"/>
    <w:rsid w:val="00420CF4"/>
    <w:pPr>
      <w:spacing w:before="100" w:beforeAutospacing="1" w:after="100" w:afterAutospacing="1" w:line="240" w:lineRule="auto"/>
    </w:pPr>
    <w:rPr>
      <w:rFonts w:ascii="Times New Roman" w:eastAsia="Times New Roman" w:hAnsi="Times New Roman" w:cs="Times New Roman"/>
      <w:i/>
      <w:iCs/>
      <w:sz w:val="16"/>
      <w:szCs w:val="16"/>
      <w:lang w:eastAsia="en-AU"/>
    </w:rPr>
  </w:style>
  <w:style w:type="paragraph" w:customStyle="1" w:styleId="xl52457">
    <w:name w:val="xl52457"/>
    <w:basedOn w:val="Normal"/>
    <w:rsid w:val="00420CF4"/>
    <w:pPr>
      <w:spacing w:before="100" w:beforeAutospacing="1" w:after="100" w:afterAutospacing="1" w:line="240" w:lineRule="auto"/>
      <w:textAlignment w:val="center"/>
    </w:pPr>
    <w:rPr>
      <w:rFonts w:ascii="Times New Roman" w:eastAsia="Times New Roman" w:hAnsi="Times New Roman" w:cs="Times New Roman"/>
      <w:i/>
      <w:iCs/>
      <w:sz w:val="16"/>
      <w:szCs w:val="16"/>
      <w:lang w:eastAsia="en-AU"/>
    </w:rPr>
  </w:style>
  <w:style w:type="paragraph" w:customStyle="1" w:styleId="xl52458">
    <w:name w:val="xl52458"/>
    <w:basedOn w:val="Normal"/>
    <w:rsid w:val="00420CF4"/>
    <w:pP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16"/>
      <w:szCs w:val="16"/>
      <w:lang w:eastAsia="en-AU"/>
    </w:rPr>
  </w:style>
  <w:style w:type="paragraph" w:customStyle="1" w:styleId="xl52459">
    <w:name w:val="xl52459"/>
    <w:basedOn w:val="Normal"/>
    <w:rsid w:val="00420CF4"/>
    <w:pP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52460">
    <w:name w:val="xl52460"/>
    <w:basedOn w:val="Normal"/>
    <w:rsid w:val="00420CF4"/>
    <w:pPr>
      <w:spacing w:before="100" w:beforeAutospacing="1" w:after="100" w:afterAutospacing="1" w:line="240" w:lineRule="auto"/>
      <w:textAlignment w:val="center"/>
    </w:pPr>
    <w:rPr>
      <w:rFonts w:ascii="Times New Roman" w:eastAsia="Times New Roman" w:hAnsi="Times New Roman" w:cs="Times New Roman"/>
      <w:color w:val="000000"/>
      <w:sz w:val="15"/>
      <w:szCs w:val="15"/>
      <w:lang w:eastAsia="en-AU"/>
    </w:rPr>
  </w:style>
  <w:style w:type="paragraph" w:customStyle="1" w:styleId="xl52461">
    <w:name w:val="xl52461"/>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2">
    <w:name w:val="xl52462"/>
    <w:basedOn w:val="Normal"/>
    <w:rsid w:val="00420CF4"/>
    <w:pPr>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63">
    <w:name w:val="xl52463"/>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4">
    <w:name w:val="xl52464"/>
    <w:basedOn w:val="Normal"/>
    <w:rsid w:val="00420CF4"/>
    <w:pPr>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65">
    <w:name w:val="xl52465"/>
    <w:basedOn w:val="Normal"/>
    <w:rsid w:val="00420CF4"/>
    <w:pPr>
      <w:shd w:val="clear" w:color="000000" w:fill="2B3B5F"/>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66">
    <w:name w:val="xl52466"/>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67">
    <w:name w:val="xl52467"/>
    <w:basedOn w:val="Normal"/>
    <w:rsid w:val="00420CF4"/>
    <w:pPr>
      <w:shd w:val="clear" w:color="000000" w:fill="2B3B5F"/>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68">
    <w:name w:val="xl52468"/>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sz w:val="15"/>
      <w:szCs w:val="15"/>
      <w:lang w:eastAsia="en-AU"/>
    </w:rPr>
  </w:style>
  <w:style w:type="paragraph" w:customStyle="1" w:styleId="xl52469">
    <w:name w:val="xl52469"/>
    <w:basedOn w:val="Normal"/>
    <w:rsid w:val="00420CF4"/>
    <w:pPr>
      <w:shd w:val="clear" w:color="000000" w:fill="CCD5E8"/>
      <w:spacing w:before="100" w:beforeAutospacing="1" w:after="100" w:afterAutospacing="1" w:line="240" w:lineRule="auto"/>
    </w:pPr>
    <w:rPr>
      <w:rFonts w:ascii="Times New Roman" w:eastAsia="Times New Roman" w:hAnsi="Times New Roman" w:cs="Times New Roman"/>
      <w:sz w:val="15"/>
      <w:szCs w:val="15"/>
      <w:lang w:eastAsia="en-AU"/>
    </w:rPr>
  </w:style>
  <w:style w:type="paragraph" w:customStyle="1" w:styleId="xl52470">
    <w:name w:val="xl52470"/>
    <w:basedOn w:val="Normal"/>
    <w:rsid w:val="00420CF4"/>
    <w:pPr>
      <w:shd w:val="clear" w:color="000000" w:fill="CCD5E8"/>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52471">
    <w:name w:val="xl52471"/>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paragraph" w:customStyle="1" w:styleId="xl52472">
    <w:name w:val="xl52472"/>
    <w:basedOn w:val="Normal"/>
    <w:rsid w:val="00420CF4"/>
    <w:pPr>
      <w:shd w:val="clear" w:color="000000" w:fill="CCD5E8"/>
      <w:spacing w:before="100" w:beforeAutospacing="1" w:after="100" w:afterAutospacing="1" w:line="240" w:lineRule="auto"/>
      <w:textAlignment w:val="center"/>
    </w:pPr>
    <w:rPr>
      <w:rFonts w:ascii="Times New Roman" w:eastAsia="Times New Roman" w:hAnsi="Times New Roman" w:cs="Times New Roman"/>
      <w:b/>
      <w:bCs/>
      <w:color w:val="000000"/>
      <w:sz w:val="15"/>
      <w:szCs w:val="15"/>
      <w:lang w:eastAsia="en-AU"/>
    </w:rPr>
  </w:style>
  <w:style w:type="paragraph" w:customStyle="1" w:styleId="xl52473">
    <w:name w:val="xl52473"/>
    <w:basedOn w:val="Normal"/>
    <w:rsid w:val="00420CF4"/>
    <w:pPr>
      <w:pBdr>
        <w:top w:val="single" w:sz="8" w:space="0" w:color="2B3B5F"/>
      </w:pBdr>
      <w:spacing w:before="100" w:beforeAutospacing="1" w:after="100" w:afterAutospacing="1" w:line="240" w:lineRule="auto"/>
      <w:textAlignment w:val="center"/>
    </w:pPr>
    <w:rPr>
      <w:rFonts w:ascii="Times New Roman" w:eastAsia="Times New Roman" w:hAnsi="Times New Roman" w:cs="Times New Roman"/>
      <w:b/>
      <w:bCs/>
      <w:i/>
      <w:iCs/>
      <w:sz w:val="15"/>
      <w:szCs w:val="15"/>
      <w:lang w:eastAsia="en-AU"/>
    </w:rPr>
  </w:style>
  <w:style w:type="paragraph" w:customStyle="1" w:styleId="xl52474">
    <w:name w:val="xl52474"/>
    <w:basedOn w:val="Normal"/>
    <w:rsid w:val="00420CF4"/>
    <w:pPr>
      <w:shd w:val="clear" w:color="000000" w:fill="2B3B5F"/>
      <w:spacing w:before="100" w:beforeAutospacing="1" w:after="100" w:afterAutospacing="1" w:line="240" w:lineRule="auto"/>
      <w:textAlignment w:val="center"/>
    </w:pPr>
    <w:rPr>
      <w:rFonts w:ascii="Times New Roman" w:eastAsia="Times New Roman" w:hAnsi="Times New Roman" w:cs="Times New Roman"/>
      <w:b/>
      <w:bCs/>
      <w:color w:val="FFFFFF"/>
      <w:sz w:val="15"/>
      <w:szCs w:val="15"/>
      <w:lang w:eastAsia="en-AU"/>
    </w:rPr>
  </w:style>
  <w:style w:type="table" w:customStyle="1" w:styleId="TableGrid4">
    <w:name w:val="Table Grid4"/>
    <w:basedOn w:val="TableNormal"/>
    <w:next w:val="TableGrid"/>
    <w:rsid w:val="00420CF4"/>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5">
    <w:name w:val="Table Grid5"/>
    <w:basedOn w:val="TableNormal"/>
    <w:next w:val="TableGrid"/>
    <w:rsid w:val="00420CF4"/>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table" w:customStyle="1" w:styleId="TableGrid6">
    <w:name w:val="Table Grid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
    <w:name w:val="Dash"/>
    <w:basedOn w:val="Normal"/>
    <w:uiPriority w:val="99"/>
    <w:rsid w:val="00420CF4"/>
    <w:pPr>
      <w:tabs>
        <w:tab w:val="num" w:pos="567"/>
      </w:tabs>
      <w:spacing w:after="240" w:line="260" w:lineRule="exact"/>
      <w:ind w:left="567" w:hanging="284"/>
      <w:jc w:val="both"/>
    </w:pPr>
    <w:rPr>
      <w:rFonts w:ascii="Book Antiqua" w:eastAsia="Times New Roman" w:hAnsi="Book Antiqua" w:cs="Times New Roman"/>
      <w:sz w:val="20"/>
      <w:szCs w:val="20"/>
      <w:lang w:eastAsia="en-AU"/>
    </w:rPr>
  </w:style>
  <w:style w:type="paragraph" w:customStyle="1" w:styleId="DoubleDot">
    <w:name w:val="Double Dot"/>
    <w:basedOn w:val="Normal"/>
    <w:uiPriority w:val="99"/>
    <w:rsid w:val="00420CF4"/>
    <w:pPr>
      <w:tabs>
        <w:tab w:val="num" w:pos="850"/>
      </w:tabs>
      <w:spacing w:after="240" w:line="260" w:lineRule="exact"/>
      <w:ind w:left="850" w:hanging="283"/>
      <w:jc w:val="both"/>
    </w:pPr>
    <w:rPr>
      <w:rFonts w:ascii="Book Antiqua" w:eastAsia="Times New Roman" w:hAnsi="Book Antiqua" w:cs="Times New Roman"/>
      <w:sz w:val="20"/>
      <w:szCs w:val="20"/>
      <w:lang w:eastAsia="en-AU"/>
    </w:rPr>
  </w:style>
  <w:style w:type="paragraph" w:customStyle="1" w:styleId="PageHeading">
    <w:name w:val="Page Heading"/>
    <w:basedOn w:val="Normal"/>
    <w:qFormat/>
    <w:rsid w:val="00420CF4"/>
    <w:pPr>
      <w:spacing w:after="200" w:line="276" w:lineRule="auto"/>
      <w:jc w:val="center"/>
    </w:pPr>
    <w:rPr>
      <w:rFonts w:ascii="Verdana" w:eastAsia="Times New Roman" w:hAnsi="Verdana" w:cs="Times New Roman"/>
      <w:b/>
      <w:sz w:val="32"/>
      <w:szCs w:val="20"/>
      <w:lang w:eastAsia="en-AU"/>
    </w:rPr>
  </w:style>
  <w:style w:type="paragraph" w:customStyle="1" w:styleId="Text">
    <w:name w:val="Text"/>
    <w:basedOn w:val="Normal"/>
    <w:link w:val="TextChar"/>
    <w:qFormat/>
    <w:rsid w:val="00420CF4"/>
    <w:pPr>
      <w:spacing w:line="240" w:lineRule="auto"/>
    </w:pPr>
    <w:rPr>
      <w:rFonts w:ascii="Verdana" w:hAnsi="Verdana"/>
      <w:sz w:val="20"/>
      <w:szCs w:val="20"/>
    </w:rPr>
  </w:style>
  <w:style w:type="paragraph" w:customStyle="1" w:styleId="Headings">
    <w:name w:val="Headings"/>
    <w:basedOn w:val="Normal"/>
    <w:link w:val="HeadingsChar"/>
    <w:rsid w:val="00420CF4"/>
    <w:pPr>
      <w:spacing w:before="120" w:after="20" w:line="240" w:lineRule="auto"/>
    </w:pPr>
    <w:rPr>
      <w:rFonts w:ascii="Verdana" w:eastAsia="Times New Roman" w:hAnsi="Verdana" w:cs="Times New Roman"/>
      <w:b/>
      <w:lang w:eastAsia="en-AU"/>
    </w:rPr>
  </w:style>
  <w:style w:type="character" w:customStyle="1" w:styleId="TextChar">
    <w:name w:val="Text Char"/>
    <w:basedOn w:val="DefaultParagraphFont"/>
    <w:link w:val="Text"/>
    <w:rsid w:val="00420CF4"/>
    <w:rPr>
      <w:rFonts w:ascii="Verdana" w:hAnsi="Verdana"/>
      <w:sz w:val="20"/>
      <w:szCs w:val="20"/>
    </w:rPr>
  </w:style>
  <w:style w:type="paragraph" w:customStyle="1" w:styleId="Table-RowHeadings">
    <w:name w:val="Table - Row Headings"/>
    <w:basedOn w:val="Normal"/>
    <w:link w:val="Table-RowHeadingsChar"/>
    <w:qFormat/>
    <w:rsid w:val="00420CF4"/>
    <w:pPr>
      <w:spacing w:line="240" w:lineRule="auto"/>
    </w:pPr>
    <w:rPr>
      <w:rFonts w:ascii="Verdana" w:hAnsi="Verdana"/>
      <w:sz w:val="20"/>
      <w:szCs w:val="20"/>
    </w:rPr>
  </w:style>
  <w:style w:type="character" w:customStyle="1" w:styleId="HeadingsChar">
    <w:name w:val="Headings Char"/>
    <w:basedOn w:val="DefaultParagraphFont"/>
    <w:link w:val="Headings"/>
    <w:rsid w:val="00420CF4"/>
    <w:rPr>
      <w:rFonts w:ascii="Verdana" w:eastAsia="Times New Roman" w:hAnsi="Verdana" w:cs="Times New Roman"/>
      <w:b/>
      <w:lang w:eastAsia="en-AU"/>
    </w:rPr>
  </w:style>
  <w:style w:type="paragraph" w:customStyle="1" w:styleId="Table-YearlyColumnHeadings">
    <w:name w:val="Table - Yearly Column Headings"/>
    <w:basedOn w:val="Table-RowHeadings"/>
    <w:link w:val="Table-YearlyColumnHeadingsChar"/>
    <w:qFormat/>
    <w:rsid w:val="00420CF4"/>
    <w:pPr>
      <w:jc w:val="right"/>
    </w:pPr>
  </w:style>
  <w:style w:type="character" w:customStyle="1" w:styleId="Table-RowHeadingsChar">
    <w:name w:val="Table - Row Headings Char"/>
    <w:basedOn w:val="DefaultParagraphFont"/>
    <w:link w:val="Table-RowHeadings"/>
    <w:rsid w:val="00420CF4"/>
    <w:rPr>
      <w:rFonts w:ascii="Verdana" w:hAnsi="Verdana"/>
      <w:sz w:val="20"/>
      <w:szCs w:val="20"/>
    </w:rPr>
  </w:style>
  <w:style w:type="character" w:customStyle="1" w:styleId="Table-YearlyColumnHeadingsChar">
    <w:name w:val="Table - Yearly Column Headings Char"/>
    <w:basedOn w:val="Table-RowHeadingsChar"/>
    <w:link w:val="Table-YearlyColumnHeadings"/>
    <w:rsid w:val="00420CF4"/>
    <w:rPr>
      <w:rFonts w:ascii="Verdana" w:hAnsi="Verdana"/>
      <w:sz w:val="20"/>
      <w:szCs w:val="20"/>
    </w:rPr>
  </w:style>
  <w:style w:type="paragraph" w:customStyle="1" w:styleId="Notes">
    <w:name w:val="Notes"/>
    <w:basedOn w:val="ChartandTableFootnoteAlpha"/>
    <w:link w:val="NotesChar"/>
    <w:qFormat/>
    <w:rsid w:val="00420CF4"/>
    <w:pPr>
      <w:numPr>
        <w:numId w:val="0"/>
      </w:numPr>
    </w:pPr>
    <w:rPr>
      <w:rFonts w:ascii="Verdana" w:hAnsi="Verdana"/>
    </w:rPr>
  </w:style>
  <w:style w:type="paragraph" w:customStyle="1" w:styleId="TextItalicised">
    <w:name w:val="Text Italicised"/>
    <w:basedOn w:val="Normal"/>
    <w:link w:val="TextItalicisedChar"/>
    <w:qFormat/>
    <w:rsid w:val="00420CF4"/>
    <w:pPr>
      <w:spacing w:line="240" w:lineRule="auto"/>
    </w:pPr>
    <w:rPr>
      <w:rFonts w:ascii="Verdana" w:hAnsi="Verdana"/>
      <w:i/>
      <w:iCs/>
      <w:sz w:val="20"/>
      <w:szCs w:val="20"/>
    </w:rPr>
  </w:style>
  <w:style w:type="character" w:customStyle="1" w:styleId="NotesChar">
    <w:name w:val="Notes Char"/>
    <w:basedOn w:val="DefaultParagraphFont"/>
    <w:link w:val="Notes"/>
    <w:rsid w:val="00420CF4"/>
    <w:rPr>
      <w:rFonts w:ascii="Verdana" w:eastAsia="Times New Roman" w:hAnsi="Verdana" w:cs="Times New Roman"/>
      <w:sz w:val="16"/>
      <w:szCs w:val="20"/>
      <w:lang w:eastAsia="en-AU"/>
    </w:rPr>
  </w:style>
  <w:style w:type="character" w:customStyle="1" w:styleId="TextItalicisedChar">
    <w:name w:val="Text Italicised Char"/>
    <w:basedOn w:val="DefaultParagraphFont"/>
    <w:link w:val="TextItalicised"/>
    <w:rsid w:val="00420CF4"/>
    <w:rPr>
      <w:rFonts w:ascii="Verdana" w:hAnsi="Verdana"/>
      <w:i/>
      <w:iCs/>
      <w:sz w:val="20"/>
      <w:szCs w:val="20"/>
    </w:rPr>
  </w:style>
  <w:style w:type="table" w:customStyle="1" w:styleId="TableGrid7">
    <w:name w:val="Table Grid7"/>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rsid w:val="00420CF4"/>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paragraph" w:customStyle="1" w:styleId="Captionheading">
    <w:name w:val="Caption heading"/>
    <w:basedOn w:val="Caption"/>
    <w:link w:val="CaptionheadingChar"/>
    <w:qFormat/>
    <w:rsid w:val="00420CF4"/>
  </w:style>
  <w:style w:type="character" w:customStyle="1" w:styleId="CaptionheadingChar">
    <w:name w:val="Caption heading Char"/>
    <w:basedOn w:val="CaptionChar"/>
    <w:link w:val="Captionheading"/>
    <w:rsid w:val="00420CF4"/>
    <w:rPr>
      <w:b/>
      <w:bCs/>
      <w:color w:val="2B3B5F" w:themeColor="text2"/>
      <w:spacing w:val="-4"/>
    </w:rPr>
  </w:style>
  <w:style w:type="paragraph" w:customStyle="1" w:styleId="Bullet1">
    <w:name w:val="Bullet 1"/>
    <w:basedOn w:val="ListBullet"/>
    <w:link w:val="Bullet1Char"/>
    <w:qFormat/>
    <w:rsid w:val="00420CF4"/>
    <w:pPr>
      <w:numPr>
        <w:numId w:val="0"/>
      </w:numPr>
      <w:ind w:left="227" w:hanging="227"/>
    </w:pPr>
    <w:rPr>
      <w:rFonts w:eastAsia="Times New Roman" w:cs="Times New Roman"/>
      <w:spacing w:val="0"/>
      <w:lang w:eastAsia="en-AU"/>
    </w:rPr>
  </w:style>
  <w:style w:type="character" w:customStyle="1" w:styleId="Bullet1Char">
    <w:name w:val="Bullet 1 Char"/>
    <w:basedOn w:val="DefaultParagraphFont"/>
    <w:link w:val="Bullet1"/>
    <w:rsid w:val="00420CF4"/>
    <w:rPr>
      <w:rFonts w:eastAsia="Times New Roman" w:cs="Times New Roman"/>
      <w:lang w:eastAsia="en-AU"/>
    </w:rPr>
  </w:style>
  <w:style w:type="paragraph" w:customStyle="1" w:styleId="Bullet3">
    <w:name w:val="Bullet 3"/>
    <w:basedOn w:val="TableTextBullet3"/>
    <w:link w:val="Bullet3Char"/>
    <w:qFormat/>
    <w:rsid w:val="00420CF4"/>
    <w:pPr>
      <w:numPr>
        <w:ilvl w:val="0"/>
        <w:numId w:val="0"/>
      </w:numPr>
      <w:tabs>
        <w:tab w:val="num" w:pos="1361"/>
      </w:tabs>
      <w:spacing w:before="0" w:after="113" w:line="300" w:lineRule="atLeast"/>
      <w:ind w:left="1361" w:right="0" w:hanging="454"/>
    </w:pPr>
    <w:rPr>
      <w:sz w:val="22"/>
    </w:rPr>
  </w:style>
  <w:style w:type="character" w:customStyle="1" w:styleId="TableTextChar">
    <w:name w:val="Table Text Char"/>
    <w:basedOn w:val="DefaultParagraphFont"/>
    <w:link w:val="TableText"/>
    <w:rsid w:val="00142CA8"/>
    <w:rPr>
      <w:rFonts w:cs="Times New Roman"/>
      <w:sz w:val="20"/>
    </w:rPr>
  </w:style>
  <w:style w:type="character" w:customStyle="1" w:styleId="Bullet3Char">
    <w:name w:val="Bullet 3 Char"/>
    <w:basedOn w:val="DefaultParagraphFont"/>
    <w:link w:val="Bullet3"/>
    <w:rsid w:val="00420CF4"/>
    <w:rPr>
      <w:rFonts w:cs="Times New Roman"/>
    </w:rPr>
  </w:style>
  <w:style w:type="table" w:customStyle="1" w:styleId="TableGrid9">
    <w:name w:val="Table Grid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420CF4"/>
    <w:pPr>
      <w:spacing w:line="240" w:lineRule="auto"/>
    </w:pPr>
    <w:rPr>
      <w:rFonts w:eastAsia="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420CF4"/>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7Costings">
    <w:name w:val="H7 Costings"/>
    <w:basedOn w:val="Heading2"/>
    <w:rsid w:val="00420CF4"/>
    <w:pPr>
      <w:numPr>
        <w:ilvl w:val="0"/>
        <w:numId w:val="0"/>
      </w:numPr>
      <w:tabs>
        <w:tab w:val="num" w:pos="907"/>
      </w:tabs>
      <w:ind w:left="907" w:hanging="453"/>
    </w:pPr>
    <w:rPr>
      <w:sz w:val="28"/>
    </w:rPr>
  </w:style>
  <w:style w:type="paragraph" w:customStyle="1" w:styleId="CostingsH7">
    <w:name w:val="Costings H7"/>
    <w:basedOn w:val="Heading7"/>
    <w:next w:val="BodyText"/>
    <w:qFormat/>
    <w:rsid w:val="00420CF4"/>
    <w:pPr>
      <w:spacing w:before="470" w:after="228"/>
    </w:pPr>
    <w:rPr>
      <w:b w:val="0"/>
      <w:color w:val="2B3B5F" w:themeColor="text2"/>
      <w:sz w:val="28"/>
    </w:rPr>
  </w:style>
  <w:style w:type="paragraph" w:customStyle="1" w:styleId="CostingsH8">
    <w:name w:val="Costings H8"/>
    <w:basedOn w:val="Heading8"/>
    <w:next w:val="BodyText"/>
    <w:qFormat/>
    <w:rsid w:val="006440E9"/>
    <w:pPr>
      <w:numPr>
        <w:numId w:val="0"/>
      </w:numPr>
      <w:spacing w:before="240" w:after="120"/>
    </w:pPr>
    <w:rPr>
      <w:rFonts w:ascii="Calibri" w:hAnsi="Calibri"/>
      <w:b/>
      <w:sz w:val="24"/>
      <w:szCs w:val="24"/>
    </w:rPr>
  </w:style>
  <w:style w:type="paragraph" w:customStyle="1" w:styleId="Bullet2">
    <w:name w:val="Bullet 2"/>
    <w:basedOn w:val="ListBullet2"/>
    <w:link w:val="Bullet2Char"/>
    <w:qFormat/>
    <w:rsid w:val="00111844"/>
    <w:pPr>
      <w:numPr>
        <w:ilvl w:val="0"/>
        <w:numId w:val="0"/>
      </w:numPr>
      <w:tabs>
        <w:tab w:val="num" w:pos="0"/>
      </w:tabs>
      <w:ind w:left="908" w:hanging="454"/>
    </w:pPr>
    <w:rPr>
      <w:rFonts w:eastAsia="Times New Roman" w:cs="Times New Roman"/>
      <w:lang w:eastAsia="en-AU"/>
    </w:rPr>
  </w:style>
  <w:style w:type="character" w:customStyle="1" w:styleId="Bullet2Char">
    <w:name w:val="Bullet 2 Char"/>
    <w:basedOn w:val="DefaultParagraphFont"/>
    <w:link w:val="Bullet2"/>
    <w:rsid w:val="00111844"/>
    <w:rPr>
      <w:rFonts w:eastAsia="Times New Roman" w:cs="Times New Roman"/>
      <w:spacing w:val="-1"/>
      <w:lang w:eastAsia="en-AU"/>
    </w:rPr>
  </w:style>
  <w:style w:type="table" w:customStyle="1" w:styleId="TableGrid34">
    <w:name w:val="Table Grid34"/>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5">
    <w:name w:val="Table Grid35"/>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6">
    <w:name w:val="Table Grid36"/>
    <w:basedOn w:val="TableNormal"/>
    <w:next w:val="TableGrid"/>
    <w:rsid w:val="00EB27F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character" w:styleId="IntenseReference">
    <w:name w:val="Intense Reference"/>
    <w:aliases w:val="DLM format"/>
    <w:basedOn w:val="DefaultParagraphFont"/>
    <w:qFormat/>
    <w:rsid w:val="007116AB"/>
    <w:rPr>
      <w:rFonts w:ascii="Arial" w:hAnsi="Arial"/>
      <w:b/>
      <w:bCs/>
      <w:color w:val="FF0000"/>
      <w:spacing w:val="5"/>
      <w:sz w:val="28"/>
      <w:szCs w:val="28"/>
    </w:rPr>
  </w:style>
  <w:style w:type="table" w:customStyle="1" w:styleId="TableGrid37">
    <w:name w:val="Table Grid37"/>
    <w:basedOn w:val="TableNormal"/>
    <w:next w:val="TableGrid"/>
    <w:uiPriority w:val="59"/>
    <w:rsid w:val="00060644"/>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8">
    <w:name w:val="Table Grid38"/>
    <w:basedOn w:val="TableNormal"/>
    <w:next w:val="TableGrid"/>
    <w:rsid w:val="00CE66B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39">
    <w:name w:val="Table Grid39"/>
    <w:basedOn w:val="TableNormal"/>
    <w:next w:val="TableGrid"/>
    <w:rsid w:val="00E478E6"/>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0">
    <w:name w:val="Table Grid40"/>
    <w:basedOn w:val="TableNormal"/>
    <w:next w:val="TableGrid"/>
    <w:rsid w:val="00B45FF5"/>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1">
    <w:name w:val="Table Grid41"/>
    <w:basedOn w:val="TableNormal"/>
    <w:next w:val="TableGrid"/>
    <w:rsid w:val="009C28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2">
    <w:name w:val="Table Grid42"/>
    <w:basedOn w:val="TableNormal"/>
    <w:next w:val="TableGrid"/>
    <w:rsid w:val="0079567B"/>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3">
    <w:name w:val="Table Grid43"/>
    <w:basedOn w:val="TableNormal"/>
    <w:next w:val="TableGrid"/>
    <w:rsid w:val="00617983"/>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styleId="Revision">
    <w:name w:val="Revision"/>
    <w:hidden/>
    <w:uiPriority w:val="99"/>
    <w:semiHidden/>
    <w:rsid w:val="00AF3FCF"/>
    <w:pPr>
      <w:spacing w:line="240" w:lineRule="auto"/>
    </w:pPr>
  </w:style>
  <w:style w:type="table" w:customStyle="1" w:styleId="TableGrid44">
    <w:name w:val="Table Grid44"/>
    <w:basedOn w:val="TableNormal"/>
    <w:next w:val="TableGrid"/>
    <w:rsid w:val="001D69EB"/>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5">
    <w:name w:val="Table Grid45"/>
    <w:basedOn w:val="TableNormal"/>
    <w:next w:val="TableGrid"/>
    <w:rsid w:val="00D379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6">
    <w:name w:val="Table Grid46"/>
    <w:basedOn w:val="TableNormal"/>
    <w:next w:val="TableGrid"/>
    <w:rsid w:val="00D379BD"/>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character" w:styleId="HTMLCite">
    <w:name w:val="HTML Cite"/>
    <w:basedOn w:val="DefaultParagraphFont"/>
    <w:uiPriority w:val="99"/>
    <w:semiHidden/>
    <w:unhideWhenUsed/>
    <w:rsid w:val="00F22007"/>
    <w:rPr>
      <w:i/>
      <w:iCs/>
    </w:rPr>
  </w:style>
  <w:style w:type="table" w:customStyle="1" w:styleId="TableGrid47">
    <w:name w:val="Table Grid47"/>
    <w:basedOn w:val="TableNormal"/>
    <w:next w:val="TableGrid"/>
    <w:rsid w:val="007D4011"/>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8">
    <w:name w:val="Table Grid48"/>
    <w:basedOn w:val="TableNormal"/>
    <w:next w:val="TableGrid"/>
    <w:rsid w:val="00A176C8"/>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49">
    <w:name w:val="Table Grid49"/>
    <w:basedOn w:val="TableNormal"/>
    <w:next w:val="TableGrid"/>
    <w:rsid w:val="00407FA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customStyle="1" w:styleId="TableTextBullet1">
    <w:name w:val="Table Text Bullet 1"/>
    <w:qFormat/>
    <w:rsid w:val="00407FAE"/>
    <w:pPr>
      <w:numPr>
        <w:ilvl w:val="2"/>
        <w:numId w:val="210"/>
      </w:numPr>
      <w:tabs>
        <w:tab w:val="clear" w:pos="624"/>
        <w:tab w:val="num" w:pos="1304"/>
      </w:tabs>
      <w:spacing w:before="240" w:line="240" w:lineRule="auto"/>
      <w:ind w:left="397" w:hanging="284"/>
    </w:pPr>
    <w:rPr>
      <w:rFonts w:eastAsia="Times New Roman" w:cs="Times New Roman"/>
      <w:sz w:val="20"/>
      <w:lang w:eastAsia="en-AU"/>
    </w:rPr>
  </w:style>
  <w:style w:type="table" w:customStyle="1" w:styleId="Style11">
    <w:name w:val="Style11"/>
    <w:basedOn w:val="TableNormal"/>
    <w:uiPriority w:val="99"/>
    <w:rsid w:val="00407FAE"/>
    <w:pPr>
      <w:spacing w:line="240" w:lineRule="auto"/>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110">
    <w:name w:val="Table Grid110"/>
    <w:basedOn w:val="TableNormal"/>
    <w:next w:val="TableGrid"/>
    <w:rsid w:val="00407FAE"/>
    <w:pPr>
      <w:spacing w:before="70" w:after="70" w:line="260" w:lineRule="atLeast"/>
      <w:ind w:left="113" w:right="113"/>
    </w:pPr>
    <w:rPr>
      <w:rFonts w:eastAsia="Times New Roman" w:cs="Times New Roman"/>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TableGrid50">
    <w:name w:val="Table Grid50"/>
    <w:basedOn w:val="TableNormal"/>
    <w:next w:val="TableGrid"/>
    <w:rsid w:val="00BB7A5F"/>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table" w:customStyle="1" w:styleId="Style12">
    <w:name w:val="Style12"/>
    <w:basedOn w:val="TableNormal"/>
    <w:uiPriority w:val="99"/>
    <w:rsid w:val="00BB7A5F"/>
    <w:pPr>
      <w:spacing w:line="240" w:lineRule="auto"/>
      <w:ind w:left="57" w:right="57"/>
    </w:pPr>
    <w:rPr>
      <w:rFonts w:ascii="Calibri" w:hAnsi="Calibri"/>
    </w:rPr>
    <w:tblPr>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Pr>
    <w:tblStylePr w:type="firstRow">
      <w:pPr>
        <w:jc w:val="left"/>
      </w:pPr>
      <w:rPr>
        <w:rFonts w:ascii="Calibri" w:hAnsi="Calibri"/>
        <w:b/>
        <w:sz w:val="22"/>
      </w:rPr>
      <w:tblPr/>
      <w:tcPr>
        <w:shd w:val="clear" w:color="auto" w:fill="D7DDE9"/>
      </w:tcPr>
    </w:tblStylePr>
  </w:style>
  <w:style w:type="table" w:customStyle="1" w:styleId="TableGrid51">
    <w:name w:val="Table Grid51"/>
    <w:basedOn w:val="TableNormal"/>
    <w:next w:val="TableGrid"/>
    <w:rsid w:val="000A3B1E"/>
    <w:pPr>
      <w:spacing w:before="70" w:after="70" w:line="240" w:lineRule="auto"/>
      <w:ind w:left="57" w:right="57"/>
    </w:pPr>
    <w:rPr>
      <w:rFonts w:eastAsia="Times New Roman" w:cs="Times New Roman"/>
      <w:sz w:val="20"/>
      <w:lang w:eastAsia="en-AU"/>
    </w:rPr>
    <w:tblPr>
      <w:tblStyleRowBandSize w:val="1"/>
      <w:tblStyleColBandSize w:val="1"/>
      <w:tblBorders>
        <w:top w:val="single" w:sz="4" w:space="0" w:color="788182"/>
        <w:left w:val="single" w:sz="4" w:space="0" w:color="788182"/>
        <w:bottom w:val="single" w:sz="4" w:space="0" w:color="788182"/>
        <w:right w:val="single" w:sz="4" w:space="0" w:color="788182"/>
        <w:insideH w:val="single" w:sz="4" w:space="0" w:color="788182"/>
        <w:insideV w:val="single" w:sz="4" w:space="0" w:color="788182"/>
      </w:tblBorders>
      <w:tblCellMar>
        <w:left w:w="0" w:type="dxa"/>
        <w:right w:w="0" w:type="dxa"/>
      </w:tblCellMar>
    </w:tblPr>
    <w:tcPr>
      <w:shd w:val="clear" w:color="auto" w:fill="FFFFFF"/>
    </w:tcPr>
    <w:tblStylePr w:type="firstRow">
      <w:pPr>
        <w:wordWrap/>
        <w:spacing w:beforeLines="0" w:before="70" w:beforeAutospacing="0" w:afterLines="0" w:after="70" w:afterAutospacing="0" w:line="260" w:lineRule="atLeast"/>
        <w:ind w:leftChars="0" w:left="113" w:rightChars="0" w:right="113"/>
        <w:jc w:val="right"/>
      </w:pPr>
      <w:rPr>
        <w:rFonts w:ascii="Calibri" w:hAnsi="Calibri"/>
        <w:b w:val="0"/>
        <w:i w:val="0"/>
        <w:color w:val="auto"/>
        <w:sz w:val="20"/>
      </w:rPr>
      <w:tblPr/>
      <w:tcPr>
        <w:shd w:val="clear" w:color="auto" w:fill="D7DDE9"/>
        <w:vAlign w:val="center"/>
      </w:tcPr>
    </w:tblStylePr>
    <w:tblStylePr w:type="lastRow">
      <w:rPr>
        <w:b/>
      </w:rPr>
    </w:tblStylePr>
    <w:tblStylePr w:type="firstCol">
      <w:pPr>
        <w:wordWrap/>
        <w:ind w:leftChars="0" w:left="113" w:rightChars="0" w:right="113"/>
        <w:jc w:val="left"/>
      </w:pPr>
      <w:rPr>
        <w:rFonts w:ascii="Calibri" w:hAnsi="Calibri"/>
        <w:b w:val="0"/>
        <w:i w:val="0"/>
        <w:sz w:val="20"/>
      </w:rPr>
      <w:tblPr/>
      <w:tcPr>
        <w:vAlign w:val="center"/>
      </w:tcPr>
    </w:tblStylePr>
    <w:tblStylePr w:type="lastCol">
      <w:pPr>
        <w:wordWrap/>
        <w:jc w:val="right"/>
      </w:pPr>
      <w:rPr>
        <w:rFonts w:ascii="Calibri" w:hAnsi="Calibri"/>
        <w:b/>
        <w:sz w:val="20"/>
      </w:rPr>
      <w:tblPr/>
      <w:tcPr>
        <w:vAlign w:val="center"/>
      </w:tcPr>
    </w:tblStylePr>
    <w:tblStylePr w:type="band1Vert">
      <w:pPr>
        <w:jc w:val="right"/>
      </w:pPr>
      <w:rPr>
        <w:rFonts w:ascii="Calibri" w:hAnsi="Calibri"/>
        <w:sz w:val="20"/>
      </w:rPr>
      <w:tblPr/>
      <w:tcPr>
        <w:vAlign w:val="center"/>
      </w:tcPr>
    </w:tblStylePr>
    <w:tblStylePr w:type="band2Vert">
      <w:pPr>
        <w:jc w:val="right"/>
      </w:pPr>
      <w:rPr>
        <w:rFonts w:ascii="Calibri" w:hAnsi="Calibri"/>
        <w:sz w:val="20"/>
      </w:rPr>
      <w:tblPr/>
      <w:tcPr>
        <w:vAlign w:val="center"/>
      </w:tcPr>
    </w:tblStylePr>
    <w:tblStylePr w:type="band1Horz">
      <w:tblPr/>
      <w:tcPr>
        <w:shd w:val="clear" w:color="auto" w:fill="FFFFFF"/>
      </w:tcPr>
    </w:tblStylePr>
    <w:tblStylePr w:type="band2Horz">
      <w:pPr>
        <w:jc w:val="right"/>
      </w:pPr>
      <w:rPr>
        <w:rFonts w:ascii="Calibri" w:hAnsi="Calibri"/>
        <w:sz w:val="20"/>
      </w:rPr>
      <w:tblPr/>
      <w:tcPr>
        <w:vAlign w:val="center"/>
      </w:tcPr>
    </w:tblStylePr>
    <w:tblStylePr w:type="nwCell">
      <w:pPr>
        <w:jc w:val="left"/>
      </w:pPr>
      <w:tblPr/>
      <w:tcPr>
        <w:vAlign w:val="top"/>
      </w:tcPr>
    </w:tblStylePr>
  </w:style>
  <w:style w:type="paragraph" w:styleId="PlainText">
    <w:name w:val="Plain Text"/>
    <w:basedOn w:val="Normal"/>
    <w:link w:val="PlainTextChar"/>
    <w:uiPriority w:val="99"/>
    <w:semiHidden/>
    <w:unhideWhenUsed/>
    <w:rsid w:val="002C43F8"/>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2C43F8"/>
    <w:rPr>
      <w:rFonts w:ascii="Calibri" w:hAnsi="Calibri"/>
      <w:szCs w:val="21"/>
    </w:rPr>
  </w:style>
  <w:style w:type="paragraph" w:customStyle="1" w:styleId="CostingsH9">
    <w:name w:val="Costings H9"/>
    <w:basedOn w:val="CostingsH8"/>
    <w:next w:val="BodyText"/>
    <w:qFormat/>
    <w:rsid w:val="000C0267"/>
    <w:rPr>
      <w:b w:val="0"/>
      <w:i/>
    </w:rPr>
  </w:style>
  <w:style w:type="paragraph" w:customStyle="1" w:styleId="Bullet4">
    <w:name w:val="Bullet 4"/>
    <w:basedOn w:val="Normal"/>
    <w:qFormat/>
    <w:rsid w:val="00142212"/>
    <w:pPr>
      <w:spacing w:before="120" w:line="240" w:lineRule="auto"/>
      <w:ind w:left="1135" w:hanging="284"/>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622811035">
      <w:bodyDiv w:val="1"/>
      <w:marLeft w:val="0"/>
      <w:marRight w:val="0"/>
      <w:marTop w:val="0"/>
      <w:marBottom w:val="0"/>
      <w:divBdr>
        <w:top w:val="none" w:sz="0" w:space="0" w:color="auto"/>
        <w:left w:val="none" w:sz="0" w:space="0" w:color="auto"/>
        <w:bottom w:val="none" w:sz="0" w:space="0" w:color="auto"/>
        <w:right w:val="none" w:sz="0" w:space="0" w:color="auto"/>
      </w:divBdr>
    </w:div>
    <w:div w:id="201414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yperlink" Target="http://www.greghunt.com.au/Portals/0/PDF/TheCoalitionsDirectActionPlanPolicy2010.pdf" TargetMode="External"/><Relationship Id="rId42" Type="http://schemas.openxmlformats.org/officeDocument/2006/relationships/header" Target="header11.xml"/><Relationship Id="rId63" Type="http://schemas.openxmlformats.org/officeDocument/2006/relationships/header" Target="header22.xml"/><Relationship Id="rId84" Type="http://schemas.openxmlformats.org/officeDocument/2006/relationships/footer" Target="footer33.xml"/><Relationship Id="rId138" Type="http://schemas.openxmlformats.org/officeDocument/2006/relationships/hyperlink" Target="http://www.minister.defence.gov.au/2016/04/15/assistant-minister-for-defence-federal-government-extends-its-support-to-commercial-fishers-in-tilligerry-creek-and-fullerton-cove/" TargetMode="External"/><Relationship Id="rId159" Type="http://schemas.openxmlformats.org/officeDocument/2006/relationships/footer" Target="footer67.xml"/><Relationship Id="rId170" Type="http://schemas.openxmlformats.org/officeDocument/2006/relationships/footer" Target="footer71.xml"/><Relationship Id="rId191" Type="http://schemas.openxmlformats.org/officeDocument/2006/relationships/footer" Target="footer82.xml"/><Relationship Id="rId205" Type="http://schemas.openxmlformats.org/officeDocument/2006/relationships/header" Target="header87.xml"/><Relationship Id="rId226" Type="http://schemas.openxmlformats.org/officeDocument/2006/relationships/hyperlink" Target="https://www.ag.gov.au/LegalSystem/Courts/Documents/JudicialApptsEnsuringastrongandindependentjudiciarythroughatransparentprocess.pdf" TargetMode="Externa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header" Target="header7.xml"/><Relationship Id="rId53" Type="http://schemas.openxmlformats.org/officeDocument/2006/relationships/header" Target="header17.xml"/><Relationship Id="rId74" Type="http://schemas.openxmlformats.org/officeDocument/2006/relationships/header" Target="header27.xml"/><Relationship Id="rId128" Type="http://schemas.openxmlformats.org/officeDocument/2006/relationships/header" Target="header53.xml"/><Relationship Id="rId149" Type="http://schemas.openxmlformats.org/officeDocument/2006/relationships/footer" Target="footer63.xml"/><Relationship Id="rId5" Type="http://schemas.openxmlformats.org/officeDocument/2006/relationships/settings" Target="settings.xml"/><Relationship Id="rId95" Type="http://schemas.openxmlformats.org/officeDocument/2006/relationships/header" Target="header38.xml"/><Relationship Id="rId160" Type="http://schemas.openxmlformats.org/officeDocument/2006/relationships/footer" Target="footer68.xml"/><Relationship Id="rId181" Type="http://schemas.openxmlformats.org/officeDocument/2006/relationships/header" Target="header76.xml"/><Relationship Id="rId216" Type="http://schemas.openxmlformats.org/officeDocument/2006/relationships/header" Target="header93.xml"/><Relationship Id="rId237" Type="http://schemas.openxmlformats.org/officeDocument/2006/relationships/theme" Target="theme/theme1.xml"/><Relationship Id="rId22" Type="http://schemas.openxmlformats.org/officeDocument/2006/relationships/footer" Target="footer4.xml"/><Relationship Id="rId43" Type="http://schemas.openxmlformats.org/officeDocument/2006/relationships/footer" Target="footer13.xml"/><Relationship Id="rId64" Type="http://schemas.openxmlformats.org/officeDocument/2006/relationships/footer" Target="footer23.xml"/><Relationship Id="rId118" Type="http://schemas.openxmlformats.org/officeDocument/2006/relationships/hyperlink" Target="http://www.abs.gov.au/AUSSTATS/abs@.nsf/DetailsPage/4221.02015?OpenDocument" TargetMode="External"/><Relationship Id="rId139" Type="http://schemas.openxmlformats.org/officeDocument/2006/relationships/header" Target="header57.xml"/><Relationship Id="rId80" Type="http://schemas.openxmlformats.org/officeDocument/2006/relationships/footer" Target="footer31.xml"/><Relationship Id="rId85" Type="http://schemas.openxmlformats.org/officeDocument/2006/relationships/footer" Target="footer34.xml"/><Relationship Id="rId150" Type="http://schemas.openxmlformats.org/officeDocument/2006/relationships/footer" Target="footer64.xml"/><Relationship Id="rId155" Type="http://schemas.openxmlformats.org/officeDocument/2006/relationships/footer" Target="footer65.xml"/><Relationship Id="rId171" Type="http://schemas.openxmlformats.org/officeDocument/2006/relationships/footer" Target="footer72.xml"/><Relationship Id="rId176" Type="http://schemas.openxmlformats.org/officeDocument/2006/relationships/header" Target="header73.xml"/><Relationship Id="rId192" Type="http://schemas.openxmlformats.org/officeDocument/2006/relationships/hyperlink" Target="https://www.dss.gov.au/our-responsibilities/disability-and-carers/programmes-services/for-carers/young-carer-bursary-programme" TargetMode="External"/><Relationship Id="rId197" Type="http://schemas.openxmlformats.org/officeDocument/2006/relationships/header" Target="header83.xml"/><Relationship Id="rId206" Type="http://schemas.openxmlformats.org/officeDocument/2006/relationships/header" Target="header88.xml"/><Relationship Id="rId227" Type="http://schemas.openxmlformats.org/officeDocument/2006/relationships/header" Target="header96.xml"/><Relationship Id="rId201" Type="http://schemas.openxmlformats.org/officeDocument/2006/relationships/header" Target="header85.xml"/><Relationship Id="rId222" Type="http://schemas.openxmlformats.org/officeDocument/2006/relationships/header" Target="header95.xml"/><Relationship Id="rId12" Type="http://schemas.openxmlformats.org/officeDocument/2006/relationships/footer" Target="footer2.xml"/><Relationship Id="rId17" Type="http://schemas.openxmlformats.org/officeDocument/2006/relationships/hyperlink" Target="http://remtribunal.gov.au/media/documents/2016/2015-determinations/2015-10-principal-determination-judicial-and-related-offices-remuneration-and-allowances/2015-10-Judicial-and-Related-Det-1-July-2015.pdf" TargetMode="External"/><Relationship Id="rId33" Type="http://schemas.openxmlformats.org/officeDocument/2006/relationships/footer" Target="footer8.xml"/><Relationship Id="rId38" Type="http://schemas.openxmlformats.org/officeDocument/2006/relationships/header" Target="header9.xml"/><Relationship Id="rId59" Type="http://schemas.openxmlformats.org/officeDocument/2006/relationships/header" Target="header20.xml"/><Relationship Id="rId103" Type="http://schemas.openxmlformats.org/officeDocument/2006/relationships/header" Target="header42.xml"/><Relationship Id="rId108" Type="http://schemas.openxmlformats.org/officeDocument/2006/relationships/footer" Target="footer45.xml"/><Relationship Id="rId124" Type="http://schemas.openxmlformats.org/officeDocument/2006/relationships/header" Target="header51.xml"/><Relationship Id="rId129" Type="http://schemas.openxmlformats.org/officeDocument/2006/relationships/header" Target="header54.xml"/><Relationship Id="rId54" Type="http://schemas.openxmlformats.org/officeDocument/2006/relationships/footer" Target="footer18.xml"/><Relationship Id="rId70" Type="http://schemas.openxmlformats.org/officeDocument/2006/relationships/header" Target="header25.xml"/><Relationship Id="rId75" Type="http://schemas.openxmlformats.org/officeDocument/2006/relationships/header" Target="header28.xml"/><Relationship Id="rId91" Type="http://schemas.openxmlformats.org/officeDocument/2006/relationships/header" Target="header36.xml"/><Relationship Id="rId96" Type="http://schemas.openxmlformats.org/officeDocument/2006/relationships/footer" Target="footer39.xml"/><Relationship Id="rId140" Type="http://schemas.openxmlformats.org/officeDocument/2006/relationships/header" Target="header58.xml"/><Relationship Id="rId145" Type="http://schemas.openxmlformats.org/officeDocument/2006/relationships/footer" Target="footer61.xml"/><Relationship Id="rId161" Type="http://schemas.openxmlformats.org/officeDocument/2006/relationships/image" Target="media/image2.png"/><Relationship Id="rId166" Type="http://schemas.openxmlformats.org/officeDocument/2006/relationships/footer" Target="footer69.xml"/><Relationship Id="rId182" Type="http://schemas.openxmlformats.org/officeDocument/2006/relationships/footer" Target="footer77.xml"/><Relationship Id="rId187" Type="http://schemas.openxmlformats.org/officeDocument/2006/relationships/footer" Target="footer80.xml"/><Relationship Id="rId217" Type="http://schemas.openxmlformats.org/officeDocument/2006/relationships/footer" Target="footer94.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91.xml"/><Relationship Id="rId233" Type="http://schemas.openxmlformats.org/officeDocument/2006/relationships/footer" Target="footer100.xml"/><Relationship Id="rId23" Type="http://schemas.openxmlformats.org/officeDocument/2006/relationships/footer" Target="footer5.xml"/><Relationship Id="rId28" Type="http://schemas.openxmlformats.org/officeDocument/2006/relationships/header" Target="header5.xml"/><Relationship Id="rId49" Type="http://schemas.openxmlformats.org/officeDocument/2006/relationships/header" Target="header15.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header" Target="header12.xml"/><Relationship Id="rId60" Type="http://schemas.openxmlformats.org/officeDocument/2006/relationships/footer" Target="footer21.xml"/><Relationship Id="rId65" Type="http://schemas.openxmlformats.org/officeDocument/2006/relationships/footer" Target="footer24.xml"/><Relationship Id="rId81" Type="http://schemas.openxmlformats.org/officeDocument/2006/relationships/footer" Target="footer32.xml"/><Relationship Id="rId86" Type="http://schemas.openxmlformats.org/officeDocument/2006/relationships/header" Target="header33.xml"/><Relationship Id="rId130" Type="http://schemas.openxmlformats.org/officeDocument/2006/relationships/footer" Target="footer55.xml"/><Relationship Id="rId135" Type="http://schemas.openxmlformats.org/officeDocument/2006/relationships/footer" Target="footer58.xml"/><Relationship Id="rId151" Type="http://schemas.openxmlformats.org/officeDocument/2006/relationships/hyperlink" Target="http://www.finance.gov.au/resource-management/governance/register/body/92321/" TargetMode="External"/><Relationship Id="rId156" Type="http://schemas.openxmlformats.org/officeDocument/2006/relationships/footer" Target="footer66.xml"/><Relationship Id="rId177" Type="http://schemas.openxmlformats.org/officeDocument/2006/relationships/header" Target="header74.xml"/><Relationship Id="rId198" Type="http://schemas.openxmlformats.org/officeDocument/2006/relationships/header" Target="header84.xml"/><Relationship Id="rId172" Type="http://schemas.openxmlformats.org/officeDocument/2006/relationships/header" Target="header71.xml"/><Relationship Id="rId193" Type="http://schemas.openxmlformats.org/officeDocument/2006/relationships/header" Target="header81.xml"/><Relationship Id="rId202" Type="http://schemas.openxmlformats.org/officeDocument/2006/relationships/header" Target="header86.xml"/><Relationship Id="rId207" Type="http://schemas.openxmlformats.org/officeDocument/2006/relationships/footer" Target="footer89.xml"/><Relationship Id="rId223" Type="http://schemas.openxmlformats.org/officeDocument/2006/relationships/footer" Target="footer96.xml"/><Relationship Id="rId228" Type="http://schemas.openxmlformats.org/officeDocument/2006/relationships/header" Target="header97.xml"/><Relationship Id="rId13" Type="http://schemas.openxmlformats.org/officeDocument/2006/relationships/header" Target="header3.xml"/><Relationship Id="rId18" Type="http://schemas.openxmlformats.org/officeDocument/2006/relationships/hyperlink" Target="http://www.cleanenergyregulator.gov.au/Emissions-Reduction-Fund/News-and-events/Pages/04-2015/Results-from-the-first-Emissions-Reduction-Fund-auction.aspx" TargetMode="External"/><Relationship Id="rId39" Type="http://schemas.openxmlformats.org/officeDocument/2006/relationships/header" Target="header10.xml"/><Relationship Id="rId109" Type="http://schemas.openxmlformats.org/officeDocument/2006/relationships/footer" Target="footer46.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footer" Target="footer19.xml"/><Relationship Id="rId76" Type="http://schemas.openxmlformats.org/officeDocument/2006/relationships/footer" Target="footer29.xml"/><Relationship Id="rId97" Type="http://schemas.openxmlformats.org/officeDocument/2006/relationships/footer" Target="footer40.xml"/><Relationship Id="rId104" Type="http://schemas.openxmlformats.org/officeDocument/2006/relationships/footer" Target="footer43.xml"/><Relationship Id="rId120" Type="http://schemas.openxmlformats.org/officeDocument/2006/relationships/header" Target="header50.xml"/><Relationship Id="rId125" Type="http://schemas.openxmlformats.org/officeDocument/2006/relationships/header" Target="header52.xml"/><Relationship Id="rId141" Type="http://schemas.openxmlformats.org/officeDocument/2006/relationships/footer" Target="footer59.xml"/><Relationship Id="rId146" Type="http://schemas.openxmlformats.org/officeDocument/2006/relationships/footer" Target="footer62.xml"/><Relationship Id="rId167" Type="http://schemas.openxmlformats.org/officeDocument/2006/relationships/footer" Target="footer70.xml"/><Relationship Id="rId188" Type="http://schemas.openxmlformats.org/officeDocument/2006/relationships/header" Target="header79.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footer" Target="footer37.xml"/><Relationship Id="rId162" Type="http://schemas.openxmlformats.org/officeDocument/2006/relationships/image" Target="media/image3.png"/><Relationship Id="rId183" Type="http://schemas.openxmlformats.org/officeDocument/2006/relationships/footer" Target="footer78.xml"/><Relationship Id="rId213" Type="http://schemas.openxmlformats.org/officeDocument/2006/relationships/footer" Target="footer92.xml"/><Relationship Id="rId218" Type="http://schemas.openxmlformats.org/officeDocument/2006/relationships/footer" Target="footer95.xml"/><Relationship Id="rId234" Type="http://schemas.openxmlformats.org/officeDocument/2006/relationships/footer" Target="footer10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yperlink" Target="http://www.rba.gov.au/speeches/2016/sp-ag-2016-04-06.html" TargetMode="Externa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header" Target="header48.xml"/><Relationship Id="rId131" Type="http://schemas.openxmlformats.org/officeDocument/2006/relationships/footer" Target="footer56.xml"/><Relationship Id="rId136" Type="http://schemas.openxmlformats.org/officeDocument/2006/relationships/hyperlink" Target="http://medicarestatistics.humanservices.gov.au/statistics/mbs_item.jsp" TargetMode="External"/><Relationship Id="rId157" Type="http://schemas.openxmlformats.org/officeDocument/2006/relationships/header" Target="header65.xml"/><Relationship Id="rId178" Type="http://schemas.openxmlformats.org/officeDocument/2006/relationships/footer" Target="footer75.xml"/><Relationship Id="rId61" Type="http://schemas.openxmlformats.org/officeDocument/2006/relationships/footer" Target="footer22.xml"/><Relationship Id="rId82" Type="http://schemas.openxmlformats.org/officeDocument/2006/relationships/header" Target="header31.xml"/><Relationship Id="rId152" Type="http://schemas.openxmlformats.org/officeDocument/2006/relationships/hyperlink" Target="http://www.finance.gov.au/resource-management/reporting-accounting/accounting-guidance/" TargetMode="External"/><Relationship Id="rId173" Type="http://schemas.openxmlformats.org/officeDocument/2006/relationships/header" Target="header72.xml"/><Relationship Id="rId194" Type="http://schemas.openxmlformats.org/officeDocument/2006/relationships/header" Target="header82.xml"/><Relationship Id="rId199" Type="http://schemas.openxmlformats.org/officeDocument/2006/relationships/footer" Target="footer85.xml"/><Relationship Id="rId203" Type="http://schemas.openxmlformats.org/officeDocument/2006/relationships/footer" Target="footer87.xml"/><Relationship Id="rId208" Type="http://schemas.openxmlformats.org/officeDocument/2006/relationships/footer" Target="footer90.xml"/><Relationship Id="rId229" Type="http://schemas.openxmlformats.org/officeDocument/2006/relationships/footer" Target="footer98.xml"/><Relationship Id="rId19" Type="http://schemas.openxmlformats.org/officeDocument/2006/relationships/hyperlink" Target="http://www.cleanenergyregulator.gov.au/About/Pages/News%20and%20updates/NewsItem.aspx?ListId=19b4efbb-6f5d-4637-94c4-121c1f96fcfe&amp;ItemId=188" TargetMode="External"/><Relationship Id="rId224" Type="http://schemas.openxmlformats.org/officeDocument/2006/relationships/footer" Target="footer97.xml"/><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header" Target="header8.xml"/><Relationship Id="rId56" Type="http://schemas.openxmlformats.org/officeDocument/2006/relationships/header" Target="header18.xml"/><Relationship Id="rId77" Type="http://schemas.openxmlformats.org/officeDocument/2006/relationships/footer" Target="footer30.xml"/><Relationship Id="rId100" Type="http://schemas.openxmlformats.org/officeDocument/2006/relationships/footer" Target="footer41.xml"/><Relationship Id="rId105" Type="http://schemas.openxmlformats.org/officeDocument/2006/relationships/footer" Target="footer44.xml"/><Relationship Id="rId126" Type="http://schemas.openxmlformats.org/officeDocument/2006/relationships/footer" Target="footer53.xml"/><Relationship Id="rId147" Type="http://schemas.openxmlformats.org/officeDocument/2006/relationships/header" Target="header61.xml"/><Relationship Id="rId168" Type="http://schemas.openxmlformats.org/officeDocument/2006/relationships/header" Target="header69.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footer" Target="footer27.xml"/><Relationship Id="rId93" Type="http://schemas.openxmlformats.org/officeDocument/2006/relationships/footer" Target="footer38.xml"/><Relationship Id="rId98" Type="http://schemas.openxmlformats.org/officeDocument/2006/relationships/header" Target="header39.xml"/><Relationship Id="rId121" Type="http://schemas.openxmlformats.org/officeDocument/2006/relationships/footer" Target="footer51.xml"/><Relationship Id="rId142" Type="http://schemas.openxmlformats.org/officeDocument/2006/relationships/footer" Target="footer60.xml"/><Relationship Id="rId163" Type="http://schemas.openxmlformats.org/officeDocument/2006/relationships/hyperlink" Target="https://www.border.gov.au/ReportsandPublications/Documents/budget/VAC-increases-fact-sheet.pdf" TargetMode="External"/><Relationship Id="rId184" Type="http://schemas.openxmlformats.org/officeDocument/2006/relationships/header" Target="header77.xml"/><Relationship Id="rId189" Type="http://schemas.openxmlformats.org/officeDocument/2006/relationships/header" Target="header80.xml"/><Relationship Id="rId219" Type="http://schemas.openxmlformats.org/officeDocument/2006/relationships/hyperlink" Target="http://www.publichospitalfunding.gov.au/reports/national" TargetMode="External"/><Relationship Id="rId3" Type="http://schemas.openxmlformats.org/officeDocument/2006/relationships/styles" Target="styles.xml"/><Relationship Id="rId214" Type="http://schemas.openxmlformats.org/officeDocument/2006/relationships/footer" Target="footer93.xml"/><Relationship Id="rId230" Type="http://schemas.openxmlformats.org/officeDocument/2006/relationships/footer" Target="footer99.xml"/><Relationship Id="rId235" Type="http://schemas.openxmlformats.org/officeDocument/2006/relationships/header" Target="header100.xml"/><Relationship Id="rId25" Type="http://schemas.openxmlformats.org/officeDocument/2006/relationships/hyperlink" Target="http://www.treasury.gov.au/~/media/Treasury/Publications%20and%20Media/Publications/2016/Review%20of%20Macroeconomic%20Forecasting%20Capabilities/Downloads/PDF/Review-of-Macroeconomic-Forecasting-Capabilities.ashx" TargetMode="External"/><Relationship Id="rId46" Type="http://schemas.openxmlformats.org/officeDocument/2006/relationships/footer" Target="footer14.xml"/><Relationship Id="rId67" Type="http://schemas.openxmlformats.org/officeDocument/2006/relationships/header" Target="header24.xml"/><Relationship Id="rId116" Type="http://schemas.openxmlformats.org/officeDocument/2006/relationships/footer" Target="footer49.xml"/><Relationship Id="rId137" Type="http://schemas.openxmlformats.org/officeDocument/2006/relationships/hyperlink" Target="http://www.aihw.gov.au/WorkArea/DownloadAsset.aspx?id=6442456256" TargetMode="External"/><Relationship Id="rId158" Type="http://schemas.openxmlformats.org/officeDocument/2006/relationships/header" Target="header66.xml"/><Relationship Id="rId20" Type="http://schemas.openxmlformats.org/officeDocument/2006/relationships/hyperlink" Target="http://www.cleanenergyregulator.gov.au/About/Pages/News%20and%20updates/NewsItem.aspx?ListId=19b4efbb-6f5d-4637-94c4-121c1f96fcfe&amp;ItemId=253" TargetMode="External"/><Relationship Id="rId41" Type="http://schemas.openxmlformats.org/officeDocument/2006/relationships/footer" Target="footer12.xml"/><Relationship Id="rId62" Type="http://schemas.openxmlformats.org/officeDocument/2006/relationships/header" Target="header21.xml"/><Relationship Id="rId83" Type="http://schemas.openxmlformats.org/officeDocument/2006/relationships/header" Target="header32.xml"/><Relationship Id="rId88" Type="http://schemas.openxmlformats.org/officeDocument/2006/relationships/footer" Target="footer35.xml"/><Relationship Id="rId111" Type="http://schemas.openxmlformats.org/officeDocument/2006/relationships/header" Target="header46.xml"/><Relationship Id="rId132" Type="http://schemas.openxmlformats.org/officeDocument/2006/relationships/header" Target="header55.xml"/><Relationship Id="rId153" Type="http://schemas.openxmlformats.org/officeDocument/2006/relationships/header" Target="header63.xml"/><Relationship Id="rId174" Type="http://schemas.openxmlformats.org/officeDocument/2006/relationships/footer" Target="footer73.xml"/><Relationship Id="rId179" Type="http://schemas.openxmlformats.org/officeDocument/2006/relationships/footer" Target="footer76.xml"/><Relationship Id="rId195" Type="http://schemas.openxmlformats.org/officeDocument/2006/relationships/footer" Target="footer83.xml"/><Relationship Id="rId209" Type="http://schemas.openxmlformats.org/officeDocument/2006/relationships/header" Target="header89.xml"/><Relationship Id="rId190" Type="http://schemas.openxmlformats.org/officeDocument/2006/relationships/footer" Target="footer81.xml"/><Relationship Id="rId204" Type="http://schemas.openxmlformats.org/officeDocument/2006/relationships/footer" Target="footer88.xml"/><Relationship Id="rId220" Type="http://schemas.openxmlformats.org/officeDocument/2006/relationships/hyperlink" Target="https://www.ihpa.gov.au/publications/national-efficient-price-determination-201617" TargetMode="External"/><Relationship Id="rId225" Type="http://schemas.openxmlformats.org/officeDocument/2006/relationships/hyperlink" Target="http://remtribunal.gov.au/media/documents/2016/2015-determinations/2015-10-principal-determination-judicial-and-related-offices-remuneration-and-allowances/2015-10-Judicial-and-Related-Det-1-July-2015.pdf" TargetMode="External"/><Relationship Id="rId15" Type="http://schemas.openxmlformats.org/officeDocument/2006/relationships/image" Target="media/image1.jpg"/><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header" Target="header43.xml"/><Relationship Id="rId127" Type="http://schemas.openxmlformats.org/officeDocument/2006/relationships/footer" Target="footer54.xm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header" Target="header16.xml"/><Relationship Id="rId73" Type="http://schemas.openxmlformats.org/officeDocument/2006/relationships/footer" Target="footer28.xml"/><Relationship Id="rId78" Type="http://schemas.openxmlformats.org/officeDocument/2006/relationships/header" Target="header29.xml"/><Relationship Id="rId94" Type="http://schemas.openxmlformats.org/officeDocument/2006/relationships/header" Target="header37.xml"/><Relationship Id="rId99" Type="http://schemas.openxmlformats.org/officeDocument/2006/relationships/header" Target="header40.xml"/><Relationship Id="rId101" Type="http://schemas.openxmlformats.org/officeDocument/2006/relationships/footer" Target="footer42.xml"/><Relationship Id="rId122" Type="http://schemas.openxmlformats.org/officeDocument/2006/relationships/footer" Target="footer52.xml"/><Relationship Id="rId143" Type="http://schemas.openxmlformats.org/officeDocument/2006/relationships/header" Target="header59.xml"/><Relationship Id="rId148" Type="http://schemas.openxmlformats.org/officeDocument/2006/relationships/header" Target="header62.xml"/><Relationship Id="rId164" Type="http://schemas.openxmlformats.org/officeDocument/2006/relationships/header" Target="header67.xml"/><Relationship Id="rId169" Type="http://schemas.openxmlformats.org/officeDocument/2006/relationships/header" Target="header70.xml"/><Relationship Id="rId185" Type="http://schemas.openxmlformats.org/officeDocument/2006/relationships/header" Target="header78.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eader" Target="header75.xml"/><Relationship Id="rId210" Type="http://schemas.openxmlformats.org/officeDocument/2006/relationships/footer" Target="footer91.xml"/><Relationship Id="rId215" Type="http://schemas.openxmlformats.org/officeDocument/2006/relationships/header" Target="header92.xml"/><Relationship Id="rId236" Type="http://schemas.openxmlformats.org/officeDocument/2006/relationships/fontTable" Target="fontTable.xml"/><Relationship Id="rId26" Type="http://schemas.openxmlformats.org/officeDocument/2006/relationships/hyperlink" Target="https://www.gov.uk/government/publications/external-review-of-the-office-for-budget-responsibility" TargetMode="External"/><Relationship Id="rId231" Type="http://schemas.openxmlformats.org/officeDocument/2006/relationships/header" Target="header98.xm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footer" Target="footer47.xml"/><Relationship Id="rId133" Type="http://schemas.openxmlformats.org/officeDocument/2006/relationships/header" Target="header56.xml"/><Relationship Id="rId154" Type="http://schemas.openxmlformats.org/officeDocument/2006/relationships/header" Target="header64.xml"/><Relationship Id="rId175" Type="http://schemas.openxmlformats.org/officeDocument/2006/relationships/footer" Target="footer74.xml"/><Relationship Id="rId196" Type="http://schemas.openxmlformats.org/officeDocument/2006/relationships/footer" Target="footer84.xml"/><Relationship Id="rId200" Type="http://schemas.openxmlformats.org/officeDocument/2006/relationships/footer" Target="footer86.xml"/><Relationship Id="rId16" Type="http://schemas.openxmlformats.org/officeDocument/2006/relationships/hyperlink" Target="http://www.childabuseroyalcommission.gov.au/about-us/our-reports" TargetMode="External"/><Relationship Id="rId221" Type="http://schemas.openxmlformats.org/officeDocument/2006/relationships/header" Target="header94.xml"/><Relationship Id="rId37" Type="http://schemas.openxmlformats.org/officeDocument/2006/relationships/hyperlink" Target="http://www.treasury.gov.au/PublicationsAndMedia/Publications/2011/NHSC" TargetMode="External"/><Relationship Id="rId58" Type="http://schemas.openxmlformats.org/officeDocument/2006/relationships/header" Target="header19.xml"/><Relationship Id="rId79" Type="http://schemas.openxmlformats.org/officeDocument/2006/relationships/header" Target="header30.xml"/><Relationship Id="rId102" Type="http://schemas.openxmlformats.org/officeDocument/2006/relationships/header" Target="header41.xml"/><Relationship Id="rId123" Type="http://schemas.openxmlformats.org/officeDocument/2006/relationships/hyperlink" Target="https://www.comlaw.gov.au/Details/C2013A00067" TargetMode="External"/><Relationship Id="rId144" Type="http://schemas.openxmlformats.org/officeDocument/2006/relationships/header" Target="header60.xml"/><Relationship Id="rId90" Type="http://schemas.openxmlformats.org/officeDocument/2006/relationships/header" Target="header35.xml"/><Relationship Id="rId165" Type="http://schemas.openxmlformats.org/officeDocument/2006/relationships/header" Target="header68.xml"/><Relationship Id="rId186" Type="http://schemas.openxmlformats.org/officeDocument/2006/relationships/footer" Target="footer79.xml"/><Relationship Id="rId211" Type="http://schemas.openxmlformats.org/officeDocument/2006/relationships/header" Target="header90.xml"/><Relationship Id="rId232" Type="http://schemas.openxmlformats.org/officeDocument/2006/relationships/header" Target="header99.xml"/><Relationship Id="rId27" Type="http://schemas.openxmlformats.org/officeDocument/2006/relationships/header" Target="header4.xml"/><Relationship Id="rId48" Type="http://schemas.openxmlformats.org/officeDocument/2006/relationships/header" Target="header14.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footer" Target="footer57.xml"/></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publication-detail/?id=6012954273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iganl\AppData\Roaming\Microsoft\Templates\PBO%20Research%20Report.dotm" TargetMode="External"/></Relationships>
</file>

<file path=word/theme/theme1.xml><?xml version="1.0" encoding="utf-8"?>
<a:theme xmlns:a="http://schemas.openxmlformats.org/drawingml/2006/main" name="Office Theme">
  <a:themeElements>
    <a:clrScheme name="PBO v1">
      <a:dk1>
        <a:srgbClr val="000000"/>
      </a:dk1>
      <a:lt1>
        <a:srgbClr val="FFFFFF"/>
      </a:lt1>
      <a:dk2>
        <a:srgbClr val="2B3B5F"/>
      </a:dk2>
      <a:lt2>
        <a:srgbClr val="788184"/>
      </a:lt2>
      <a:accent1>
        <a:srgbClr val="2B3B5F"/>
      </a:accent1>
      <a:accent2>
        <a:srgbClr val="95A4C6"/>
      </a:accent2>
      <a:accent3>
        <a:srgbClr val="D7DDE9"/>
      </a:accent3>
      <a:accent4>
        <a:srgbClr val="751D71"/>
      </a:accent4>
      <a:accent5>
        <a:srgbClr val="B267B3"/>
      </a:accent5>
      <a:accent6>
        <a:srgbClr val="788184"/>
      </a:accent6>
      <a:hlink>
        <a:srgbClr val="000000"/>
      </a:hlink>
      <a:folHlink>
        <a:srgbClr val="000000"/>
      </a:folHlink>
    </a:clrScheme>
    <a:fontScheme name="PBO v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A24CB-D0D8-486B-A032-3A77D19F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Report.dotm</Template>
  <TotalTime>503</TotalTime>
  <Pages>25</Pages>
  <Words>72258</Words>
  <Characters>375746</Characters>
  <Application>Microsoft Office Word</Application>
  <DocSecurity>0</DocSecurity>
  <Lines>31312</Lines>
  <Paragraphs>23579</Paragraphs>
  <ScaleCrop>false</ScaleCrop>
  <HeadingPairs>
    <vt:vector size="2" baseType="variant">
      <vt:variant>
        <vt:lpstr>Title</vt:lpstr>
      </vt:variant>
      <vt:variant>
        <vt:i4>1</vt:i4>
      </vt:variant>
    </vt:vector>
  </HeadingPairs>
  <TitlesOfParts>
    <vt:vector size="1" baseType="lpstr">
      <vt:lpstr>Post-election report of election commitments: 2016 general election </vt:lpstr>
    </vt:vector>
  </TitlesOfParts>
  <Company>Parliament of Australia</Company>
  <LinksUpToDate>false</LinksUpToDate>
  <CharactersWithSpaces>424425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Post-election report of election commitments: 2016 general election </dc:title>
  <dc:subject>Appendix F - Costing documentation for Labor's election commitments</dc:subject>
  <dc:creator>Parliamentary Budget Office</dc:creator>
  <cp:keywords/>
  <dc:description/>
  <cp:lastModifiedBy>Milligan, Louise (PBO)</cp:lastModifiedBy>
  <cp:revision>151</cp:revision>
  <cp:lastPrinted>2016-08-04T03:53:00Z</cp:lastPrinted>
  <dcterms:created xsi:type="dcterms:W3CDTF">2016-08-01T11:05:00Z</dcterms:created>
  <dcterms:modified xsi:type="dcterms:W3CDTF">2016-09-30T06:53:00Z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H</vt:lpwstr>
  </property>
  <property fmtid="{D5CDD505-2E9C-101B-9397-08002B2CF9AE}" pid="4" name="xTOCH3">
    <vt:lpwstr>H</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Appendix</vt:lpwstr>
  </property>
  <property fmtid="{D5CDD505-2E9C-101B-9397-08002B2CF9AE}" pid="12" name="_MarkAsFinal">
    <vt:bool>true</vt:bool>
  </property>
</Properties>
</file>