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44F" w:rsidRDefault="0046444F" w:rsidP="0046444F">
      <w:pPr>
        <w:pStyle w:val="Title"/>
      </w:pPr>
      <w:r w:rsidRPr="008D77AF">
        <w:t>Policy costing—outside the caretaker period</w:t>
      </w:r>
    </w:p>
    <w:tbl>
      <w:tblPr>
        <w:tblStyle w:val="LightGrid-Accent6"/>
        <w:tblW w:w="5000" w:type="pct"/>
        <w:tblLook w:val="0600" w:firstRow="0" w:lastRow="0" w:firstColumn="0" w:lastColumn="0" w:noHBand="1" w:noVBand="1"/>
      </w:tblPr>
      <w:tblGrid>
        <w:gridCol w:w="3085"/>
        <w:gridCol w:w="1276"/>
        <w:gridCol w:w="4167"/>
      </w:tblGrid>
      <w:tr w:rsidR="0098222F" w:rsidRPr="008D77AF" w:rsidTr="00D17A0B">
        <w:tc>
          <w:tcPr>
            <w:tcW w:w="1809" w:type="pct"/>
            <w:tcBorders>
              <w:bottom w:val="single" w:sz="8" w:space="0" w:color="788184" w:themeColor="accent6"/>
            </w:tcBorders>
            <w:shd w:val="clear" w:color="auto" w:fill="D7DDE9" w:themeFill="accent3"/>
          </w:tcPr>
          <w:p w:rsidR="0098222F" w:rsidRPr="008D77AF" w:rsidRDefault="0098222F" w:rsidP="0098222F">
            <w:pPr>
              <w:pStyle w:val="PullOutBoxHeading"/>
            </w:pPr>
            <w:r w:rsidRPr="008D77AF">
              <w:t>Name of proposal:</w:t>
            </w:r>
          </w:p>
        </w:tc>
        <w:tc>
          <w:tcPr>
            <w:tcW w:w="3191" w:type="pct"/>
            <w:gridSpan w:val="2"/>
            <w:tcBorders>
              <w:bottom w:val="single" w:sz="8" w:space="0" w:color="788184" w:themeColor="accent6"/>
            </w:tcBorders>
            <w:shd w:val="clear" w:color="auto" w:fill="D7DDE9" w:themeFill="accent3"/>
          </w:tcPr>
          <w:p w:rsidR="004B3022" w:rsidRPr="008D77AF" w:rsidRDefault="00D079F8" w:rsidP="00D079F8">
            <w:pPr>
              <w:pStyle w:val="PullOutBoxHeading"/>
            </w:pPr>
            <w:r>
              <w:t>Tax</w:t>
            </w:r>
          </w:p>
        </w:tc>
      </w:tr>
      <w:tr w:rsidR="00B37008" w:rsidRPr="008D77AF" w:rsidTr="00D17A0B">
        <w:trPr>
          <w:trHeight w:val="11250"/>
        </w:trPr>
        <w:tc>
          <w:tcPr>
            <w:tcW w:w="1809" w:type="pct"/>
            <w:tcBorders>
              <w:bottom w:val="single" w:sz="8" w:space="0" w:color="788184" w:themeColor="accent6"/>
            </w:tcBorders>
          </w:tcPr>
          <w:p w:rsidR="00B37008" w:rsidRPr="008D77AF" w:rsidRDefault="00B37008" w:rsidP="0098222F">
            <w:pPr>
              <w:pStyle w:val="PullOutBoxBodyText"/>
            </w:pPr>
            <w:r w:rsidRPr="008D77AF">
              <w:t>Summary of proposal:</w:t>
            </w:r>
          </w:p>
        </w:tc>
        <w:tc>
          <w:tcPr>
            <w:tcW w:w="3191" w:type="pct"/>
            <w:gridSpan w:val="2"/>
            <w:tcBorders>
              <w:bottom w:val="single" w:sz="8" w:space="0" w:color="788184" w:themeColor="accent6"/>
            </w:tcBorders>
          </w:tcPr>
          <w:p w:rsidR="00B37008" w:rsidRDefault="00B37008" w:rsidP="00215C89">
            <w:pPr>
              <w:pStyle w:val="PullOutBoxBodyText"/>
            </w:pPr>
            <w:r>
              <w:t>This proposal has three options.</w:t>
            </w:r>
          </w:p>
          <w:p w:rsidR="00B37008" w:rsidRPr="005D028C" w:rsidRDefault="00B37008" w:rsidP="005D028C">
            <w:pPr>
              <w:pStyle w:val="PullOutBoxHeading"/>
            </w:pPr>
            <w:r w:rsidRPr="005D028C">
              <w:t>Option 1: Personal income tax, company tax</w:t>
            </w:r>
            <w:r>
              <w:t>,</w:t>
            </w:r>
            <w:r w:rsidRPr="005D028C">
              <w:t xml:space="preserve"> and excise and customs duty</w:t>
            </w:r>
          </w:p>
          <w:p w:rsidR="00B37008" w:rsidRDefault="00B37008" w:rsidP="00471C7B">
            <w:pPr>
              <w:pStyle w:val="PullOutBoxBullet"/>
              <w:numPr>
                <w:ilvl w:val="0"/>
                <w:numId w:val="0"/>
              </w:numPr>
              <w:ind w:left="57"/>
            </w:pPr>
            <w:r>
              <w:t>This option has three components:</w:t>
            </w:r>
          </w:p>
          <w:p w:rsidR="00B37008" w:rsidRPr="000F2075" w:rsidRDefault="00B37008" w:rsidP="009B06C2">
            <w:pPr>
              <w:pStyle w:val="PullOutBoxBullet"/>
            </w:pPr>
            <w:r w:rsidRPr="000F2075">
              <w:t xml:space="preserve">Personal </w:t>
            </w:r>
            <w:r>
              <w:t>i</w:t>
            </w:r>
            <w:r w:rsidRPr="000F2075">
              <w:t xml:space="preserve">ncome </w:t>
            </w:r>
            <w:r>
              <w:t>t</w:t>
            </w:r>
            <w:r w:rsidRPr="000F2075">
              <w:t>ax</w:t>
            </w:r>
            <w:r>
              <w:t xml:space="preserve"> changes</w:t>
            </w:r>
          </w:p>
          <w:p w:rsidR="00B37008" w:rsidRDefault="00B37008" w:rsidP="009B06C2">
            <w:pPr>
              <w:pStyle w:val="PullOutBoxBullet2"/>
            </w:pPr>
            <w:r>
              <w:t>increase the tax-free threshold to $40,000</w:t>
            </w:r>
          </w:p>
          <w:p w:rsidR="00B37008" w:rsidRDefault="00B37008" w:rsidP="009B06C2">
            <w:pPr>
              <w:pStyle w:val="PullOutBoxBullet2"/>
            </w:pPr>
            <w:r>
              <w:t>reduce the marginal tax rate for taxable income above this threshold to 20 per cent</w:t>
            </w:r>
          </w:p>
          <w:p w:rsidR="00B37008" w:rsidRDefault="00B37008" w:rsidP="009B06C2">
            <w:pPr>
              <w:pStyle w:val="PullOutBoxBullet2"/>
            </w:pPr>
            <w:r>
              <w:t xml:space="preserve">abolish the Medicare Levy, the Medicare Levy surcharge, and the Low Income Tax Offset (LITO) </w:t>
            </w:r>
          </w:p>
          <w:p w:rsidR="00B37008" w:rsidRDefault="00B37008" w:rsidP="009B06C2">
            <w:pPr>
              <w:pStyle w:val="PullOutBoxBullet2"/>
            </w:pPr>
            <w:proofErr w:type="gramStart"/>
            <w:r>
              <w:t>reduce</w:t>
            </w:r>
            <w:proofErr w:type="gramEnd"/>
            <w:r>
              <w:t xml:space="preserve"> the </w:t>
            </w:r>
            <w:r w:rsidR="003A16EA">
              <w:t>F</w:t>
            </w:r>
            <w:r>
              <w:t xml:space="preserve">ringe </w:t>
            </w:r>
            <w:r w:rsidR="003A16EA">
              <w:t>B</w:t>
            </w:r>
            <w:r>
              <w:t xml:space="preserve">enefits </w:t>
            </w:r>
            <w:r w:rsidR="003A16EA">
              <w:t>T</w:t>
            </w:r>
            <w:r>
              <w:t>ax (FBT) rate to 20 per cent.</w:t>
            </w:r>
          </w:p>
          <w:p w:rsidR="00B37008" w:rsidRDefault="00B37008" w:rsidP="009B06C2">
            <w:pPr>
              <w:pStyle w:val="PullOutBoxBullet"/>
            </w:pPr>
            <w:r>
              <w:t>Company tax rate reduction</w:t>
            </w:r>
          </w:p>
          <w:p w:rsidR="00B37008" w:rsidRPr="000F2075" w:rsidRDefault="00B37008" w:rsidP="009B06C2">
            <w:pPr>
              <w:pStyle w:val="PullOutBoxBullet2"/>
              <w:rPr>
                <w:u w:val="single"/>
              </w:rPr>
            </w:pPr>
            <w:proofErr w:type="gramStart"/>
            <w:r>
              <w:t>reduce</w:t>
            </w:r>
            <w:proofErr w:type="gramEnd"/>
            <w:r>
              <w:t xml:space="preserve"> the company tax rate to 20 per cent for all companies.</w:t>
            </w:r>
          </w:p>
          <w:p w:rsidR="00B37008" w:rsidRPr="00215C89" w:rsidRDefault="00B37008" w:rsidP="009B06C2">
            <w:pPr>
              <w:pStyle w:val="PullOutBoxBullet"/>
              <w:rPr>
                <w:u w:val="single"/>
              </w:rPr>
            </w:pPr>
            <w:r>
              <w:t>Abolish excise and customs duties</w:t>
            </w:r>
          </w:p>
          <w:p w:rsidR="00B37008" w:rsidRDefault="00B37008" w:rsidP="009B06C2">
            <w:pPr>
              <w:pStyle w:val="PullOutBoxBullet2"/>
            </w:pPr>
            <w:proofErr w:type="gramStart"/>
            <w:r>
              <w:t>abolish</w:t>
            </w:r>
            <w:proofErr w:type="gramEnd"/>
            <w:r>
              <w:t xml:space="preserve"> excise on tobacco, alcohol and fuel, and all customs duties on imports.</w:t>
            </w:r>
          </w:p>
          <w:p w:rsidR="00B37008" w:rsidRPr="00B82490" w:rsidRDefault="00B37008" w:rsidP="00B82490">
            <w:pPr>
              <w:pStyle w:val="PullOutBoxHeading"/>
            </w:pPr>
            <w:r w:rsidRPr="00B82490">
              <w:t xml:space="preserve">Option 2: </w:t>
            </w:r>
            <w:r>
              <w:t>Personal income tax, company tax, excise and customs duty and Goods and Services Tax (</w:t>
            </w:r>
            <w:r w:rsidRPr="00B82490">
              <w:t>GST</w:t>
            </w:r>
            <w:r>
              <w:t>)</w:t>
            </w:r>
            <w:r w:rsidRPr="00B82490">
              <w:t xml:space="preserve"> on food</w:t>
            </w:r>
            <w:r>
              <w:t xml:space="preserve"> and beverages</w:t>
            </w:r>
          </w:p>
          <w:p w:rsidR="00B37008" w:rsidRDefault="00B37008" w:rsidP="006D452E">
            <w:pPr>
              <w:pStyle w:val="PullOutBoxBodyText"/>
              <w:rPr>
                <w:u w:val="single"/>
              </w:rPr>
            </w:pPr>
            <w:r>
              <w:t>This option includes Option 1, with an additional GST component to apply the GST to all food and beverages.</w:t>
            </w:r>
          </w:p>
          <w:p w:rsidR="00B37008" w:rsidRPr="00B82490" w:rsidRDefault="00B37008" w:rsidP="00B82490">
            <w:pPr>
              <w:pStyle w:val="PullOutBoxHeading"/>
            </w:pPr>
            <w:r w:rsidRPr="00B82490">
              <w:t xml:space="preserve">Option 3: </w:t>
            </w:r>
            <w:r>
              <w:t xml:space="preserve">Personal income tax, company tax, excise and customs duty and align the coverage of Australia’s </w:t>
            </w:r>
            <w:r w:rsidRPr="00B82490">
              <w:t xml:space="preserve">GST </w:t>
            </w:r>
            <w:r>
              <w:t>with that of N</w:t>
            </w:r>
            <w:r w:rsidRPr="00B82490">
              <w:t>ew Zealand</w:t>
            </w:r>
          </w:p>
          <w:p w:rsidR="00B37008" w:rsidRDefault="00B37008" w:rsidP="006D452E">
            <w:pPr>
              <w:pStyle w:val="PullOutBoxBodyText"/>
            </w:pPr>
            <w:r>
              <w:t xml:space="preserve">This option includes Option 1, with an additional GST component to </w:t>
            </w:r>
            <w:r w:rsidRPr="000F2075">
              <w:t xml:space="preserve">apply </w:t>
            </w:r>
            <w:r>
              <w:t xml:space="preserve">the </w:t>
            </w:r>
            <w:r w:rsidRPr="000F2075">
              <w:t xml:space="preserve">GST to the same goods and services that are subject to </w:t>
            </w:r>
            <w:r>
              <w:t xml:space="preserve">the </w:t>
            </w:r>
            <w:r w:rsidRPr="000F2075">
              <w:t>GST in New Zealand.</w:t>
            </w:r>
            <w:r>
              <w:t xml:space="preserve">  </w:t>
            </w:r>
          </w:p>
          <w:p w:rsidR="00B37008" w:rsidRPr="00007221" w:rsidRDefault="00B37008" w:rsidP="00007221">
            <w:pPr>
              <w:pStyle w:val="PullOutBoxBodyText"/>
            </w:pPr>
            <w:r w:rsidRPr="00007221">
              <w:t>The Commonwealth would retain any additional revenue resulting from the GST components of Option</w:t>
            </w:r>
            <w:r w:rsidR="002F7174">
              <w:t>s</w:t>
            </w:r>
            <w:r w:rsidRPr="00007221">
              <w:t xml:space="preserve"> 2 and 3.</w:t>
            </w:r>
          </w:p>
          <w:p w:rsidR="00B37008" w:rsidRPr="000F2075" w:rsidRDefault="00B37008">
            <w:pPr>
              <w:pStyle w:val="PullOutBoxBodyText"/>
            </w:pPr>
            <w:r w:rsidRPr="00007221">
              <w:t xml:space="preserve">The proposal would be announced and have effect from 1 July 2017.  </w:t>
            </w:r>
          </w:p>
        </w:tc>
      </w:tr>
      <w:tr w:rsidR="002F7174" w:rsidRPr="008D77AF" w:rsidTr="00D17A0B">
        <w:tc>
          <w:tcPr>
            <w:tcW w:w="1809" w:type="pct"/>
            <w:tcBorders>
              <w:top w:val="single" w:sz="8" w:space="0" w:color="788184" w:themeColor="accent6"/>
            </w:tcBorders>
          </w:tcPr>
          <w:p w:rsidR="002F7174" w:rsidRPr="008D77AF" w:rsidRDefault="002F7174" w:rsidP="0098222F">
            <w:pPr>
              <w:pStyle w:val="PullOutBoxBodyText"/>
            </w:pPr>
          </w:p>
        </w:tc>
        <w:tc>
          <w:tcPr>
            <w:tcW w:w="3191" w:type="pct"/>
            <w:gridSpan w:val="2"/>
            <w:tcBorders>
              <w:top w:val="single" w:sz="8" w:space="0" w:color="788184" w:themeColor="accent6"/>
            </w:tcBorders>
          </w:tcPr>
          <w:p w:rsidR="002F7174" w:rsidRDefault="002F7174" w:rsidP="00FD1EE0">
            <w:pPr>
              <w:pStyle w:val="PullOutBoxBodyText"/>
            </w:pPr>
            <w:r w:rsidRPr="00007221">
              <w:t>The request sought the financial implications to 2026-27.</w:t>
            </w:r>
          </w:p>
        </w:tc>
      </w:tr>
      <w:tr w:rsidR="0098222F" w:rsidRPr="008D77AF" w:rsidTr="00C24ACD">
        <w:tc>
          <w:tcPr>
            <w:tcW w:w="1809" w:type="pct"/>
            <w:tcBorders>
              <w:top w:val="single" w:sz="4" w:space="0" w:color="auto"/>
            </w:tcBorders>
          </w:tcPr>
          <w:p w:rsidR="0098222F" w:rsidRPr="008D77AF" w:rsidRDefault="0098222F" w:rsidP="0098222F">
            <w:pPr>
              <w:pStyle w:val="PullOutBoxBodyText"/>
            </w:pPr>
            <w:r w:rsidRPr="008D77AF">
              <w:t>Person/party requesting the costing:</w:t>
            </w:r>
          </w:p>
        </w:tc>
        <w:tc>
          <w:tcPr>
            <w:tcW w:w="3191" w:type="pct"/>
            <w:gridSpan w:val="2"/>
            <w:tcBorders>
              <w:top w:val="single" w:sz="4" w:space="0" w:color="auto"/>
            </w:tcBorders>
          </w:tcPr>
          <w:p w:rsidR="0098222F" w:rsidRPr="008D77AF" w:rsidRDefault="00D079F8" w:rsidP="00FD1EE0">
            <w:pPr>
              <w:pStyle w:val="PullOutBoxBodyText"/>
            </w:pPr>
            <w:r>
              <w:t>Senator David L</w:t>
            </w:r>
            <w:r w:rsidR="00E461C4">
              <w:t>e</w:t>
            </w:r>
            <w:r>
              <w:t>yonhjelm, Liberal Democratic Party</w:t>
            </w:r>
          </w:p>
        </w:tc>
      </w:tr>
      <w:tr w:rsidR="008112CC" w:rsidRPr="008D77AF" w:rsidTr="008112CC">
        <w:tc>
          <w:tcPr>
            <w:tcW w:w="1809" w:type="pct"/>
          </w:tcPr>
          <w:p w:rsidR="008112CC" w:rsidRPr="008D77AF" w:rsidRDefault="008112CC" w:rsidP="0056001A">
            <w:pPr>
              <w:pStyle w:val="PullOutBoxBodyText"/>
            </w:pPr>
            <w:r w:rsidRPr="008D77AF">
              <w:t>Did the applicant request the costing be confidential:</w:t>
            </w:r>
          </w:p>
        </w:tc>
        <w:tc>
          <w:tcPr>
            <w:tcW w:w="748" w:type="pct"/>
            <w:tcBorders>
              <w:right w:val="nil"/>
            </w:tcBorders>
          </w:tcPr>
          <w:p w:rsidR="008112CC" w:rsidRPr="008D77AF" w:rsidRDefault="001F29CD" w:rsidP="0056001A">
            <w:pPr>
              <w:pStyle w:val="PullOutBoxBodyText"/>
            </w:pPr>
            <w:sdt>
              <w:sdtPr>
                <w:id w:val="33003715"/>
                <w14:checkbox>
                  <w14:checked w14:val="1"/>
                  <w14:checkedState w14:val="2612" w14:font="MS Gothic"/>
                  <w14:uncheckedState w14:val="2610" w14:font="MS Gothic"/>
                </w14:checkbox>
              </w:sdtPr>
              <w:sdtEndPr/>
              <w:sdtContent>
                <w:r w:rsidR="009140AB">
                  <w:rPr>
                    <w:rFonts w:ascii="MS Gothic" w:eastAsia="MS Gothic" w:hAnsi="MS Gothic" w:hint="eastAsia"/>
                  </w:rPr>
                  <w:t>☒</w:t>
                </w:r>
              </w:sdtContent>
            </w:sdt>
            <w:r w:rsidR="008112CC" w:rsidRPr="008D77AF">
              <w:t xml:space="preserve"> Yes</w:t>
            </w:r>
          </w:p>
        </w:tc>
        <w:tc>
          <w:tcPr>
            <w:tcW w:w="2443" w:type="pct"/>
            <w:tcBorders>
              <w:left w:val="nil"/>
              <w:right w:val="single" w:sz="4" w:space="0" w:color="auto"/>
            </w:tcBorders>
          </w:tcPr>
          <w:p w:rsidR="008112CC" w:rsidRPr="008D77AF" w:rsidRDefault="001F29CD" w:rsidP="0056001A">
            <w:pPr>
              <w:pStyle w:val="PullOutBoxBodyText"/>
            </w:pPr>
            <w:sdt>
              <w:sdtPr>
                <w:id w:val="-864130722"/>
                <w14:checkbox>
                  <w14:checked w14:val="0"/>
                  <w14:checkedState w14:val="2612" w14:font="MS Gothic"/>
                  <w14:uncheckedState w14:val="2610" w14:font="MS Gothic"/>
                </w14:checkbox>
              </w:sdtPr>
              <w:sdtEndPr/>
              <w:sdtContent>
                <w:r w:rsidR="008112CC" w:rsidRPr="008D77AF">
                  <w:rPr>
                    <w:rFonts w:ascii="MS Gothic" w:eastAsia="MS Gothic" w:hAnsi="MS Gothic" w:hint="eastAsia"/>
                  </w:rPr>
                  <w:t>☐</w:t>
                </w:r>
              </w:sdtContent>
            </w:sdt>
            <w:r w:rsidR="008112CC" w:rsidRPr="008D77AF">
              <w:t xml:space="preserve"> No</w:t>
            </w:r>
          </w:p>
        </w:tc>
      </w:tr>
      <w:tr w:rsidR="008112CC" w:rsidRPr="008D77AF" w:rsidTr="0056001A">
        <w:tc>
          <w:tcPr>
            <w:tcW w:w="1809" w:type="pct"/>
          </w:tcPr>
          <w:p w:rsidR="008112CC" w:rsidRPr="008D77AF" w:rsidRDefault="008112CC" w:rsidP="0056001A">
            <w:pPr>
              <w:pStyle w:val="PullOutBoxBodyText"/>
            </w:pPr>
            <w:r w:rsidRPr="008D77AF">
              <w:t>Date costing request received:</w:t>
            </w:r>
          </w:p>
        </w:tc>
        <w:tc>
          <w:tcPr>
            <w:tcW w:w="3191" w:type="pct"/>
            <w:gridSpan w:val="2"/>
          </w:tcPr>
          <w:p w:rsidR="008112CC" w:rsidRPr="008D77AF" w:rsidRDefault="004777EF" w:rsidP="00F70CF4">
            <w:pPr>
              <w:pStyle w:val="PullOutBoxBodyText"/>
            </w:pPr>
            <w:r>
              <w:t xml:space="preserve">9 </w:t>
            </w:r>
            <w:r w:rsidR="00F70CF4">
              <w:t xml:space="preserve">August </w:t>
            </w:r>
            <w:r w:rsidR="00D079F8">
              <w:t>2016</w:t>
            </w:r>
          </w:p>
        </w:tc>
      </w:tr>
      <w:tr w:rsidR="008112CC" w:rsidRPr="008D77AF" w:rsidTr="008112CC">
        <w:tc>
          <w:tcPr>
            <w:tcW w:w="1809" w:type="pct"/>
          </w:tcPr>
          <w:p w:rsidR="008112CC" w:rsidRPr="008D77AF" w:rsidRDefault="008112CC" w:rsidP="0098222F">
            <w:pPr>
              <w:pStyle w:val="PullOutBoxBodyText"/>
            </w:pPr>
            <w:r w:rsidRPr="008D77AF">
              <w:t>Date costing completed:</w:t>
            </w:r>
          </w:p>
        </w:tc>
        <w:tc>
          <w:tcPr>
            <w:tcW w:w="3191" w:type="pct"/>
            <w:gridSpan w:val="2"/>
          </w:tcPr>
          <w:p w:rsidR="008112CC" w:rsidRPr="008D77AF" w:rsidRDefault="000F2802" w:rsidP="00CA253F">
            <w:pPr>
              <w:pStyle w:val="PullOutBoxBodyText"/>
            </w:pPr>
            <w:r>
              <w:t>5</w:t>
            </w:r>
            <w:r w:rsidR="00B8299B">
              <w:t xml:space="preserve"> </w:t>
            </w:r>
            <w:r w:rsidR="00CA253F">
              <w:t>Dec</w:t>
            </w:r>
            <w:r w:rsidR="00D4764C">
              <w:t>ember</w:t>
            </w:r>
            <w:r w:rsidR="00D079F8">
              <w:t xml:space="preserve"> 2016</w:t>
            </w:r>
          </w:p>
        </w:tc>
      </w:tr>
      <w:tr w:rsidR="00CA07BA" w:rsidRPr="008D77AF" w:rsidTr="008112CC">
        <w:tc>
          <w:tcPr>
            <w:tcW w:w="1809" w:type="pct"/>
          </w:tcPr>
          <w:p w:rsidR="00CA07BA" w:rsidRPr="008D77AF" w:rsidRDefault="00CA07BA" w:rsidP="0098222F">
            <w:pPr>
              <w:pStyle w:val="PullOutBoxBodyText"/>
            </w:pPr>
            <w:r w:rsidRPr="00CA07BA">
              <w:t>Additional information requested:</w:t>
            </w:r>
          </w:p>
        </w:tc>
        <w:tc>
          <w:tcPr>
            <w:tcW w:w="3191" w:type="pct"/>
            <w:gridSpan w:val="2"/>
          </w:tcPr>
          <w:p w:rsidR="00CA07BA" w:rsidRPr="008D77AF" w:rsidRDefault="00CA07BA" w:rsidP="009B2481">
            <w:pPr>
              <w:pStyle w:val="PullOutBoxBodyText"/>
            </w:pPr>
            <w:r>
              <w:t xml:space="preserve">On 2 November </w:t>
            </w:r>
            <w:r w:rsidR="00B8299B">
              <w:t xml:space="preserve">2016 </w:t>
            </w:r>
            <w:r>
              <w:t xml:space="preserve">the </w:t>
            </w:r>
            <w:r w:rsidR="009B2481" w:rsidRPr="00AF658E">
              <w:t>Parliamentary Budget Office (PBO</w:t>
            </w:r>
            <w:r w:rsidR="009B2481">
              <w:t>)</w:t>
            </w:r>
            <w:r w:rsidR="009B2481" w:rsidDel="009B2481">
              <w:t xml:space="preserve"> </w:t>
            </w:r>
            <w:r>
              <w:t xml:space="preserve">contacted Senator </w:t>
            </w:r>
            <w:proofErr w:type="spellStart"/>
            <w:r>
              <w:t>Leyonhjelm’s</w:t>
            </w:r>
            <w:proofErr w:type="spellEnd"/>
            <w:r>
              <w:t xml:space="preserve"> office</w:t>
            </w:r>
            <w:r w:rsidR="00B8299B">
              <w:t xml:space="preserve"> (the </w:t>
            </w:r>
            <w:r w:rsidR="000F2802">
              <w:t>o</w:t>
            </w:r>
            <w:r w:rsidR="00B8299B">
              <w:t>ffice)</w:t>
            </w:r>
            <w:r>
              <w:t xml:space="preserve"> to confirm the announcement and implementation date of the proposal</w:t>
            </w:r>
            <w:r w:rsidR="000F2802">
              <w:t>,</w:t>
            </w:r>
            <w:r>
              <w:t xml:space="preserve"> and the treatment of GST revenue collected under the proposal.</w:t>
            </w:r>
          </w:p>
        </w:tc>
      </w:tr>
      <w:tr w:rsidR="00CA07BA" w:rsidRPr="008D77AF" w:rsidTr="008112CC">
        <w:tc>
          <w:tcPr>
            <w:tcW w:w="1809" w:type="pct"/>
          </w:tcPr>
          <w:p w:rsidR="00CA07BA" w:rsidRPr="008D77AF" w:rsidRDefault="00CA07BA" w:rsidP="00CA07BA">
            <w:pPr>
              <w:pStyle w:val="PullOutBoxBodyText"/>
            </w:pPr>
            <w:r w:rsidRPr="00CA07BA">
              <w:t>Additional information received:</w:t>
            </w:r>
          </w:p>
        </w:tc>
        <w:tc>
          <w:tcPr>
            <w:tcW w:w="3191" w:type="pct"/>
            <w:gridSpan w:val="2"/>
          </w:tcPr>
          <w:p w:rsidR="00CA07BA" w:rsidRDefault="00CA07BA" w:rsidP="00CA07BA">
            <w:pPr>
              <w:pStyle w:val="PullOutBoxBodyText"/>
            </w:pPr>
            <w:r>
              <w:t xml:space="preserve">On 2 November </w:t>
            </w:r>
            <w:r w:rsidR="00B8299B">
              <w:t xml:space="preserve">2016 the </w:t>
            </w:r>
            <w:r w:rsidR="000F2802">
              <w:t>o</w:t>
            </w:r>
            <w:r>
              <w:t>ffice confirmed that:</w:t>
            </w:r>
          </w:p>
          <w:p w:rsidR="00CA07BA" w:rsidRDefault="00CA07BA" w:rsidP="00CA07BA">
            <w:pPr>
              <w:pStyle w:val="PullOutBoxBullet"/>
            </w:pPr>
            <w:r>
              <w:t>the announcement and implementation date of the proposal would be 1 July 2017</w:t>
            </w:r>
          </w:p>
          <w:p w:rsidR="00CA07BA" w:rsidRPr="008D77AF" w:rsidRDefault="0097766D">
            <w:pPr>
              <w:pStyle w:val="PullOutBoxBullet"/>
            </w:pPr>
            <w:proofErr w:type="gramStart"/>
            <w:r>
              <w:t>t</w:t>
            </w:r>
            <w:r w:rsidR="00312E3B">
              <w:t>he</w:t>
            </w:r>
            <w:proofErr w:type="gramEnd"/>
            <w:r w:rsidR="00312E3B">
              <w:t xml:space="preserve"> Commonwealth would retain any additional revenue resulting from the GST components of Option</w:t>
            </w:r>
            <w:r w:rsidR="0075680F">
              <w:t>s </w:t>
            </w:r>
            <w:r w:rsidR="00312E3B">
              <w:t>2 and</w:t>
            </w:r>
            <w:r w:rsidR="0075680F">
              <w:t> </w:t>
            </w:r>
            <w:r w:rsidR="00312E3B">
              <w:t>3.</w:t>
            </w:r>
          </w:p>
        </w:tc>
      </w:tr>
      <w:tr w:rsidR="008112CC" w:rsidRPr="008D77AF" w:rsidTr="008112CC">
        <w:tc>
          <w:tcPr>
            <w:tcW w:w="1809" w:type="pct"/>
          </w:tcPr>
          <w:p w:rsidR="008112CC" w:rsidRPr="008D77AF" w:rsidRDefault="008112CC" w:rsidP="0098222F">
            <w:pPr>
              <w:pStyle w:val="PullOutBoxBodyText"/>
            </w:pPr>
            <w:r w:rsidRPr="008D77AF">
              <w:t>Expiry date of the costing:</w:t>
            </w:r>
          </w:p>
        </w:tc>
        <w:tc>
          <w:tcPr>
            <w:tcW w:w="3191" w:type="pct"/>
            <w:gridSpan w:val="2"/>
          </w:tcPr>
          <w:p w:rsidR="008112CC" w:rsidRPr="008D77AF" w:rsidRDefault="008112CC" w:rsidP="0098222F">
            <w:pPr>
              <w:pStyle w:val="PullOutBoxBodyText"/>
            </w:pPr>
            <w:r w:rsidRPr="008D77AF">
              <w:t>Release of the next economic and fiscal outlook report.</w:t>
            </w:r>
          </w:p>
        </w:tc>
      </w:tr>
    </w:tbl>
    <w:p w:rsidR="0046444F" w:rsidRPr="008D77AF" w:rsidRDefault="0046444F" w:rsidP="0046444F">
      <w:pPr>
        <w:pStyle w:val="Heading1"/>
      </w:pPr>
      <w:r w:rsidRPr="008D77AF">
        <w:t>Costing overview</w:t>
      </w:r>
    </w:p>
    <w:p w:rsidR="00AF658E" w:rsidRDefault="00B82490" w:rsidP="004731BF">
      <w:pPr>
        <w:pStyle w:val="BodyText"/>
        <w:rPr>
          <w:rFonts w:cs="Calibri"/>
        </w:rPr>
      </w:pPr>
      <w:r>
        <w:t>The proposal outlines</w:t>
      </w:r>
      <w:r w:rsidR="00AF658E">
        <w:t xml:space="preserve"> </w:t>
      </w:r>
      <w:r w:rsidR="000319EC">
        <w:t xml:space="preserve">three options for introducing a </w:t>
      </w:r>
      <w:r w:rsidR="00AF658E">
        <w:t xml:space="preserve">number </w:t>
      </w:r>
      <w:r w:rsidR="00994E3A">
        <w:t xml:space="preserve">of </w:t>
      </w:r>
      <w:r w:rsidR="00AF658E">
        <w:t xml:space="preserve">changes </w:t>
      </w:r>
      <w:r w:rsidR="000319EC">
        <w:t xml:space="preserve">to </w:t>
      </w:r>
      <w:r w:rsidR="009D654C">
        <w:t xml:space="preserve">several components of the tax system including </w:t>
      </w:r>
      <w:r w:rsidR="000319EC">
        <w:t xml:space="preserve">personal </w:t>
      </w:r>
      <w:r w:rsidR="009D654C">
        <w:t xml:space="preserve">income </w:t>
      </w:r>
      <w:r w:rsidR="000319EC">
        <w:t xml:space="preserve">tax, </w:t>
      </w:r>
      <w:r w:rsidR="009D654C">
        <w:t xml:space="preserve">FBT, </w:t>
      </w:r>
      <w:r w:rsidR="000319EC">
        <w:t>company tax and GST.</w:t>
      </w:r>
      <w:r w:rsidR="00455FB1">
        <w:t xml:space="preserve"> </w:t>
      </w:r>
    </w:p>
    <w:p w:rsidR="00EE56F0" w:rsidRPr="00664450" w:rsidRDefault="00EE56F0" w:rsidP="007A1E77">
      <w:pPr>
        <w:pStyle w:val="BodyText"/>
      </w:pPr>
      <w:r>
        <w:t xml:space="preserve">All components of the proposal </w:t>
      </w:r>
      <w:r w:rsidR="003E6A44">
        <w:t xml:space="preserve">would </w:t>
      </w:r>
      <w:r>
        <w:t>have broader macroeconomic implications, including but not limited to impacts on the Consumer Price Index (CPI), the exchange rate, the aggregate level of private consumption expenditure</w:t>
      </w:r>
      <w:r w:rsidR="00AE37E8">
        <w:t>,</w:t>
      </w:r>
      <w:r>
        <w:t xml:space="preserve"> the labour supply</w:t>
      </w:r>
      <w:r w:rsidR="00AE37E8">
        <w:t>, productivity and business investment</w:t>
      </w:r>
      <w:r w:rsidR="003E6A44">
        <w:t xml:space="preserve"> and Gross Domestic Product</w:t>
      </w:r>
      <w:r>
        <w:t xml:space="preserve">.  However, the </w:t>
      </w:r>
      <w:r w:rsidR="003E6A44">
        <w:t>magnitude</w:t>
      </w:r>
      <w:r>
        <w:t xml:space="preserve">, timing and direction of these broader macroeconomic implications </w:t>
      </w:r>
      <w:r w:rsidR="003E6A44">
        <w:t xml:space="preserve">are highly uncertain and would also depend on the manner in which the proposal </w:t>
      </w:r>
      <w:r>
        <w:t xml:space="preserve">would </w:t>
      </w:r>
      <w:r w:rsidR="003E6A44">
        <w:t xml:space="preserve">be financed.  As such, broader macroeconomic effects </w:t>
      </w:r>
      <w:r>
        <w:t xml:space="preserve">have not been included in this costing.  </w:t>
      </w:r>
    </w:p>
    <w:p w:rsidR="007958DF" w:rsidRDefault="00D105C6" w:rsidP="00C05617">
      <w:pPr>
        <w:pStyle w:val="Heading2"/>
      </w:pPr>
      <w:r>
        <w:t>Option 1</w:t>
      </w:r>
      <w:r w:rsidR="00361AE7">
        <w:t xml:space="preserve"> - </w:t>
      </w:r>
      <w:r w:rsidR="00361AE7" w:rsidRPr="00361AE7">
        <w:t>Personal income tax, company tax</w:t>
      </w:r>
      <w:r w:rsidR="008A058F">
        <w:t>,</w:t>
      </w:r>
      <w:r w:rsidR="00361AE7" w:rsidRPr="00361AE7">
        <w:t xml:space="preserve"> and excise</w:t>
      </w:r>
      <w:r w:rsidR="00843C94">
        <w:t xml:space="preserve"> and customs duty</w:t>
      </w:r>
    </w:p>
    <w:p w:rsidR="001E0AE8" w:rsidRDefault="00D105C6" w:rsidP="00D105C6">
      <w:pPr>
        <w:pStyle w:val="BodyText"/>
      </w:pPr>
      <w:r w:rsidRPr="00EE56F0">
        <w:t>This option</w:t>
      </w:r>
      <w:r>
        <w:t xml:space="preserve"> would increase the tax</w:t>
      </w:r>
      <w:r w:rsidR="00CD76CA">
        <w:noBreakHyphen/>
      </w:r>
      <w:r>
        <w:t>free threshold to $40,000, reduce the marginal tax rate for taxable income above this threshold to 20</w:t>
      </w:r>
      <w:r w:rsidR="0091072E">
        <w:t> </w:t>
      </w:r>
      <w:r>
        <w:t>per</w:t>
      </w:r>
      <w:r w:rsidR="0091072E">
        <w:t> </w:t>
      </w:r>
      <w:r>
        <w:t xml:space="preserve">cent, abolish the Medicare </w:t>
      </w:r>
      <w:r w:rsidR="008A058F">
        <w:t>L</w:t>
      </w:r>
      <w:r>
        <w:t xml:space="preserve">evy, the Medicare </w:t>
      </w:r>
      <w:r w:rsidR="008A058F">
        <w:t>L</w:t>
      </w:r>
      <w:r>
        <w:t xml:space="preserve">evy surcharge, and the </w:t>
      </w:r>
      <w:r w:rsidR="00BC5FC7">
        <w:t>LITO</w:t>
      </w:r>
      <w:r>
        <w:t xml:space="preserve">, reduce </w:t>
      </w:r>
      <w:r w:rsidR="00CE5024">
        <w:t xml:space="preserve">the </w:t>
      </w:r>
      <w:r w:rsidR="00BC5FC7">
        <w:t>FBT</w:t>
      </w:r>
      <w:r>
        <w:t xml:space="preserve"> rate to 20</w:t>
      </w:r>
      <w:r w:rsidR="0091072E">
        <w:t> </w:t>
      </w:r>
      <w:r>
        <w:t>per</w:t>
      </w:r>
      <w:r w:rsidR="0091072E">
        <w:t> </w:t>
      </w:r>
      <w:r>
        <w:t>cent, reduce the company tax rate to 20</w:t>
      </w:r>
      <w:r w:rsidR="0091072E">
        <w:t> </w:t>
      </w:r>
      <w:r>
        <w:t>per</w:t>
      </w:r>
      <w:r w:rsidR="0091072E">
        <w:t> </w:t>
      </w:r>
      <w:r>
        <w:t>cent for all companies, abolish excise on tobacco, alcohol and fuel</w:t>
      </w:r>
      <w:r w:rsidR="008A058F">
        <w:t>,</w:t>
      </w:r>
      <w:r>
        <w:t xml:space="preserve"> and abolish all </w:t>
      </w:r>
      <w:r w:rsidR="00E51D5A">
        <w:t xml:space="preserve">custom </w:t>
      </w:r>
      <w:r>
        <w:t>duties</w:t>
      </w:r>
      <w:r w:rsidR="00E51D5A">
        <w:t xml:space="preserve"> on imports</w:t>
      </w:r>
      <w:r>
        <w:t>.</w:t>
      </w:r>
    </w:p>
    <w:p w:rsidR="00D105C6" w:rsidRDefault="008760F4" w:rsidP="00D105C6">
      <w:pPr>
        <w:pStyle w:val="BodyText"/>
      </w:pPr>
      <w:r w:rsidRPr="008760F4">
        <w:lastRenderedPageBreak/>
        <w:t xml:space="preserve">This </w:t>
      </w:r>
      <w:r>
        <w:t>option</w:t>
      </w:r>
      <w:r w:rsidRPr="008760F4">
        <w:t xml:space="preserve"> would be expected to decrease the fiscal balance by $</w:t>
      </w:r>
      <w:r w:rsidR="00E82B43" w:rsidRPr="00E82B43">
        <w:t>548,568</w:t>
      </w:r>
      <w:r w:rsidR="0091072E">
        <w:t> </w:t>
      </w:r>
      <w:r w:rsidRPr="008760F4">
        <w:t>million and decrease the underlying cash balance by $</w:t>
      </w:r>
      <w:r w:rsidR="00E82B43" w:rsidRPr="00E82B43">
        <w:t>547,</w:t>
      </w:r>
      <w:r w:rsidR="00C245B3">
        <w:t>708</w:t>
      </w:r>
      <w:r w:rsidR="0091072E">
        <w:t> </w:t>
      </w:r>
      <w:r w:rsidRPr="008760F4">
        <w:t>million over the 2016</w:t>
      </w:r>
      <w:r w:rsidRPr="008760F4">
        <w:noBreakHyphen/>
        <w:t xml:space="preserve">17 Budget forward estimates period.  </w:t>
      </w:r>
    </w:p>
    <w:p w:rsidR="00D105C6" w:rsidRPr="005B0970" w:rsidRDefault="00D105C6" w:rsidP="00572815">
      <w:pPr>
        <w:pStyle w:val="Caption"/>
        <w:keepLines/>
      </w:pPr>
      <w:r w:rsidRPr="008112CC">
        <w:t xml:space="preserve">Table </w:t>
      </w:r>
      <w:r w:rsidR="001F29CD">
        <w:fldChar w:fldCharType="begin"/>
      </w:r>
      <w:r w:rsidR="001F29CD">
        <w:instrText xml:space="preserve"> SEQ Table \* ARABIC \s 1 </w:instrText>
      </w:r>
      <w:r w:rsidR="001F29CD">
        <w:fldChar w:fldCharType="separate"/>
      </w:r>
      <w:r w:rsidR="00784163">
        <w:rPr>
          <w:noProof/>
        </w:rPr>
        <w:t>1</w:t>
      </w:r>
      <w:r w:rsidR="001F29CD">
        <w:rPr>
          <w:noProof/>
        </w:rPr>
        <w:fldChar w:fldCharType="end"/>
      </w:r>
      <w:r w:rsidRPr="008112CC">
        <w:t xml:space="preserve">: </w:t>
      </w:r>
      <w:r>
        <w:t>Option 1</w:t>
      </w:r>
      <w:r w:rsidR="00E4693E">
        <w:t xml:space="preserve"> – Personal income tax, company tax</w:t>
      </w:r>
      <w:r w:rsidR="008A058F">
        <w:t>,</w:t>
      </w:r>
      <w:r w:rsidR="00E4693E">
        <w:t xml:space="preserve"> and excise</w:t>
      </w:r>
      <w:r w:rsidR="00843C94">
        <w:t xml:space="preserve"> and customs duty</w:t>
      </w:r>
      <w:r w:rsidR="002F7174">
        <w:t>—</w:t>
      </w:r>
      <w:r>
        <w:t>Financial implications (outturn prices</w:t>
      </w:r>
      <w:proofErr w:type="gramStart"/>
      <w:r>
        <w:t>)</w:t>
      </w:r>
      <w:r w:rsidRPr="008112CC">
        <w:rPr>
          <w:vertAlign w:val="superscript"/>
        </w:rPr>
        <w:t>(</w:t>
      </w:r>
      <w:proofErr w:type="gramEnd"/>
      <w:r w:rsidRPr="008112CC">
        <w:rPr>
          <w:vertAlign w:val="superscript"/>
        </w:rPr>
        <w:t>a)(b)</w:t>
      </w:r>
    </w:p>
    <w:tbl>
      <w:tblPr>
        <w:tblStyle w:val="LightGrid-Accent6"/>
        <w:tblW w:w="5000" w:type="pct"/>
        <w:tblLayout w:type="fixed"/>
        <w:tblLook w:val="0680" w:firstRow="0" w:lastRow="0" w:firstColumn="1" w:lastColumn="0" w:noHBand="1" w:noVBand="1"/>
      </w:tblPr>
      <w:tblGrid>
        <w:gridCol w:w="2518"/>
        <w:gridCol w:w="1202"/>
        <w:gridCol w:w="1202"/>
        <w:gridCol w:w="1202"/>
        <w:gridCol w:w="1202"/>
        <w:gridCol w:w="1202"/>
      </w:tblGrid>
      <w:tr w:rsidR="0056747E" w:rsidTr="00D17A0B">
        <w:tc>
          <w:tcPr>
            <w:cnfStyle w:val="001000000000" w:firstRow="0" w:lastRow="0" w:firstColumn="1" w:lastColumn="0" w:oddVBand="0" w:evenVBand="0" w:oddHBand="0" w:evenHBand="0" w:firstRowFirstColumn="0" w:firstRowLastColumn="0" w:lastRowFirstColumn="0" w:lastRowLastColumn="0"/>
            <w:tcW w:w="2517" w:type="dxa"/>
            <w:shd w:val="clear" w:color="auto" w:fill="D7DDE9" w:themeFill="accent3"/>
            <w:vAlign w:val="center"/>
          </w:tcPr>
          <w:p w:rsidR="00D105C6" w:rsidRPr="005B0970" w:rsidRDefault="00D105C6" w:rsidP="004C0C32">
            <w:pPr>
              <w:pStyle w:val="TableHeading"/>
            </w:pPr>
            <w:r w:rsidRPr="005B0970">
              <w:t>Impact on ($m)</w:t>
            </w:r>
          </w:p>
        </w:tc>
        <w:tc>
          <w:tcPr>
            <w:tcW w:w="1202" w:type="dxa"/>
            <w:shd w:val="clear" w:color="auto" w:fill="D7DDE9" w:themeFill="accent3"/>
            <w:vAlign w:val="center"/>
          </w:tcPr>
          <w:p w:rsidR="00D105C6" w:rsidRPr="005B0970" w:rsidRDefault="00D105C6" w:rsidP="0032047F">
            <w:pPr>
              <w:pStyle w:val="TableTextRight"/>
              <w:cnfStyle w:val="000000000000" w:firstRow="0" w:lastRow="0" w:firstColumn="0" w:lastColumn="0" w:oddVBand="0" w:evenVBand="0" w:oddHBand="0" w:evenHBand="0" w:firstRowFirstColumn="0" w:firstRowLastColumn="0" w:lastRowFirstColumn="0" w:lastRowLastColumn="0"/>
            </w:pPr>
            <w:r w:rsidRPr="005B0970">
              <w:t>2016–17</w:t>
            </w:r>
          </w:p>
        </w:tc>
        <w:tc>
          <w:tcPr>
            <w:tcW w:w="1202" w:type="dxa"/>
            <w:shd w:val="clear" w:color="auto" w:fill="D7DDE9" w:themeFill="accent3"/>
            <w:vAlign w:val="center"/>
          </w:tcPr>
          <w:p w:rsidR="00D105C6" w:rsidRPr="005B0970" w:rsidRDefault="00D105C6" w:rsidP="0032047F">
            <w:pPr>
              <w:pStyle w:val="TableTextRight"/>
              <w:cnfStyle w:val="000000000000" w:firstRow="0" w:lastRow="0" w:firstColumn="0" w:lastColumn="0" w:oddVBand="0" w:evenVBand="0" w:oddHBand="0" w:evenHBand="0" w:firstRowFirstColumn="0" w:firstRowLastColumn="0" w:lastRowFirstColumn="0" w:lastRowLastColumn="0"/>
            </w:pPr>
            <w:r w:rsidRPr="005B0970">
              <w:t>2017–18</w:t>
            </w:r>
          </w:p>
        </w:tc>
        <w:tc>
          <w:tcPr>
            <w:tcW w:w="1202" w:type="dxa"/>
            <w:shd w:val="clear" w:color="auto" w:fill="D7DDE9" w:themeFill="accent3"/>
            <w:vAlign w:val="center"/>
          </w:tcPr>
          <w:p w:rsidR="00D105C6" w:rsidRPr="005B0970" w:rsidRDefault="00D105C6" w:rsidP="0032047F">
            <w:pPr>
              <w:pStyle w:val="TableTextRight"/>
              <w:cnfStyle w:val="000000000000" w:firstRow="0" w:lastRow="0" w:firstColumn="0" w:lastColumn="0" w:oddVBand="0" w:evenVBand="0" w:oddHBand="0" w:evenHBand="0" w:firstRowFirstColumn="0" w:firstRowLastColumn="0" w:lastRowFirstColumn="0" w:lastRowLastColumn="0"/>
            </w:pPr>
            <w:r w:rsidRPr="005B0970">
              <w:t>2018–19</w:t>
            </w:r>
          </w:p>
        </w:tc>
        <w:tc>
          <w:tcPr>
            <w:tcW w:w="1202" w:type="dxa"/>
            <w:shd w:val="clear" w:color="auto" w:fill="D7DDE9" w:themeFill="accent3"/>
            <w:vAlign w:val="center"/>
          </w:tcPr>
          <w:p w:rsidR="00D105C6" w:rsidRPr="005B0970" w:rsidRDefault="00D105C6" w:rsidP="0032047F">
            <w:pPr>
              <w:pStyle w:val="TableTextRight"/>
              <w:cnfStyle w:val="000000000000" w:firstRow="0" w:lastRow="0" w:firstColumn="0" w:lastColumn="0" w:oddVBand="0" w:evenVBand="0" w:oddHBand="0" w:evenHBand="0" w:firstRowFirstColumn="0" w:firstRowLastColumn="0" w:lastRowFirstColumn="0" w:lastRowLastColumn="0"/>
            </w:pPr>
            <w:r w:rsidRPr="005B0970">
              <w:t>2019–20</w:t>
            </w:r>
          </w:p>
        </w:tc>
        <w:tc>
          <w:tcPr>
            <w:tcW w:w="1202" w:type="dxa"/>
            <w:shd w:val="clear" w:color="auto" w:fill="D7DDE9" w:themeFill="accent3"/>
            <w:vAlign w:val="center"/>
          </w:tcPr>
          <w:p w:rsidR="00D105C6" w:rsidRPr="005B0970" w:rsidRDefault="00D105C6" w:rsidP="0032047F">
            <w:pPr>
              <w:pStyle w:val="TableTextRightBold"/>
              <w:cnfStyle w:val="000000000000" w:firstRow="0" w:lastRow="0" w:firstColumn="0" w:lastColumn="0" w:oddVBand="0" w:evenVBand="0" w:oddHBand="0" w:evenHBand="0" w:firstRowFirstColumn="0" w:firstRowLastColumn="0" w:lastRowFirstColumn="0" w:lastRowLastColumn="0"/>
            </w:pPr>
            <w:r w:rsidRPr="005B0970">
              <w:t>Total to 2019–20</w:t>
            </w:r>
          </w:p>
        </w:tc>
      </w:tr>
      <w:tr w:rsidR="00A93AAC" w:rsidTr="00D17A0B">
        <w:tc>
          <w:tcPr>
            <w:cnfStyle w:val="001000000000" w:firstRow="0" w:lastRow="0" w:firstColumn="1" w:lastColumn="0" w:oddVBand="0" w:evenVBand="0" w:oddHBand="0" w:evenHBand="0" w:firstRowFirstColumn="0" w:firstRowLastColumn="0" w:lastRowFirstColumn="0" w:lastRowLastColumn="0"/>
            <w:tcW w:w="2517" w:type="dxa"/>
            <w:vAlign w:val="center"/>
          </w:tcPr>
          <w:p w:rsidR="00A93AAC" w:rsidRPr="004C0C32" w:rsidRDefault="00A93AAC" w:rsidP="004C0C32">
            <w:pPr>
              <w:pStyle w:val="TableHeading"/>
            </w:pPr>
            <w:r w:rsidRPr="005B0970">
              <w:t>Fiscal balance</w:t>
            </w:r>
          </w:p>
        </w:tc>
        <w:tc>
          <w:tcPr>
            <w:tcW w:w="1202" w:type="dxa"/>
            <w:vAlign w:val="center"/>
          </w:tcPr>
          <w:p w:rsidR="00A93AAC" w:rsidRDefault="00A93AAC" w:rsidP="0032047F">
            <w:pPr>
              <w:pStyle w:val="TableTextRight"/>
              <w:cnfStyle w:val="000000000000" w:firstRow="0" w:lastRow="0" w:firstColumn="0" w:lastColumn="0" w:oddVBand="0" w:evenVBand="0" w:oddHBand="0" w:evenHBand="0" w:firstRowFirstColumn="0" w:firstRowLastColumn="0" w:lastRowFirstColumn="0" w:lastRowLastColumn="0"/>
            </w:pPr>
            <w:r>
              <w:t>-</w:t>
            </w:r>
          </w:p>
        </w:tc>
        <w:tc>
          <w:tcPr>
            <w:tcW w:w="1202" w:type="dxa"/>
          </w:tcPr>
          <w:p w:rsidR="00A93AAC" w:rsidRDefault="00A93AAC" w:rsidP="0032047F">
            <w:pPr>
              <w:pStyle w:val="TableTextRight"/>
              <w:cnfStyle w:val="000000000000" w:firstRow="0" w:lastRow="0" w:firstColumn="0" w:lastColumn="0" w:oddVBand="0" w:evenVBand="0" w:oddHBand="0" w:evenHBand="0" w:firstRowFirstColumn="0" w:firstRowLastColumn="0" w:lastRowFirstColumn="0" w:lastRowLastColumn="0"/>
              <w:rPr>
                <w:color w:val="000000"/>
                <w:szCs w:val="20"/>
              </w:rPr>
            </w:pPr>
            <w:r w:rsidRPr="00F0669C">
              <w:t>-164,118</w:t>
            </w:r>
          </w:p>
        </w:tc>
        <w:tc>
          <w:tcPr>
            <w:tcW w:w="1202" w:type="dxa"/>
          </w:tcPr>
          <w:p w:rsidR="00A93AAC" w:rsidRDefault="00A93AAC" w:rsidP="0032047F">
            <w:pPr>
              <w:pStyle w:val="TableTextRight"/>
              <w:cnfStyle w:val="000000000000" w:firstRow="0" w:lastRow="0" w:firstColumn="0" w:lastColumn="0" w:oddVBand="0" w:evenVBand="0" w:oddHBand="0" w:evenHBand="0" w:firstRowFirstColumn="0" w:firstRowLastColumn="0" w:lastRowFirstColumn="0" w:lastRowLastColumn="0"/>
              <w:rPr>
                <w:color w:val="000000"/>
                <w:szCs w:val="20"/>
              </w:rPr>
            </w:pPr>
            <w:r w:rsidRPr="00F0669C">
              <w:t>-187,040</w:t>
            </w:r>
          </w:p>
        </w:tc>
        <w:tc>
          <w:tcPr>
            <w:tcW w:w="1202" w:type="dxa"/>
          </w:tcPr>
          <w:p w:rsidR="00A93AAC" w:rsidRDefault="00A93AAC" w:rsidP="0032047F">
            <w:pPr>
              <w:pStyle w:val="TableTextRight"/>
              <w:cnfStyle w:val="000000000000" w:firstRow="0" w:lastRow="0" w:firstColumn="0" w:lastColumn="0" w:oddVBand="0" w:evenVBand="0" w:oddHBand="0" w:evenHBand="0" w:firstRowFirstColumn="0" w:firstRowLastColumn="0" w:lastRowFirstColumn="0" w:lastRowLastColumn="0"/>
              <w:rPr>
                <w:color w:val="000000"/>
                <w:szCs w:val="20"/>
              </w:rPr>
            </w:pPr>
            <w:r w:rsidRPr="00F0669C">
              <w:t>-197,410</w:t>
            </w:r>
          </w:p>
        </w:tc>
        <w:tc>
          <w:tcPr>
            <w:tcW w:w="1202" w:type="dxa"/>
          </w:tcPr>
          <w:p w:rsidR="00A93AAC" w:rsidRDefault="00A93AAC" w:rsidP="0032047F">
            <w:pPr>
              <w:pStyle w:val="TableTextRightBold"/>
              <w:cnfStyle w:val="000000000000" w:firstRow="0" w:lastRow="0" w:firstColumn="0" w:lastColumn="0" w:oddVBand="0" w:evenVBand="0" w:oddHBand="0" w:evenHBand="0" w:firstRowFirstColumn="0" w:firstRowLastColumn="0" w:lastRowFirstColumn="0" w:lastRowLastColumn="0"/>
            </w:pPr>
            <w:r w:rsidRPr="00F0669C">
              <w:t>-548,568</w:t>
            </w:r>
          </w:p>
        </w:tc>
      </w:tr>
      <w:tr w:rsidR="00A93AAC" w:rsidTr="00D17A0B">
        <w:tc>
          <w:tcPr>
            <w:cnfStyle w:val="001000000000" w:firstRow="0" w:lastRow="0" w:firstColumn="1" w:lastColumn="0" w:oddVBand="0" w:evenVBand="0" w:oddHBand="0" w:evenHBand="0" w:firstRowFirstColumn="0" w:firstRowLastColumn="0" w:lastRowFirstColumn="0" w:lastRowLastColumn="0"/>
            <w:tcW w:w="2517" w:type="dxa"/>
            <w:vAlign w:val="center"/>
          </w:tcPr>
          <w:p w:rsidR="00A93AAC" w:rsidRPr="005B0970" w:rsidRDefault="00A93AAC" w:rsidP="004C0C32">
            <w:pPr>
              <w:pStyle w:val="TableHeading"/>
            </w:pPr>
            <w:r w:rsidRPr="005B0970">
              <w:t>Underlying cash balance</w:t>
            </w:r>
          </w:p>
        </w:tc>
        <w:tc>
          <w:tcPr>
            <w:tcW w:w="1202" w:type="dxa"/>
            <w:vAlign w:val="center"/>
          </w:tcPr>
          <w:p w:rsidR="00A93AAC" w:rsidRDefault="00A93AAC" w:rsidP="0032047F">
            <w:pPr>
              <w:pStyle w:val="TableTextRight"/>
              <w:cnfStyle w:val="000000000000" w:firstRow="0" w:lastRow="0" w:firstColumn="0" w:lastColumn="0" w:oddVBand="0" w:evenVBand="0" w:oddHBand="0" w:evenHBand="0" w:firstRowFirstColumn="0" w:firstRowLastColumn="0" w:lastRowFirstColumn="0" w:lastRowLastColumn="0"/>
            </w:pPr>
            <w:r>
              <w:t>-</w:t>
            </w:r>
          </w:p>
        </w:tc>
        <w:tc>
          <w:tcPr>
            <w:tcW w:w="1202" w:type="dxa"/>
            <w:vAlign w:val="center"/>
          </w:tcPr>
          <w:p w:rsidR="00A93AAC" w:rsidRDefault="00A93AAC" w:rsidP="00240A13">
            <w:pPr>
              <w:pStyle w:val="TableTextRight"/>
              <w:cnfStyle w:val="000000000000" w:firstRow="0" w:lastRow="0" w:firstColumn="0" w:lastColumn="0" w:oddVBand="0" w:evenVBand="0" w:oddHBand="0" w:evenHBand="0" w:firstRowFirstColumn="0" w:firstRowLastColumn="0" w:lastRowFirstColumn="0" w:lastRowLastColumn="0"/>
              <w:rPr>
                <w:color w:val="000000"/>
                <w:szCs w:val="20"/>
              </w:rPr>
            </w:pPr>
            <w:r w:rsidRPr="00F0669C">
              <w:t>-162,978</w:t>
            </w:r>
          </w:p>
        </w:tc>
        <w:tc>
          <w:tcPr>
            <w:tcW w:w="1202" w:type="dxa"/>
            <w:vAlign w:val="center"/>
          </w:tcPr>
          <w:p w:rsidR="00A93AAC" w:rsidRDefault="00A93AAC" w:rsidP="00E3688A">
            <w:pPr>
              <w:pStyle w:val="TableTextRight"/>
              <w:cnfStyle w:val="000000000000" w:firstRow="0" w:lastRow="0" w:firstColumn="0" w:lastColumn="0" w:oddVBand="0" w:evenVBand="0" w:oddHBand="0" w:evenHBand="0" w:firstRowFirstColumn="0" w:firstRowLastColumn="0" w:lastRowFirstColumn="0" w:lastRowLastColumn="0"/>
              <w:rPr>
                <w:color w:val="000000"/>
                <w:szCs w:val="20"/>
              </w:rPr>
            </w:pPr>
            <w:r w:rsidRPr="00F0669C">
              <w:t>-186,980</w:t>
            </w:r>
          </w:p>
        </w:tc>
        <w:tc>
          <w:tcPr>
            <w:tcW w:w="1202" w:type="dxa"/>
            <w:vAlign w:val="center"/>
          </w:tcPr>
          <w:p w:rsidR="00A93AAC" w:rsidRDefault="00A93AAC">
            <w:pPr>
              <w:pStyle w:val="TableTextRight"/>
              <w:cnfStyle w:val="000000000000" w:firstRow="0" w:lastRow="0" w:firstColumn="0" w:lastColumn="0" w:oddVBand="0" w:evenVBand="0" w:oddHBand="0" w:evenHBand="0" w:firstRowFirstColumn="0" w:firstRowLastColumn="0" w:lastRowFirstColumn="0" w:lastRowLastColumn="0"/>
              <w:rPr>
                <w:color w:val="000000"/>
                <w:szCs w:val="20"/>
              </w:rPr>
            </w:pPr>
            <w:r w:rsidRPr="00F0669C">
              <w:t>-197,750</w:t>
            </w:r>
          </w:p>
        </w:tc>
        <w:tc>
          <w:tcPr>
            <w:tcW w:w="1202" w:type="dxa"/>
            <w:vAlign w:val="center"/>
          </w:tcPr>
          <w:p w:rsidR="00A93AAC" w:rsidRDefault="00A93AAC">
            <w:pPr>
              <w:pStyle w:val="TableTextRightBold"/>
              <w:cnfStyle w:val="000000000000" w:firstRow="0" w:lastRow="0" w:firstColumn="0" w:lastColumn="0" w:oddVBand="0" w:evenVBand="0" w:oddHBand="0" w:evenHBand="0" w:firstRowFirstColumn="0" w:firstRowLastColumn="0" w:lastRowFirstColumn="0" w:lastRowLastColumn="0"/>
            </w:pPr>
            <w:r w:rsidRPr="00F0669C">
              <w:t>-547,708</w:t>
            </w:r>
          </w:p>
        </w:tc>
      </w:tr>
    </w:tbl>
    <w:p w:rsidR="00D105C6" w:rsidRDefault="00D105C6" w:rsidP="00572815">
      <w:pPr>
        <w:pStyle w:val="TableFootnotes"/>
        <w:keepNext/>
      </w:pPr>
      <w:r>
        <w:t xml:space="preserve">A positive number represents an increase in the relevant budget </w:t>
      </w:r>
      <w:proofErr w:type="gramStart"/>
      <w:r>
        <w:t>balance,</w:t>
      </w:r>
      <w:proofErr w:type="gramEnd"/>
      <w:r>
        <w:t xml:space="preserve"> a negative number represents a decrease.</w:t>
      </w:r>
    </w:p>
    <w:p w:rsidR="00D105C6" w:rsidRDefault="00D105C6" w:rsidP="00572815">
      <w:pPr>
        <w:pStyle w:val="TableFootnotes"/>
        <w:keepNext/>
      </w:pPr>
      <w:r>
        <w:t>Figures may not sum to totals due to rounding.</w:t>
      </w:r>
    </w:p>
    <w:p w:rsidR="00D105C6" w:rsidRDefault="00D105C6" w:rsidP="00572815">
      <w:pPr>
        <w:pStyle w:val="TableFootnotes"/>
        <w:keepNext/>
        <w:numPr>
          <w:ilvl w:val="0"/>
          <w:numId w:val="11"/>
        </w:numPr>
        <w:ind w:left="284" w:hanging="284"/>
      </w:pPr>
      <w:r>
        <w:t>Indicates nil.</w:t>
      </w:r>
    </w:p>
    <w:p w:rsidR="00917FC0" w:rsidRPr="005D028C" w:rsidRDefault="00917FC0" w:rsidP="00C05617">
      <w:pPr>
        <w:pStyle w:val="Heading2"/>
      </w:pPr>
      <w:r>
        <w:t>Option 2</w:t>
      </w:r>
      <w:r w:rsidR="00361AE7">
        <w:t xml:space="preserve"> - </w:t>
      </w:r>
      <w:r w:rsidR="005B482F">
        <w:t xml:space="preserve">Personal income tax, company </w:t>
      </w:r>
      <w:r w:rsidR="00B45690">
        <w:t>tax,</w:t>
      </w:r>
      <w:r w:rsidR="005B482F">
        <w:t xml:space="preserve"> </w:t>
      </w:r>
      <w:r w:rsidR="005B482F" w:rsidRPr="00B82490">
        <w:t>excise</w:t>
      </w:r>
      <w:r w:rsidR="005B482F">
        <w:t xml:space="preserve"> and customs </w:t>
      </w:r>
      <w:r w:rsidR="005B482F" w:rsidRPr="005B482F">
        <w:t>duty</w:t>
      </w:r>
      <w:r w:rsidR="002711A8">
        <w:t>,</w:t>
      </w:r>
      <w:r w:rsidR="00361AE7" w:rsidRPr="005B482F">
        <w:t xml:space="preserve"> and GST on food</w:t>
      </w:r>
    </w:p>
    <w:p w:rsidR="00917FC0" w:rsidRDefault="00917FC0" w:rsidP="009F67E3">
      <w:pPr>
        <w:pStyle w:val="BodyText"/>
        <w:rPr>
          <w:u w:val="single"/>
        </w:rPr>
      </w:pPr>
      <w:r>
        <w:t xml:space="preserve">This option is the same as Option 1, </w:t>
      </w:r>
      <w:r w:rsidR="00620306">
        <w:t xml:space="preserve">but </w:t>
      </w:r>
      <w:r>
        <w:t xml:space="preserve">with an additional component to </w:t>
      </w:r>
      <w:r w:rsidR="00620306">
        <w:t>broaden the</w:t>
      </w:r>
      <w:r>
        <w:t xml:space="preserve"> GST to </w:t>
      </w:r>
      <w:r w:rsidR="00620306">
        <w:t xml:space="preserve">include </w:t>
      </w:r>
      <w:r>
        <w:t>all food and beverages.</w:t>
      </w:r>
    </w:p>
    <w:p w:rsidR="00917FC0" w:rsidRDefault="00917FC0" w:rsidP="00917FC0">
      <w:pPr>
        <w:pStyle w:val="BodyText"/>
      </w:pPr>
      <w:r w:rsidRPr="008760F4">
        <w:t xml:space="preserve">This </w:t>
      </w:r>
      <w:r>
        <w:t>option</w:t>
      </w:r>
      <w:r w:rsidRPr="008760F4">
        <w:t xml:space="preserve"> would be expected to decrease the fiscal balance by $</w:t>
      </w:r>
      <w:r w:rsidR="00E82B43" w:rsidRPr="00E82B43">
        <w:t>527,</w:t>
      </w:r>
      <w:r w:rsidR="00C245B3">
        <w:t>218</w:t>
      </w:r>
      <w:r w:rsidR="0091072E">
        <w:t> </w:t>
      </w:r>
      <w:r w:rsidRPr="008760F4">
        <w:t>million and decrease the underlying cash balance by $</w:t>
      </w:r>
      <w:r w:rsidR="00E82B43" w:rsidRPr="00E82B43">
        <w:t>527,</w:t>
      </w:r>
      <w:r w:rsidR="00C245B3">
        <w:t>358</w:t>
      </w:r>
      <w:r w:rsidR="0091072E">
        <w:t> </w:t>
      </w:r>
      <w:r w:rsidRPr="008760F4">
        <w:t>million over the 2016</w:t>
      </w:r>
      <w:r w:rsidRPr="008760F4">
        <w:noBreakHyphen/>
        <w:t xml:space="preserve">17 Budget forward estimates period.  </w:t>
      </w:r>
    </w:p>
    <w:p w:rsidR="00917FC0" w:rsidRPr="005B0970" w:rsidRDefault="00917FC0" w:rsidP="00917FC0">
      <w:pPr>
        <w:pStyle w:val="Caption"/>
      </w:pPr>
      <w:r w:rsidRPr="008112CC">
        <w:t xml:space="preserve">Table </w:t>
      </w:r>
      <w:r w:rsidR="001F29CD">
        <w:fldChar w:fldCharType="begin"/>
      </w:r>
      <w:r w:rsidR="001F29CD">
        <w:instrText xml:space="preserve"> SEQ Table \* ARABIC \s 1 </w:instrText>
      </w:r>
      <w:r w:rsidR="001F29CD">
        <w:fldChar w:fldCharType="separate"/>
      </w:r>
      <w:r w:rsidR="00784163">
        <w:rPr>
          <w:noProof/>
        </w:rPr>
        <w:t>2</w:t>
      </w:r>
      <w:r w:rsidR="001F29CD">
        <w:rPr>
          <w:noProof/>
        </w:rPr>
        <w:fldChar w:fldCharType="end"/>
      </w:r>
      <w:r w:rsidRPr="008112CC">
        <w:t xml:space="preserve">: </w:t>
      </w:r>
      <w:r>
        <w:t>Option 2</w:t>
      </w:r>
      <w:r w:rsidR="009003CB">
        <w:t xml:space="preserve"> – </w:t>
      </w:r>
      <w:r w:rsidR="005B482F" w:rsidRPr="005B482F">
        <w:t xml:space="preserve">Personal income tax, company </w:t>
      </w:r>
      <w:r w:rsidR="0053345B" w:rsidRPr="005B482F">
        <w:t>tax,</w:t>
      </w:r>
      <w:r w:rsidR="005B482F" w:rsidRPr="005B482F">
        <w:t xml:space="preserve"> excise and customs duty</w:t>
      </w:r>
      <w:r w:rsidR="002711A8">
        <w:t>,</w:t>
      </w:r>
      <w:r w:rsidR="005B482F" w:rsidRPr="005B482F">
        <w:t xml:space="preserve"> and GST on </w:t>
      </w:r>
      <w:r w:rsidR="005B482F" w:rsidRPr="00365478">
        <w:t>food</w:t>
      </w:r>
      <w:r w:rsidR="002F7174">
        <w:t>—</w:t>
      </w:r>
      <w:r w:rsidRPr="00365478">
        <w:t>Financial</w:t>
      </w:r>
      <w:r>
        <w:t xml:space="preserve"> implications (outturn prices</w:t>
      </w:r>
      <w:proofErr w:type="gramStart"/>
      <w:r>
        <w:t>)</w:t>
      </w:r>
      <w:r w:rsidRPr="008112CC">
        <w:rPr>
          <w:vertAlign w:val="superscript"/>
        </w:rPr>
        <w:t>(</w:t>
      </w:r>
      <w:proofErr w:type="gramEnd"/>
      <w:r w:rsidRPr="008112CC">
        <w:rPr>
          <w:vertAlign w:val="superscript"/>
        </w:rPr>
        <w:t>a)(b)</w:t>
      </w:r>
    </w:p>
    <w:tbl>
      <w:tblPr>
        <w:tblStyle w:val="LightGrid-Accent6"/>
        <w:tblW w:w="5000" w:type="pct"/>
        <w:tblLayout w:type="fixed"/>
        <w:tblLook w:val="0680" w:firstRow="0" w:lastRow="0" w:firstColumn="1" w:lastColumn="0" w:noHBand="1" w:noVBand="1"/>
      </w:tblPr>
      <w:tblGrid>
        <w:gridCol w:w="2518"/>
        <w:gridCol w:w="1202"/>
        <w:gridCol w:w="1202"/>
        <w:gridCol w:w="1202"/>
        <w:gridCol w:w="1202"/>
        <w:gridCol w:w="1202"/>
      </w:tblGrid>
      <w:tr w:rsidR="00917FC0" w:rsidTr="00D17A0B">
        <w:tc>
          <w:tcPr>
            <w:cnfStyle w:val="001000000000" w:firstRow="0" w:lastRow="0" w:firstColumn="1" w:lastColumn="0" w:oddVBand="0" w:evenVBand="0" w:oddHBand="0" w:evenHBand="0" w:firstRowFirstColumn="0" w:firstRowLastColumn="0" w:lastRowFirstColumn="0" w:lastRowLastColumn="0"/>
            <w:tcW w:w="2517" w:type="dxa"/>
            <w:shd w:val="clear" w:color="auto" w:fill="D7DDE9" w:themeFill="accent3"/>
            <w:vAlign w:val="center"/>
          </w:tcPr>
          <w:p w:rsidR="00917FC0" w:rsidRPr="005B0970" w:rsidRDefault="00917FC0" w:rsidP="00B32E06">
            <w:pPr>
              <w:pStyle w:val="TableHeading"/>
            </w:pPr>
            <w:r w:rsidRPr="005B0970">
              <w:t>Impact on ($m)</w:t>
            </w:r>
          </w:p>
        </w:tc>
        <w:tc>
          <w:tcPr>
            <w:tcW w:w="1202" w:type="dxa"/>
            <w:shd w:val="clear" w:color="auto" w:fill="D7DDE9" w:themeFill="accent3"/>
            <w:vAlign w:val="center"/>
          </w:tcPr>
          <w:p w:rsidR="00917FC0" w:rsidRPr="005B0970" w:rsidRDefault="00917FC0" w:rsidP="00B32E06">
            <w:pPr>
              <w:pStyle w:val="TableHeadingRight"/>
              <w:cnfStyle w:val="000000000000" w:firstRow="0" w:lastRow="0" w:firstColumn="0" w:lastColumn="0" w:oddVBand="0" w:evenVBand="0" w:oddHBand="0" w:evenHBand="0" w:firstRowFirstColumn="0" w:firstRowLastColumn="0" w:lastRowFirstColumn="0" w:lastRowLastColumn="0"/>
              <w:rPr>
                <w:b w:val="0"/>
              </w:rPr>
            </w:pPr>
            <w:r w:rsidRPr="005B0970">
              <w:rPr>
                <w:b w:val="0"/>
              </w:rPr>
              <w:t>2016–17</w:t>
            </w:r>
          </w:p>
        </w:tc>
        <w:tc>
          <w:tcPr>
            <w:tcW w:w="1202" w:type="dxa"/>
            <w:shd w:val="clear" w:color="auto" w:fill="D7DDE9" w:themeFill="accent3"/>
            <w:vAlign w:val="center"/>
          </w:tcPr>
          <w:p w:rsidR="00917FC0" w:rsidRPr="005B0970" w:rsidRDefault="00917FC0" w:rsidP="00B32E06">
            <w:pPr>
              <w:pStyle w:val="TableHeadingRight"/>
              <w:cnfStyle w:val="000000000000" w:firstRow="0" w:lastRow="0" w:firstColumn="0" w:lastColumn="0" w:oddVBand="0" w:evenVBand="0" w:oddHBand="0" w:evenHBand="0" w:firstRowFirstColumn="0" w:firstRowLastColumn="0" w:lastRowFirstColumn="0" w:lastRowLastColumn="0"/>
              <w:rPr>
                <w:b w:val="0"/>
              </w:rPr>
            </w:pPr>
            <w:r w:rsidRPr="005B0970">
              <w:rPr>
                <w:b w:val="0"/>
              </w:rPr>
              <w:t>2017–18</w:t>
            </w:r>
          </w:p>
        </w:tc>
        <w:tc>
          <w:tcPr>
            <w:tcW w:w="1202" w:type="dxa"/>
            <w:shd w:val="clear" w:color="auto" w:fill="D7DDE9" w:themeFill="accent3"/>
            <w:vAlign w:val="center"/>
          </w:tcPr>
          <w:p w:rsidR="00917FC0" w:rsidRPr="005B0970" w:rsidRDefault="00917FC0" w:rsidP="00B32E06">
            <w:pPr>
              <w:pStyle w:val="TableHeadingRight"/>
              <w:cnfStyle w:val="000000000000" w:firstRow="0" w:lastRow="0" w:firstColumn="0" w:lastColumn="0" w:oddVBand="0" w:evenVBand="0" w:oddHBand="0" w:evenHBand="0" w:firstRowFirstColumn="0" w:firstRowLastColumn="0" w:lastRowFirstColumn="0" w:lastRowLastColumn="0"/>
              <w:rPr>
                <w:b w:val="0"/>
              </w:rPr>
            </w:pPr>
            <w:r w:rsidRPr="005B0970">
              <w:rPr>
                <w:b w:val="0"/>
              </w:rPr>
              <w:t>2018–19</w:t>
            </w:r>
          </w:p>
        </w:tc>
        <w:tc>
          <w:tcPr>
            <w:tcW w:w="1202" w:type="dxa"/>
            <w:shd w:val="clear" w:color="auto" w:fill="D7DDE9" w:themeFill="accent3"/>
            <w:vAlign w:val="center"/>
          </w:tcPr>
          <w:p w:rsidR="00917FC0" w:rsidRPr="005B0970" w:rsidRDefault="00917FC0" w:rsidP="00B32E06">
            <w:pPr>
              <w:pStyle w:val="TableHeadingRight"/>
              <w:cnfStyle w:val="000000000000" w:firstRow="0" w:lastRow="0" w:firstColumn="0" w:lastColumn="0" w:oddVBand="0" w:evenVBand="0" w:oddHBand="0" w:evenHBand="0" w:firstRowFirstColumn="0" w:firstRowLastColumn="0" w:lastRowFirstColumn="0" w:lastRowLastColumn="0"/>
              <w:rPr>
                <w:b w:val="0"/>
              </w:rPr>
            </w:pPr>
            <w:r w:rsidRPr="005B0970">
              <w:rPr>
                <w:b w:val="0"/>
              </w:rPr>
              <w:t>2019–20</w:t>
            </w:r>
          </w:p>
        </w:tc>
        <w:tc>
          <w:tcPr>
            <w:tcW w:w="1202" w:type="dxa"/>
            <w:shd w:val="clear" w:color="auto" w:fill="D7DDE9" w:themeFill="accent3"/>
            <w:vAlign w:val="center"/>
          </w:tcPr>
          <w:p w:rsidR="00917FC0" w:rsidRPr="005B0970" w:rsidRDefault="00917FC0" w:rsidP="00B32E06">
            <w:pPr>
              <w:pStyle w:val="TableHeadingRight"/>
              <w:cnfStyle w:val="000000000000" w:firstRow="0" w:lastRow="0" w:firstColumn="0" w:lastColumn="0" w:oddVBand="0" w:evenVBand="0" w:oddHBand="0" w:evenHBand="0" w:firstRowFirstColumn="0" w:firstRowLastColumn="0" w:lastRowFirstColumn="0" w:lastRowLastColumn="0"/>
            </w:pPr>
            <w:r w:rsidRPr="005B0970">
              <w:t>Total to 2019–20</w:t>
            </w:r>
          </w:p>
        </w:tc>
      </w:tr>
      <w:tr w:rsidR="00A93AAC" w:rsidTr="00D17A0B">
        <w:tc>
          <w:tcPr>
            <w:cnfStyle w:val="001000000000" w:firstRow="0" w:lastRow="0" w:firstColumn="1" w:lastColumn="0" w:oddVBand="0" w:evenVBand="0" w:oddHBand="0" w:evenHBand="0" w:firstRowFirstColumn="0" w:firstRowLastColumn="0" w:lastRowFirstColumn="0" w:lastRowLastColumn="0"/>
            <w:tcW w:w="2517" w:type="dxa"/>
            <w:vAlign w:val="center"/>
          </w:tcPr>
          <w:p w:rsidR="00A93AAC" w:rsidRPr="005B0970" w:rsidRDefault="00A93AAC" w:rsidP="00B32E06">
            <w:pPr>
              <w:pStyle w:val="TableHeading"/>
              <w:rPr>
                <w:rFonts w:asciiTheme="majorHAnsi" w:hAnsiTheme="majorHAnsi"/>
              </w:rPr>
            </w:pPr>
            <w:r w:rsidRPr="005B0970">
              <w:t>Fiscal balance</w:t>
            </w:r>
          </w:p>
        </w:tc>
        <w:tc>
          <w:tcPr>
            <w:tcW w:w="1202" w:type="dxa"/>
            <w:vAlign w:val="center"/>
          </w:tcPr>
          <w:p w:rsidR="00A93AAC" w:rsidRDefault="00A93AAC" w:rsidP="0055299A">
            <w:pPr>
              <w:pStyle w:val="TableTextRight"/>
              <w:cnfStyle w:val="000000000000" w:firstRow="0" w:lastRow="0" w:firstColumn="0" w:lastColumn="0" w:oddVBand="0" w:evenVBand="0" w:oddHBand="0" w:evenHBand="0" w:firstRowFirstColumn="0" w:firstRowLastColumn="0" w:lastRowFirstColumn="0" w:lastRowLastColumn="0"/>
            </w:pPr>
            <w:r>
              <w:t>-</w:t>
            </w:r>
          </w:p>
        </w:tc>
        <w:tc>
          <w:tcPr>
            <w:tcW w:w="1202" w:type="dxa"/>
          </w:tcPr>
          <w:p w:rsidR="00A93AAC" w:rsidRDefault="00A93AAC" w:rsidP="0032047F">
            <w:pPr>
              <w:pStyle w:val="TableTextRight"/>
              <w:cnfStyle w:val="000000000000" w:firstRow="0" w:lastRow="0" w:firstColumn="0" w:lastColumn="0" w:oddVBand="0" w:evenVBand="0" w:oddHBand="0" w:evenHBand="0" w:firstRowFirstColumn="0" w:firstRowLastColumn="0" w:lastRowFirstColumn="0" w:lastRowLastColumn="0"/>
            </w:pPr>
            <w:r w:rsidRPr="00636E45">
              <w:t>-157,268</w:t>
            </w:r>
          </w:p>
        </w:tc>
        <w:tc>
          <w:tcPr>
            <w:tcW w:w="1202" w:type="dxa"/>
          </w:tcPr>
          <w:p w:rsidR="00A93AAC" w:rsidRDefault="00A93AAC" w:rsidP="0032047F">
            <w:pPr>
              <w:pStyle w:val="TableTextRight"/>
              <w:cnfStyle w:val="000000000000" w:firstRow="0" w:lastRow="0" w:firstColumn="0" w:lastColumn="0" w:oddVBand="0" w:evenVBand="0" w:oddHBand="0" w:evenHBand="0" w:firstRowFirstColumn="0" w:firstRowLastColumn="0" w:lastRowFirstColumn="0" w:lastRowLastColumn="0"/>
            </w:pPr>
            <w:r w:rsidRPr="00636E45">
              <w:t>-179,940</w:t>
            </w:r>
          </w:p>
        </w:tc>
        <w:tc>
          <w:tcPr>
            <w:tcW w:w="1202" w:type="dxa"/>
          </w:tcPr>
          <w:p w:rsidR="00A93AAC" w:rsidRDefault="00A93AAC" w:rsidP="0032047F">
            <w:pPr>
              <w:pStyle w:val="TableTextRight"/>
              <w:cnfStyle w:val="000000000000" w:firstRow="0" w:lastRow="0" w:firstColumn="0" w:lastColumn="0" w:oddVBand="0" w:evenVBand="0" w:oddHBand="0" w:evenHBand="0" w:firstRowFirstColumn="0" w:firstRowLastColumn="0" w:lastRowFirstColumn="0" w:lastRowLastColumn="0"/>
            </w:pPr>
            <w:r w:rsidRPr="00636E45">
              <w:t>-190,010</w:t>
            </w:r>
          </w:p>
        </w:tc>
        <w:tc>
          <w:tcPr>
            <w:tcW w:w="1202" w:type="dxa"/>
          </w:tcPr>
          <w:p w:rsidR="00A93AAC" w:rsidRDefault="00A93AAC" w:rsidP="00BB5894">
            <w:pPr>
              <w:pStyle w:val="TableTextRightBold"/>
              <w:cnfStyle w:val="000000000000" w:firstRow="0" w:lastRow="0" w:firstColumn="0" w:lastColumn="0" w:oddVBand="0" w:evenVBand="0" w:oddHBand="0" w:evenHBand="0" w:firstRowFirstColumn="0" w:firstRowLastColumn="0" w:lastRowFirstColumn="0" w:lastRowLastColumn="0"/>
            </w:pPr>
            <w:r w:rsidRPr="00636E45">
              <w:t>-527,218</w:t>
            </w:r>
          </w:p>
        </w:tc>
      </w:tr>
      <w:tr w:rsidR="00A93AAC" w:rsidTr="00D17A0B">
        <w:tc>
          <w:tcPr>
            <w:cnfStyle w:val="001000000000" w:firstRow="0" w:lastRow="0" w:firstColumn="1" w:lastColumn="0" w:oddVBand="0" w:evenVBand="0" w:oddHBand="0" w:evenHBand="0" w:firstRowFirstColumn="0" w:firstRowLastColumn="0" w:lastRowFirstColumn="0" w:lastRowLastColumn="0"/>
            <w:tcW w:w="2517" w:type="dxa"/>
            <w:vAlign w:val="center"/>
          </w:tcPr>
          <w:p w:rsidR="00A93AAC" w:rsidRPr="005B0970" w:rsidRDefault="00A93AAC" w:rsidP="00B32E06">
            <w:pPr>
              <w:pStyle w:val="TableHeading"/>
            </w:pPr>
            <w:r w:rsidRPr="005B0970">
              <w:t>Underlying cash balance</w:t>
            </w:r>
          </w:p>
        </w:tc>
        <w:tc>
          <w:tcPr>
            <w:tcW w:w="1202" w:type="dxa"/>
            <w:vAlign w:val="center"/>
          </w:tcPr>
          <w:p w:rsidR="00A93AAC" w:rsidRDefault="00A93AAC" w:rsidP="0055299A">
            <w:pPr>
              <w:pStyle w:val="TableTextRight"/>
              <w:cnfStyle w:val="000000000000" w:firstRow="0" w:lastRow="0" w:firstColumn="0" w:lastColumn="0" w:oddVBand="0" w:evenVBand="0" w:oddHBand="0" w:evenHBand="0" w:firstRowFirstColumn="0" w:firstRowLastColumn="0" w:lastRowFirstColumn="0" w:lastRowLastColumn="0"/>
            </w:pPr>
            <w:r>
              <w:t>-</w:t>
            </w:r>
          </w:p>
        </w:tc>
        <w:tc>
          <w:tcPr>
            <w:tcW w:w="1202" w:type="dxa"/>
            <w:vAlign w:val="center"/>
          </w:tcPr>
          <w:p w:rsidR="00A93AAC" w:rsidRDefault="00A93AAC" w:rsidP="00240A13">
            <w:pPr>
              <w:pStyle w:val="TableTextRight"/>
              <w:cnfStyle w:val="000000000000" w:firstRow="0" w:lastRow="0" w:firstColumn="0" w:lastColumn="0" w:oddVBand="0" w:evenVBand="0" w:oddHBand="0" w:evenHBand="0" w:firstRowFirstColumn="0" w:firstRowLastColumn="0" w:lastRowFirstColumn="0" w:lastRowLastColumn="0"/>
            </w:pPr>
            <w:r w:rsidRPr="00636E45">
              <w:t>-157,028</w:t>
            </w:r>
          </w:p>
        </w:tc>
        <w:tc>
          <w:tcPr>
            <w:tcW w:w="1202" w:type="dxa"/>
            <w:vAlign w:val="center"/>
          </w:tcPr>
          <w:p w:rsidR="00A93AAC" w:rsidRDefault="00A93AAC" w:rsidP="00E3688A">
            <w:pPr>
              <w:pStyle w:val="TableTextRight"/>
              <w:cnfStyle w:val="000000000000" w:firstRow="0" w:lastRow="0" w:firstColumn="0" w:lastColumn="0" w:oddVBand="0" w:evenVBand="0" w:oddHBand="0" w:evenHBand="0" w:firstRowFirstColumn="0" w:firstRowLastColumn="0" w:lastRowFirstColumn="0" w:lastRowLastColumn="0"/>
            </w:pPr>
            <w:r w:rsidRPr="00636E45">
              <w:t>-179,930</w:t>
            </w:r>
          </w:p>
        </w:tc>
        <w:tc>
          <w:tcPr>
            <w:tcW w:w="1202" w:type="dxa"/>
            <w:vAlign w:val="center"/>
          </w:tcPr>
          <w:p w:rsidR="00A93AAC" w:rsidRDefault="00A93AAC">
            <w:pPr>
              <w:pStyle w:val="TableTextRight"/>
              <w:cnfStyle w:val="000000000000" w:firstRow="0" w:lastRow="0" w:firstColumn="0" w:lastColumn="0" w:oddVBand="0" w:evenVBand="0" w:oddHBand="0" w:evenHBand="0" w:firstRowFirstColumn="0" w:firstRowLastColumn="0" w:lastRowFirstColumn="0" w:lastRowLastColumn="0"/>
            </w:pPr>
            <w:r w:rsidRPr="00636E45">
              <w:t>-190,400</w:t>
            </w:r>
          </w:p>
        </w:tc>
        <w:tc>
          <w:tcPr>
            <w:tcW w:w="1202" w:type="dxa"/>
            <w:vAlign w:val="center"/>
          </w:tcPr>
          <w:p w:rsidR="00A93AAC" w:rsidRDefault="00A93AAC">
            <w:pPr>
              <w:pStyle w:val="TableTextRightBold"/>
              <w:cnfStyle w:val="000000000000" w:firstRow="0" w:lastRow="0" w:firstColumn="0" w:lastColumn="0" w:oddVBand="0" w:evenVBand="0" w:oddHBand="0" w:evenHBand="0" w:firstRowFirstColumn="0" w:firstRowLastColumn="0" w:lastRowFirstColumn="0" w:lastRowLastColumn="0"/>
            </w:pPr>
            <w:r w:rsidRPr="00636E45">
              <w:t>-527,358</w:t>
            </w:r>
          </w:p>
        </w:tc>
      </w:tr>
    </w:tbl>
    <w:p w:rsidR="00917FC0" w:rsidRDefault="00917FC0" w:rsidP="00AF0460">
      <w:pPr>
        <w:pStyle w:val="TableFootnotes"/>
        <w:numPr>
          <w:ilvl w:val="0"/>
          <w:numId w:val="29"/>
        </w:numPr>
        <w:ind w:left="284" w:hanging="284"/>
      </w:pPr>
      <w:r>
        <w:t xml:space="preserve">A positive number represents an increase in the relevant budget </w:t>
      </w:r>
      <w:proofErr w:type="gramStart"/>
      <w:r>
        <w:t>balance,</w:t>
      </w:r>
      <w:proofErr w:type="gramEnd"/>
      <w:r>
        <w:t xml:space="preserve"> a negative number represents a decrease.</w:t>
      </w:r>
    </w:p>
    <w:p w:rsidR="00917FC0" w:rsidRDefault="00917FC0" w:rsidP="00917FC0">
      <w:pPr>
        <w:pStyle w:val="TableFootnotes"/>
      </w:pPr>
      <w:r>
        <w:t>Figures may not sum to totals due to rounding.</w:t>
      </w:r>
    </w:p>
    <w:p w:rsidR="00917FC0" w:rsidRDefault="00917FC0" w:rsidP="00917FC0">
      <w:pPr>
        <w:pStyle w:val="TableFootnotes"/>
        <w:keepNext/>
        <w:numPr>
          <w:ilvl w:val="0"/>
          <w:numId w:val="11"/>
        </w:numPr>
        <w:ind w:left="284" w:hanging="284"/>
      </w:pPr>
      <w:r>
        <w:t>Indicates nil.</w:t>
      </w:r>
    </w:p>
    <w:p w:rsidR="00917FC0" w:rsidRPr="005D028C" w:rsidRDefault="00917FC0" w:rsidP="005B482F">
      <w:pPr>
        <w:pStyle w:val="Heading2"/>
      </w:pPr>
      <w:r>
        <w:t>Option 3</w:t>
      </w:r>
      <w:r w:rsidR="00361AE7">
        <w:t xml:space="preserve"> - </w:t>
      </w:r>
      <w:r w:rsidR="005B482F" w:rsidRPr="005B482F">
        <w:t>Personal income tax, company tax, excise and customs duty</w:t>
      </w:r>
      <w:r w:rsidR="002711A8">
        <w:t>,</w:t>
      </w:r>
      <w:r w:rsidR="005B482F" w:rsidRPr="005B482F">
        <w:t xml:space="preserve"> and </w:t>
      </w:r>
      <w:r w:rsidR="00035FD6">
        <w:t xml:space="preserve">align the coverage of Australia’s </w:t>
      </w:r>
      <w:r w:rsidR="00361AE7" w:rsidRPr="005D028C">
        <w:t xml:space="preserve">GST </w:t>
      </w:r>
      <w:r w:rsidR="00035FD6">
        <w:t xml:space="preserve">with that of </w:t>
      </w:r>
      <w:r w:rsidR="00361AE7" w:rsidRPr="005D028C">
        <w:t>New Zealand</w:t>
      </w:r>
    </w:p>
    <w:p w:rsidR="00917FC0" w:rsidRDefault="00917FC0" w:rsidP="00917FC0">
      <w:pPr>
        <w:pStyle w:val="BodyText"/>
      </w:pPr>
      <w:r>
        <w:t xml:space="preserve">This option is the same as Option 1, </w:t>
      </w:r>
      <w:r w:rsidR="00620306">
        <w:t xml:space="preserve">but </w:t>
      </w:r>
      <w:r>
        <w:t xml:space="preserve">with an additional component to </w:t>
      </w:r>
      <w:r w:rsidR="00620306">
        <w:t>broaden the</w:t>
      </w:r>
      <w:r w:rsidR="00865AD7">
        <w:t xml:space="preserve"> </w:t>
      </w:r>
      <w:r>
        <w:t xml:space="preserve">GST to </w:t>
      </w:r>
      <w:r w:rsidR="00620306">
        <w:t xml:space="preserve">apply to </w:t>
      </w:r>
      <w:r>
        <w:t xml:space="preserve">the same goods and services that are subject to </w:t>
      </w:r>
      <w:r w:rsidR="00865AD7">
        <w:t xml:space="preserve">the </w:t>
      </w:r>
      <w:r>
        <w:t>GST in New Zealand.</w:t>
      </w:r>
    </w:p>
    <w:p w:rsidR="00917FC0" w:rsidRDefault="00917FC0" w:rsidP="00917FC0">
      <w:pPr>
        <w:pStyle w:val="BodyText"/>
      </w:pPr>
      <w:r w:rsidRPr="008760F4">
        <w:t xml:space="preserve">This </w:t>
      </w:r>
      <w:r>
        <w:t>option</w:t>
      </w:r>
      <w:r w:rsidRPr="008760F4">
        <w:t xml:space="preserve"> would be expected to decrease the fiscal balance by $</w:t>
      </w:r>
      <w:r w:rsidR="00E82B43" w:rsidRPr="00E82B43">
        <w:t>486,7</w:t>
      </w:r>
      <w:r w:rsidR="00C245B3">
        <w:t>88</w:t>
      </w:r>
      <w:r w:rsidR="0091072E">
        <w:t> </w:t>
      </w:r>
      <w:r w:rsidRPr="008760F4">
        <w:t>million and decrease the underlying cash balance by $</w:t>
      </w:r>
      <w:r w:rsidR="00E82B43" w:rsidRPr="00E82B43">
        <w:t>488,8</w:t>
      </w:r>
      <w:r w:rsidR="00C245B3">
        <w:t>78</w:t>
      </w:r>
      <w:r w:rsidR="0091072E">
        <w:t> </w:t>
      </w:r>
      <w:r w:rsidRPr="008760F4">
        <w:t>million over the 2016</w:t>
      </w:r>
      <w:r w:rsidR="00E13E96">
        <w:noBreakHyphen/>
      </w:r>
      <w:r w:rsidRPr="008760F4">
        <w:t>17</w:t>
      </w:r>
      <w:r w:rsidR="00E13E96">
        <w:t> </w:t>
      </w:r>
      <w:r w:rsidRPr="008760F4">
        <w:t>Bu</w:t>
      </w:r>
      <w:r w:rsidR="004A4F55">
        <w:t>dget forward estimates period.</w:t>
      </w:r>
    </w:p>
    <w:p w:rsidR="00917FC0" w:rsidRPr="005B0970" w:rsidRDefault="00917FC0" w:rsidP="00917FC0">
      <w:pPr>
        <w:pStyle w:val="Caption"/>
      </w:pPr>
      <w:r w:rsidRPr="008112CC">
        <w:lastRenderedPageBreak/>
        <w:t xml:space="preserve">Table </w:t>
      </w:r>
      <w:r w:rsidR="001F29CD">
        <w:fldChar w:fldCharType="begin"/>
      </w:r>
      <w:r w:rsidR="001F29CD">
        <w:instrText xml:space="preserve"> SEQ Table \* ARABIC \s 1 </w:instrText>
      </w:r>
      <w:r w:rsidR="001F29CD">
        <w:fldChar w:fldCharType="separate"/>
      </w:r>
      <w:r w:rsidR="00784163">
        <w:rPr>
          <w:noProof/>
        </w:rPr>
        <w:t>3</w:t>
      </w:r>
      <w:r w:rsidR="001F29CD">
        <w:rPr>
          <w:noProof/>
        </w:rPr>
        <w:fldChar w:fldCharType="end"/>
      </w:r>
      <w:r w:rsidRPr="008112CC">
        <w:t xml:space="preserve">: </w:t>
      </w:r>
      <w:r>
        <w:t>Option 3</w:t>
      </w:r>
      <w:r w:rsidR="009003CB">
        <w:t xml:space="preserve"> – </w:t>
      </w:r>
      <w:r w:rsidR="005B482F" w:rsidRPr="005B482F">
        <w:t xml:space="preserve">Personal income tax, company </w:t>
      </w:r>
      <w:r w:rsidR="0053345B" w:rsidRPr="005B482F">
        <w:t>tax,</w:t>
      </w:r>
      <w:r w:rsidR="005B482F" w:rsidRPr="005B482F">
        <w:t xml:space="preserve"> excise and customs duty</w:t>
      </w:r>
      <w:r w:rsidR="002711A8">
        <w:t>,</w:t>
      </w:r>
      <w:r w:rsidR="005B482F" w:rsidRPr="005B482F">
        <w:t xml:space="preserve"> and </w:t>
      </w:r>
      <w:r w:rsidR="00035FD6">
        <w:t xml:space="preserve">align the coverage of Australia’s </w:t>
      </w:r>
      <w:r w:rsidR="005B482F" w:rsidRPr="005B482F">
        <w:t xml:space="preserve">GST </w:t>
      </w:r>
      <w:r w:rsidR="00035FD6">
        <w:t>with that of</w:t>
      </w:r>
      <w:r w:rsidR="005B482F" w:rsidRPr="005B482F">
        <w:t xml:space="preserve"> New Zealand</w:t>
      </w:r>
      <w:r w:rsidR="002F7174">
        <w:t>—</w:t>
      </w:r>
      <w:r>
        <w:t>Financial implications (outturn prices)</w:t>
      </w:r>
      <w:r w:rsidRPr="008112CC">
        <w:rPr>
          <w:vertAlign w:val="superscript"/>
        </w:rPr>
        <w:t>(a)(b)</w:t>
      </w:r>
    </w:p>
    <w:tbl>
      <w:tblPr>
        <w:tblStyle w:val="LightGrid-Accent6"/>
        <w:tblW w:w="5000" w:type="pct"/>
        <w:tblLayout w:type="fixed"/>
        <w:tblLook w:val="0680" w:firstRow="0" w:lastRow="0" w:firstColumn="1" w:lastColumn="0" w:noHBand="1" w:noVBand="1"/>
      </w:tblPr>
      <w:tblGrid>
        <w:gridCol w:w="2518"/>
        <w:gridCol w:w="1202"/>
        <w:gridCol w:w="1202"/>
        <w:gridCol w:w="1202"/>
        <w:gridCol w:w="1202"/>
        <w:gridCol w:w="1202"/>
      </w:tblGrid>
      <w:tr w:rsidR="00917FC0" w:rsidTr="00D17A0B">
        <w:tc>
          <w:tcPr>
            <w:cnfStyle w:val="001000000000" w:firstRow="0" w:lastRow="0" w:firstColumn="1" w:lastColumn="0" w:oddVBand="0" w:evenVBand="0" w:oddHBand="0" w:evenHBand="0" w:firstRowFirstColumn="0" w:firstRowLastColumn="0" w:lastRowFirstColumn="0" w:lastRowLastColumn="0"/>
            <w:tcW w:w="2517" w:type="dxa"/>
            <w:shd w:val="clear" w:color="auto" w:fill="D7DDE9" w:themeFill="accent3"/>
            <w:vAlign w:val="center"/>
          </w:tcPr>
          <w:p w:rsidR="00917FC0" w:rsidRPr="005B0970" w:rsidRDefault="00917FC0" w:rsidP="00B32E06">
            <w:pPr>
              <w:pStyle w:val="TableHeading"/>
            </w:pPr>
            <w:r w:rsidRPr="005B0970">
              <w:t>Impact on ($m)</w:t>
            </w:r>
          </w:p>
        </w:tc>
        <w:tc>
          <w:tcPr>
            <w:tcW w:w="1202" w:type="dxa"/>
            <w:shd w:val="clear" w:color="auto" w:fill="D7DDE9" w:themeFill="accent3"/>
            <w:vAlign w:val="center"/>
          </w:tcPr>
          <w:p w:rsidR="00917FC0" w:rsidRPr="005B0970" w:rsidRDefault="00917FC0" w:rsidP="00B32E06">
            <w:pPr>
              <w:pStyle w:val="TableHeadingRight"/>
              <w:cnfStyle w:val="000000000000" w:firstRow="0" w:lastRow="0" w:firstColumn="0" w:lastColumn="0" w:oddVBand="0" w:evenVBand="0" w:oddHBand="0" w:evenHBand="0" w:firstRowFirstColumn="0" w:firstRowLastColumn="0" w:lastRowFirstColumn="0" w:lastRowLastColumn="0"/>
              <w:rPr>
                <w:b w:val="0"/>
              </w:rPr>
            </w:pPr>
            <w:r w:rsidRPr="005B0970">
              <w:rPr>
                <w:b w:val="0"/>
              </w:rPr>
              <w:t>2016–17</w:t>
            </w:r>
          </w:p>
        </w:tc>
        <w:tc>
          <w:tcPr>
            <w:tcW w:w="1202" w:type="dxa"/>
            <w:shd w:val="clear" w:color="auto" w:fill="D7DDE9" w:themeFill="accent3"/>
            <w:vAlign w:val="center"/>
          </w:tcPr>
          <w:p w:rsidR="00917FC0" w:rsidRPr="005B0970" w:rsidRDefault="00917FC0" w:rsidP="00B32E06">
            <w:pPr>
              <w:pStyle w:val="TableHeadingRight"/>
              <w:cnfStyle w:val="000000000000" w:firstRow="0" w:lastRow="0" w:firstColumn="0" w:lastColumn="0" w:oddVBand="0" w:evenVBand="0" w:oddHBand="0" w:evenHBand="0" w:firstRowFirstColumn="0" w:firstRowLastColumn="0" w:lastRowFirstColumn="0" w:lastRowLastColumn="0"/>
              <w:rPr>
                <w:b w:val="0"/>
              </w:rPr>
            </w:pPr>
            <w:r w:rsidRPr="005B0970">
              <w:rPr>
                <w:b w:val="0"/>
              </w:rPr>
              <w:t>2017–18</w:t>
            </w:r>
          </w:p>
        </w:tc>
        <w:tc>
          <w:tcPr>
            <w:tcW w:w="1202" w:type="dxa"/>
            <w:shd w:val="clear" w:color="auto" w:fill="D7DDE9" w:themeFill="accent3"/>
            <w:vAlign w:val="center"/>
          </w:tcPr>
          <w:p w:rsidR="00917FC0" w:rsidRPr="005B0970" w:rsidRDefault="00917FC0" w:rsidP="00B32E06">
            <w:pPr>
              <w:pStyle w:val="TableHeadingRight"/>
              <w:cnfStyle w:val="000000000000" w:firstRow="0" w:lastRow="0" w:firstColumn="0" w:lastColumn="0" w:oddVBand="0" w:evenVBand="0" w:oddHBand="0" w:evenHBand="0" w:firstRowFirstColumn="0" w:firstRowLastColumn="0" w:lastRowFirstColumn="0" w:lastRowLastColumn="0"/>
              <w:rPr>
                <w:b w:val="0"/>
              </w:rPr>
            </w:pPr>
            <w:r w:rsidRPr="005B0970">
              <w:rPr>
                <w:b w:val="0"/>
              </w:rPr>
              <w:t>2018–19</w:t>
            </w:r>
          </w:p>
        </w:tc>
        <w:tc>
          <w:tcPr>
            <w:tcW w:w="1202" w:type="dxa"/>
            <w:shd w:val="clear" w:color="auto" w:fill="D7DDE9" w:themeFill="accent3"/>
            <w:vAlign w:val="center"/>
          </w:tcPr>
          <w:p w:rsidR="00917FC0" w:rsidRPr="005B0970" w:rsidRDefault="00917FC0" w:rsidP="00B32E06">
            <w:pPr>
              <w:pStyle w:val="TableHeadingRight"/>
              <w:cnfStyle w:val="000000000000" w:firstRow="0" w:lastRow="0" w:firstColumn="0" w:lastColumn="0" w:oddVBand="0" w:evenVBand="0" w:oddHBand="0" w:evenHBand="0" w:firstRowFirstColumn="0" w:firstRowLastColumn="0" w:lastRowFirstColumn="0" w:lastRowLastColumn="0"/>
              <w:rPr>
                <w:b w:val="0"/>
              </w:rPr>
            </w:pPr>
            <w:r w:rsidRPr="005B0970">
              <w:rPr>
                <w:b w:val="0"/>
              </w:rPr>
              <w:t>2019–20</w:t>
            </w:r>
          </w:p>
        </w:tc>
        <w:tc>
          <w:tcPr>
            <w:tcW w:w="1202" w:type="dxa"/>
            <w:shd w:val="clear" w:color="auto" w:fill="D7DDE9" w:themeFill="accent3"/>
            <w:vAlign w:val="center"/>
          </w:tcPr>
          <w:p w:rsidR="00917FC0" w:rsidRPr="005B0970" w:rsidRDefault="00917FC0" w:rsidP="00B32E06">
            <w:pPr>
              <w:pStyle w:val="TableHeadingRight"/>
              <w:cnfStyle w:val="000000000000" w:firstRow="0" w:lastRow="0" w:firstColumn="0" w:lastColumn="0" w:oddVBand="0" w:evenVBand="0" w:oddHBand="0" w:evenHBand="0" w:firstRowFirstColumn="0" w:firstRowLastColumn="0" w:lastRowFirstColumn="0" w:lastRowLastColumn="0"/>
            </w:pPr>
            <w:r w:rsidRPr="005B0970">
              <w:t>Total to 2019–20</w:t>
            </w:r>
          </w:p>
        </w:tc>
      </w:tr>
      <w:tr w:rsidR="00A93AAC" w:rsidTr="00D17A0B">
        <w:tc>
          <w:tcPr>
            <w:cnfStyle w:val="001000000000" w:firstRow="0" w:lastRow="0" w:firstColumn="1" w:lastColumn="0" w:oddVBand="0" w:evenVBand="0" w:oddHBand="0" w:evenHBand="0" w:firstRowFirstColumn="0" w:firstRowLastColumn="0" w:lastRowFirstColumn="0" w:lastRowLastColumn="0"/>
            <w:tcW w:w="2517" w:type="dxa"/>
            <w:vAlign w:val="center"/>
          </w:tcPr>
          <w:p w:rsidR="00A93AAC" w:rsidRPr="005B0970" w:rsidRDefault="00A93AAC" w:rsidP="00B32E06">
            <w:pPr>
              <w:pStyle w:val="TableHeading"/>
              <w:rPr>
                <w:rFonts w:asciiTheme="majorHAnsi" w:hAnsiTheme="majorHAnsi"/>
              </w:rPr>
            </w:pPr>
            <w:r w:rsidRPr="005B0970">
              <w:t>Fiscal balance</w:t>
            </w:r>
          </w:p>
        </w:tc>
        <w:tc>
          <w:tcPr>
            <w:tcW w:w="1202" w:type="dxa"/>
            <w:vAlign w:val="center"/>
          </w:tcPr>
          <w:p w:rsidR="00A93AAC" w:rsidRDefault="00A93AAC" w:rsidP="0055299A">
            <w:pPr>
              <w:pStyle w:val="TableTextRight"/>
              <w:cnfStyle w:val="000000000000" w:firstRow="0" w:lastRow="0" w:firstColumn="0" w:lastColumn="0" w:oddVBand="0" w:evenVBand="0" w:oddHBand="0" w:evenHBand="0" w:firstRowFirstColumn="0" w:firstRowLastColumn="0" w:lastRowFirstColumn="0" w:lastRowLastColumn="0"/>
            </w:pPr>
            <w:r>
              <w:t>-</w:t>
            </w:r>
          </w:p>
        </w:tc>
        <w:tc>
          <w:tcPr>
            <w:tcW w:w="1202" w:type="dxa"/>
          </w:tcPr>
          <w:p w:rsidR="00A93AAC" w:rsidRDefault="00A93AAC" w:rsidP="0032047F">
            <w:pPr>
              <w:pStyle w:val="TableTextRight"/>
              <w:cnfStyle w:val="000000000000" w:firstRow="0" w:lastRow="0" w:firstColumn="0" w:lastColumn="0" w:oddVBand="0" w:evenVBand="0" w:oddHBand="0" w:evenHBand="0" w:firstRowFirstColumn="0" w:firstRowLastColumn="0" w:lastRowFirstColumn="0" w:lastRowLastColumn="0"/>
            </w:pPr>
            <w:r w:rsidRPr="009613B8">
              <w:t>-144,828</w:t>
            </w:r>
          </w:p>
        </w:tc>
        <w:tc>
          <w:tcPr>
            <w:tcW w:w="1202" w:type="dxa"/>
          </w:tcPr>
          <w:p w:rsidR="00A93AAC" w:rsidRDefault="00A93AAC" w:rsidP="0032047F">
            <w:pPr>
              <w:pStyle w:val="TableTextRight"/>
              <w:cnfStyle w:val="000000000000" w:firstRow="0" w:lastRow="0" w:firstColumn="0" w:lastColumn="0" w:oddVBand="0" w:evenVBand="0" w:oddHBand="0" w:evenHBand="0" w:firstRowFirstColumn="0" w:firstRowLastColumn="0" w:lastRowFirstColumn="0" w:lastRowLastColumn="0"/>
            </w:pPr>
            <w:r w:rsidRPr="009613B8">
              <w:t>-166,480</w:t>
            </w:r>
          </w:p>
        </w:tc>
        <w:tc>
          <w:tcPr>
            <w:tcW w:w="1202" w:type="dxa"/>
          </w:tcPr>
          <w:p w:rsidR="00A93AAC" w:rsidRDefault="00A93AAC" w:rsidP="0032047F">
            <w:pPr>
              <w:pStyle w:val="TableTextRight"/>
              <w:cnfStyle w:val="000000000000" w:firstRow="0" w:lastRow="0" w:firstColumn="0" w:lastColumn="0" w:oddVBand="0" w:evenVBand="0" w:oddHBand="0" w:evenHBand="0" w:firstRowFirstColumn="0" w:firstRowLastColumn="0" w:lastRowFirstColumn="0" w:lastRowLastColumn="0"/>
            </w:pPr>
            <w:r w:rsidRPr="009613B8">
              <w:t>-175,480</w:t>
            </w:r>
          </w:p>
        </w:tc>
        <w:tc>
          <w:tcPr>
            <w:tcW w:w="1202" w:type="dxa"/>
          </w:tcPr>
          <w:p w:rsidR="00A93AAC" w:rsidRDefault="00A93AAC" w:rsidP="00443EFD">
            <w:pPr>
              <w:pStyle w:val="TableTextRightBold"/>
              <w:cnfStyle w:val="000000000000" w:firstRow="0" w:lastRow="0" w:firstColumn="0" w:lastColumn="0" w:oddVBand="0" w:evenVBand="0" w:oddHBand="0" w:evenHBand="0" w:firstRowFirstColumn="0" w:firstRowLastColumn="0" w:lastRowFirstColumn="0" w:lastRowLastColumn="0"/>
            </w:pPr>
            <w:r w:rsidRPr="009613B8">
              <w:t>-486,788</w:t>
            </w:r>
          </w:p>
        </w:tc>
      </w:tr>
      <w:tr w:rsidR="00A93AAC" w:rsidTr="00D17A0B">
        <w:tc>
          <w:tcPr>
            <w:cnfStyle w:val="001000000000" w:firstRow="0" w:lastRow="0" w:firstColumn="1" w:lastColumn="0" w:oddVBand="0" w:evenVBand="0" w:oddHBand="0" w:evenHBand="0" w:firstRowFirstColumn="0" w:firstRowLastColumn="0" w:lastRowFirstColumn="0" w:lastRowLastColumn="0"/>
            <w:tcW w:w="2517" w:type="dxa"/>
            <w:vAlign w:val="center"/>
          </w:tcPr>
          <w:p w:rsidR="00A93AAC" w:rsidRPr="005B0970" w:rsidRDefault="00A93AAC" w:rsidP="00B32E06">
            <w:pPr>
              <w:pStyle w:val="TableHeading"/>
            </w:pPr>
            <w:r w:rsidRPr="005B0970">
              <w:t>Underlying cash balance</w:t>
            </w:r>
          </w:p>
        </w:tc>
        <w:tc>
          <w:tcPr>
            <w:tcW w:w="1202" w:type="dxa"/>
            <w:vAlign w:val="center"/>
          </w:tcPr>
          <w:p w:rsidR="00A93AAC" w:rsidRDefault="00A93AAC" w:rsidP="0055299A">
            <w:pPr>
              <w:pStyle w:val="TableTextRight"/>
              <w:cnfStyle w:val="000000000000" w:firstRow="0" w:lastRow="0" w:firstColumn="0" w:lastColumn="0" w:oddVBand="0" w:evenVBand="0" w:oddHBand="0" w:evenHBand="0" w:firstRowFirstColumn="0" w:firstRowLastColumn="0" w:lastRowFirstColumn="0" w:lastRowLastColumn="0"/>
            </w:pPr>
            <w:r>
              <w:t>-</w:t>
            </w:r>
          </w:p>
        </w:tc>
        <w:tc>
          <w:tcPr>
            <w:tcW w:w="1202" w:type="dxa"/>
            <w:vAlign w:val="center"/>
          </w:tcPr>
          <w:p w:rsidR="00A93AAC" w:rsidRDefault="00A93AAC" w:rsidP="00240A13">
            <w:pPr>
              <w:pStyle w:val="TableTextRight"/>
              <w:cnfStyle w:val="000000000000" w:firstRow="0" w:lastRow="0" w:firstColumn="0" w:lastColumn="0" w:oddVBand="0" w:evenVBand="0" w:oddHBand="0" w:evenHBand="0" w:firstRowFirstColumn="0" w:firstRowLastColumn="0" w:lastRowFirstColumn="0" w:lastRowLastColumn="0"/>
            </w:pPr>
            <w:r w:rsidRPr="009613B8">
              <w:t>-146,238</w:t>
            </w:r>
          </w:p>
        </w:tc>
        <w:tc>
          <w:tcPr>
            <w:tcW w:w="1202" w:type="dxa"/>
            <w:vAlign w:val="center"/>
          </w:tcPr>
          <w:p w:rsidR="00A93AAC" w:rsidRDefault="00A93AAC" w:rsidP="00E3688A">
            <w:pPr>
              <w:pStyle w:val="TableTextRight"/>
              <w:cnfStyle w:val="000000000000" w:firstRow="0" w:lastRow="0" w:firstColumn="0" w:lastColumn="0" w:oddVBand="0" w:evenVBand="0" w:oddHBand="0" w:evenHBand="0" w:firstRowFirstColumn="0" w:firstRowLastColumn="0" w:lastRowFirstColumn="0" w:lastRowLastColumn="0"/>
            </w:pPr>
            <w:r w:rsidRPr="009613B8">
              <w:t>-166,620</w:t>
            </w:r>
          </w:p>
        </w:tc>
        <w:tc>
          <w:tcPr>
            <w:tcW w:w="1202" w:type="dxa"/>
            <w:vAlign w:val="center"/>
          </w:tcPr>
          <w:p w:rsidR="00A93AAC" w:rsidRDefault="00A93AAC">
            <w:pPr>
              <w:pStyle w:val="TableTextRight"/>
              <w:cnfStyle w:val="000000000000" w:firstRow="0" w:lastRow="0" w:firstColumn="0" w:lastColumn="0" w:oddVBand="0" w:evenVBand="0" w:oddHBand="0" w:evenHBand="0" w:firstRowFirstColumn="0" w:firstRowLastColumn="0" w:lastRowFirstColumn="0" w:lastRowLastColumn="0"/>
            </w:pPr>
            <w:r w:rsidRPr="009613B8">
              <w:t>-176,020</w:t>
            </w:r>
          </w:p>
        </w:tc>
        <w:tc>
          <w:tcPr>
            <w:tcW w:w="1202" w:type="dxa"/>
            <w:vAlign w:val="center"/>
          </w:tcPr>
          <w:p w:rsidR="00A93AAC" w:rsidRDefault="00A93AAC">
            <w:pPr>
              <w:pStyle w:val="TableTextRightBold"/>
              <w:cnfStyle w:val="000000000000" w:firstRow="0" w:lastRow="0" w:firstColumn="0" w:lastColumn="0" w:oddVBand="0" w:evenVBand="0" w:oddHBand="0" w:evenHBand="0" w:firstRowFirstColumn="0" w:firstRowLastColumn="0" w:lastRowFirstColumn="0" w:lastRowLastColumn="0"/>
            </w:pPr>
            <w:r w:rsidRPr="009613B8">
              <w:t>-488,878</w:t>
            </w:r>
          </w:p>
        </w:tc>
      </w:tr>
    </w:tbl>
    <w:p w:rsidR="00917FC0" w:rsidRDefault="00917FC0" w:rsidP="00AF0460">
      <w:pPr>
        <w:pStyle w:val="TableFootnotes"/>
        <w:numPr>
          <w:ilvl w:val="0"/>
          <w:numId w:val="28"/>
        </w:numPr>
        <w:ind w:left="284" w:hanging="284"/>
      </w:pPr>
      <w:r>
        <w:t xml:space="preserve">A positive number represents an increase in the relevant budget </w:t>
      </w:r>
      <w:proofErr w:type="gramStart"/>
      <w:r>
        <w:t>balance,</w:t>
      </w:r>
      <w:proofErr w:type="gramEnd"/>
      <w:r>
        <w:t xml:space="preserve"> a negative number represents a decrease.</w:t>
      </w:r>
    </w:p>
    <w:p w:rsidR="00917FC0" w:rsidRDefault="00917FC0" w:rsidP="00917FC0">
      <w:pPr>
        <w:pStyle w:val="TableFootnotes"/>
      </w:pPr>
      <w:r>
        <w:t>Figures may not sum to totals due to rounding.</w:t>
      </w:r>
    </w:p>
    <w:p w:rsidR="00917FC0" w:rsidRDefault="00917FC0" w:rsidP="00917FC0">
      <w:pPr>
        <w:pStyle w:val="TableFootnotes"/>
        <w:keepNext/>
        <w:numPr>
          <w:ilvl w:val="0"/>
          <w:numId w:val="11"/>
        </w:numPr>
        <w:ind w:left="284" w:hanging="284"/>
      </w:pPr>
      <w:r>
        <w:t>Indicates nil.</w:t>
      </w:r>
    </w:p>
    <w:p w:rsidR="006043CE" w:rsidRDefault="006043CE" w:rsidP="00E3493F">
      <w:pPr>
        <w:pStyle w:val="Heading1"/>
      </w:pPr>
      <w:r>
        <w:t xml:space="preserve">General </w:t>
      </w:r>
      <w:r w:rsidR="002711A8">
        <w:t>c</w:t>
      </w:r>
      <w:r>
        <w:t>ommentary</w:t>
      </w:r>
    </w:p>
    <w:p w:rsidR="008B3FD1" w:rsidRDefault="008B3FD1" w:rsidP="008B3FD1">
      <w:pPr>
        <w:pStyle w:val="Heading2"/>
      </w:pPr>
      <w:r>
        <w:t xml:space="preserve">Impact beyond the </w:t>
      </w:r>
      <w:r w:rsidRPr="008B3FD1">
        <w:t>2016-17 Budget forward estimates period</w:t>
      </w:r>
    </w:p>
    <w:p w:rsidR="0083638E" w:rsidRDefault="00AF658E" w:rsidP="006C3668">
      <w:pPr>
        <w:pStyle w:val="BodyText"/>
      </w:pPr>
      <w:r>
        <w:t>The</w:t>
      </w:r>
      <w:r w:rsidR="00AB6F06">
        <w:t xml:space="preserve"> proposal would be expected to have an ongoing impact beyond the 2016-17</w:t>
      </w:r>
      <w:r w:rsidR="0091072E">
        <w:t> </w:t>
      </w:r>
      <w:r w:rsidR="00AB6F06">
        <w:t xml:space="preserve">Budget forward estimates period. </w:t>
      </w:r>
      <w:r>
        <w:t xml:space="preserve"> </w:t>
      </w:r>
      <w:r w:rsidR="0083638E">
        <w:t>The financial implications of the proposal over the 2016</w:t>
      </w:r>
      <w:r w:rsidR="0083638E">
        <w:noBreakHyphen/>
        <w:t>17 Budget forward estimates period are not necessarily reflective of the ongoing impact due to:</w:t>
      </w:r>
    </w:p>
    <w:p w:rsidR="00480AC5" w:rsidRDefault="0083638E" w:rsidP="00E12396">
      <w:pPr>
        <w:pStyle w:val="ListBullet"/>
      </w:pPr>
      <w:r>
        <w:t xml:space="preserve">the operation of bracket creep for </w:t>
      </w:r>
      <w:r w:rsidR="00480AC5">
        <w:t>individuals</w:t>
      </w:r>
      <w:r>
        <w:t>, where nominal income growth leads to higher marginal and average tax rates</w:t>
      </w:r>
    </w:p>
    <w:p w:rsidR="008E5833" w:rsidRDefault="00930FED" w:rsidP="00F912D1">
      <w:pPr>
        <w:pStyle w:val="ListBullet"/>
      </w:pPr>
      <w:proofErr w:type="gramStart"/>
      <w:r w:rsidRPr="00930FED">
        <w:t>the</w:t>
      </w:r>
      <w:proofErr w:type="gramEnd"/>
      <w:r w:rsidR="00F055B7">
        <w:t xml:space="preserve"> </w:t>
      </w:r>
      <w:r w:rsidR="001C2A64">
        <w:t>2016</w:t>
      </w:r>
      <w:r w:rsidR="00CB26A5">
        <w:noBreakHyphen/>
      </w:r>
      <w:r w:rsidR="001C2A64">
        <w:t>17</w:t>
      </w:r>
      <w:r w:rsidR="00CB26A5">
        <w:t> </w:t>
      </w:r>
      <w:r w:rsidR="001C2A64">
        <w:t>Budget measure</w:t>
      </w:r>
      <w:r w:rsidR="00014E8C">
        <w:t xml:space="preserve"> </w:t>
      </w:r>
      <w:r w:rsidR="00014E8C" w:rsidRPr="00480AC5">
        <w:rPr>
          <w:i/>
        </w:rPr>
        <w:t>Ten Year Enterprise Tax Plan – reducing the company tax rate to 25</w:t>
      </w:r>
      <w:r w:rsidR="00CB26A5" w:rsidRPr="006901F1">
        <w:rPr>
          <w:i/>
        </w:rPr>
        <w:t> </w:t>
      </w:r>
      <w:r w:rsidR="00014E8C" w:rsidRPr="006901F1">
        <w:rPr>
          <w:i/>
        </w:rPr>
        <w:t>per</w:t>
      </w:r>
      <w:r w:rsidR="00CB26A5" w:rsidRPr="00435DBD">
        <w:rPr>
          <w:i/>
        </w:rPr>
        <w:t> </w:t>
      </w:r>
      <w:r w:rsidR="00014E8C" w:rsidRPr="00435DBD">
        <w:rPr>
          <w:i/>
        </w:rPr>
        <w:t>cent</w:t>
      </w:r>
      <w:r w:rsidR="00480AC5">
        <w:t xml:space="preserve">, which </w:t>
      </w:r>
      <w:r w:rsidR="00480AC5" w:rsidRPr="00930FED">
        <w:t xml:space="preserve">would be expected to </w:t>
      </w:r>
      <w:r w:rsidR="00480AC5">
        <w:t>de</w:t>
      </w:r>
      <w:r w:rsidR="00480AC5" w:rsidRPr="00930FED">
        <w:t xml:space="preserve">crease </w:t>
      </w:r>
      <w:r w:rsidR="00480AC5">
        <w:t xml:space="preserve">company tax </w:t>
      </w:r>
      <w:r w:rsidR="00480AC5" w:rsidRPr="00930FED">
        <w:t>sharply towards the end of the medium term</w:t>
      </w:r>
      <w:r w:rsidR="00014E8C">
        <w:t>.</w:t>
      </w:r>
      <w:r w:rsidR="00291F64">
        <w:t xml:space="preserve"> </w:t>
      </w:r>
      <w:r w:rsidR="007C3047">
        <w:t xml:space="preserve"> </w:t>
      </w:r>
    </w:p>
    <w:p w:rsidR="000E6533" w:rsidRDefault="000E6533" w:rsidP="006C3668">
      <w:pPr>
        <w:pStyle w:val="BodyText"/>
      </w:pPr>
      <w:r>
        <w:t xml:space="preserve">A detailed breakdown of each option of the proposal on a fiscal balance and underlying cash balance basis over the period to 2026-27 is included at </w:t>
      </w:r>
      <w:r w:rsidRPr="000C71C6">
        <w:rPr>
          <w:u w:val="single"/>
        </w:rPr>
        <w:t>Attachment</w:t>
      </w:r>
      <w:r w:rsidR="00CB26A5">
        <w:rPr>
          <w:u w:val="single"/>
        </w:rPr>
        <w:t> </w:t>
      </w:r>
      <w:r w:rsidRPr="000C71C6">
        <w:rPr>
          <w:u w:val="single"/>
        </w:rPr>
        <w:t>A</w:t>
      </w:r>
      <w:r>
        <w:t>.</w:t>
      </w:r>
    </w:p>
    <w:p w:rsidR="008B3FD1" w:rsidRPr="00002D5D" w:rsidRDefault="008B3FD1" w:rsidP="008B3FD1">
      <w:pPr>
        <w:pStyle w:val="Heading2"/>
      </w:pPr>
      <w:r w:rsidRPr="00AF658E">
        <w:t>Departmental expenses</w:t>
      </w:r>
    </w:p>
    <w:p w:rsidR="006901F1" w:rsidRDefault="007968E7" w:rsidP="008B3FD1">
      <w:pPr>
        <w:pStyle w:val="BodyText"/>
      </w:pPr>
      <w:r>
        <w:t>In</w:t>
      </w:r>
      <w:r w:rsidR="006901F1">
        <w:t xml:space="preserve"> </w:t>
      </w:r>
      <w:r w:rsidR="007152A8">
        <w:t>O</w:t>
      </w:r>
      <w:r w:rsidR="006901F1">
        <w:t xml:space="preserve">ptions </w:t>
      </w:r>
      <w:r w:rsidR="002711A8">
        <w:t>1</w:t>
      </w:r>
      <w:r>
        <w:t xml:space="preserve"> and </w:t>
      </w:r>
      <w:r w:rsidR="002711A8">
        <w:t>2</w:t>
      </w:r>
      <w:r>
        <w:t xml:space="preserve"> </w:t>
      </w:r>
      <w:r w:rsidR="006901F1">
        <w:t xml:space="preserve">there is a net </w:t>
      </w:r>
      <w:r w:rsidR="005F55B1">
        <w:t>de</w:t>
      </w:r>
      <w:r w:rsidR="006901F1">
        <w:t>crease in departmental expenses</w:t>
      </w:r>
      <w:r w:rsidR="00F90D6C">
        <w:t xml:space="preserve"> of $237 million </w:t>
      </w:r>
      <w:r w:rsidR="00F90D6C" w:rsidRPr="00156FBE">
        <w:t>over the 2016</w:t>
      </w:r>
      <w:r w:rsidR="00F90D6C">
        <w:noBreakHyphen/>
        <w:t>17 </w:t>
      </w:r>
      <w:r w:rsidR="00F90D6C" w:rsidRPr="00156FBE">
        <w:t>Budget forward estimates period</w:t>
      </w:r>
      <w:r w:rsidR="00F90D6C">
        <w:t xml:space="preserve"> comprised </w:t>
      </w:r>
      <w:proofErr w:type="gramStart"/>
      <w:r w:rsidR="00F90D6C">
        <w:t>of</w:t>
      </w:r>
      <w:r w:rsidR="006901F1">
        <w:t>:</w:t>
      </w:r>
      <w:proofErr w:type="gramEnd"/>
    </w:p>
    <w:p w:rsidR="00F90D6C" w:rsidRDefault="002711A8" w:rsidP="007968E7">
      <w:pPr>
        <w:pStyle w:val="ListBullet"/>
      </w:pPr>
      <w:r>
        <w:t>a</w:t>
      </w:r>
      <w:r w:rsidR="00F90D6C">
        <w:t>n increase of</w:t>
      </w:r>
      <w:r w:rsidR="00601BDD">
        <w:t xml:space="preserve"> $8</w:t>
      </w:r>
      <w:r w:rsidR="00CB26A5">
        <w:t> </w:t>
      </w:r>
      <w:r w:rsidR="008B3FD1">
        <w:t xml:space="preserve">million </w:t>
      </w:r>
      <w:r w:rsidR="008B3FD1" w:rsidRPr="00B4552E">
        <w:t>in 2017</w:t>
      </w:r>
      <w:r w:rsidR="00CB26A5">
        <w:noBreakHyphen/>
      </w:r>
      <w:r w:rsidR="008B3FD1" w:rsidRPr="00B4552E">
        <w:t>18</w:t>
      </w:r>
      <w:r w:rsidR="00F90D6C">
        <w:t xml:space="preserve"> to cover </w:t>
      </w:r>
      <w:r w:rsidR="008B3FD1">
        <w:t xml:space="preserve">the initial expenses required to implement the </w:t>
      </w:r>
      <w:r w:rsidR="00F90D6C">
        <w:t>personal income tax changes</w:t>
      </w:r>
      <w:r w:rsidR="008B3FD1">
        <w:t xml:space="preserve">  </w:t>
      </w:r>
    </w:p>
    <w:p w:rsidR="007968E7" w:rsidRPr="008D0014" w:rsidRDefault="002711A8" w:rsidP="00C83B4E">
      <w:pPr>
        <w:pStyle w:val="ListBullet"/>
      </w:pPr>
      <w:r>
        <w:t>a</w:t>
      </w:r>
      <w:r w:rsidR="00F90D6C" w:rsidRPr="000E1834">
        <w:t xml:space="preserve"> </w:t>
      </w:r>
      <w:r w:rsidR="000C71C6" w:rsidRPr="000E1834">
        <w:t xml:space="preserve">decrease </w:t>
      </w:r>
      <w:r w:rsidR="00F90D6C" w:rsidRPr="000E1834">
        <w:t xml:space="preserve">of </w:t>
      </w:r>
      <w:r w:rsidR="009C0D1C" w:rsidRPr="000E1834">
        <w:t>$13</w:t>
      </w:r>
      <w:r w:rsidR="0031730B" w:rsidRPr="000E1834">
        <w:t>5</w:t>
      </w:r>
      <w:r w:rsidR="00F90D6C" w:rsidRPr="000E1834">
        <w:t> </w:t>
      </w:r>
      <w:r w:rsidR="000C71C6" w:rsidRPr="000E1834">
        <w:t xml:space="preserve">million </w:t>
      </w:r>
      <w:r w:rsidR="000E1834">
        <w:t xml:space="preserve">over the 2016-17 Budget forward estimates period </w:t>
      </w:r>
      <w:r w:rsidR="005A202F" w:rsidRPr="000E1834">
        <w:t xml:space="preserve">for the Australian Taxation Office (ATO) </w:t>
      </w:r>
      <w:r w:rsidR="00F90D6C" w:rsidRPr="000E1834">
        <w:t>as a result of abolishing excise</w:t>
      </w:r>
      <w:r w:rsidR="008D0014" w:rsidRPr="000E1834">
        <w:t xml:space="preserve"> and customs dut</w:t>
      </w:r>
      <w:r w:rsidR="008D0014">
        <w:t>y</w:t>
      </w:r>
    </w:p>
    <w:p w:rsidR="007968E7" w:rsidRPr="008D0014" w:rsidRDefault="002711A8" w:rsidP="00731C57">
      <w:pPr>
        <w:pStyle w:val="ListBullet"/>
      </w:pPr>
      <w:proofErr w:type="gramStart"/>
      <w:r>
        <w:t>a</w:t>
      </w:r>
      <w:proofErr w:type="gramEnd"/>
      <w:r w:rsidR="00F90D6C" w:rsidRPr="002F3877">
        <w:t xml:space="preserve"> </w:t>
      </w:r>
      <w:r w:rsidR="000C71C6" w:rsidRPr="002F3877">
        <w:t xml:space="preserve">decrease </w:t>
      </w:r>
      <w:r w:rsidR="00F90D6C" w:rsidRPr="002F3877">
        <w:t>of</w:t>
      </w:r>
      <w:r w:rsidR="000C71C6" w:rsidRPr="002F3877">
        <w:t xml:space="preserve"> $110</w:t>
      </w:r>
      <w:r w:rsidR="00CB26A5" w:rsidRPr="002F3877">
        <w:t> </w:t>
      </w:r>
      <w:r w:rsidR="000C71C6" w:rsidRPr="002F3877">
        <w:t>million</w:t>
      </w:r>
      <w:r w:rsidR="00F90D6C" w:rsidRPr="002F3877">
        <w:t xml:space="preserve"> </w:t>
      </w:r>
      <w:r w:rsidR="000E1834">
        <w:t xml:space="preserve">over the 2016-17 Budget forward estimates period </w:t>
      </w:r>
      <w:r w:rsidR="005A202F" w:rsidRPr="002F3877">
        <w:t xml:space="preserve">in departmental expenses for the Department of Immigration and Border Protection (DIBP) </w:t>
      </w:r>
      <w:r w:rsidR="00F90D6C" w:rsidRPr="002F3877">
        <w:t xml:space="preserve">as a result of abolishing </w:t>
      </w:r>
      <w:r w:rsidR="008D0014" w:rsidRPr="002F3877">
        <w:t xml:space="preserve">excise and </w:t>
      </w:r>
      <w:r w:rsidR="00B87A01" w:rsidRPr="002F3877">
        <w:t>custom dut</w:t>
      </w:r>
      <w:r w:rsidR="008D0014" w:rsidRPr="002F3877">
        <w:t>y</w:t>
      </w:r>
      <w:r w:rsidR="00EE2FF4">
        <w:t>.</w:t>
      </w:r>
    </w:p>
    <w:p w:rsidR="007968E7" w:rsidRDefault="005A202F" w:rsidP="000A03EF">
      <w:pPr>
        <w:pStyle w:val="ListBullet"/>
      </w:pPr>
      <w:r>
        <w:t xml:space="preserve">The </w:t>
      </w:r>
      <w:r w:rsidR="00AA2DE6">
        <w:t>reduction</w:t>
      </w:r>
      <w:r>
        <w:t xml:space="preserve"> in the company tax rate would</w:t>
      </w:r>
      <w:r w:rsidRPr="0069781E">
        <w:t xml:space="preserve"> not</w:t>
      </w:r>
      <w:r>
        <w:t xml:space="preserve"> be</w:t>
      </w:r>
      <w:r w:rsidRPr="0069781E">
        <w:t xml:space="preserve"> expected to </w:t>
      </w:r>
      <w:r w:rsidR="00AA2DE6">
        <w:t xml:space="preserve">have a significant impact on departmental expenses </w:t>
      </w:r>
      <w:r w:rsidRPr="0069781E">
        <w:t xml:space="preserve">as </w:t>
      </w:r>
      <w:r w:rsidR="00AA2DE6">
        <w:t>it</w:t>
      </w:r>
      <w:r w:rsidRPr="0069781E">
        <w:t xml:space="preserve"> would not </w:t>
      </w:r>
      <w:r w:rsidR="0095296D">
        <w:t xml:space="preserve">be expected to </w:t>
      </w:r>
      <w:r w:rsidRPr="0069781E">
        <w:t xml:space="preserve">reduce the </w:t>
      </w:r>
      <w:r>
        <w:t>number</w:t>
      </w:r>
      <w:r w:rsidRPr="0069781E">
        <w:t xml:space="preserve"> of tax returns processed.</w:t>
      </w:r>
    </w:p>
    <w:p w:rsidR="002711A8" w:rsidRDefault="00731C57">
      <w:pPr>
        <w:pStyle w:val="ListBullet"/>
      </w:pPr>
      <w:r>
        <w:lastRenderedPageBreak/>
        <w:t xml:space="preserve">In relation to </w:t>
      </w:r>
      <w:r w:rsidR="007152A8">
        <w:t>O</w:t>
      </w:r>
      <w:r>
        <w:t xml:space="preserve">ption </w:t>
      </w:r>
      <w:r w:rsidR="002711A8">
        <w:t>2</w:t>
      </w:r>
      <w:r>
        <w:t xml:space="preserve">, </w:t>
      </w:r>
      <w:r w:rsidR="00CA253F">
        <w:t xml:space="preserve">net </w:t>
      </w:r>
      <w:r>
        <w:t>d</w:t>
      </w:r>
      <w:r w:rsidR="00865AD7">
        <w:t>epartmental expenses associated with</w:t>
      </w:r>
      <w:r w:rsidR="00572815" w:rsidRPr="00247713">
        <w:t xml:space="preserve"> </w:t>
      </w:r>
      <w:r w:rsidR="00B674E9">
        <w:t xml:space="preserve">altering </w:t>
      </w:r>
      <w:r w:rsidR="00865AD7">
        <w:t xml:space="preserve">the </w:t>
      </w:r>
      <w:r w:rsidR="00292070">
        <w:t xml:space="preserve">GST </w:t>
      </w:r>
      <w:r w:rsidR="007678D8">
        <w:t>to include food and beverages</w:t>
      </w:r>
      <w:r w:rsidR="005C1772">
        <w:t xml:space="preserve"> </w:t>
      </w:r>
      <w:r w:rsidR="00935523">
        <w:t xml:space="preserve">would </w:t>
      </w:r>
      <w:r w:rsidR="00707020">
        <w:t xml:space="preserve">not be </w:t>
      </w:r>
      <w:r w:rsidR="00935523">
        <w:t>expected</w:t>
      </w:r>
      <w:r w:rsidR="0069302B">
        <w:t xml:space="preserve"> to </w:t>
      </w:r>
      <w:r w:rsidR="005C1772">
        <w:t xml:space="preserve">be </w:t>
      </w:r>
      <w:r w:rsidR="00707020">
        <w:t>material</w:t>
      </w:r>
      <w:r w:rsidR="00317589">
        <w:t>.</w:t>
      </w:r>
      <w:r w:rsidR="00CA253F">
        <w:t xml:space="preserve">  </w:t>
      </w:r>
      <w:r w:rsidR="00317589">
        <w:t>C</w:t>
      </w:r>
      <w:r w:rsidR="00CA253F">
        <w:t xml:space="preserve">urrent departmental expenses </w:t>
      </w:r>
      <w:r w:rsidR="00317589">
        <w:t>related to excluding certain food and beverages may be</w:t>
      </w:r>
      <w:r w:rsidR="00CA253F">
        <w:t xml:space="preserve"> </w:t>
      </w:r>
      <w:r w:rsidR="00317589">
        <w:t xml:space="preserve">replaced with </w:t>
      </w:r>
      <w:r w:rsidR="00CA253F">
        <w:t xml:space="preserve">departmental expenses </w:t>
      </w:r>
      <w:r w:rsidR="00317589">
        <w:t xml:space="preserve">associated with </w:t>
      </w:r>
      <w:r w:rsidR="00CA253F">
        <w:t>expanding the coverage of the GST to include food and beverages</w:t>
      </w:r>
      <w:r w:rsidR="0095296D">
        <w:t xml:space="preserve">. </w:t>
      </w:r>
    </w:p>
    <w:p w:rsidR="006901F1" w:rsidRDefault="00726998" w:rsidP="00D17A0B">
      <w:pPr>
        <w:pStyle w:val="BodyText17ptAbove"/>
        <w:spacing w:before="113"/>
      </w:pPr>
      <w:r>
        <w:rPr>
          <w:rFonts w:cstheme="minorBidi"/>
        </w:rPr>
        <w:t xml:space="preserve">In </w:t>
      </w:r>
      <w:r w:rsidR="007152A8">
        <w:rPr>
          <w:rFonts w:cstheme="minorBidi"/>
        </w:rPr>
        <w:t>O</w:t>
      </w:r>
      <w:r>
        <w:rPr>
          <w:rFonts w:cstheme="minorBidi"/>
        </w:rPr>
        <w:t xml:space="preserve">ption </w:t>
      </w:r>
      <w:r w:rsidR="002711A8">
        <w:rPr>
          <w:rFonts w:cstheme="minorBidi"/>
        </w:rPr>
        <w:t xml:space="preserve">3 </w:t>
      </w:r>
      <w:r>
        <w:rPr>
          <w:rFonts w:cstheme="minorBidi"/>
        </w:rPr>
        <w:t xml:space="preserve">there is a net decrease in departmental </w:t>
      </w:r>
      <w:r w:rsidR="005F55B1">
        <w:rPr>
          <w:rFonts w:cstheme="minorBidi"/>
        </w:rPr>
        <w:t>ex</w:t>
      </w:r>
      <w:r>
        <w:rPr>
          <w:rFonts w:cstheme="minorBidi"/>
        </w:rPr>
        <w:t xml:space="preserve">penses of $117 million over the 2016-17 Budget forward estimates period.  </w:t>
      </w:r>
      <w:r w:rsidR="00EC5BCA">
        <w:rPr>
          <w:rFonts w:cstheme="minorBidi"/>
        </w:rPr>
        <w:t xml:space="preserve">This option includes </w:t>
      </w:r>
      <w:r w:rsidR="005F55B1">
        <w:rPr>
          <w:rFonts w:cstheme="minorBidi"/>
        </w:rPr>
        <w:t>an</w:t>
      </w:r>
      <w:r w:rsidR="00EC5BCA">
        <w:rPr>
          <w:rFonts w:cstheme="minorBidi"/>
        </w:rPr>
        <w:t xml:space="preserve"> additional d</w:t>
      </w:r>
      <w:r>
        <w:rPr>
          <w:rFonts w:cstheme="minorBidi"/>
        </w:rPr>
        <w:t xml:space="preserve">epartmental </w:t>
      </w:r>
      <w:r w:rsidR="00F30167">
        <w:t>exp</w:t>
      </w:r>
      <w:r w:rsidR="005F55B1">
        <w:t>ense</w:t>
      </w:r>
      <w:r w:rsidR="00F30167">
        <w:t xml:space="preserve"> associated with</w:t>
      </w:r>
      <w:r w:rsidR="00F30167" w:rsidRPr="00247713">
        <w:t xml:space="preserve"> </w:t>
      </w:r>
      <w:r w:rsidR="00F30167">
        <w:t>altering the GST to align coverage with New Zealand</w:t>
      </w:r>
      <w:r w:rsidR="00EC5BCA">
        <w:t>.  This component</w:t>
      </w:r>
      <w:r w:rsidR="00F30167">
        <w:t xml:space="preserve"> would be expected to result in departmental expenses of $1</w:t>
      </w:r>
      <w:r>
        <w:t>2</w:t>
      </w:r>
      <w:r w:rsidR="00F30167">
        <w:t xml:space="preserve">0 million over </w:t>
      </w:r>
      <w:r>
        <w:t>the 2016-17 Budget forward estimates period</w:t>
      </w:r>
      <w:r w:rsidR="000E1834">
        <w:t>.  This largely reflects costs associate</w:t>
      </w:r>
      <w:r w:rsidR="00F877C8">
        <w:t>d</w:t>
      </w:r>
      <w:r w:rsidR="000E1834">
        <w:t xml:space="preserve"> with</w:t>
      </w:r>
      <w:r w:rsidR="00F30167">
        <w:t xml:space="preserve"> </w:t>
      </w:r>
      <w:r w:rsidR="00344F51">
        <w:t xml:space="preserve">implementation </w:t>
      </w:r>
      <w:r w:rsidR="00317589">
        <w:t xml:space="preserve">and ongoing </w:t>
      </w:r>
      <w:r w:rsidR="00344F51">
        <w:t>costs</w:t>
      </w:r>
      <w:r w:rsidR="000E1834">
        <w:t xml:space="preserve"> </w:t>
      </w:r>
      <w:r w:rsidR="00344F51">
        <w:t xml:space="preserve">for </w:t>
      </w:r>
      <w:r w:rsidR="00317589">
        <w:t xml:space="preserve">broadening the </w:t>
      </w:r>
      <w:r w:rsidR="000E1834">
        <w:t>GST</w:t>
      </w:r>
      <w:r w:rsidR="00344F51">
        <w:t xml:space="preserve"> </w:t>
      </w:r>
      <w:r w:rsidR="00317589">
        <w:t>base</w:t>
      </w:r>
      <w:r w:rsidR="00F877C8">
        <w:t>,</w:t>
      </w:r>
      <w:r w:rsidR="00EC5BCA">
        <w:t xml:space="preserve"> with </w:t>
      </w:r>
      <w:r w:rsidR="00344F51">
        <w:t>lowe</w:t>
      </w:r>
      <w:r w:rsidR="00EC5BCA">
        <w:t xml:space="preserve">r ongoing costs to administer </w:t>
      </w:r>
      <w:r w:rsidR="005506E8">
        <w:t>a</w:t>
      </w:r>
      <w:r w:rsidR="00EC5BCA">
        <w:t xml:space="preserve"> broader </w:t>
      </w:r>
      <w:r w:rsidR="00344F51">
        <w:t xml:space="preserve">GST </w:t>
      </w:r>
      <w:r w:rsidR="00EC5BCA">
        <w:t>base</w:t>
      </w:r>
      <w:r w:rsidR="00317589">
        <w:t>.</w:t>
      </w:r>
    </w:p>
    <w:p w:rsidR="00AF658E" w:rsidRDefault="00AF658E" w:rsidP="00AF658E">
      <w:pPr>
        <w:pStyle w:val="Heading2"/>
      </w:pPr>
      <w:r>
        <w:t>Reliability</w:t>
      </w:r>
    </w:p>
    <w:p w:rsidR="006D2853" w:rsidRDefault="006D2853" w:rsidP="00014E8C">
      <w:pPr>
        <w:pStyle w:val="BodyText"/>
      </w:pPr>
      <w:r>
        <w:t xml:space="preserve">Overall, the impact of this costing is considered to be of low reliability. </w:t>
      </w:r>
      <w:r w:rsidR="00CD76CA">
        <w:t xml:space="preserve"> </w:t>
      </w:r>
      <w:r w:rsidR="008B153B">
        <w:t>G</w:t>
      </w:r>
      <w:r w:rsidR="008B153B" w:rsidRPr="008B153B">
        <w:t>iven the large change</w:t>
      </w:r>
      <w:r w:rsidR="008B153B">
        <w:t>s</w:t>
      </w:r>
      <w:r w:rsidR="008B153B" w:rsidRPr="008B153B">
        <w:t xml:space="preserve"> in tax rates </w:t>
      </w:r>
      <w:r w:rsidR="005E2A94">
        <w:t xml:space="preserve">in the proposal, </w:t>
      </w:r>
      <w:r w:rsidR="008B153B" w:rsidRPr="008B153B">
        <w:t>there is substantial uncertainty around the magnitude</w:t>
      </w:r>
      <w:r w:rsidR="001E5C16">
        <w:t xml:space="preserve"> and timing</w:t>
      </w:r>
      <w:r w:rsidR="008B153B" w:rsidRPr="008B153B">
        <w:t xml:space="preserve"> of behavioural responses</w:t>
      </w:r>
      <w:r w:rsidR="006901F1">
        <w:t xml:space="preserve"> and broader economic impacts</w:t>
      </w:r>
      <w:r w:rsidR="008B153B" w:rsidRPr="008B153B">
        <w:t xml:space="preserve">.  </w:t>
      </w:r>
      <w:r>
        <w:t>In addition, the reliability of this costing decreases the further into the future the estimates are projected.</w:t>
      </w:r>
    </w:p>
    <w:p w:rsidR="006D14FA" w:rsidRDefault="006B6B68" w:rsidP="006D14FA">
      <w:pPr>
        <w:pStyle w:val="Heading2"/>
      </w:pPr>
      <w:r>
        <w:t xml:space="preserve">Fiscal and underlying cash balances differences </w:t>
      </w:r>
    </w:p>
    <w:p w:rsidR="006D14FA" w:rsidRDefault="006D14FA" w:rsidP="00014E8C">
      <w:pPr>
        <w:pStyle w:val="BodyText"/>
      </w:pPr>
      <w:r>
        <w:t xml:space="preserve">The difference between the </w:t>
      </w:r>
      <w:r w:rsidR="00EE2FF4" w:rsidRPr="00F81436">
        <w:t xml:space="preserve">fiscal </w:t>
      </w:r>
      <w:r w:rsidR="00EE2FF4">
        <w:t xml:space="preserve">and </w:t>
      </w:r>
      <w:r>
        <w:t xml:space="preserve">underlying cash </w:t>
      </w:r>
      <w:r w:rsidRPr="00F81436">
        <w:t>balance</w:t>
      </w:r>
      <w:r w:rsidR="00480AC5" w:rsidRPr="00F81436">
        <w:t>s</w:t>
      </w:r>
      <w:r w:rsidRPr="00F81436">
        <w:t xml:space="preserve"> reflects a delay between </w:t>
      </w:r>
      <w:r w:rsidR="00B87A01" w:rsidRPr="00F81436">
        <w:t>when some</w:t>
      </w:r>
      <w:r w:rsidR="006B6B68" w:rsidRPr="00F81436">
        <w:t xml:space="preserve"> </w:t>
      </w:r>
      <w:r w:rsidRPr="00F81436">
        <w:t>tax liabilit</w:t>
      </w:r>
      <w:r w:rsidR="00B87A01" w:rsidRPr="00F81436">
        <w:t>ies</w:t>
      </w:r>
      <w:r w:rsidRPr="00F81436">
        <w:t xml:space="preserve"> </w:t>
      </w:r>
      <w:r w:rsidR="00B87A01" w:rsidRPr="00F81436">
        <w:t>are</w:t>
      </w:r>
      <w:r w:rsidRPr="00F81436">
        <w:t xml:space="preserve"> generated and the payment</w:t>
      </w:r>
      <w:r w:rsidR="00B87A01" w:rsidRPr="00F81436">
        <w:t xml:space="preserve"> of the tax</w:t>
      </w:r>
      <w:r w:rsidR="00480AC5" w:rsidRPr="00F81436">
        <w:t>.</w:t>
      </w:r>
    </w:p>
    <w:p w:rsidR="00FE3B13" w:rsidRPr="00CA06C8" w:rsidRDefault="00FE3B13" w:rsidP="00FD68E2">
      <w:pPr>
        <w:pStyle w:val="Heading1"/>
      </w:pPr>
      <w:r w:rsidRPr="00CA06C8">
        <w:t>Key assumptions</w:t>
      </w:r>
    </w:p>
    <w:p w:rsidR="009140AB" w:rsidRDefault="009140AB" w:rsidP="00AF658E">
      <w:pPr>
        <w:pStyle w:val="BodyText17ptAbove"/>
      </w:pPr>
      <w:r w:rsidRPr="00AF658E">
        <w:t>The PBO has made the following assumptions</w:t>
      </w:r>
      <w:r w:rsidR="00AF658E">
        <w:t xml:space="preserve"> across</w:t>
      </w:r>
      <w:r w:rsidR="00566B0A">
        <w:t xml:space="preserve"> the </w:t>
      </w:r>
      <w:r w:rsidR="00957301">
        <w:t>options</w:t>
      </w:r>
      <w:r w:rsidR="00566B0A">
        <w:t xml:space="preserve"> of the proposal.</w:t>
      </w:r>
    </w:p>
    <w:p w:rsidR="00401E13" w:rsidRPr="00401E13" w:rsidRDefault="00401E13" w:rsidP="00670E47">
      <w:pPr>
        <w:pStyle w:val="Heading2"/>
      </w:pPr>
      <w:r>
        <w:t>General</w:t>
      </w:r>
    </w:p>
    <w:p w:rsidR="00401E13" w:rsidRPr="00080CED" w:rsidRDefault="00401E13" w:rsidP="00792012">
      <w:pPr>
        <w:pStyle w:val="ListBullet"/>
      </w:pPr>
      <w:r w:rsidRPr="006B4078">
        <w:t xml:space="preserve">As the proposal </w:t>
      </w:r>
      <w:r w:rsidR="00792012" w:rsidRPr="006B4078">
        <w:t>would</w:t>
      </w:r>
      <w:r w:rsidRPr="006B4078">
        <w:t xml:space="preserve"> be announced and have effect from the same day, </w:t>
      </w:r>
      <w:r w:rsidR="003C2DE2" w:rsidRPr="006B4078">
        <w:t>we have</w:t>
      </w:r>
      <w:r w:rsidRPr="006B4078">
        <w:t xml:space="preserve"> </w:t>
      </w:r>
      <w:r w:rsidR="003C2DE2" w:rsidRPr="006B4078">
        <w:t xml:space="preserve">assumed </w:t>
      </w:r>
      <w:r w:rsidR="009064A9" w:rsidRPr="006B4078">
        <w:t xml:space="preserve">there is </w:t>
      </w:r>
      <w:r w:rsidR="003C2DE2" w:rsidRPr="006B4078">
        <w:t xml:space="preserve">no </w:t>
      </w:r>
      <w:r w:rsidRPr="006B4078">
        <w:t xml:space="preserve">behavioural response </w:t>
      </w:r>
      <w:r w:rsidR="009064A9" w:rsidRPr="006B4078">
        <w:t xml:space="preserve">by individuals or entities </w:t>
      </w:r>
      <w:r w:rsidRPr="006B4078">
        <w:t>in relation to the start date.</w:t>
      </w:r>
    </w:p>
    <w:p w:rsidR="00770540" w:rsidRDefault="00AF658E" w:rsidP="00437CCB">
      <w:pPr>
        <w:pStyle w:val="Heading2"/>
      </w:pPr>
      <w:r>
        <w:t>Personal income tax</w:t>
      </w:r>
      <w:r w:rsidR="005642B7">
        <w:t xml:space="preserve"> changes</w:t>
      </w:r>
    </w:p>
    <w:p w:rsidR="00735FA4" w:rsidRDefault="00735FA4" w:rsidP="00D17A0B">
      <w:pPr>
        <w:pStyle w:val="ListBullet"/>
      </w:pPr>
      <w:r>
        <w:t xml:space="preserve">The costing assumes a behavioural response </w:t>
      </w:r>
      <w:r w:rsidR="00E62D01">
        <w:t xml:space="preserve">to account for changes in investment decisions and tax planning arrangements by </w:t>
      </w:r>
      <w:r>
        <w:t>higher income earners</w:t>
      </w:r>
      <w:r w:rsidR="00E62D01">
        <w:t>, which</w:t>
      </w:r>
      <w:r w:rsidR="009A58EC">
        <w:t xml:space="preserve"> result</w:t>
      </w:r>
      <w:r w:rsidR="00E62D01">
        <w:t>s</w:t>
      </w:r>
      <w:r w:rsidR="009A58EC">
        <w:t xml:space="preserve"> </w:t>
      </w:r>
      <w:r w:rsidR="00E62D01">
        <w:t>in increased taxable income for individuals</w:t>
      </w:r>
      <w:r w:rsidR="009A58EC">
        <w:t>.</w:t>
      </w:r>
    </w:p>
    <w:p w:rsidR="00770540" w:rsidRPr="00F76053" w:rsidRDefault="00770540">
      <w:pPr>
        <w:pStyle w:val="ListBullet2"/>
      </w:pPr>
      <w:r w:rsidRPr="00F76053">
        <w:lastRenderedPageBreak/>
        <w:t>The PBO has estimated this behavioural response for individuals with incomes in excess of $180,000 based on a t</w:t>
      </w:r>
      <w:r w:rsidR="00B82490" w:rsidRPr="00F76053">
        <w:t>axable income elasticity of 0.2</w:t>
      </w:r>
      <w:r w:rsidR="00DC7457" w:rsidRPr="00F76053">
        <w:rPr>
          <w:rStyle w:val="FootnoteReference"/>
        </w:rPr>
        <w:footnoteReference w:id="1"/>
      </w:r>
      <w:r w:rsidRPr="00F76053">
        <w:t>, with an adjustment to reflect that the ability to increase taxable income is likely to be limited and diminishes as the marginal tax rate is reduced beyond a certain point.</w:t>
      </w:r>
    </w:p>
    <w:p w:rsidR="00770540" w:rsidRDefault="00770540">
      <w:pPr>
        <w:pStyle w:val="ListBullet2"/>
      </w:pPr>
      <w:r w:rsidRPr="00F76053">
        <w:t xml:space="preserve">Lower income earners are likely to have less scope to realise additional taxable income in response to lower marginal tax rates. </w:t>
      </w:r>
      <w:r w:rsidR="00DC7457" w:rsidRPr="00F76053">
        <w:t xml:space="preserve"> </w:t>
      </w:r>
      <w:r w:rsidRPr="00F76053">
        <w:t>As a result any behavioural response</w:t>
      </w:r>
      <w:r>
        <w:t xml:space="preserve"> from these individuals is not expected to be significant.</w:t>
      </w:r>
    </w:p>
    <w:p w:rsidR="00401E13" w:rsidRDefault="00401E13" w:rsidP="00401E13">
      <w:pPr>
        <w:pStyle w:val="Heading2"/>
      </w:pPr>
      <w:r>
        <w:t>Company tax rate reduction</w:t>
      </w:r>
    </w:p>
    <w:p w:rsidR="00401E13" w:rsidRDefault="00401E13" w:rsidP="00401E13">
      <w:pPr>
        <w:pStyle w:val="ListBullet"/>
      </w:pPr>
      <w:r w:rsidRPr="00014E8C">
        <w:t>The estimate of the financial impact of the company tax rate cut includes an estimated claw-back due to dividend imputation.  This estimate assumes that companies continue to pay the same proportion of their after-tax income as dividends</w:t>
      </w:r>
      <w:r>
        <w:t>.</w:t>
      </w:r>
    </w:p>
    <w:p w:rsidR="008A0966" w:rsidRDefault="005642B7" w:rsidP="00C05617">
      <w:pPr>
        <w:pStyle w:val="Heading2"/>
      </w:pPr>
      <w:r>
        <w:t>Abolish e</w:t>
      </w:r>
      <w:r w:rsidR="008A0966">
        <w:t>xcise</w:t>
      </w:r>
      <w:r w:rsidR="00AF658E">
        <w:t xml:space="preserve"> and import duties</w:t>
      </w:r>
    </w:p>
    <w:p w:rsidR="000C71C6" w:rsidRDefault="008316D5" w:rsidP="00193649">
      <w:pPr>
        <w:pStyle w:val="ListBullet"/>
      </w:pPr>
      <w:r>
        <w:t xml:space="preserve">The retail prices of imports, fuel, alcohol and tobacco are assumed to fall by the amount of the excise, wine equalisation tax or customs duty currently applied, including a commensurate reduction in </w:t>
      </w:r>
      <w:r w:rsidR="00865AD7">
        <w:t xml:space="preserve">the </w:t>
      </w:r>
      <w:r>
        <w:t xml:space="preserve">GST.  Consumers are assumed to respond to this price reduction by increasing their consumption of these goods.  However, as excisable goods have relatively inelastic demand, it is assumed that there would be a net reduction in the amount spent on these goods, </w:t>
      </w:r>
      <w:r w:rsidR="00865AD7">
        <w:t xml:space="preserve">and therefore a net decrease in </w:t>
      </w:r>
      <w:r>
        <w:t>GST revenue.</w:t>
      </w:r>
    </w:p>
    <w:p w:rsidR="00C10756" w:rsidRPr="00B5798A" w:rsidRDefault="00CC48DB" w:rsidP="00B5798A">
      <w:pPr>
        <w:pStyle w:val="Heading2"/>
      </w:pPr>
      <w:r w:rsidRPr="00B5798A">
        <w:t>GST changes</w:t>
      </w:r>
      <w:r w:rsidR="00435DBD" w:rsidRPr="00DE0FB3">
        <w:t xml:space="preserve"> (</w:t>
      </w:r>
      <w:r w:rsidR="00E14577">
        <w:t>O</w:t>
      </w:r>
      <w:r w:rsidR="00435DBD" w:rsidRPr="00DE0FB3">
        <w:t xml:space="preserve">ption 2 and </w:t>
      </w:r>
      <w:r w:rsidR="00E14577">
        <w:t>O</w:t>
      </w:r>
      <w:r w:rsidR="005A202F" w:rsidRPr="00DE0FB3">
        <w:t xml:space="preserve">ption </w:t>
      </w:r>
      <w:r w:rsidR="00435DBD" w:rsidRPr="00B5798A">
        <w:t>3)</w:t>
      </w:r>
    </w:p>
    <w:p w:rsidR="00C10756" w:rsidRDefault="00C10756" w:rsidP="00C10756">
      <w:pPr>
        <w:pStyle w:val="ListBullet"/>
      </w:pPr>
      <w:r w:rsidRPr="008F030A">
        <w:t>All price impacts from the GST rate changes are passed through the production chain immediately and are fully borne by final consumers of the good or service.  As a result there is minimal impact on company or income tax.</w:t>
      </w:r>
    </w:p>
    <w:p w:rsidR="00E00855" w:rsidRDefault="00E00855" w:rsidP="00C10756">
      <w:pPr>
        <w:pStyle w:val="ListBullet"/>
      </w:pPr>
      <w:r>
        <w:t>Additional GST revenue as a result of broadening the GST base is assumed to be kept by the Commonwealth.</w:t>
      </w:r>
    </w:p>
    <w:p w:rsidR="00C10756" w:rsidRPr="008F030A" w:rsidRDefault="00C10756" w:rsidP="00C10756">
      <w:pPr>
        <w:pStyle w:val="ListBullet"/>
      </w:pPr>
      <w:r w:rsidRPr="008F030A">
        <w:t>Households are assumed to adjust the composition of their consumption in response to changes in relative prices.</w:t>
      </w:r>
    </w:p>
    <w:p w:rsidR="009140AB" w:rsidRDefault="009140AB" w:rsidP="00E12396">
      <w:pPr>
        <w:pStyle w:val="ListBullet"/>
        <w:keepNext/>
      </w:pPr>
      <w:r>
        <w:t>In order to align Australia’s GST with the co</w:t>
      </w:r>
      <w:r w:rsidR="00AC0BAA">
        <w:t xml:space="preserve">verage of New Zealand’s GST </w:t>
      </w:r>
      <w:r>
        <w:t xml:space="preserve">the following goods and services </w:t>
      </w:r>
      <w:r w:rsidR="00435DBD">
        <w:t xml:space="preserve">are included in </w:t>
      </w:r>
      <w:r w:rsidR="001135FD">
        <w:t>O</w:t>
      </w:r>
      <w:r w:rsidR="00435DBD">
        <w:t>ption 3</w:t>
      </w:r>
      <w:r>
        <w:t>:</w:t>
      </w:r>
    </w:p>
    <w:p w:rsidR="009140AB" w:rsidRDefault="009140AB" w:rsidP="009140AB">
      <w:pPr>
        <w:pStyle w:val="ListBullet2"/>
      </w:pPr>
      <w:r>
        <w:t>fresh food</w:t>
      </w:r>
    </w:p>
    <w:p w:rsidR="009140AB" w:rsidRDefault="009140AB" w:rsidP="009140AB">
      <w:pPr>
        <w:pStyle w:val="ListBullet2"/>
      </w:pPr>
      <w:r>
        <w:t>education</w:t>
      </w:r>
    </w:p>
    <w:p w:rsidR="009140AB" w:rsidRDefault="009140AB" w:rsidP="009140AB">
      <w:pPr>
        <w:pStyle w:val="ListBullet2"/>
      </w:pPr>
      <w:r>
        <w:lastRenderedPageBreak/>
        <w:t>health care</w:t>
      </w:r>
      <w:r w:rsidR="000C40C1">
        <w:t>,</w:t>
      </w:r>
      <w:r>
        <w:t xml:space="preserve"> including drugs and medicinal preparations, medical aids and appliances</w:t>
      </w:r>
      <w:r w:rsidR="000C40C1">
        <w:t>,</w:t>
      </w:r>
      <w:r>
        <w:t xml:space="preserve"> and medical and health services (but not including residential aged care services)</w:t>
      </w:r>
    </w:p>
    <w:p w:rsidR="009140AB" w:rsidRDefault="009140AB" w:rsidP="009140AB">
      <w:pPr>
        <w:pStyle w:val="ListBullet2"/>
      </w:pPr>
      <w:r>
        <w:t>private health insurance</w:t>
      </w:r>
    </w:p>
    <w:p w:rsidR="009140AB" w:rsidRDefault="009140AB" w:rsidP="009140AB">
      <w:pPr>
        <w:pStyle w:val="ListBullet2"/>
      </w:pPr>
      <w:r>
        <w:t>child care services</w:t>
      </w:r>
    </w:p>
    <w:p w:rsidR="009140AB" w:rsidRDefault="009140AB" w:rsidP="009140AB">
      <w:pPr>
        <w:pStyle w:val="ListBullet2"/>
      </w:pPr>
      <w:r>
        <w:t>religious services</w:t>
      </w:r>
    </w:p>
    <w:p w:rsidR="009140AB" w:rsidRDefault="009140AB" w:rsidP="009140AB">
      <w:pPr>
        <w:pStyle w:val="ListBullet2"/>
      </w:pPr>
      <w:proofErr w:type="gramStart"/>
      <w:r>
        <w:t>water</w:t>
      </w:r>
      <w:proofErr w:type="gramEnd"/>
      <w:r>
        <w:t>, sewerage and drainage.</w:t>
      </w:r>
    </w:p>
    <w:p w:rsidR="009140AB" w:rsidRDefault="009140AB" w:rsidP="008F030A">
      <w:pPr>
        <w:pStyle w:val="ListBullet"/>
      </w:pPr>
      <w:r>
        <w:t>The treatment of other g</w:t>
      </w:r>
      <w:r w:rsidR="00865AD7">
        <w:t>oods and services which are GST-exempt or GST-</w:t>
      </w:r>
      <w:r>
        <w:t>free remain unchanged as their treatment is broadly similar in Australia and New Zealand</w:t>
      </w:r>
      <w:r w:rsidR="00A85651">
        <w:t xml:space="preserve"> in </w:t>
      </w:r>
      <w:r w:rsidR="00C60CBF">
        <w:t>O</w:t>
      </w:r>
      <w:r w:rsidR="00A85651">
        <w:t>ption 3</w:t>
      </w:r>
      <w:r>
        <w:t>.  These goods and services include residential aged care services, financial services, goods for export, rents on residential property, sale of businesses that are a ‘going-concern’, supplies by charitable organisations</w:t>
      </w:r>
      <w:r w:rsidR="00C60CBF">
        <w:t>,</w:t>
      </w:r>
      <w:r>
        <w:t xml:space="preserve"> and supplies of precious metals.</w:t>
      </w:r>
    </w:p>
    <w:p w:rsidR="009140AB" w:rsidRDefault="009140AB">
      <w:pPr>
        <w:pStyle w:val="ListBullet2"/>
      </w:pPr>
      <w:r>
        <w:t xml:space="preserve">While minor technical differences may exist between the treatment of these goods </w:t>
      </w:r>
      <w:r w:rsidRPr="00F76053">
        <w:t>and</w:t>
      </w:r>
      <w:r>
        <w:t xml:space="preserve"> services, the impact of these differences is not expected to be material to the costing.</w:t>
      </w:r>
    </w:p>
    <w:p w:rsidR="009140AB" w:rsidRDefault="009140AB" w:rsidP="00437CCB">
      <w:pPr>
        <w:pStyle w:val="ListBullet"/>
        <w:keepNext/>
      </w:pPr>
      <w:r>
        <w:t>The costing aligns the treatment of property and land with the New Zealand model</w:t>
      </w:r>
      <w:r w:rsidR="00A85651">
        <w:t xml:space="preserve"> in </w:t>
      </w:r>
      <w:r w:rsidR="009C2BC9">
        <w:t>O</w:t>
      </w:r>
      <w:r w:rsidR="00A85651">
        <w:t>ption 3</w:t>
      </w:r>
      <w:r>
        <w:t xml:space="preserve">. </w:t>
      </w:r>
    </w:p>
    <w:p w:rsidR="009140AB" w:rsidRDefault="009140AB" w:rsidP="008F030A">
      <w:pPr>
        <w:pStyle w:val="ListBullet"/>
      </w:pPr>
      <w:r>
        <w:t xml:space="preserve">In Australia businesses are only required to register for the GST if their GST turnover is $75,000 or more.  In New Zealand this threshold is $60,000.  </w:t>
      </w:r>
      <w:r w:rsidR="005247F8">
        <w:t xml:space="preserve">It </w:t>
      </w:r>
      <w:r>
        <w:t xml:space="preserve">has </w:t>
      </w:r>
      <w:r w:rsidR="005247F8">
        <w:t xml:space="preserve">been </w:t>
      </w:r>
      <w:r>
        <w:t xml:space="preserve">assumed that the Australian threshold would be lowered to $60,000 </w:t>
      </w:r>
      <w:r w:rsidR="00A85651">
        <w:t xml:space="preserve">in </w:t>
      </w:r>
      <w:r w:rsidR="008F3481">
        <w:t>O</w:t>
      </w:r>
      <w:r w:rsidR="00A85651">
        <w:t>ption 3</w:t>
      </w:r>
      <w:r>
        <w:t>.</w:t>
      </w:r>
    </w:p>
    <w:p w:rsidR="007F7C47" w:rsidRDefault="007F7C47" w:rsidP="008F030A">
      <w:pPr>
        <w:pStyle w:val="ListBullet"/>
      </w:pPr>
      <w:r>
        <w:t xml:space="preserve">The importation threshold has been </w:t>
      </w:r>
      <w:r w:rsidR="001F714A">
        <w:t xml:space="preserve">decreased </w:t>
      </w:r>
      <w:r>
        <w:t>from the Australian level to the current New Zealand level ($60)</w:t>
      </w:r>
      <w:r w:rsidR="00A85651">
        <w:t xml:space="preserve"> in </w:t>
      </w:r>
      <w:r w:rsidR="00B425C8">
        <w:t>O</w:t>
      </w:r>
      <w:r w:rsidR="00A85651">
        <w:t>ption 3</w:t>
      </w:r>
      <w:r>
        <w:t>.</w:t>
      </w:r>
    </w:p>
    <w:p w:rsidR="00FE3B13" w:rsidRDefault="00FE3B13" w:rsidP="009140AB">
      <w:pPr>
        <w:pStyle w:val="Heading1"/>
      </w:pPr>
      <w:r>
        <w:t>Methodology</w:t>
      </w:r>
    </w:p>
    <w:p w:rsidR="00A77A71" w:rsidRDefault="00A77A71" w:rsidP="00A77A71">
      <w:pPr>
        <w:pStyle w:val="BodyText"/>
      </w:pPr>
      <w:r>
        <w:t>The PBO adopted the following methodology for estimating each component of this costing</w:t>
      </w:r>
      <w:r w:rsidR="00C84B76">
        <w:t>.</w:t>
      </w:r>
    </w:p>
    <w:p w:rsidR="00A329ED" w:rsidRDefault="00A329ED" w:rsidP="00A329ED">
      <w:pPr>
        <w:pStyle w:val="Heading2"/>
      </w:pPr>
      <w:r>
        <w:t>Personal income tax changes</w:t>
      </w:r>
    </w:p>
    <w:p w:rsidR="00A329ED" w:rsidRDefault="00A329ED" w:rsidP="00A329ED">
      <w:pPr>
        <w:pStyle w:val="BodyText"/>
      </w:pPr>
      <w:r>
        <w:t>The impact of the personal income tax changes was estimated using a 16 per cent sample of de-identified personal income tax and superannuation returns for 2012</w:t>
      </w:r>
      <w:r>
        <w:noBreakHyphen/>
        <w:t>13 provided by the ATO.  The data was used to estimate the reduction in tax associated with the lower tax rates, accounting for the changes in taxable incomes as a result of the behavioural responses outlined above.</w:t>
      </w:r>
    </w:p>
    <w:p w:rsidR="00BD1F5A" w:rsidRDefault="00BD1F5A" w:rsidP="00BD1F5A">
      <w:pPr>
        <w:autoSpaceDE w:val="0"/>
        <w:autoSpaceDN w:val="0"/>
        <w:adjustRightInd w:val="0"/>
        <w:spacing w:line="240" w:lineRule="auto"/>
      </w:pPr>
      <w:r>
        <w:rPr>
          <w:rFonts w:ascii="Calibri" w:hAnsi="Calibri" w:cs="Calibri"/>
        </w:rPr>
        <w:t xml:space="preserve">A separate model was used to estimate the financial implications of the change in the FBT rate. </w:t>
      </w:r>
      <w:r w:rsidR="006D7595">
        <w:rPr>
          <w:rFonts w:ascii="Calibri" w:hAnsi="Calibri" w:cs="Calibri"/>
        </w:rPr>
        <w:t xml:space="preserve"> </w:t>
      </w:r>
      <w:r>
        <w:rPr>
          <w:rFonts w:ascii="Calibri" w:hAnsi="Calibri" w:cs="Calibri"/>
        </w:rPr>
        <w:t>This model estimated the flow-on effects of a change in the FBT rate to personal income tax, FBT and company tax collections.</w:t>
      </w:r>
    </w:p>
    <w:p w:rsidR="00A329ED" w:rsidRDefault="00A329ED" w:rsidP="00A329ED">
      <w:pPr>
        <w:pStyle w:val="BodyText"/>
      </w:pPr>
      <w:r>
        <w:t>The modelling takes into account the timing of tax collections.</w:t>
      </w:r>
    </w:p>
    <w:p w:rsidR="00A329ED" w:rsidRDefault="00A329ED" w:rsidP="00A329ED">
      <w:pPr>
        <w:pStyle w:val="BodyText"/>
      </w:pPr>
      <w:r>
        <w:t>Revenue estimates have been rounded to the nearest $1,000 million.  Departmental expense estimates have been rounded to the nearest $5 million.</w:t>
      </w:r>
    </w:p>
    <w:p w:rsidR="00014E8C" w:rsidRDefault="00014E8C" w:rsidP="00C05617">
      <w:pPr>
        <w:pStyle w:val="Heading2"/>
      </w:pPr>
      <w:r>
        <w:lastRenderedPageBreak/>
        <w:t>Company</w:t>
      </w:r>
      <w:r w:rsidR="00A77A71">
        <w:t xml:space="preserve"> tax</w:t>
      </w:r>
      <w:r w:rsidR="005642B7">
        <w:t xml:space="preserve"> reduction</w:t>
      </w:r>
    </w:p>
    <w:p w:rsidR="00014E8C" w:rsidRDefault="00014E8C" w:rsidP="00014E8C">
      <w:pPr>
        <w:pStyle w:val="BodyText"/>
      </w:pPr>
      <w:r>
        <w:t xml:space="preserve">The </w:t>
      </w:r>
      <w:r w:rsidR="008122AF">
        <w:t xml:space="preserve">impact of the </w:t>
      </w:r>
      <w:r>
        <w:t xml:space="preserve">company tax </w:t>
      </w:r>
      <w:r w:rsidR="00FD3032">
        <w:t xml:space="preserve">reduction </w:t>
      </w:r>
      <w:r w:rsidR="0043460F">
        <w:t xml:space="preserve">was estimated using </w:t>
      </w:r>
      <w:r w:rsidR="00843C94">
        <w:t>company tax returns</w:t>
      </w:r>
      <w:r w:rsidR="0043460F">
        <w:t xml:space="preserve"> to estimate the cost of moving from the company tax rates announced in the 2016</w:t>
      </w:r>
      <w:r w:rsidR="0091066F">
        <w:noBreakHyphen/>
      </w:r>
      <w:r w:rsidR="0043460F">
        <w:t>17</w:t>
      </w:r>
      <w:r w:rsidR="0091066F">
        <w:t> </w:t>
      </w:r>
      <w:r w:rsidR="0043460F">
        <w:t>Budget to a tax rate of 20</w:t>
      </w:r>
      <w:r w:rsidR="0091066F">
        <w:t> </w:t>
      </w:r>
      <w:r w:rsidR="0043460F">
        <w:t>per</w:t>
      </w:r>
      <w:r w:rsidR="0091066F">
        <w:t> </w:t>
      </w:r>
      <w:r w:rsidR="0043460F">
        <w:t xml:space="preserve">cent for all companies.  The </w:t>
      </w:r>
      <w:r w:rsidR="00E62D01">
        <w:t xml:space="preserve">approach </w:t>
      </w:r>
      <w:r w:rsidR="0043460F">
        <w:t>accounts for the turnover threshold below which companies, under the Budget measures, would be taxed at a lower rate, and also for changes in the distribution of dividends to shareholders.</w:t>
      </w:r>
    </w:p>
    <w:p w:rsidR="00CC2512" w:rsidRPr="00014E8C" w:rsidRDefault="00CC2512" w:rsidP="00014E8C">
      <w:pPr>
        <w:pStyle w:val="BodyText"/>
      </w:pPr>
      <w:r>
        <w:t>Revenue estimates have been rounded to the nearest $1,000</w:t>
      </w:r>
      <w:r w:rsidR="0091066F">
        <w:t> </w:t>
      </w:r>
      <w:r>
        <w:t xml:space="preserve">million.  </w:t>
      </w:r>
    </w:p>
    <w:p w:rsidR="00C156F8" w:rsidRDefault="005642B7" w:rsidP="00C05617">
      <w:pPr>
        <w:pStyle w:val="Heading2"/>
      </w:pPr>
      <w:r>
        <w:t>Abolish e</w:t>
      </w:r>
      <w:r w:rsidR="00C156F8">
        <w:t>xcise</w:t>
      </w:r>
      <w:r w:rsidR="00A77A71">
        <w:t xml:space="preserve"> and </w:t>
      </w:r>
      <w:r w:rsidR="00401E13">
        <w:t xml:space="preserve">customs </w:t>
      </w:r>
      <w:r w:rsidR="00A77A71">
        <w:t>duties</w:t>
      </w:r>
    </w:p>
    <w:p w:rsidR="00C156F8" w:rsidRDefault="00C156F8" w:rsidP="00C156F8">
      <w:pPr>
        <w:pStyle w:val="BodyText"/>
      </w:pPr>
      <w:r>
        <w:t>The amount of forgone excise, customs duty and wine equalisation tax revenue</w:t>
      </w:r>
      <w:r w:rsidR="008B0920">
        <w:t>,</w:t>
      </w:r>
      <w:r>
        <w:t xml:space="preserve"> and fuel tax credit scheme expense was estimated based on 2016</w:t>
      </w:r>
      <w:r w:rsidR="00CB1157">
        <w:t xml:space="preserve"> Pre</w:t>
      </w:r>
      <w:r w:rsidR="00CB1157">
        <w:noBreakHyphen/>
        <w:t>Election Fiscal Outlook</w:t>
      </w:r>
      <w:r>
        <w:t xml:space="preserve"> estimates. </w:t>
      </w:r>
      <w:r w:rsidR="000C71C6">
        <w:t xml:space="preserve"> </w:t>
      </w:r>
      <w:r>
        <w:t xml:space="preserve">Departmental savings reflect the estimated ongoing savings from the abolition of excise, customs duty and wine equalisation </w:t>
      </w:r>
      <w:r w:rsidR="00321E3A">
        <w:t xml:space="preserve">tax, </w:t>
      </w:r>
      <w:r>
        <w:t>and the fuel tax credit scheme, along with the estimated costs of winding down these programs.</w:t>
      </w:r>
    </w:p>
    <w:p w:rsidR="000C71C6" w:rsidRDefault="000C71C6" w:rsidP="000C71C6">
      <w:pPr>
        <w:pStyle w:val="BodyText"/>
      </w:pPr>
      <w:r>
        <w:t xml:space="preserve">The change in GST revenue and expense </w:t>
      </w:r>
      <w:r w:rsidR="008238E4">
        <w:t xml:space="preserve">due to abolishing excise and import duties </w:t>
      </w:r>
      <w:r>
        <w:t>was estimated based on the estimated change in consumption expenditure.</w:t>
      </w:r>
      <w:r w:rsidRPr="000C71C6">
        <w:t xml:space="preserve"> </w:t>
      </w:r>
      <w:r w:rsidR="007D3F77">
        <w:t xml:space="preserve"> </w:t>
      </w:r>
    </w:p>
    <w:p w:rsidR="00F756B4" w:rsidRPr="000C71C6" w:rsidRDefault="00F756B4" w:rsidP="000C71C6">
      <w:pPr>
        <w:pStyle w:val="BodyText"/>
      </w:pPr>
      <w:r>
        <w:t>Revenue estimates have been rounded to the nearest $10</w:t>
      </w:r>
      <w:r w:rsidR="0091066F">
        <w:t> </w:t>
      </w:r>
      <w:r>
        <w:t>million.  Departmental expense estimates have been rounded to the nearest $5</w:t>
      </w:r>
      <w:r w:rsidR="0091066F">
        <w:t> </w:t>
      </w:r>
      <w:r>
        <w:t>million.</w:t>
      </w:r>
    </w:p>
    <w:p w:rsidR="000C71C6" w:rsidRPr="006B4078" w:rsidRDefault="00CC48DB" w:rsidP="000C71C6">
      <w:pPr>
        <w:pStyle w:val="Heading2"/>
      </w:pPr>
      <w:r>
        <w:t>GST</w:t>
      </w:r>
      <w:r w:rsidR="00A329ED" w:rsidRPr="006B4078">
        <w:t xml:space="preserve"> </w:t>
      </w:r>
      <w:r w:rsidR="00401E13" w:rsidRPr="006B4078">
        <w:t>changes</w:t>
      </w:r>
    </w:p>
    <w:p w:rsidR="003E7EBB" w:rsidRPr="003E7EBB" w:rsidRDefault="003E7EBB" w:rsidP="003E7EBB">
      <w:pPr>
        <w:pStyle w:val="ListBullet"/>
      </w:pPr>
      <w:r w:rsidRPr="003E7EBB">
        <w:t>PRISMOD</w:t>
      </w:r>
      <w:r w:rsidR="003329E3">
        <w:rPr>
          <w:rStyle w:val="FootnoteReference"/>
        </w:rPr>
        <w:footnoteReference w:id="2"/>
      </w:r>
      <w:r w:rsidRPr="003E7EBB">
        <w:t xml:space="preserve"> was used to estimate the revenue and consumer price implications.  It calculates how </w:t>
      </w:r>
      <w:r w:rsidR="00865AD7">
        <w:t>the GST-</w:t>
      </w:r>
      <w:r w:rsidRPr="003E7EBB">
        <w:t xml:space="preserve">related price changes flow through industries in the production chain to the final consumption price of goods and services.  </w:t>
      </w:r>
    </w:p>
    <w:p w:rsidR="003E7EBB" w:rsidRPr="003E7EBB" w:rsidRDefault="003E7EBB" w:rsidP="003E7EBB">
      <w:pPr>
        <w:pStyle w:val="ListBullet2"/>
      </w:pPr>
      <w:r w:rsidRPr="003E7EBB">
        <w:t xml:space="preserve">The model applies </w:t>
      </w:r>
      <w:r w:rsidR="00865AD7">
        <w:t xml:space="preserve">the </w:t>
      </w:r>
      <w:r w:rsidRPr="003E7EBB">
        <w:t xml:space="preserve">GST at all relevant points along the production chain capturing goods and services that are inputs to further production (generating input tax credits) as well as goods that represent final consumption.  </w:t>
      </w:r>
    </w:p>
    <w:p w:rsidR="003E7EBB" w:rsidRPr="003E7EBB" w:rsidRDefault="003E7EBB" w:rsidP="003E7EBB">
      <w:pPr>
        <w:pStyle w:val="ListBullet"/>
      </w:pPr>
      <w:r w:rsidRPr="003E7EBB">
        <w:t>Effective GST tax rates on goods and services were calculated at the current 10</w:t>
      </w:r>
      <w:r w:rsidR="002700F3">
        <w:t> </w:t>
      </w:r>
      <w:r w:rsidRPr="003E7EBB">
        <w:t>per</w:t>
      </w:r>
      <w:r w:rsidR="002700F3">
        <w:t> </w:t>
      </w:r>
      <w:r w:rsidRPr="003E7EBB">
        <w:t xml:space="preserve">cent GST rate.  These represent the base effective rates of </w:t>
      </w:r>
      <w:r w:rsidR="00865AD7">
        <w:t xml:space="preserve">the </w:t>
      </w:r>
      <w:r w:rsidRPr="003E7EBB">
        <w:t xml:space="preserve">GST that apply to particular goods and services. </w:t>
      </w:r>
    </w:p>
    <w:p w:rsidR="003E7EBB" w:rsidRPr="003E7EBB" w:rsidRDefault="003E7EBB" w:rsidP="00280763">
      <w:pPr>
        <w:pStyle w:val="ListBullet2"/>
      </w:pPr>
      <w:r w:rsidRPr="003E7EBB">
        <w:t>The effective rates may be less than the current statutory rate of 10</w:t>
      </w:r>
      <w:r w:rsidR="002700F3">
        <w:t> </w:t>
      </w:r>
      <w:r w:rsidRPr="003E7EBB">
        <w:t>per</w:t>
      </w:r>
      <w:r w:rsidR="002700F3">
        <w:t> </w:t>
      </w:r>
      <w:r w:rsidRPr="003E7EBB">
        <w:t>cent, reflecting different levels of business input tax credits claimed for each good</w:t>
      </w:r>
      <w:r w:rsidR="00720425">
        <w:t xml:space="preserve"> or service</w:t>
      </w:r>
      <w:r w:rsidRPr="003E7EBB">
        <w:t xml:space="preserve">. </w:t>
      </w:r>
    </w:p>
    <w:p w:rsidR="00E51D5A" w:rsidRDefault="003E7EBB" w:rsidP="003E7EBB">
      <w:pPr>
        <w:pStyle w:val="ListBullet"/>
      </w:pPr>
      <w:r w:rsidRPr="003E7EBB">
        <w:t xml:space="preserve">The model is calibrated to include the actual amount of GST revenue that was collected in the base year for the model.  </w:t>
      </w:r>
    </w:p>
    <w:p w:rsidR="003E7EBB" w:rsidRPr="003E7EBB" w:rsidRDefault="003E7EBB" w:rsidP="003E7EBB">
      <w:pPr>
        <w:pStyle w:val="ListBullet"/>
      </w:pPr>
      <w:r w:rsidRPr="003E7EBB">
        <w:t xml:space="preserve">The PBO estimates the revenue impact of </w:t>
      </w:r>
      <w:r w:rsidR="00865AD7">
        <w:t xml:space="preserve">the </w:t>
      </w:r>
      <w:r w:rsidRPr="003E7EBB">
        <w:t xml:space="preserve">GST rate and base changes by adjusting the </w:t>
      </w:r>
      <w:r w:rsidR="00631458">
        <w:t>inclusion of</w:t>
      </w:r>
      <w:r w:rsidRPr="003E7EBB">
        <w:t xml:space="preserve"> GST on goods and services to reflect the proposal.  </w:t>
      </w:r>
    </w:p>
    <w:p w:rsidR="003E7EBB" w:rsidRPr="003E7EBB" w:rsidRDefault="003E7EBB" w:rsidP="003E7EBB">
      <w:pPr>
        <w:pStyle w:val="ListBullet"/>
      </w:pPr>
      <w:r w:rsidRPr="003E7EBB">
        <w:lastRenderedPageBreak/>
        <w:t xml:space="preserve">Comparing the GST revenue expected under the proposal with the base GST revenue amount gives the impact of the proposal.  </w:t>
      </w:r>
    </w:p>
    <w:p w:rsidR="003E7EBB" w:rsidRDefault="003E7EBB" w:rsidP="003E7EBB">
      <w:pPr>
        <w:pStyle w:val="ListBullet"/>
      </w:pPr>
      <w:r w:rsidRPr="003E7EBB">
        <w:t>The PRISMOD costing results are adjusted to take account of the assumed behavioural response to changes in relative prices arisi</w:t>
      </w:r>
      <w:r w:rsidR="00945C88">
        <w:t>ng from the changes to the GST.</w:t>
      </w:r>
    </w:p>
    <w:p w:rsidR="005969B9" w:rsidRDefault="005969B9" w:rsidP="005969B9">
      <w:pPr>
        <w:pStyle w:val="Heading3"/>
      </w:pPr>
      <w:r w:rsidRPr="008316D5">
        <w:t>GST timing</w:t>
      </w:r>
      <w:r w:rsidR="00F81436">
        <w:t xml:space="preserve"> </w:t>
      </w:r>
    </w:p>
    <w:p w:rsidR="005969B9" w:rsidRDefault="005969B9" w:rsidP="005969B9">
      <w:pPr>
        <w:pStyle w:val="ListBullet"/>
      </w:pPr>
      <w:r>
        <w:t xml:space="preserve">On a fiscal balance basis, all GST revenue is recognised in the year the tax is levied on the consumer.  </w:t>
      </w:r>
    </w:p>
    <w:p w:rsidR="005969B9" w:rsidRDefault="005969B9" w:rsidP="005969B9">
      <w:pPr>
        <w:pStyle w:val="ListBullet"/>
      </w:pPr>
      <w:r>
        <w:t>On an underlying cash balance basis, the GST receipts are recognised when they are collected by the ATO.  This reflects the fact that the GST payments are made to the ATO in arrears, and accounts for the fact that businesses can either remit their GST annually, quarterly, or monthly.</w:t>
      </w:r>
    </w:p>
    <w:p w:rsidR="00BF1DE5" w:rsidRDefault="00BF1DE5" w:rsidP="005969B9">
      <w:pPr>
        <w:pStyle w:val="ListBullet"/>
      </w:pPr>
      <w:r>
        <w:t xml:space="preserve">The reduction in GST revenue as a result of the </w:t>
      </w:r>
      <w:r w:rsidR="00435DBD">
        <w:t>e</w:t>
      </w:r>
      <w:r>
        <w:t xml:space="preserve">xcise component of these options does not fully offset the reduction in expenses payable to the </w:t>
      </w:r>
      <w:r w:rsidR="00F76053">
        <w:t>st</w:t>
      </w:r>
      <w:r>
        <w:t xml:space="preserve">ates and </w:t>
      </w:r>
      <w:r w:rsidR="00EC6B7D">
        <w:t>t</w:t>
      </w:r>
      <w:r>
        <w:t xml:space="preserve">erritories because of a delay between when GST revenue is recognised by the Commonwealth and when the associated GST expense to the </w:t>
      </w:r>
      <w:r w:rsidR="00F76053">
        <w:t>st</w:t>
      </w:r>
      <w:r>
        <w:t xml:space="preserve">ates and </w:t>
      </w:r>
      <w:r w:rsidR="00551805">
        <w:t>t</w:t>
      </w:r>
      <w:r>
        <w:t>erritories is accrued.</w:t>
      </w:r>
    </w:p>
    <w:p w:rsidR="003E7EBB" w:rsidRDefault="003E7EBB" w:rsidP="00E3194A">
      <w:pPr>
        <w:pStyle w:val="ListBullet"/>
        <w:numPr>
          <w:ilvl w:val="0"/>
          <w:numId w:val="0"/>
        </w:numPr>
        <w:rPr>
          <w:rFonts w:cs="Times New Roman"/>
        </w:rPr>
      </w:pPr>
      <w:r w:rsidRPr="00A77A71">
        <w:rPr>
          <w:rFonts w:cs="Times New Roman"/>
        </w:rPr>
        <w:t>GST revenue and expenditure estimates have been rounded to the nearest $50</w:t>
      </w:r>
      <w:r w:rsidR="002700F3">
        <w:rPr>
          <w:rFonts w:cs="Times New Roman"/>
        </w:rPr>
        <w:t> </w:t>
      </w:r>
      <w:r w:rsidRPr="00A77A71">
        <w:rPr>
          <w:rFonts w:cs="Times New Roman"/>
        </w:rPr>
        <w:t>million</w:t>
      </w:r>
      <w:r w:rsidR="00A25E2A">
        <w:rPr>
          <w:rFonts w:cs="Times New Roman"/>
        </w:rPr>
        <w:t>.</w:t>
      </w:r>
      <w:r w:rsidRPr="00A77A71">
        <w:rPr>
          <w:rFonts w:cs="Times New Roman"/>
        </w:rPr>
        <w:t xml:space="preserve"> </w:t>
      </w:r>
      <w:r w:rsidR="00A25E2A">
        <w:rPr>
          <w:rFonts w:cs="Times New Roman"/>
        </w:rPr>
        <w:t>D</w:t>
      </w:r>
      <w:r w:rsidR="00594887">
        <w:rPr>
          <w:rFonts w:cs="Times New Roman"/>
        </w:rPr>
        <w:t>epartmental expense estimates</w:t>
      </w:r>
      <w:r w:rsidRPr="00A77A71">
        <w:rPr>
          <w:rFonts w:cs="Times New Roman"/>
        </w:rPr>
        <w:t xml:space="preserve"> have been rounded to the nearest $1</w:t>
      </w:r>
      <w:r w:rsidR="00404770">
        <w:rPr>
          <w:rFonts w:cs="Times New Roman"/>
        </w:rPr>
        <w:t>0</w:t>
      </w:r>
      <w:r w:rsidR="002700F3">
        <w:rPr>
          <w:rFonts w:cs="Times New Roman"/>
        </w:rPr>
        <w:t> </w:t>
      </w:r>
      <w:r w:rsidR="00945C88">
        <w:rPr>
          <w:rFonts w:cs="Times New Roman"/>
        </w:rPr>
        <w:t>million.</w:t>
      </w:r>
    </w:p>
    <w:p w:rsidR="00FE3B13" w:rsidRDefault="00FE3B13" w:rsidP="003E7EBB">
      <w:pPr>
        <w:pStyle w:val="Heading1"/>
      </w:pPr>
      <w:r>
        <w:t>Data sources</w:t>
      </w:r>
    </w:p>
    <w:p w:rsidR="007B3259" w:rsidRDefault="007B3259" w:rsidP="007B3259">
      <w:pPr>
        <w:pStyle w:val="BodyText"/>
      </w:pPr>
      <w:proofErr w:type="gramStart"/>
      <w:r>
        <w:t>Commonwealth of Australia, 2016.</w:t>
      </w:r>
      <w:proofErr w:type="gramEnd"/>
      <w:r>
        <w:t xml:space="preserve"> Pre-election Economic and Fiscal Outlook, Canberra: Commonwealth of Australia.</w:t>
      </w:r>
      <w:r w:rsidRPr="00156FBE" w:rsidDel="007B3259">
        <w:t xml:space="preserve"> </w:t>
      </w:r>
    </w:p>
    <w:p w:rsidR="00080841" w:rsidRDefault="00080841" w:rsidP="00080841">
      <w:pPr>
        <w:pStyle w:val="BodyText"/>
      </w:pPr>
      <w:r>
        <w:t>Goods and Services Tax: Distributional analysis and indicative reform scenarios</w:t>
      </w:r>
      <w:proofErr w:type="gramStart"/>
      <w:r>
        <w:t>,</w:t>
      </w:r>
      <w:r w:rsidR="00AF430E">
        <w:t xml:space="preserve"> </w:t>
      </w:r>
      <w:r>
        <w:t xml:space="preserve"> Parliamentary</w:t>
      </w:r>
      <w:proofErr w:type="gramEnd"/>
      <w:r>
        <w:t xml:space="preserve"> Budget Office, 2015</w:t>
      </w:r>
      <w:r w:rsidR="00264894">
        <w:t>.</w:t>
      </w:r>
    </w:p>
    <w:p w:rsidR="00264894" w:rsidRDefault="00C156F8" w:rsidP="0069781E">
      <w:pPr>
        <w:pStyle w:val="BodyText"/>
      </w:pPr>
      <w:r w:rsidRPr="00C156F8">
        <w:t xml:space="preserve">Modelling Australia’s Imports </w:t>
      </w:r>
      <w:proofErr w:type="gramStart"/>
      <w:r w:rsidRPr="00C156F8">
        <w:t>Of Goods And</w:t>
      </w:r>
      <w:proofErr w:type="gramEnd"/>
      <w:r w:rsidRPr="00C156F8">
        <w:t xml:space="preserve"> Services, The Treasury, 2015</w:t>
      </w:r>
      <w:r w:rsidR="00264894">
        <w:t>.</w:t>
      </w:r>
    </w:p>
    <w:p w:rsidR="00247713" w:rsidRDefault="005A42D1" w:rsidP="0069781E">
      <w:pPr>
        <w:pStyle w:val="BodyText"/>
      </w:pPr>
      <w:r>
        <w:t xml:space="preserve">The ATO provided de-identified </w:t>
      </w:r>
      <w:r w:rsidR="00247713">
        <w:t xml:space="preserve">16 per cent samples of personal income tax and superannuation </w:t>
      </w:r>
      <w:r>
        <w:t xml:space="preserve">returns </w:t>
      </w:r>
      <w:r w:rsidR="00247713">
        <w:t>for the 2012-13 financial year.</w:t>
      </w:r>
    </w:p>
    <w:p w:rsidR="00110395" w:rsidRDefault="00110395" w:rsidP="0069781E">
      <w:pPr>
        <w:pStyle w:val="BodyText"/>
      </w:pPr>
      <w:r>
        <w:t>The ATO provided company tax return data for the period 2005-06 to 2013-14</w:t>
      </w:r>
      <w:r w:rsidR="00264894">
        <w:t>.</w:t>
      </w:r>
    </w:p>
    <w:p w:rsidR="006F1A5F" w:rsidRDefault="006F1A5F" w:rsidP="0069781E">
      <w:pPr>
        <w:pStyle w:val="BodyText"/>
      </w:pPr>
      <w:r>
        <w:t xml:space="preserve">The Treasury provided </w:t>
      </w:r>
      <w:r w:rsidR="00E51D5A">
        <w:t xml:space="preserve">the </w:t>
      </w:r>
      <w:r w:rsidR="00264894">
        <w:t xml:space="preserve">model of </w:t>
      </w:r>
      <w:r>
        <w:t>the 2016-17 Budget company tax measure</w:t>
      </w:r>
      <w:r w:rsidR="00264894">
        <w:t>.</w:t>
      </w:r>
    </w:p>
    <w:p w:rsidR="003329E3" w:rsidRPr="00247713" w:rsidRDefault="003329E3" w:rsidP="0069781E">
      <w:pPr>
        <w:pStyle w:val="BodyText"/>
      </w:pPr>
      <w:r>
        <w:t>The Treasury provided PRISMOD.</w:t>
      </w:r>
    </w:p>
    <w:p w:rsidR="007D0ABE" w:rsidRPr="0046444F" w:rsidRDefault="007D0ABE" w:rsidP="00B311BA">
      <w:pPr>
        <w:pStyle w:val="BodyText"/>
      </w:pPr>
    </w:p>
    <w:p w:rsidR="0046444F" w:rsidRDefault="0046444F" w:rsidP="00B311BA">
      <w:pPr>
        <w:pStyle w:val="BodyText"/>
        <w:sectPr w:rsidR="0046444F" w:rsidSect="00982E77">
          <w:headerReference w:type="even" r:id="rId9"/>
          <w:headerReference w:type="default" r:id="rId10"/>
          <w:footerReference w:type="even" r:id="rId11"/>
          <w:footerReference w:type="default" r:id="rId12"/>
          <w:headerReference w:type="first" r:id="rId13"/>
          <w:footerReference w:type="first" r:id="rId14"/>
          <w:pgSz w:w="11906" w:h="16838" w:code="9"/>
          <w:pgMar w:top="1361" w:right="1797" w:bottom="1474" w:left="1797" w:header="284" w:footer="454" w:gutter="0"/>
          <w:pgNumType w:start="1"/>
          <w:cols w:space="708"/>
          <w:titlePg/>
          <w:docGrid w:linePitch="360"/>
        </w:sectPr>
      </w:pPr>
    </w:p>
    <w:p w:rsidR="00016D53" w:rsidRPr="002D239A" w:rsidRDefault="00016D53" w:rsidP="002D239A">
      <w:pPr>
        <w:pStyle w:val="Heading8"/>
      </w:pPr>
      <w:r w:rsidRPr="002D239A">
        <w:lastRenderedPageBreak/>
        <w:t xml:space="preserve">– </w:t>
      </w:r>
      <w:r w:rsidR="005642B7">
        <w:t>Tax</w:t>
      </w:r>
      <w:r w:rsidRPr="002D239A">
        <w:t>—financial implications</w:t>
      </w:r>
    </w:p>
    <w:p w:rsidR="00016D53" w:rsidRDefault="002D239A" w:rsidP="00AF568A">
      <w:pPr>
        <w:pStyle w:val="Caption"/>
        <w:keepLines/>
      </w:pPr>
      <w:r w:rsidRPr="002D239A">
        <w:t xml:space="preserve">Table </w:t>
      </w:r>
      <w:r w:rsidR="001F29CD">
        <w:fldChar w:fldCharType="begin"/>
      </w:r>
      <w:r w:rsidR="001F29CD">
        <w:instrText xml:space="preserve"> STYLEREF 8 \s </w:instrText>
      </w:r>
      <w:r w:rsidR="001F29CD">
        <w:fldChar w:fldCharType="separate"/>
      </w:r>
      <w:r w:rsidR="00784163">
        <w:rPr>
          <w:noProof/>
        </w:rPr>
        <w:t>A</w:t>
      </w:r>
      <w:r w:rsidR="001F29CD">
        <w:rPr>
          <w:noProof/>
        </w:rPr>
        <w:fldChar w:fldCharType="end"/>
      </w:r>
      <w:r w:rsidR="001F29CD">
        <w:fldChar w:fldCharType="begin"/>
      </w:r>
      <w:r w:rsidR="001F29CD">
        <w:instrText xml:space="preserve"> SEQ AppendixTable\s 8 </w:instrText>
      </w:r>
      <w:r w:rsidR="001F29CD">
        <w:fldChar w:fldCharType="separate"/>
      </w:r>
      <w:r w:rsidR="00784163">
        <w:rPr>
          <w:noProof/>
        </w:rPr>
        <w:t>1</w:t>
      </w:r>
      <w:r w:rsidR="001F29CD">
        <w:rPr>
          <w:noProof/>
        </w:rPr>
        <w:fldChar w:fldCharType="end"/>
      </w:r>
      <w:r w:rsidRPr="002D239A">
        <w:t xml:space="preserve">: </w:t>
      </w:r>
      <w:r w:rsidR="008B4307">
        <w:t xml:space="preserve">Tax – </w:t>
      </w:r>
      <w:r w:rsidR="00A75B63">
        <w:t>Option 1</w:t>
      </w:r>
      <w:r w:rsidR="00256CD7">
        <w:t xml:space="preserve"> – Personal income tax, company tax</w:t>
      </w:r>
      <w:r w:rsidR="00760818">
        <w:t>,</w:t>
      </w:r>
      <w:r w:rsidR="00256CD7">
        <w:t xml:space="preserve"> and excise</w:t>
      </w:r>
      <w:r w:rsidR="005642B7">
        <w:t xml:space="preserve"> </w:t>
      </w:r>
      <w:r w:rsidR="007353FD">
        <w:t>and customs duty</w:t>
      </w:r>
      <w:r>
        <w:t>—</w:t>
      </w:r>
      <w:r w:rsidR="0056001A">
        <w:t>Fiscal</w:t>
      </w:r>
      <w:r>
        <w:t xml:space="preserve"> </w:t>
      </w:r>
      <w:proofErr w:type="gramStart"/>
      <w:r>
        <w:t>balance</w:t>
      </w:r>
      <w:r w:rsidRPr="002D239A">
        <w:rPr>
          <w:vertAlign w:val="superscript"/>
        </w:rPr>
        <w:t>(</w:t>
      </w:r>
      <w:proofErr w:type="gramEnd"/>
      <w:r w:rsidRPr="002D239A">
        <w:rPr>
          <w:vertAlign w:val="superscript"/>
        </w:rPr>
        <w:t>a)(b)</w:t>
      </w:r>
    </w:p>
    <w:tbl>
      <w:tblPr>
        <w:tblStyle w:val="LightGrid-Accent6"/>
        <w:tblW w:w="5000" w:type="pct"/>
        <w:tblLayout w:type="fixed"/>
        <w:tblLook w:val="0680" w:firstRow="0" w:lastRow="0" w:firstColumn="1" w:lastColumn="0" w:noHBand="1" w:noVBand="1"/>
      </w:tblPr>
      <w:tblGrid>
        <w:gridCol w:w="2236"/>
        <w:gridCol w:w="999"/>
        <w:gridCol w:w="999"/>
        <w:gridCol w:w="999"/>
        <w:gridCol w:w="999"/>
        <w:gridCol w:w="999"/>
        <w:gridCol w:w="999"/>
        <w:gridCol w:w="999"/>
        <w:gridCol w:w="999"/>
        <w:gridCol w:w="998"/>
        <w:gridCol w:w="998"/>
        <w:gridCol w:w="998"/>
        <w:gridCol w:w="998"/>
      </w:tblGrid>
      <w:tr w:rsidR="00A92443" w:rsidTr="00A92443">
        <w:tc>
          <w:tcPr>
            <w:cnfStyle w:val="001000000000" w:firstRow="0" w:lastRow="0" w:firstColumn="1" w:lastColumn="0" w:oddVBand="0" w:evenVBand="0" w:oddHBand="0" w:evenHBand="0" w:firstRowFirstColumn="0" w:firstRowLastColumn="0" w:lastRowFirstColumn="0" w:lastRowLastColumn="0"/>
            <w:tcW w:w="786" w:type="pct"/>
            <w:shd w:val="clear" w:color="auto" w:fill="D7DDE9" w:themeFill="accent3"/>
            <w:vAlign w:val="center"/>
          </w:tcPr>
          <w:p w:rsidR="0032047F" w:rsidRDefault="0032047F" w:rsidP="00AF568A">
            <w:pPr>
              <w:pStyle w:val="TableHeading"/>
            </w:pPr>
            <w:r>
              <w:t>($m)</w:t>
            </w:r>
          </w:p>
          <w:p w:rsidR="00330E64" w:rsidRPr="002D239A" w:rsidRDefault="00330E64" w:rsidP="00AF568A">
            <w:pPr>
              <w:pStyle w:val="TableHeading"/>
            </w:pPr>
            <w:r>
              <w:t>Component</w:t>
            </w:r>
            <w:r w:rsidRPr="002D239A">
              <w:rPr>
                <w:vertAlign w:val="superscript"/>
              </w:rPr>
              <w:t>(</w:t>
            </w:r>
            <w:r>
              <w:rPr>
                <w:vertAlign w:val="superscript"/>
              </w:rPr>
              <w:t>c)</w:t>
            </w:r>
          </w:p>
        </w:tc>
        <w:tc>
          <w:tcPr>
            <w:tcW w:w="351" w:type="pct"/>
            <w:shd w:val="clear" w:color="auto" w:fill="D7DDE9" w:themeFill="accent3"/>
            <w:vAlign w:val="center"/>
          </w:tcPr>
          <w:p w:rsidR="0032047F" w:rsidRPr="002D239A" w:rsidRDefault="0032047F" w:rsidP="006B4078">
            <w:pPr>
              <w:pStyle w:val="TableHeadingRight"/>
              <w:ind w:left="0" w:right="0"/>
              <w:cnfStyle w:val="000000000000" w:firstRow="0" w:lastRow="0" w:firstColumn="0" w:lastColumn="0" w:oddVBand="0" w:evenVBand="0" w:oddHBand="0" w:evenHBand="0" w:firstRowFirstColumn="0" w:firstRowLastColumn="0" w:lastRowFirstColumn="0" w:lastRowLastColumn="0"/>
              <w:rPr>
                <w:b w:val="0"/>
              </w:rPr>
            </w:pPr>
            <w:r>
              <w:rPr>
                <w:b w:val="0"/>
              </w:rPr>
              <w:t>2017-18</w:t>
            </w:r>
          </w:p>
        </w:tc>
        <w:tc>
          <w:tcPr>
            <w:tcW w:w="351" w:type="pct"/>
            <w:shd w:val="clear" w:color="auto" w:fill="D7DDE9" w:themeFill="accent3"/>
            <w:vAlign w:val="center"/>
          </w:tcPr>
          <w:p w:rsidR="0032047F" w:rsidRPr="002D239A" w:rsidRDefault="0032047F" w:rsidP="006B4078">
            <w:pPr>
              <w:pStyle w:val="TableHeadingRight"/>
              <w:ind w:left="0" w:right="0"/>
              <w:cnfStyle w:val="000000000000" w:firstRow="0" w:lastRow="0" w:firstColumn="0" w:lastColumn="0" w:oddVBand="0" w:evenVBand="0" w:oddHBand="0" w:evenHBand="0" w:firstRowFirstColumn="0" w:firstRowLastColumn="0" w:lastRowFirstColumn="0" w:lastRowLastColumn="0"/>
              <w:rPr>
                <w:b w:val="0"/>
              </w:rPr>
            </w:pPr>
            <w:r>
              <w:rPr>
                <w:b w:val="0"/>
              </w:rPr>
              <w:t>2018-19</w:t>
            </w:r>
          </w:p>
        </w:tc>
        <w:tc>
          <w:tcPr>
            <w:tcW w:w="351" w:type="pct"/>
            <w:shd w:val="clear" w:color="auto" w:fill="D7DDE9" w:themeFill="accent3"/>
            <w:vAlign w:val="center"/>
          </w:tcPr>
          <w:p w:rsidR="0032047F" w:rsidRPr="002D239A" w:rsidRDefault="0032047F" w:rsidP="006B4078">
            <w:pPr>
              <w:pStyle w:val="TableHeadingRight"/>
              <w:ind w:left="0" w:right="0"/>
              <w:cnfStyle w:val="000000000000" w:firstRow="0" w:lastRow="0" w:firstColumn="0" w:lastColumn="0" w:oddVBand="0" w:evenVBand="0" w:oddHBand="0" w:evenHBand="0" w:firstRowFirstColumn="0" w:firstRowLastColumn="0" w:lastRowFirstColumn="0" w:lastRowLastColumn="0"/>
              <w:rPr>
                <w:b w:val="0"/>
              </w:rPr>
            </w:pPr>
            <w:r>
              <w:rPr>
                <w:b w:val="0"/>
              </w:rPr>
              <w:t>2019-20</w:t>
            </w:r>
          </w:p>
        </w:tc>
        <w:tc>
          <w:tcPr>
            <w:tcW w:w="351" w:type="pct"/>
            <w:shd w:val="clear" w:color="auto" w:fill="D7DDE9" w:themeFill="accent3"/>
            <w:vAlign w:val="center"/>
          </w:tcPr>
          <w:p w:rsidR="0032047F" w:rsidRPr="002D239A" w:rsidRDefault="0032047F" w:rsidP="006B4078">
            <w:pPr>
              <w:pStyle w:val="TableHeadingRight"/>
              <w:ind w:left="0" w:right="0"/>
              <w:cnfStyle w:val="000000000000" w:firstRow="0" w:lastRow="0" w:firstColumn="0" w:lastColumn="0" w:oddVBand="0" w:evenVBand="0" w:oddHBand="0" w:evenHBand="0" w:firstRowFirstColumn="0" w:firstRowLastColumn="0" w:lastRowFirstColumn="0" w:lastRowLastColumn="0"/>
              <w:rPr>
                <w:b w:val="0"/>
              </w:rPr>
            </w:pPr>
            <w:r>
              <w:t>Total to 2019-20</w:t>
            </w:r>
          </w:p>
        </w:tc>
        <w:tc>
          <w:tcPr>
            <w:tcW w:w="351" w:type="pct"/>
            <w:shd w:val="clear" w:color="auto" w:fill="D7DDE9" w:themeFill="accent3"/>
            <w:vAlign w:val="center"/>
          </w:tcPr>
          <w:p w:rsidR="0032047F" w:rsidRPr="002D239A" w:rsidRDefault="0032047F" w:rsidP="006B4078">
            <w:pPr>
              <w:pStyle w:val="TableText"/>
              <w:ind w:left="0" w:right="0"/>
              <w:cnfStyle w:val="000000000000" w:firstRow="0" w:lastRow="0" w:firstColumn="0" w:lastColumn="0" w:oddVBand="0" w:evenVBand="0" w:oddHBand="0" w:evenHBand="0" w:firstRowFirstColumn="0" w:firstRowLastColumn="0" w:lastRowFirstColumn="0" w:lastRowLastColumn="0"/>
            </w:pPr>
            <w:r>
              <w:t>2020-21</w:t>
            </w:r>
          </w:p>
        </w:tc>
        <w:tc>
          <w:tcPr>
            <w:tcW w:w="351" w:type="pct"/>
            <w:shd w:val="clear" w:color="auto" w:fill="D7DDE9" w:themeFill="accent3"/>
            <w:vAlign w:val="center"/>
          </w:tcPr>
          <w:p w:rsidR="0032047F" w:rsidRPr="002D239A" w:rsidRDefault="0032047F" w:rsidP="006B4078">
            <w:pPr>
              <w:pStyle w:val="TableText"/>
              <w:ind w:left="0" w:right="0"/>
              <w:cnfStyle w:val="000000000000" w:firstRow="0" w:lastRow="0" w:firstColumn="0" w:lastColumn="0" w:oddVBand="0" w:evenVBand="0" w:oddHBand="0" w:evenHBand="0" w:firstRowFirstColumn="0" w:firstRowLastColumn="0" w:lastRowFirstColumn="0" w:lastRowLastColumn="0"/>
            </w:pPr>
            <w:r>
              <w:t>2021-22</w:t>
            </w:r>
          </w:p>
        </w:tc>
        <w:tc>
          <w:tcPr>
            <w:tcW w:w="351" w:type="pct"/>
            <w:shd w:val="clear" w:color="auto" w:fill="D7DDE9" w:themeFill="accent3"/>
            <w:vAlign w:val="center"/>
          </w:tcPr>
          <w:p w:rsidR="0032047F" w:rsidRPr="002D239A" w:rsidRDefault="0032047F" w:rsidP="006B4078">
            <w:pPr>
              <w:pStyle w:val="TableText"/>
              <w:ind w:left="0" w:right="0"/>
              <w:cnfStyle w:val="000000000000" w:firstRow="0" w:lastRow="0" w:firstColumn="0" w:lastColumn="0" w:oddVBand="0" w:evenVBand="0" w:oddHBand="0" w:evenHBand="0" w:firstRowFirstColumn="0" w:firstRowLastColumn="0" w:lastRowFirstColumn="0" w:lastRowLastColumn="0"/>
            </w:pPr>
            <w:r>
              <w:t>2022-23</w:t>
            </w:r>
          </w:p>
        </w:tc>
        <w:tc>
          <w:tcPr>
            <w:tcW w:w="351" w:type="pct"/>
            <w:shd w:val="clear" w:color="auto" w:fill="D7DDE9" w:themeFill="accent3"/>
            <w:vAlign w:val="center"/>
          </w:tcPr>
          <w:p w:rsidR="0032047F" w:rsidRPr="002D239A" w:rsidRDefault="0032047F" w:rsidP="006B4078">
            <w:pPr>
              <w:pStyle w:val="TableText"/>
              <w:ind w:left="0" w:right="0"/>
              <w:cnfStyle w:val="000000000000" w:firstRow="0" w:lastRow="0" w:firstColumn="0" w:lastColumn="0" w:oddVBand="0" w:evenVBand="0" w:oddHBand="0" w:evenHBand="0" w:firstRowFirstColumn="0" w:firstRowLastColumn="0" w:lastRowFirstColumn="0" w:lastRowLastColumn="0"/>
            </w:pPr>
            <w:r>
              <w:t>2023-24</w:t>
            </w:r>
          </w:p>
        </w:tc>
        <w:tc>
          <w:tcPr>
            <w:tcW w:w="351" w:type="pct"/>
            <w:shd w:val="clear" w:color="auto" w:fill="D7DDE9" w:themeFill="accent3"/>
            <w:vAlign w:val="center"/>
          </w:tcPr>
          <w:p w:rsidR="0032047F" w:rsidRPr="002D239A" w:rsidRDefault="0032047F" w:rsidP="006B4078">
            <w:pPr>
              <w:pStyle w:val="TableText"/>
              <w:ind w:left="0" w:right="0"/>
              <w:cnfStyle w:val="000000000000" w:firstRow="0" w:lastRow="0" w:firstColumn="0" w:lastColumn="0" w:oddVBand="0" w:evenVBand="0" w:oddHBand="0" w:evenHBand="0" w:firstRowFirstColumn="0" w:firstRowLastColumn="0" w:lastRowFirstColumn="0" w:lastRowLastColumn="0"/>
            </w:pPr>
            <w:r>
              <w:t>2024-25</w:t>
            </w:r>
          </w:p>
        </w:tc>
        <w:tc>
          <w:tcPr>
            <w:tcW w:w="351" w:type="pct"/>
            <w:shd w:val="clear" w:color="auto" w:fill="D7DDE9" w:themeFill="accent3"/>
            <w:vAlign w:val="center"/>
          </w:tcPr>
          <w:p w:rsidR="0032047F" w:rsidRPr="002D239A" w:rsidRDefault="0032047F" w:rsidP="006B4078">
            <w:pPr>
              <w:pStyle w:val="TableText"/>
              <w:ind w:left="0" w:right="0"/>
              <w:jc w:val="right"/>
              <w:cnfStyle w:val="000000000000" w:firstRow="0" w:lastRow="0" w:firstColumn="0" w:lastColumn="0" w:oddVBand="0" w:evenVBand="0" w:oddHBand="0" w:evenHBand="0" w:firstRowFirstColumn="0" w:firstRowLastColumn="0" w:lastRowFirstColumn="0" w:lastRowLastColumn="0"/>
            </w:pPr>
            <w:r>
              <w:t>2025-26</w:t>
            </w:r>
          </w:p>
        </w:tc>
        <w:tc>
          <w:tcPr>
            <w:tcW w:w="351" w:type="pct"/>
            <w:shd w:val="clear" w:color="auto" w:fill="D7DDE9" w:themeFill="accent3"/>
            <w:vAlign w:val="center"/>
          </w:tcPr>
          <w:p w:rsidR="0032047F" w:rsidRDefault="0032047F" w:rsidP="006B4078">
            <w:pPr>
              <w:pStyle w:val="TableText"/>
              <w:ind w:left="0" w:right="0"/>
              <w:jc w:val="right"/>
              <w:cnfStyle w:val="000000000000" w:firstRow="0" w:lastRow="0" w:firstColumn="0" w:lastColumn="0" w:oddVBand="0" w:evenVBand="0" w:oddHBand="0" w:evenHBand="0" w:firstRowFirstColumn="0" w:firstRowLastColumn="0" w:lastRowFirstColumn="0" w:lastRowLastColumn="0"/>
            </w:pPr>
            <w:r>
              <w:t>2026-27</w:t>
            </w:r>
          </w:p>
        </w:tc>
        <w:tc>
          <w:tcPr>
            <w:tcW w:w="351" w:type="pct"/>
            <w:shd w:val="clear" w:color="auto" w:fill="D7DDE9" w:themeFill="accent3"/>
          </w:tcPr>
          <w:p w:rsidR="0032047F" w:rsidRPr="009355B8" w:rsidRDefault="0032047F" w:rsidP="006B4078">
            <w:pPr>
              <w:pStyle w:val="TableText"/>
              <w:ind w:left="0" w:right="0"/>
              <w:cnfStyle w:val="000000000000" w:firstRow="0" w:lastRow="0" w:firstColumn="0" w:lastColumn="0" w:oddVBand="0" w:evenVBand="0" w:oddHBand="0" w:evenHBand="0" w:firstRowFirstColumn="0" w:firstRowLastColumn="0" w:lastRowFirstColumn="0" w:lastRowLastColumn="0"/>
              <w:rPr>
                <w:b/>
              </w:rPr>
            </w:pPr>
            <w:r w:rsidRPr="009355B8">
              <w:rPr>
                <w:b/>
              </w:rPr>
              <w:t>Total to 2026-27</w:t>
            </w:r>
          </w:p>
        </w:tc>
      </w:tr>
      <w:tr w:rsidR="00A92443" w:rsidRPr="008D77AF" w:rsidTr="00A92443">
        <w:tc>
          <w:tcPr>
            <w:cnfStyle w:val="001000000000" w:firstRow="0" w:lastRow="0" w:firstColumn="1" w:lastColumn="0" w:oddVBand="0" w:evenVBand="0" w:oddHBand="0" w:evenHBand="0" w:firstRowFirstColumn="0" w:firstRowLastColumn="0" w:lastRowFirstColumn="0" w:lastRowLastColumn="0"/>
            <w:tcW w:w="786" w:type="pct"/>
            <w:vAlign w:val="center"/>
          </w:tcPr>
          <w:p w:rsidR="00C71001" w:rsidRPr="00684ACD" w:rsidRDefault="00C71001" w:rsidP="005642B7">
            <w:pPr>
              <w:pStyle w:val="TableText"/>
              <w:keepNext/>
              <w:keepLines/>
              <w:ind w:left="0"/>
              <w:rPr>
                <w:b w:val="0"/>
              </w:rPr>
            </w:pPr>
            <w:r w:rsidRPr="00684ACD">
              <w:rPr>
                <w:b w:val="0"/>
                <w:color w:val="000000"/>
                <w:szCs w:val="20"/>
              </w:rPr>
              <w:t>Revenue</w:t>
            </w:r>
          </w:p>
        </w:tc>
        <w:tc>
          <w:tcPr>
            <w:tcW w:w="351" w:type="pct"/>
          </w:tcPr>
          <w:p w:rsidR="00C71001" w:rsidRPr="00E626A5" w:rsidRDefault="00C71001"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E626A5">
              <w:rPr>
                <w:b/>
                <w:i w:val="0"/>
              </w:rPr>
              <w:t>-173,380</w:t>
            </w:r>
          </w:p>
        </w:tc>
        <w:tc>
          <w:tcPr>
            <w:tcW w:w="351" w:type="pct"/>
          </w:tcPr>
          <w:p w:rsidR="00C71001" w:rsidRPr="00E626A5" w:rsidRDefault="00C71001"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E626A5">
              <w:rPr>
                <w:b/>
                <w:i w:val="0"/>
              </w:rPr>
              <w:t>-197,270</w:t>
            </w:r>
          </w:p>
        </w:tc>
        <w:tc>
          <w:tcPr>
            <w:tcW w:w="351" w:type="pct"/>
          </w:tcPr>
          <w:p w:rsidR="00C71001" w:rsidRPr="00E626A5" w:rsidRDefault="00C71001"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E626A5">
              <w:rPr>
                <w:b/>
                <w:i w:val="0"/>
              </w:rPr>
              <w:t>-208,240</w:t>
            </w:r>
          </w:p>
        </w:tc>
        <w:tc>
          <w:tcPr>
            <w:tcW w:w="351" w:type="pct"/>
          </w:tcPr>
          <w:p w:rsidR="00C71001" w:rsidRPr="00E626A5" w:rsidRDefault="00C71001" w:rsidP="00E4487B">
            <w:pPr>
              <w:pStyle w:val="TableTextRightBold"/>
              <w:ind w:left="-57" w:right="-57"/>
              <w:cnfStyle w:val="000000000000" w:firstRow="0" w:lastRow="0" w:firstColumn="0" w:lastColumn="0" w:oddVBand="0" w:evenVBand="0" w:oddHBand="0" w:evenHBand="0" w:firstRowFirstColumn="0" w:firstRowLastColumn="0" w:lastRowFirstColumn="0" w:lastRowLastColumn="0"/>
            </w:pPr>
            <w:r w:rsidRPr="00E626A5">
              <w:t>-578,890</w:t>
            </w:r>
          </w:p>
        </w:tc>
        <w:tc>
          <w:tcPr>
            <w:tcW w:w="351" w:type="pct"/>
          </w:tcPr>
          <w:p w:rsidR="00C71001" w:rsidRPr="00E626A5" w:rsidRDefault="00C71001"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E626A5">
              <w:rPr>
                <w:b/>
                <w:i w:val="0"/>
              </w:rPr>
              <w:t>-221,400</w:t>
            </w:r>
          </w:p>
        </w:tc>
        <w:tc>
          <w:tcPr>
            <w:tcW w:w="351" w:type="pct"/>
          </w:tcPr>
          <w:p w:rsidR="00C71001" w:rsidRPr="00E626A5" w:rsidRDefault="00C71001"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E626A5">
              <w:rPr>
                <w:b/>
                <w:i w:val="0"/>
              </w:rPr>
              <w:t>-232,060</w:t>
            </w:r>
          </w:p>
        </w:tc>
        <w:tc>
          <w:tcPr>
            <w:tcW w:w="351" w:type="pct"/>
          </w:tcPr>
          <w:p w:rsidR="00C71001" w:rsidRPr="00E626A5" w:rsidRDefault="00C71001"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E626A5">
              <w:rPr>
                <w:b/>
                <w:i w:val="0"/>
              </w:rPr>
              <w:t>-244,780</w:t>
            </w:r>
          </w:p>
        </w:tc>
        <w:tc>
          <w:tcPr>
            <w:tcW w:w="351" w:type="pct"/>
          </w:tcPr>
          <w:p w:rsidR="00C71001" w:rsidRPr="00E626A5" w:rsidRDefault="00C71001"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E626A5">
              <w:rPr>
                <w:b/>
                <w:i w:val="0"/>
              </w:rPr>
              <w:t>-255,530</w:t>
            </w:r>
          </w:p>
        </w:tc>
        <w:tc>
          <w:tcPr>
            <w:tcW w:w="351" w:type="pct"/>
          </w:tcPr>
          <w:p w:rsidR="00C71001" w:rsidRPr="00E626A5" w:rsidRDefault="00C71001"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E626A5">
              <w:rPr>
                <w:b/>
                <w:i w:val="0"/>
              </w:rPr>
              <w:t>-267,950</w:t>
            </w:r>
          </w:p>
        </w:tc>
        <w:tc>
          <w:tcPr>
            <w:tcW w:w="351" w:type="pct"/>
          </w:tcPr>
          <w:p w:rsidR="00C71001" w:rsidRPr="00E626A5" w:rsidRDefault="00C71001"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E626A5">
              <w:rPr>
                <w:b/>
                <w:i w:val="0"/>
              </w:rPr>
              <w:t>-279,500</w:t>
            </w:r>
          </w:p>
        </w:tc>
        <w:tc>
          <w:tcPr>
            <w:tcW w:w="351" w:type="pct"/>
          </w:tcPr>
          <w:p w:rsidR="00C71001" w:rsidRPr="00E626A5" w:rsidRDefault="00C71001"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E626A5">
              <w:rPr>
                <w:b/>
                <w:i w:val="0"/>
              </w:rPr>
              <w:t>-292,690</w:t>
            </w:r>
          </w:p>
        </w:tc>
        <w:tc>
          <w:tcPr>
            <w:tcW w:w="351" w:type="pct"/>
          </w:tcPr>
          <w:p w:rsidR="00C71001" w:rsidRPr="00684ACD" w:rsidRDefault="00C71001" w:rsidP="00E4487B">
            <w:pPr>
              <w:pStyle w:val="TableTextRightBold"/>
              <w:ind w:left="-57" w:right="-57"/>
              <w:cnfStyle w:val="000000000000" w:firstRow="0" w:lastRow="0" w:firstColumn="0" w:lastColumn="0" w:oddVBand="0" w:evenVBand="0" w:oddHBand="0" w:evenHBand="0" w:firstRowFirstColumn="0" w:firstRowLastColumn="0" w:lastRowFirstColumn="0" w:lastRowLastColumn="0"/>
            </w:pPr>
            <w:r w:rsidRPr="00684ACD">
              <w:t>-2,372,800</w:t>
            </w:r>
          </w:p>
        </w:tc>
      </w:tr>
      <w:tr w:rsidR="00A92443" w:rsidRPr="008D77AF" w:rsidTr="00A92443">
        <w:tc>
          <w:tcPr>
            <w:cnfStyle w:val="001000000000" w:firstRow="0" w:lastRow="0" w:firstColumn="1" w:lastColumn="0" w:oddVBand="0" w:evenVBand="0" w:oddHBand="0" w:evenHBand="0" w:firstRowFirstColumn="0" w:firstRowLastColumn="0" w:lastRowFirstColumn="0" w:lastRowLastColumn="0"/>
            <w:tcW w:w="786" w:type="pct"/>
            <w:vAlign w:val="center"/>
          </w:tcPr>
          <w:p w:rsidR="00C71001" w:rsidRPr="00684ACD" w:rsidRDefault="00C71001" w:rsidP="00E868D8">
            <w:pPr>
              <w:pStyle w:val="TableText"/>
              <w:keepNext/>
              <w:keepLines/>
              <w:ind w:left="113"/>
              <w:rPr>
                <w:b w:val="0"/>
              </w:rPr>
            </w:pPr>
            <w:r w:rsidRPr="00684ACD">
              <w:rPr>
                <w:b w:val="0"/>
                <w:color w:val="000000"/>
                <w:szCs w:val="20"/>
              </w:rPr>
              <w:t xml:space="preserve">Personal income tax </w:t>
            </w:r>
          </w:p>
        </w:tc>
        <w:tc>
          <w:tcPr>
            <w:tcW w:w="351" w:type="pct"/>
          </w:tcPr>
          <w:p w:rsidR="00C71001" w:rsidRPr="00E626A5" w:rsidRDefault="00C71001"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684ACD">
              <w:t>-115,000</w:t>
            </w:r>
          </w:p>
        </w:tc>
        <w:tc>
          <w:tcPr>
            <w:tcW w:w="351" w:type="pct"/>
          </w:tcPr>
          <w:p w:rsidR="00C71001" w:rsidRPr="00E626A5" w:rsidRDefault="00C71001"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E626A5">
              <w:t>-136,000</w:t>
            </w:r>
          </w:p>
        </w:tc>
        <w:tc>
          <w:tcPr>
            <w:tcW w:w="351" w:type="pct"/>
          </w:tcPr>
          <w:p w:rsidR="00C71001" w:rsidRPr="00E626A5" w:rsidRDefault="00C71001"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E626A5">
              <w:t>-143,000</w:t>
            </w:r>
          </w:p>
        </w:tc>
        <w:tc>
          <w:tcPr>
            <w:tcW w:w="351" w:type="pct"/>
          </w:tcPr>
          <w:p w:rsidR="00C71001" w:rsidRPr="00E626A5" w:rsidRDefault="00C71001" w:rsidP="00E4487B">
            <w:pPr>
              <w:pStyle w:val="TableTextRightBold"/>
              <w:ind w:left="-57" w:right="-57"/>
              <w:cnfStyle w:val="000000000000" w:firstRow="0" w:lastRow="0" w:firstColumn="0" w:lastColumn="0" w:oddVBand="0" w:evenVBand="0" w:oddHBand="0" w:evenHBand="0" w:firstRowFirstColumn="0" w:firstRowLastColumn="0" w:lastRowFirstColumn="0" w:lastRowLastColumn="0"/>
              <w:rPr>
                <w:b w:val="0"/>
                <w:i/>
              </w:rPr>
            </w:pPr>
            <w:r w:rsidRPr="00E626A5">
              <w:rPr>
                <w:b w:val="0"/>
                <w:i/>
              </w:rPr>
              <w:t>-394,000</w:t>
            </w:r>
          </w:p>
        </w:tc>
        <w:tc>
          <w:tcPr>
            <w:tcW w:w="351" w:type="pct"/>
          </w:tcPr>
          <w:p w:rsidR="00C71001" w:rsidRPr="00E626A5" w:rsidRDefault="00C71001"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684ACD">
              <w:t>-152,000</w:t>
            </w:r>
          </w:p>
        </w:tc>
        <w:tc>
          <w:tcPr>
            <w:tcW w:w="351" w:type="pct"/>
          </w:tcPr>
          <w:p w:rsidR="00C71001" w:rsidRPr="00E626A5" w:rsidRDefault="00C71001"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E626A5">
              <w:t>-160,000</w:t>
            </w:r>
          </w:p>
        </w:tc>
        <w:tc>
          <w:tcPr>
            <w:tcW w:w="351" w:type="pct"/>
          </w:tcPr>
          <w:p w:rsidR="00C71001" w:rsidRPr="00E626A5" w:rsidRDefault="00C71001"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E626A5">
              <w:t>-169,000</w:t>
            </w:r>
          </w:p>
        </w:tc>
        <w:tc>
          <w:tcPr>
            <w:tcW w:w="351" w:type="pct"/>
          </w:tcPr>
          <w:p w:rsidR="00C71001" w:rsidRPr="00E626A5" w:rsidRDefault="00C71001"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E626A5">
              <w:t>-179,000</w:t>
            </w:r>
          </w:p>
        </w:tc>
        <w:tc>
          <w:tcPr>
            <w:tcW w:w="351" w:type="pct"/>
          </w:tcPr>
          <w:p w:rsidR="00C71001" w:rsidRPr="00E626A5" w:rsidRDefault="00C71001"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E626A5">
              <w:t>-188,000</w:t>
            </w:r>
          </w:p>
        </w:tc>
        <w:tc>
          <w:tcPr>
            <w:tcW w:w="351" w:type="pct"/>
          </w:tcPr>
          <w:p w:rsidR="00C71001" w:rsidRPr="00E626A5" w:rsidRDefault="00C71001"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E626A5">
              <w:t>-199,000</w:t>
            </w:r>
          </w:p>
        </w:tc>
        <w:tc>
          <w:tcPr>
            <w:tcW w:w="351" w:type="pct"/>
          </w:tcPr>
          <w:p w:rsidR="00C71001" w:rsidRPr="00E626A5" w:rsidRDefault="00C71001"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E626A5">
              <w:t>-211,000</w:t>
            </w:r>
          </w:p>
        </w:tc>
        <w:tc>
          <w:tcPr>
            <w:tcW w:w="351" w:type="pct"/>
          </w:tcPr>
          <w:p w:rsidR="00C71001" w:rsidRPr="00E626A5" w:rsidRDefault="00C71001" w:rsidP="00E4487B">
            <w:pPr>
              <w:pStyle w:val="TableTextRightBold"/>
              <w:ind w:left="-57" w:right="-57"/>
              <w:cnfStyle w:val="000000000000" w:firstRow="0" w:lastRow="0" w:firstColumn="0" w:lastColumn="0" w:oddVBand="0" w:evenVBand="0" w:oddHBand="0" w:evenHBand="0" w:firstRowFirstColumn="0" w:firstRowLastColumn="0" w:lastRowFirstColumn="0" w:lastRowLastColumn="0"/>
              <w:rPr>
                <w:i/>
              </w:rPr>
            </w:pPr>
            <w:r w:rsidRPr="00E626A5">
              <w:rPr>
                <w:i/>
              </w:rPr>
              <w:t>-1,652,000</w:t>
            </w:r>
          </w:p>
        </w:tc>
      </w:tr>
      <w:tr w:rsidR="00A92443" w:rsidRPr="008D77AF" w:rsidTr="00A92443">
        <w:tc>
          <w:tcPr>
            <w:cnfStyle w:val="001000000000" w:firstRow="0" w:lastRow="0" w:firstColumn="1" w:lastColumn="0" w:oddVBand="0" w:evenVBand="0" w:oddHBand="0" w:evenHBand="0" w:firstRowFirstColumn="0" w:firstRowLastColumn="0" w:lastRowFirstColumn="0" w:lastRowLastColumn="0"/>
            <w:tcW w:w="786" w:type="pct"/>
            <w:vAlign w:val="center"/>
          </w:tcPr>
          <w:p w:rsidR="00C71001" w:rsidRPr="00684ACD" w:rsidRDefault="00C71001" w:rsidP="00E868D8">
            <w:pPr>
              <w:pStyle w:val="TableText"/>
              <w:keepNext/>
              <w:keepLines/>
              <w:ind w:left="113"/>
              <w:rPr>
                <w:b w:val="0"/>
              </w:rPr>
            </w:pPr>
            <w:r w:rsidRPr="00684ACD">
              <w:rPr>
                <w:b w:val="0"/>
                <w:color w:val="000000"/>
                <w:szCs w:val="20"/>
              </w:rPr>
              <w:t>Company tax</w:t>
            </w:r>
          </w:p>
        </w:tc>
        <w:tc>
          <w:tcPr>
            <w:tcW w:w="351" w:type="pct"/>
          </w:tcPr>
          <w:p w:rsidR="00C71001" w:rsidRPr="00E626A5" w:rsidRDefault="00C71001"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684ACD">
              <w:t>-17,000</w:t>
            </w:r>
          </w:p>
        </w:tc>
        <w:tc>
          <w:tcPr>
            <w:tcW w:w="351" w:type="pct"/>
          </w:tcPr>
          <w:p w:rsidR="00C71001" w:rsidRPr="00E626A5" w:rsidRDefault="00C71001"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E626A5">
              <w:t>-17,000</w:t>
            </w:r>
          </w:p>
        </w:tc>
        <w:tc>
          <w:tcPr>
            <w:tcW w:w="351" w:type="pct"/>
          </w:tcPr>
          <w:p w:rsidR="00C71001" w:rsidRPr="00E626A5" w:rsidRDefault="00C71001"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E626A5">
              <w:t>-18,000</w:t>
            </w:r>
          </w:p>
        </w:tc>
        <w:tc>
          <w:tcPr>
            <w:tcW w:w="351" w:type="pct"/>
          </w:tcPr>
          <w:p w:rsidR="00C71001" w:rsidRPr="00E626A5" w:rsidRDefault="00C71001" w:rsidP="00E4487B">
            <w:pPr>
              <w:pStyle w:val="TableTextRightBold"/>
              <w:ind w:left="-57" w:right="-57"/>
              <w:cnfStyle w:val="000000000000" w:firstRow="0" w:lastRow="0" w:firstColumn="0" w:lastColumn="0" w:oddVBand="0" w:evenVBand="0" w:oddHBand="0" w:evenHBand="0" w:firstRowFirstColumn="0" w:firstRowLastColumn="0" w:lastRowFirstColumn="0" w:lastRowLastColumn="0"/>
              <w:rPr>
                <w:b w:val="0"/>
                <w:i/>
              </w:rPr>
            </w:pPr>
            <w:r w:rsidRPr="00E626A5">
              <w:rPr>
                <w:b w:val="0"/>
                <w:i/>
              </w:rPr>
              <w:t>-52,000</w:t>
            </w:r>
          </w:p>
        </w:tc>
        <w:tc>
          <w:tcPr>
            <w:tcW w:w="351" w:type="pct"/>
          </w:tcPr>
          <w:p w:rsidR="00C71001" w:rsidRPr="00E626A5" w:rsidRDefault="00C71001"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684ACD">
              <w:t>-19,000</w:t>
            </w:r>
          </w:p>
        </w:tc>
        <w:tc>
          <w:tcPr>
            <w:tcW w:w="351" w:type="pct"/>
          </w:tcPr>
          <w:p w:rsidR="00C71001" w:rsidRPr="00E626A5" w:rsidRDefault="00C71001"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E626A5">
              <w:t>-19,000</w:t>
            </w:r>
          </w:p>
        </w:tc>
        <w:tc>
          <w:tcPr>
            <w:tcW w:w="351" w:type="pct"/>
          </w:tcPr>
          <w:p w:rsidR="00C71001" w:rsidRPr="00E626A5" w:rsidRDefault="00C71001"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E626A5">
              <w:t>-20,000</w:t>
            </w:r>
          </w:p>
        </w:tc>
        <w:tc>
          <w:tcPr>
            <w:tcW w:w="351" w:type="pct"/>
          </w:tcPr>
          <w:p w:rsidR="00C71001" w:rsidRPr="00E626A5" w:rsidRDefault="00C71001"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E626A5">
              <w:t>-18,000</w:t>
            </w:r>
          </w:p>
        </w:tc>
        <w:tc>
          <w:tcPr>
            <w:tcW w:w="351" w:type="pct"/>
          </w:tcPr>
          <w:p w:rsidR="00C71001" w:rsidRPr="00E626A5" w:rsidRDefault="00C71001"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E626A5">
              <w:t>-18,000</w:t>
            </w:r>
          </w:p>
        </w:tc>
        <w:tc>
          <w:tcPr>
            <w:tcW w:w="351" w:type="pct"/>
          </w:tcPr>
          <w:p w:rsidR="00C71001" w:rsidRPr="00E626A5" w:rsidRDefault="00C71001"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E626A5">
              <w:t>-16,000</w:t>
            </w:r>
          </w:p>
        </w:tc>
        <w:tc>
          <w:tcPr>
            <w:tcW w:w="351" w:type="pct"/>
          </w:tcPr>
          <w:p w:rsidR="00C71001" w:rsidRPr="00E626A5" w:rsidRDefault="00C71001"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E626A5">
              <w:t>-14,000</w:t>
            </w:r>
          </w:p>
        </w:tc>
        <w:tc>
          <w:tcPr>
            <w:tcW w:w="351" w:type="pct"/>
          </w:tcPr>
          <w:p w:rsidR="00C71001" w:rsidRPr="00E626A5" w:rsidRDefault="00C71001" w:rsidP="00E4487B">
            <w:pPr>
              <w:pStyle w:val="TableTextRightBold"/>
              <w:ind w:left="-57" w:right="-57"/>
              <w:cnfStyle w:val="000000000000" w:firstRow="0" w:lastRow="0" w:firstColumn="0" w:lastColumn="0" w:oddVBand="0" w:evenVBand="0" w:oddHBand="0" w:evenHBand="0" w:firstRowFirstColumn="0" w:firstRowLastColumn="0" w:lastRowFirstColumn="0" w:lastRowLastColumn="0"/>
              <w:rPr>
                <w:i/>
              </w:rPr>
            </w:pPr>
            <w:r w:rsidRPr="00E626A5">
              <w:rPr>
                <w:i/>
              </w:rPr>
              <w:t>-176,000</w:t>
            </w:r>
          </w:p>
        </w:tc>
      </w:tr>
      <w:tr w:rsidR="00A92443" w:rsidRPr="008D77AF" w:rsidTr="00A92443">
        <w:tc>
          <w:tcPr>
            <w:cnfStyle w:val="001000000000" w:firstRow="0" w:lastRow="0" w:firstColumn="1" w:lastColumn="0" w:oddVBand="0" w:evenVBand="0" w:oddHBand="0" w:evenHBand="0" w:firstRowFirstColumn="0" w:firstRowLastColumn="0" w:lastRowFirstColumn="0" w:lastRowLastColumn="0"/>
            <w:tcW w:w="786" w:type="pct"/>
            <w:vAlign w:val="center"/>
          </w:tcPr>
          <w:p w:rsidR="00C71001" w:rsidRPr="00684ACD" w:rsidRDefault="00C71001" w:rsidP="00907DFB">
            <w:pPr>
              <w:pStyle w:val="TableText"/>
              <w:keepNext/>
              <w:keepLines/>
              <w:ind w:left="113"/>
              <w:rPr>
                <w:b w:val="0"/>
              </w:rPr>
            </w:pPr>
            <w:r w:rsidRPr="00684ACD">
              <w:rPr>
                <w:b w:val="0"/>
                <w:color w:val="000000"/>
                <w:szCs w:val="20"/>
              </w:rPr>
              <w:t xml:space="preserve">Excise </w:t>
            </w:r>
            <w:r w:rsidR="00330E64">
              <w:rPr>
                <w:b w:val="0"/>
                <w:color w:val="000000"/>
                <w:szCs w:val="20"/>
              </w:rPr>
              <w:t>/</w:t>
            </w:r>
            <w:r w:rsidR="00330E64" w:rsidRPr="00684ACD">
              <w:rPr>
                <w:b w:val="0"/>
                <w:color w:val="000000"/>
                <w:szCs w:val="20"/>
              </w:rPr>
              <w:t xml:space="preserve"> </w:t>
            </w:r>
            <w:r w:rsidRPr="00684ACD">
              <w:rPr>
                <w:b w:val="0"/>
                <w:color w:val="000000"/>
                <w:szCs w:val="20"/>
              </w:rPr>
              <w:t>import duties</w:t>
            </w:r>
          </w:p>
        </w:tc>
        <w:tc>
          <w:tcPr>
            <w:tcW w:w="351" w:type="pct"/>
          </w:tcPr>
          <w:p w:rsidR="00C71001" w:rsidRPr="00E626A5" w:rsidRDefault="00C71001"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684ACD">
              <w:t>-41,380</w:t>
            </w:r>
          </w:p>
        </w:tc>
        <w:tc>
          <w:tcPr>
            <w:tcW w:w="351" w:type="pct"/>
          </w:tcPr>
          <w:p w:rsidR="00C71001" w:rsidRPr="00E626A5" w:rsidRDefault="00C71001"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E626A5">
              <w:t>-44,270</w:t>
            </w:r>
          </w:p>
        </w:tc>
        <w:tc>
          <w:tcPr>
            <w:tcW w:w="351" w:type="pct"/>
          </w:tcPr>
          <w:p w:rsidR="00C71001" w:rsidRPr="00E626A5" w:rsidRDefault="00C71001"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E626A5">
              <w:t>-47,240</w:t>
            </w:r>
          </w:p>
        </w:tc>
        <w:tc>
          <w:tcPr>
            <w:tcW w:w="351" w:type="pct"/>
          </w:tcPr>
          <w:p w:rsidR="00C71001" w:rsidRPr="00E626A5" w:rsidRDefault="00C71001" w:rsidP="00E4487B">
            <w:pPr>
              <w:pStyle w:val="TableTextRightBold"/>
              <w:ind w:left="-57" w:right="-57"/>
              <w:cnfStyle w:val="000000000000" w:firstRow="0" w:lastRow="0" w:firstColumn="0" w:lastColumn="0" w:oddVBand="0" w:evenVBand="0" w:oddHBand="0" w:evenHBand="0" w:firstRowFirstColumn="0" w:firstRowLastColumn="0" w:lastRowFirstColumn="0" w:lastRowLastColumn="0"/>
              <w:rPr>
                <w:b w:val="0"/>
                <w:i/>
              </w:rPr>
            </w:pPr>
            <w:r w:rsidRPr="00E626A5">
              <w:rPr>
                <w:b w:val="0"/>
                <w:i/>
              </w:rPr>
              <w:t>-132,890</w:t>
            </w:r>
          </w:p>
        </w:tc>
        <w:tc>
          <w:tcPr>
            <w:tcW w:w="351" w:type="pct"/>
          </w:tcPr>
          <w:p w:rsidR="00C71001" w:rsidRPr="00E626A5" w:rsidRDefault="00C71001"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684ACD">
              <w:t>-50,400</w:t>
            </w:r>
          </w:p>
        </w:tc>
        <w:tc>
          <w:tcPr>
            <w:tcW w:w="351" w:type="pct"/>
          </w:tcPr>
          <w:p w:rsidR="00C71001" w:rsidRPr="00E626A5" w:rsidRDefault="00C71001"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E626A5">
              <w:t>-53,060</w:t>
            </w:r>
          </w:p>
        </w:tc>
        <w:tc>
          <w:tcPr>
            <w:tcW w:w="351" w:type="pct"/>
          </w:tcPr>
          <w:p w:rsidR="00C71001" w:rsidRPr="00E626A5" w:rsidRDefault="00C71001"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E626A5">
              <w:t>-55,780</w:t>
            </w:r>
          </w:p>
        </w:tc>
        <w:tc>
          <w:tcPr>
            <w:tcW w:w="351" w:type="pct"/>
          </w:tcPr>
          <w:p w:rsidR="00C71001" w:rsidRPr="00E626A5" w:rsidRDefault="00C71001"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E626A5">
              <w:t>-58,530</w:t>
            </w:r>
          </w:p>
        </w:tc>
        <w:tc>
          <w:tcPr>
            <w:tcW w:w="351" w:type="pct"/>
          </w:tcPr>
          <w:p w:rsidR="00C71001" w:rsidRPr="00E626A5" w:rsidRDefault="00C71001"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E626A5">
              <w:t>-61,950</w:t>
            </w:r>
          </w:p>
        </w:tc>
        <w:tc>
          <w:tcPr>
            <w:tcW w:w="351" w:type="pct"/>
          </w:tcPr>
          <w:p w:rsidR="00C71001" w:rsidRPr="00E626A5" w:rsidRDefault="00C71001"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E626A5">
              <w:t>-64,500</w:t>
            </w:r>
          </w:p>
        </w:tc>
        <w:tc>
          <w:tcPr>
            <w:tcW w:w="351" w:type="pct"/>
          </w:tcPr>
          <w:p w:rsidR="00C71001" w:rsidRPr="00E626A5" w:rsidRDefault="00C71001"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E626A5">
              <w:t>-67,690</w:t>
            </w:r>
          </w:p>
        </w:tc>
        <w:tc>
          <w:tcPr>
            <w:tcW w:w="351" w:type="pct"/>
          </w:tcPr>
          <w:p w:rsidR="00C71001" w:rsidRPr="00E626A5" w:rsidRDefault="00C71001" w:rsidP="00E4487B">
            <w:pPr>
              <w:pStyle w:val="TableTextRightBold"/>
              <w:ind w:left="-57" w:right="-57"/>
              <w:cnfStyle w:val="000000000000" w:firstRow="0" w:lastRow="0" w:firstColumn="0" w:lastColumn="0" w:oddVBand="0" w:evenVBand="0" w:oddHBand="0" w:evenHBand="0" w:firstRowFirstColumn="0" w:firstRowLastColumn="0" w:lastRowFirstColumn="0" w:lastRowLastColumn="0"/>
              <w:rPr>
                <w:i/>
              </w:rPr>
            </w:pPr>
            <w:r w:rsidRPr="00E626A5">
              <w:rPr>
                <w:i/>
              </w:rPr>
              <w:t>-544,800</w:t>
            </w:r>
          </w:p>
        </w:tc>
      </w:tr>
      <w:tr w:rsidR="00A92443" w:rsidRPr="008D77AF" w:rsidTr="00A92443">
        <w:tc>
          <w:tcPr>
            <w:cnfStyle w:val="001000000000" w:firstRow="0" w:lastRow="0" w:firstColumn="1" w:lastColumn="0" w:oddVBand="0" w:evenVBand="0" w:oddHBand="0" w:evenHBand="0" w:firstRowFirstColumn="0" w:firstRowLastColumn="0" w:lastRowFirstColumn="0" w:lastRowLastColumn="0"/>
            <w:tcW w:w="786" w:type="pct"/>
            <w:vAlign w:val="center"/>
          </w:tcPr>
          <w:p w:rsidR="00C71001" w:rsidRPr="00684ACD" w:rsidRDefault="00C71001" w:rsidP="005642B7">
            <w:pPr>
              <w:pStyle w:val="TableText"/>
              <w:keepNext/>
              <w:keepLines/>
              <w:ind w:left="0"/>
              <w:rPr>
                <w:b w:val="0"/>
              </w:rPr>
            </w:pPr>
            <w:r w:rsidRPr="00684ACD">
              <w:rPr>
                <w:b w:val="0"/>
                <w:color w:val="000000"/>
                <w:szCs w:val="20"/>
              </w:rPr>
              <w:t>Expense</w:t>
            </w:r>
          </w:p>
        </w:tc>
        <w:tc>
          <w:tcPr>
            <w:tcW w:w="351" w:type="pct"/>
          </w:tcPr>
          <w:p w:rsidR="00C71001" w:rsidRPr="00E626A5" w:rsidRDefault="00C71001"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E626A5">
              <w:rPr>
                <w:b/>
                <w:i w:val="0"/>
              </w:rPr>
              <w:t>9,262</w:t>
            </w:r>
          </w:p>
        </w:tc>
        <w:tc>
          <w:tcPr>
            <w:tcW w:w="351" w:type="pct"/>
          </w:tcPr>
          <w:p w:rsidR="00C71001" w:rsidRPr="00E626A5" w:rsidRDefault="00C71001"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E626A5">
              <w:rPr>
                <w:b/>
                <w:i w:val="0"/>
              </w:rPr>
              <w:t>10,230</w:t>
            </w:r>
          </w:p>
        </w:tc>
        <w:tc>
          <w:tcPr>
            <w:tcW w:w="351" w:type="pct"/>
          </w:tcPr>
          <w:p w:rsidR="00C71001" w:rsidRPr="00E626A5" w:rsidRDefault="00C71001"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E626A5">
              <w:rPr>
                <w:b/>
                <w:i w:val="0"/>
              </w:rPr>
              <w:t>10,830</w:t>
            </w:r>
          </w:p>
        </w:tc>
        <w:tc>
          <w:tcPr>
            <w:tcW w:w="351" w:type="pct"/>
          </w:tcPr>
          <w:p w:rsidR="00C71001" w:rsidRPr="00E626A5" w:rsidRDefault="00C71001" w:rsidP="00E4487B">
            <w:pPr>
              <w:pStyle w:val="TableTextRightBold"/>
              <w:ind w:left="-57" w:right="-57"/>
              <w:cnfStyle w:val="000000000000" w:firstRow="0" w:lastRow="0" w:firstColumn="0" w:lastColumn="0" w:oddVBand="0" w:evenVBand="0" w:oddHBand="0" w:evenHBand="0" w:firstRowFirstColumn="0" w:firstRowLastColumn="0" w:lastRowFirstColumn="0" w:lastRowLastColumn="0"/>
            </w:pPr>
            <w:r w:rsidRPr="00E626A5">
              <w:t>30,337</w:t>
            </w:r>
          </w:p>
        </w:tc>
        <w:tc>
          <w:tcPr>
            <w:tcW w:w="351" w:type="pct"/>
          </w:tcPr>
          <w:p w:rsidR="00C71001" w:rsidRPr="00E626A5" w:rsidRDefault="00C71001"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E626A5">
              <w:rPr>
                <w:b/>
                <w:i w:val="0"/>
              </w:rPr>
              <w:t>11,710</w:t>
            </w:r>
          </w:p>
        </w:tc>
        <w:tc>
          <w:tcPr>
            <w:tcW w:w="351" w:type="pct"/>
          </w:tcPr>
          <w:p w:rsidR="00C71001" w:rsidRPr="00E626A5" w:rsidRDefault="00C71001"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E626A5">
              <w:rPr>
                <w:b/>
                <w:i w:val="0"/>
              </w:rPr>
              <w:t>12,595</w:t>
            </w:r>
          </w:p>
        </w:tc>
        <w:tc>
          <w:tcPr>
            <w:tcW w:w="351" w:type="pct"/>
          </w:tcPr>
          <w:p w:rsidR="00C71001" w:rsidRPr="00E626A5" w:rsidRDefault="00C71001"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E626A5">
              <w:rPr>
                <w:b/>
                <w:i w:val="0"/>
              </w:rPr>
              <w:t>13,525</w:t>
            </w:r>
          </w:p>
        </w:tc>
        <w:tc>
          <w:tcPr>
            <w:tcW w:w="351" w:type="pct"/>
          </w:tcPr>
          <w:p w:rsidR="00C71001" w:rsidRPr="00E626A5" w:rsidRDefault="00C71001"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E626A5">
              <w:rPr>
                <w:b/>
                <w:i w:val="0"/>
              </w:rPr>
              <w:t>14,515</w:t>
            </w:r>
          </w:p>
        </w:tc>
        <w:tc>
          <w:tcPr>
            <w:tcW w:w="351" w:type="pct"/>
          </w:tcPr>
          <w:p w:rsidR="00C71001" w:rsidRPr="00E626A5" w:rsidRDefault="00C71001"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E626A5">
              <w:rPr>
                <w:b/>
                <w:i w:val="0"/>
              </w:rPr>
              <w:t>15,495</w:t>
            </w:r>
          </w:p>
        </w:tc>
        <w:tc>
          <w:tcPr>
            <w:tcW w:w="351" w:type="pct"/>
          </w:tcPr>
          <w:p w:rsidR="00C71001" w:rsidRPr="00E626A5" w:rsidRDefault="00C71001"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E626A5">
              <w:rPr>
                <w:b/>
                <w:i w:val="0"/>
              </w:rPr>
              <w:t>16,535</w:t>
            </w:r>
          </w:p>
        </w:tc>
        <w:tc>
          <w:tcPr>
            <w:tcW w:w="351" w:type="pct"/>
          </w:tcPr>
          <w:p w:rsidR="00C71001" w:rsidRPr="00E626A5" w:rsidRDefault="00C71001"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E626A5">
              <w:rPr>
                <w:b/>
                <w:i w:val="0"/>
              </w:rPr>
              <w:t>17,615</w:t>
            </w:r>
          </w:p>
        </w:tc>
        <w:tc>
          <w:tcPr>
            <w:tcW w:w="351" w:type="pct"/>
          </w:tcPr>
          <w:p w:rsidR="00C71001" w:rsidRPr="00684ACD" w:rsidRDefault="00C71001" w:rsidP="00E4487B">
            <w:pPr>
              <w:pStyle w:val="TableTextRightBold"/>
              <w:ind w:left="-57" w:right="-57"/>
              <w:cnfStyle w:val="000000000000" w:firstRow="0" w:lastRow="0" w:firstColumn="0" w:lastColumn="0" w:oddVBand="0" w:evenVBand="0" w:oddHBand="0" w:evenHBand="0" w:firstRowFirstColumn="0" w:firstRowLastColumn="0" w:lastRowFirstColumn="0" w:lastRowLastColumn="0"/>
            </w:pPr>
            <w:r w:rsidRPr="00684ACD">
              <w:t>132,332</w:t>
            </w:r>
          </w:p>
        </w:tc>
      </w:tr>
      <w:tr w:rsidR="00A92443" w:rsidRPr="008D77AF" w:rsidTr="00A92443">
        <w:tc>
          <w:tcPr>
            <w:cnfStyle w:val="001000000000" w:firstRow="0" w:lastRow="0" w:firstColumn="1" w:lastColumn="0" w:oddVBand="0" w:evenVBand="0" w:oddHBand="0" w:evenHBand="0" w:firstRowFirstColumn="0" w:firstRowLastColumn="0" w:lastRowFirstColumn="0" w:lastRowLastColumn="0"/>
            <w:tcW w:w="786" w:type="pct"/>
            <w:vAlign w:val="center"/>
          </w:tcPr>
          <w:p w:rsidR="00C71001" w:rsidRPr="00684ACD" w:rsidRDefault="00C71001" w:rsidP="00E868D8">
            <w:pPr>
              <w:pStyle w:val="TableText"/>
              <w:keepNext/>
              <w:keepLines/>
              <w:ind w:left="113"/>
              <w:rPr>
                <w:b w:val="0"/>
              </w:rPr>
            </w:pPr>
            <w:r w:rsidRPr="00684ACD">
              <w:rPr>
                <w:b w:val="0"/>
                <w:color w:val="000000"/>
                <w:szCs w:val="20"/>
              </w:rPr>
              <w:t xml:space="preserve">Personal income tax </w:t>
            </w:r>
            <w:r w:rsidR="003C06FA">
              <w:rPr>
                <w:b w:val="0"/>
                <w:color w:val="000000"/>
                <w:szCs w:val="20"/>
              </w:rPr>
              <w:t>- departmental</w:t>
            </w:r>
          </w:p>
        </w:tc>
        <w:tc>
          <w:tcPr>
            <w:tcW w:w="351" w:type="pct"/>
          </w:tcPr>
          <w:p w:rsidR="00C71001" w:rsidRPr="00684ACD" w:rsidRDefault="00C71001"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684ACD">
              <w:t>-8</w:t>
            </w:r>
          </w:p>
        </w:tc>
        <w:tc>
          <w:tcPr>
            <w:tcW w:w="351" w:type="pct"/>
          </w:tcPr>
          <w:p w:rsidR="00C71001" w:rsidRPr="00E626A5" w:rsidRDefault="00C73FB2"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t>-</w:t>
            </w:r>
          </w:p>
        </w:tc>
        <w:tc>
          <w:tcPr>
            <w:tcW w:w="351" w:type="pct"/>
          </w:tcPr>
          <w:p w:rsidR="00C71001" w:rsidRPr="00E626A5" w:rsidRDefault="00C73FB2"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t>-</w:t>
            </w:r>
          </w:p>
        </w:tc>
        <w:tc>
          <w:tcPr>
            <w:tcW w:w="351" w:type="pct"/>
          </w:tcPr>
          <w:p w:rsidR="00C71001" w:rsidRPr="00E626A5" w:rsidRDefault="00C71001" w:rsidP="00E4487B">
            <w:pPr>
              <w:pStyle w:val="TableTextRightBold"/>
              <w:ind w:left="-57" w:right="-57"/>
              <w:cnfStyle w:val="000000000000" w:firstRow="0" w:lastRow="0" w:firstColumn="0" w:lastColumn="0" w:oddVBand="0" w:evenVBand="0" w:oddHBand="0" w:evenHBand="0" w:firstRowFirstColumn="0" w:firstRowLastColumn="0" w:lastRowFirstColumn="0" w:lastRowLastColumn="0"/>
              <w:rPr>
                <w:b w:val="0"/>
                <w:i/>
              </w:rPr>
            </w:pPr>
            <w:r w:rsidRPr="00E626A5">
              <w:rPr>
                <w:b w:val="0"/>
                <w:i/>
              </w:rPr>
              <w:t>-8</w:t>
            </w:r>
          </w:p>
        </w:tc>
        <w:tc>
          <w:tcPr>
            <w:tcW w:w="351" w:type="pct"/>
          </w:tcPr>
          <w:p w:rsidR="00C71001" w:rsidRPr="00684ACD" w:rsidRDefault="00C73FB2"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t>-</w:t>
            </w:r>
          </w:p>
        </w:tc>
        <w:tc>
          <w:tcPr>
            <w:tcW w:w="351" w:type="pct"/>
          </w:tcPr>
          <w:p w:rsidR="00C71001" w:rsidRPr="00E626A5" w:rsidRDefault="00C73FB2"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t>-</w:t>
            </w:r>
          </w:p>
        </w:tc>
        <w:tc>
          <w:tcPr>
            <w:tcW w:w="351" w:type="pct"/>
          </w:tcPr>
          <w:p w:rsidR="00C71001" w:rsidRPr="00E626A5" w:rsidRDefault="00C73FB2"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t>-</w:t>
            </w:r>
          </w:p>
        </w:tc>
        <w:tc>
          <w:tcPr>
            <w:tcW w:w="351" w:type="pct"/>
          </w:tcPr>
          <w:p w:rsidR="00C71001" w:rsidRPr="00E626A5" w:rsidRDefault="00C73FB2"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t>-</w:t>
            </w:r>
          </w:p>
        </w:tc>
        <w:tc>
          <w:tcPr>
            <w:tcW w:w="351" w:type="pct"/>
          </w:tcPr>
          <w:p w:rsidR="00C71001" w:rsidRPr="00E626A5" w:rsidRDefault="00C73FB2"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t>-</w:t>
            </w:r>
          </w:p>
        </w:tc>
        <w:tc>
          <w:tcPr>
            <w:tcW w:w="351" w:type="pct"/>
          </w:tcPr>
          <w:p w:rsidR="00C71001" w:rsidRPr="00E626A5" w:rsidRDefault="00C73FB2"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t>-</w:t>
            </w:r>
          </w:p>
        </w:tc>
        <w:tc>
          <w:tcPr>
            <w:tcW w:w="351" w:type="pct"/>
          </w:tcPr>
          <w:p w:rsidR="00C71001" w:rsidRPr="00E626A5" w:rsidRDefault="00C73FB2"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t>-</w:t>
            </w:r>
          </w:p>
        </w:tc>
        <w:tc>
          <w:tcPr>
            <w:tcW w:w="351" w:type="pct"/>
          </w:tcPr>
          <w:p w:rsidR="00C71001" w:rsidRPr="00E626A5" w:rsidRDefault="00C71001" w:rsidP="00E4487B">
            <w:pPr>
              <w:pStyle w:val="TableTextRightBold"/>
              <w:ind w:left="-57" w:right="-57"/>
              <w:cnfStyle w:val="000000000000" w:firstRow="0" w:lastRow="0" w:firstColumn="0" w:lastColumn="0" w:oddVBand="0" w:evenVBand="0" w:oddHBand="0" w:evenHBand="0" w:firstRowFirstColumn="0" w:firstRowLastColumn="0" w:lastRowFirstColumn="0" w:lastRowLastColumn="0"/>
              <w:rPr>
                <w:i/>
              </w:rPr>
            </w:pPr>
            <w:r w:rsidRPr="00E626A5">
              <w:rPr>
                <w:i/>
              </w:rPr>
              <w:t>-8</w:t>
            </w:r>
          </w:p>
        </w:tc>
      </w:tr>
      <w:tr w:rsidR="00AE09C5" w:rsidRPr="008D77AF" w:rsidTr="00A92443">
        <w:tc>
          <w:tcPr>
            <w:cnfStyle w:val="001000000000" w:firstRow="0" w:lastRow="0" w:firstColumn="1" w:lastColumn="0" w:oddVBand="0" w:evenVBand="0" w:oddHBand="0" w:evenHBand="0" w:firstRowFirstColumn="0" w:firstRowLastColumn="0" w:lastRowFirstColumn="0" w:lastRowLastColumn="0"/>
            <w:tcW w:w="786" w:type="pct"/>
            <w:vAlign w:val="center"/>
          </w:tcPr>
          <w:p w:rsidR="00AE09C5" w:rsidRPr="00907DFB" w:rsidRDefault="00AE09C5" w:rsidP="00E868D8">
            <w:pPr>
              <w:pStyle w:val="TableText"/>
              <w:keepNext/>
              <w:keepLines/>
              <w:ind w:left="113"/>
              <w:rPr>
                <w:b w:val="0"/>
                <w:color w:val="000000"/>
                <w:szCs w:val="20"/>
              </w:rPr>
            </w:pPr>
            <w:r w:rsidRPr="00907DFB">
              <w:rPr>
                <w:b w:val="0"/>
                <w:color w:val="000000"/>
                <w:szCs w:val="20"/>
              </w:rPr>
              <w:t>Excise and import duties - administered</w:t>
            </w:r>
          </w:p>
        </w:tc>
        <w:tc>
          <w:tcPr>
            <w:tcW w:w="351" w:type="pct"/>
          </w:tcPr>
          <w:p w:rsidR="00AE09C5" w:rsidRPr="00684ACD" w:rsidRDefault="00AE09C5"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2E19EC">
              <w:t>9,250</w:t>
            </w:r>
          </w:p>
        </w:tc>
        <w:tc>
          <w:tcPr>
            <w:tcW w:w="351" w:type="pct"/>
          </w:tcPr>
          <w:p w:rsidR="00AE09C5" w:rsidRPr="00E626A5" w:rsidRDefault="00AE09C5"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2E19EC">
              <w:t>10,120</w:t>
            </w:r>
          </w:p>
        </w:tc>
        <w:tc>
          <w:tcPr>
            <w:tcW w:w="351" w:type="pct"/>
          </w:tcPr>
          <w:p w:rsidR="00AE09C5" w:rsidRPr="00E626A5" w:rsidRDefault="00AE09C5"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2E19EC">
              <w:t>10,720</w:t>
            </w:r>
          </w:p>
        </w:tc>
        <w:tc>
          <w:tcPr>
            <w:tcW w:w="351" w:type="pct"/>
          </w:tcPr>
          <w:p w:rsidR="00AE09C5" w:rsidRPr="00AE09C5" w:rsidRDefault="00AE09C5" w:rsidP="00F33AD4">
            <w:pPr>
              <w:pStyle w:val="TableTextRightBold"/>
              <w:ind w:left="-57" w:right="-57"/>
              <w:cnfStyle w:val="000000000000" w:firstRow="0" w:lastRow="0" w:firstColumn="0" w:lastColumn="0" w:oddVBand="0" w:evenVBand="0" w:oddHBand="0" w:evenHBand="0" w:firstRowFirstColumn="0" w:firstRowLastColumn="0" w:lastRowFirstColumn="0" w:lastRowLastColumn="0"/>
              <w:rPr>
                <w:b w:val="0"/>
                <w:i/>
              </w:rPr>
            </w:pPr>
            <w:r w:rsidRPr="006B4078">
              <w:rPr>
                <w:b w:val="0"/>
                <w:i/>
              </w:rPr>
              <w:t>30,100</w:t>
            </w:r>
          </w:p>
        </w:tc>
        <w:tc>
          <w:tcPr>
            <w:tcW w:w="351" w:type="pct"/>
          </w:tcPr>
          <w:p w:rsidR="00AE09C5" w:rsidRPr="00684ACD" w:rsidRDefault="00AE09C5"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2E19EC">
              <w:t>11,600</w:t>
            </w:r>
          </w:p>
        </w:tc>
        <w:tc>
          <w:tcPr>
            <w:tcW w:w="351" w:type="pct"/>
          </w:tcPr>
          <w:p w:rsidR="00AE09C5" w:rsidRPr="00E626A5" w:rsidRDefault="00AE09C5"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2E19EC">
              <w:t>12,490</w:t>
            </w:r>
          </w:p>
        </w:tc>
        <w:tc>
          <w:tcPr>
            <w:tcW w:w="351" w:type="pct"/>
          </w:tcPr>
          <w:p w:rsidR="00AE09C5" w:rsidRPr="00E626A5" w:rsidRDefault="00AE09C5"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2E19EC">
              <w:t>13,420</w:t>
            </w:r>
          </w:p>
        </w:tc>
        <w:tc>
          <w:tcPr>
            <w:tcW w:w="351" w:type="pct"/>
          </w:tcPr>
          <w:p w:rsidR="00AE09C5" w:rsidRPr="00E626A5" w:rsidRDefault="00AE09C5"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2E19EC">
              <w:t>14,410</w:t>
            </w:r>
          </w:p>
        </w:tc>
        <w:tc>
          <w:tcPr>
            <w:tcW w:w="351" w:type="pct"/>
          </w:tcPr>
          <w:p w:rsidR="00AE09C5" w:rsidRPr="00E626A5" w:rsidRDefault="00AE09C5"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2E19EC">
              <w:t>15,390</w:t>
            </w:r>
          </w:p>
        </w:tc>
        <w:tc>
          <w:tcPr>
            <w:tcW w:w="351" w:type="pct"/>
          </w:tcPr>
          <w:p w:rsidR="00AE09C5" w:rsidRPr="00E626A5" w:rsidRDefault="00AE09C5"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2E19EC">
              <w:t>16,430</w:t>
            </w:r>
          </w:p>
        </w:tc>
        <w:tc>
          <w:tcPr>
            <w:tcW w:w="351" w:type="pct"/>
          </w:tcPr>
          <w:p w:rsidR="00AE09C5" w:rsidRPr="00E626A5" w:rsidRDefault="00AE09C5"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2E19EC">
              <w:t>17,510</w:t>
            </w:r>
          </w:p>
        </w:tc>
        <w:tc>
          <w:tcPr>
            <w:tcW w:w="351" w:type="pct"/>
          </w:tcPr>
          <w:p w:rsidR="00AE09C5" w:rsidRPr="00AE09C5" w:rsidRDefault="00AE09C5" w:rsidP="00E4487B">
            <w:pPr>
              <w:pStyle w:val="TableTextRightBold"/>
              <w:ind w:left="-57" w:right="-57"/>
              <w:cnfStyle w:val="000000000000" w:firstRow="0" w:lastRow="0" w:firstColumn="0" w:lastColumn="0" w:oddVBand="0" w:evenVBand="0" w:oddHBand="0" w:evenHBand="0" w:firstRowFirstColumn="0" w:firstRowLastColumn="0" w:lastRowFirstColumn="0" w:lastRowLastColumn="0"/>
              <w:rPr>
                <w:i/>
              </w:rPr>
            </w:pPr>
            <w:r w:rsidRPr="006B4078">
              <w:rPr>
                <w:i/>
              </w:rPr>
              <w:t>131,340</w:t>
            </w:r>
          </w:p>
        </w:tc>
      </w:tr>
      <w:tr w:rsidR="00AE09C5" w:rsidRPr="008D77AF" w:rsidTr="00A92443">
        <w:tc>
          <w:tcPr>
            <w:cnfStyle w:val="001000000000" w:firstRow="0" w:lastRow="0" w:firstColumn="1" w:lastColumn="0" w:oddVBand="0" w:evenVBand="0" w:oddHBand="0" w:evenHBand="0" w:firstRowFirstColumn="0" w:firstRowLastColumn="0" w:lastRowFirstColumn="0" w:lastRowLastColumn="0"/>
            <w:tcW w:w="786" w:type="pct"/>
            <w:vAlign w:val="center"/>
          </w:tcPr>
          <w:p w:rsidR="00AE09C5" w:rsidRPr="00907DFB" w:rsidRDefault="00AE09C5" w:rsidP="00E868D8">
            <w:pPr>
              <w:pStyle w:val="TableText"/>
              <w:keepNext/>
              <w:keepLines/>
              <w:ind w:left="113"/>
              <w:rPr>
                <w:b w:val="0"/>
              </w:rPr>
            </w:pPr>
            <w:r w:rsidRPr="00907DFB">
              <w:rPr>
                <w:b w:val="0"/>
                <w:color w:val="000000"/>
                <w:szCs w:val="20"/>
              </w:rPr>
              <w:t>Excise and import duties - departmental</w:t>
            </w:r>
          </w:p>
        </w:tc>
        <w:tc>
          <w:tcPr>
            <w:tcW w:w="351" w:type="pct"/>
          </w:tcPr>
          <w:p w:rsidR="00AE09C5" w:rsidRPr="00684ACD" w:rsidRDefault="00AE09C5"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2E19EC">
              <w:t>20</w:t>
            </w:r>
          </w:p>
        </w:tc>
        <w:tc>
          <w:tcPr>
            <w:tcW w:w="351" w:type="pct"/>
          </w:tcPr>
          <w:p w:rsidR="00AE09C5" w:rsidRPr="00E626A5" w:rsidRDefault="00AE09C5"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2E19EC">
              <w:t>110</w:t>
            </w:r>
          </w:p>
        </w:tc>
        <w:tc>
          <w:tcPr>
            <w:tcW w:w="351" w:type="pct"/>
          </w:tcPr>
          <w:p w:rsidR="00AE09C5" w:rsidRPr="00E626A5" w:rsidRDefault="00AE09C5"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2E19EC">
              <w:t>110</w:t>
            </w:r>
          </w:p>
        </w:tc>
        <w:tc>
          <w:tcPr>
            <w:tcW w:w="351" w:type="pct"/>
          </w:tcPr>
          <w:p w:rsidR="00AE09C5" w:rsidRPr="00AE09C5" w:rsidRDefault="00AE09C5" w:rsidP="00F33AD4">
            <w:pPr>
              <w:pStyle w:val="TableTextRightBold"/>
              <w:ind w:left="-57" w:right="-57"/>
              <w:cnfStyle w:val="000000000000" w:firstRow="0" w:lastRow="0" w:firstColumn="0" w:lastColumn="0" w:oddVBand="0" w:evenVBand="0" w:oddHBand="0" w:evenHBand="0" w:firstRowFirstColumn="0" w:firstRowLastColumn="0" w:lastRowFirstColumn="0" w:lastRowLastColumn="0"/>
              <w:rPr>
                <w:b w:val="0"/>
                <w:i/>
              </w:rPr>
            </w:pPr>
            <w:r w:rsidRPr="006B4078">
              <w:rPr>
                <w:b w:val="0"/>
                <w:i/>
              </w:rPr>
              <w:t>245</w:t>
            </w:r>
          </w:p>
        </w:tc>
        <w:tc>
          <w:tcPr>
            <w:tcW w:w="351" w:type="pct"/>
          </w:tcPr>
          <w:p w:rsidR="00AE09C5" w:rsidRPr="00684ACD" w:rsidRDefault="00AE09C5"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2E19EC">
              <w:t>110</w:t>
            </w:r>
          </w:p>
        </w:tc>
        <w:tc>
          <w:tcPr>
            <w:tcW w:w="351" w:type="pct"/>
          </w:tcPr>
          <w:p w:rsidR="00AE09C5" w:rsidRPr="00E626A5" w:rsidRDefault="00AE09C5"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2E19EC">
              <w:t>105</w:t>
            </w:r>
          </w:p>
        </w:tc>
        <w:tc>
          <w:tcPr>
            <w:tcW w:w="351" w:type="pct"/>
          </w:tcPr>
          <w:p w:rsidR="00AE09C5" w:rsidRPr="00E626A5" w:rsidRDefault="00AE09C5"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2E19EC">
              <w:t>105</w:t>
            </w:r>
          </w:p>
        </w:tc>
        <w:tc>
          <w:tcPr>
            <w:tcW w:w="351" w:type="pct"/>
          </w:tcPr>
          <w:p w:rsidR="00AE09C5" w:rsidRPr="00E626A5" w:rsidRDefault="00AE09C5"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2E19EC">
              <w:t>105</w:t>
            </w:r>
          </w:p>
        </w:tc>
        <w:tc>
          <w:tcPr>
            <w:tcW w:w="351" w:type="pct"/>
          </w:tcPr>
          <w:p w:rsidR="00AE09C5" w:rsidRPr="00E626A5" w:rsidRDefault="00AE09C5"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2E19EC">
              <w:t>105</w:t>
            </w:r>
          </w:p>
        </w:tc>
        <w:tc>
          <w:tcPr>
            <w:tcW w:w="351" w:type="pct"/>
          </w:tcPr>
          <w:p w:rsidR="00AE09C5" w:rsidRPr="00E626A5" w:rsidRDefault="00AE09C5"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2E19EC">
              <w:t>105</w:t>
            </w:r>
          </w:p>
        </w:tc>
        <w:tc>
          <w:tcPr>
            <w:tcW w:w="351" w:type="pct"/>
          </w:tcPr>
          <w:p w:rsidR="00AE09C5" w:rsidRPr="00E626A5" w:rsidRDefault="00AE09C5" w:rsidP="00E4487B">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2E19EC">
              <w:t>105</w:t>
            </w:r>
          </w:p>
        </w:tc>
        <w:tc>
          <w:tcPr>
            <w:tcW w:w="351" w:type="pct"/>
          </w:tcPr>
          <w:p w:rsidR="00AE09C5" w:rsidRPr="00AE09C5" w:rsidRDefault="00AE09C5" w:rsidP="00E4487B">
            <w:pPr>
              <w:pStyle w:val="TableTextRightBold"/>
              <w:ind w:left="-57" w:right="-57"/>
              <w:cnfStyle w:val="000000000000" w:firstRow="0" w:lastRow="0" w:firstColumn="0" w:lastColumn="0" w:oddVBand="0" w:evenVBand="0" w:oddHBand="0" w:evenHBand="0" w:firstRowFirstColumn="0" w:firstRowLastColumn="0" w:lastRowFirstColumn="0" w:lastRowLastColumn="0"/>
              <w:rPr>
                <w:i/>
              </w:rPr>
            </w:pPr>
            <w:r w:rsidRPr="006B4078">
              <w:rPr>
                <w:i/>
              </w:rPr>
              <w:t>1,000</w:t>
            </w:r>
          </w:p>
        </w:tc>
      </w:tr>
      <w:tr w:rsidR="00A92443" w:rsidTr="00A92443">
        <w:tc>
          <w:tcPr>
            <w:cnfStyle w:val="001000000000" w:firstRow="0" w:lastRow="0" w:firstColumn="1" w:lastColumn="0" w:oddVBand="0" w:evenVBand="0" w:oddHBand="0" w:evenHBand="0" w:firstRowFirstColumn="0" w:firstRowLastColumn="0" w:lastRowFirstColumn="0" w:lastRowLastColumn="0"/>
            <w:tcW w:w="786" w:type="pct"/>
            <w:shd w:val="clear" w:color="auto" w:fill="D7DDE9" w:themeFill="accent3"/>
            <w:vAlign w:val="center"/>
          </w:tcPr>
          <w:p w:rsidR="00C71001" w:rsidRPr="008D77AF" w:rsidRDefault="00C71001" w:rsidP="0056001A">
            <w:pPr>
              <w:pStyle w:val="TableText"/>
              <w:keepNext/>
              <w:keepLines/>
            </w:pPr>
            <w:r w:rsidRPr="008D77AF">
              <w:t>Total</w:t>
            </w:r>
          </w:p>
        </w:tc>
        <w:tc>
          <w:tcPr>
            <w:tcW w:w="351" w:type="pct"/>
            <w:shd w:val="clear" w:color="auto" w:fill="D7DDE9" w:themeFill="accent3"/>
          </w:tcPr>
          <w:p w:rsidR="00C71001" w:rsidRDefault="00C71001" w:rsidP="00E4487B">
            <w:pPr>
              <w:pStyle w:val="TableTextRightBold"/>
              <w:ind w:left="-57" w:right="-57"/>
              <w:cnfStyle w:val="000000000000" w:firstRow="0" w:lastRow="0" w:firstColumn="0" w:lastColumn="0" w:oddVBand="0" w:evenVBand="0" w:oddHBand="0" w:evenHBand="0" w:firstRowFirstColumn="0" w:firstRowLastColumn="0" w:lastRowFirstColumn="0" w:lastRowLastColumn="0"/>
            </w:pPr>
            <w:r w:rsidRPr="00BE635A">
              <w:t>-164,118</w:t>
            </w:r>
          </w:p>
        </w:tc>
        <w:tc>
          <w:tcPr>
            <w:tcW w:w="351" w:type="pct"/>
            <w:shd w:val="clear" w:color="auto" w:fill="D7DDE9" w:themeFill="accent3"/>
          </w:tcPr>
          <w:p w:rsidR="00C71001" w:rsidRDefault="00C71001" w:rsidP="00E4487B">
            <w:pPr>
              <w:pStyle w:val="TableTextRightBold"/>
              <w:ind w:left="-57" w:right="-57"/>
              <w:cnfStyle w:val="000000000000" w:firstRow="0" w:lastRow="0" w:firstColumn="0" w:lastColumn="0" w:oddVBand="0" w:evenVBand="0" w:oddHBand="0" w:evenHBand="0" w:firstRowFirstColumn="0" w:firstRowLastColumn="0" w:lastRowFirstColumn="0" w:lastRowLastColumn="0"/>
            </w:pPr>
            <w:r w:rsidRPr="00BE635A">
              <w:t>-187,040</w:t>
            </w:r>
          </w:p>
        </w:tc>
        <w:tc>
          <w:tcPr>
            <w:tcW w:w="351" w:type="pct"/>
            <w:shd w:val="clear" w:color="auto" w:fill="D7DDE9" w:themeFill="accent3"/>
          </w:tcPr>
          <w:p w:rsidR="00C71001" w:rsidRDefault="00C71001" w:rsidP="00E4487B">
            <w:pPr>
              <w:pStyle w:val="TableTextRightBold"/>
              <w:ind w:left="-57" w:right="-57"/>
              <w:cnfStyle w:val="000000000000" w:firstRow="0" w:lastRow="0" w:firstColumn="0" w:lastColumn="0" w:oddVBand="0" w:evenVBand="0" w:oddHBand="0" w:evenHBand="0" w:firstRowFirstColumn="0" w:firstRowLastColumn="0" w:lastRowFirstColumn="0" w:lastRowLastColumn="0"/>
            </w:pPr>
            <w:r w:rsidRPr="00BE635A">
              <w:t>-197,410</w:t>
            </w:r>
          </w:p>
        </w:tc>
        <w:tc>
          <w:tcPr>
            <w:tcW w:w="351" w:type="pct"/>
            <w:shd w:val="clear" w:color="auto" w:fill="D7DDE9" w:themeFill="accent3"/>
          </w:tcPr>
          <w:p w:rsidR="00C71001" w:rsidRDefault="00C71001" w:rsidP="00E4487B">
            <w:pPr>
              <w:pStyle w:val="TableTextRightBold"/>
              <w:ind w:left="-57" w:right="-57"/>
              <w:cnfStyle w:val="000000000000" w:firstRow="0" w:lastRow="0" w:firstColumn="0" w:lastColumn="0" w:oddVBand="0" w:evenVBand="0" w:oddHBand="0" w:evenHBand="0" w:firstRowFirstColumn="0" w:firstRowLastColumn="0" w:lastRowFirstColumn="0" w:lastRowLastColumn="0"/>
            </w:pPr>
            <w:r w:rsidRPr="00BE635A">
              <w:t>-548,568</w:t>
            </w:r>
          </w:p>
        </w:tc>
        <w:tc>
          <w:tcPr>
            <w:tcW w:w="351" w:type="pct"/>
            <w:shd w:val="clear" w:color="auto" w:fill="D7DDE9" w:themeFill="accent3"/>
          </w:tcPr>
          <w:p w:rsidR="00C71001" w:rsidRDefault="00C71001" w:rsidP="00E4487B">
            <w:pPr>
              <w:pStyle w:val="TableTextRightBold"/>
              <w:ind w:left="-57" w:right="-57"/>
              <w:cnfStyle w:val="000000000000" w:firstRow="0" w:lastRow="0" w:firstColumn="0" w:lastColumn="0" w:oddVBand="0" w:evenVBand="0" w:oddHBand="0" w:evenHBand="0" w:firstRowFirstColumn="0" w:firstRowLastColumn="0" w:lastRowFirstColumn="0" w:lastRowLastColumn="0"/>
            </w:pPr>
            <w:r w:rsidRPr="00BE635A">
              <w:t>-209,690</w:t>
            </w:r>
          </w:p>
        </w:tc>
        <w:tc>
          <w:tcPr>
            <w:tcW w:w="351" w:type="pct"/>
            <w:shd w:val="clear" w:color="auto" w:fill="D7DDE9" w:themeFill="accent3"/>
          </w:tcPr>
          <w:p w:rsidR="00C71001" w:rsidRDefault="00C71001" w:rsidP="00E4487B">
            <w:pPr>
              <w:pStyle w:val="TableTextRightBold"/>
              <w:ind w:left="-57" w:right="-57"/>
              <w:cnfStyle w:val="000000000000" w:firstRow="0" w:lastRow="0" w:firstColumn="0" w:lastColumn="0" w:oddVBand="0" w:evenVBand="0" w:oddHBand="0" w:evenHBand="0" w:firstRowFirstColumn="0" w:firstRowLastColumn="0" w:lastRowFirstColumn="0" w:lastRowLastColumn="0"/>
            </w:pPr>
            <w:r w:rsidRPr="00BE635A">
              <w:t>-219,465</w:t>
            </w:r>
          </w:p>
        </w:tc>
        <w:tc>
          <w:tcPr>
            <w:tcW w:w="351" w:type="pct"/>
            <w:shd w:val="clear" w:color="auto" w:fill="D7DDE9" w:themeFill="accent3"/>
          </w:tcPr>
          <w:p w:rsidR="00C71001" w:rsidRDefault="00C71001" w:rsidP="00E4487B">
            <w:pPr>
              <w:pStyle w:val="TableTextRightBold"/>
              <w:ind w:left="-57" w:right="-57"/>
              <w:cnfStyle w:val="000000000000" w:firstRow="0" w:lastRow="0" w:firstColumn="0" w:lastColumn="0" w:oddVBand="0" w:evenVBand="0" w:oddHBand="0" w:evenHBand="0" w:firstRowFirstColumn="0" w:firstRowLastColumn="0" w:lastRowFirstColumn="0" w:lastRowLastColumn="0"/>
            </w:pPr>
            <w:r w:rsidRPr="00BE635A">
              <w:t>-231,255</w:t>
            </w:r>
          </w:p>
        </w:tc>
        <w:tc>
          <w:tcPr>
            <w:tcW w:w="351" w:type="pct"/>
            <w:shd w:val="clear" w:color="auto" w:fill="D7DDE9" w:themeFill="accent3"/>
          </w:tcPr>
          <w:p w:rsidR="00C71001" w:rsidRDefault="00C71001" w:rsidP="00E4487B">
            <w:pPr>
              <w:pStyle w:val="TableTextRightBold"/>
              <w:ind w:left="-57" w:right="-57"/>
              <w:cnfStyle w:val="000000000000" w:firstRow="0" w:lastRow="0" w:firstColumn="0" w:lastColumn="0" w:oddVBand="0" w:evenVBand="0" w:oddHBand="0" w:evenHBand="0" w:firstRowFirstColumn="0" w:firstRowLastColumn="0" w:lastRowFirstColumn="0" w:lastRowLastColumn="0"/>
            </w:pPr>
            <w:r w:rsidRPr="00BE635A">
              <w:t>-241,015</w:t>
            </w:r>
          </w:p>
        </w:tc>
        <w:tc>
          <w:tcPr>
            <w:tcW w:w="351" w:type="pct"/>
            <w:shd w:val="clear" w:color="auto" w:fill="D7DDE9" w:themeFill="accent3"/>
          </w:tcPr>
          <w:p w:rsidR="00C71001" w:rsidRDefault="00C71001" w:rsidP="00E4487B">
            <w:pPr>
              <w:pStyle w:val="TableTextRightBold"/>
              <w:ind w:left="-57" w:right="-57"/>
              <w:cnfStyle w:val="000000000000" w:firstRow="0" w:lastRow="0" w:firstColumn="0" w:lastColumn="0" w:oddVBand="0" w:evenVBand="0" w:oddHBand="0" w:evenHBand="0" w:firstRowFirstColumn="0" w:firstRowLastColumn="0" w:lastRowFirstColumn="0" w:lastRowLastColumn="0"/>
            </w:pPr>
            <w:r w:rsidRPr="00BE635A">
              <w:t>-252,455</w:t>
            </w:r>
          </w:p>
        </w:tc>
        <w:tc>
          <w:tcPr>
            <w:tcW w:w="351" w:type="pct"/>
            <w:shd w:val="clear" w:color="auto" w:fill="D7DDE9" w:themeFill="accent3"/>
          </w:tcPr>
          <w:p w:rsidR="00C71001" w:rsidRDefault="00C71001" w:rsidP="00E4487B">
            <w:pPr>
              <w:pStyle w:val="TableTextRightBold"/>
              <w:ind w:left="-57" w:right="-57"/>
              <w:cnfStyle w:val="000000000000" w:firstRow="0" w:lastRow="0" w:firstColumn="0" w:lastColumn="0" w:oddVBand="0" w:evenVBand="0" w:oddHBand="0" w:evenHBand="0" w:firstRowFirstColumn="0" w:firstRowLastColumn="0" w:lastRowFirstColumn="0" w:lastRowLastColumn="0"/>
            </w:pPr>
            <w:r w:rsidRPr="00BE635A">
              <w:t>-262,965</w:t>
            </w:r>
          </w:p>
        </w:tc>
        <w:tc>
          <w:tcPr>
            <w:tcW w:w="351" w:type="pct"/>
            <w:shd w:val="clear" w:color="auto" w:fill="D7DDE9" w:themeFill="accent3"/>
          </w:tcPr>
          <w:p w:rsidR="00C71001" w:rsidRDefault="00C71001" w:rsidP="00E4487B">
            <w:pPr>
              <w:pStyle w:val="TableTextRightBold"/>
              <w:ind w:left="-57" w:right="-57"/>
              <w:cnfStyle w:val="000000000000" w:firstRow="0" w:lastRow="0" w:firstColumn="0" w:lastColumn="0" w:oddVBand="0" w:evenVBand="0" w:oddHBand="0" w:evenHBand="0" w:firstRowFirstColumn="0" w:firstRowLastColumn="0" w:lastRowFirstColumn="0" w:lastRowLastColumn="0"/>
            </w:pPr>
            <w:r w:rsidRPr="00BE635A">
              <w:t>-275,075</w:t>
            </w:r>
          </w:p>
        </w:tc>
        <w:tc>
          <w:tcPr>
            <w:tcW w:w="351" w:type="pct"/>
            <w:shd w:val="clear" w:color="auto" w:fill="D7DDE9" w:themeFill="accent3"/>
          </w:tcPr>
          <w:p w:rsidR="00C71001" w:rsidRDefault="00C71001" w:rsidP="00E4487B">
            <w:pPr>
              <w:pStyle w:val="TableTextRightBold"/>
              <w:ind w:left="-57" w:right="-57"/>
              <w:cnfStyle w:val="000000000000" w:firstRow="0" w:lastRow="0" w:firstColumn="0" w:lastColumn="0" w:oddVBand="0" w:evenVBand="0" w:oddHBand="0" w:evenHBand="0" w:firstRowFirstColumn="0" w:firstRowLastColumn="0" w:lastRowFirstColumn="0" w:lastRowLastColumn="0"/>
            </w:pPr>
            <w:r w:rsidRPr="00BE635A">
              <w:t>-2,240,488</w:t>
            </w:r>
          </w:p>
        </w:tc>
      </w:tr>
    </w:tbl>
    <w:p w:rsidR="002D239A" w:rsidRDefault="0056001A" w:rsidP="00014247">
      <w:pPr>
        <w:pStyle w:val="TableFootnotes"/>
        <w:keepNext/>
        <w:numPr>
          <w:ilvl w:val="0"/>
          <w:numId w:val="12"/>
        </w:numPr>
        <w:ind w:left="284" w:hanging="284"/>
      </w:pPr>
      <w:r>
        <w:t>A positive number for the fiscal balance indicates an increase in revenue or a decrease in expenses or net capital investment in accrual terms.  A negative number for the fiscal balance indicates a decrease in revenue or an increase in expenses or net capital investment in accrual terms.</w:t>
      </w:r>
    </w:p>
    <w:p w:rsidR="002D239A" w:rsidRDefault="002D239A" w:rsidP="00AF568A">
      <w:pPr>
        <w:pStyle w:val="TableFootnotes"/>
        <w:keepNext/>
      </w:pPr>
      <w:r>
        <w:t>Figures may not sum to totals due to rounding.</w:t>
      </w:r>
    </w:p>
    <w:p w:rsidR="00330E64" w:rsidRDefault="00330E64" w:rsidP="00907DFB">
      <w:pPr>
        <w:pStyle w:val="TableFootnotes"/>
      </w:pPr>
      <w:r>
        <w:t>Component estimates are the financial impact of each component of the option costed.</w:t>
      </w:r>
    </w:p>
    <w:p w:rsidR="001B429F" w:rsidRPr="009A3755" w:rsidRDefault="009A3755" w:rsidP="00D17A0B">
      <w:pPr>
        <w:pStyle w:val="TableFootnotes"/>
        <w:numPr>
          <w:ilvl w:val="0"/>
          <w:numId w:val="11"/>
        </w:numPr>
        <w:ind w:left="284" w:hanging="284"/>
        <w:rPr>
          <w:b/>
          <w:bCs/>
          <w:color w:val="2B3B5F" w:themeColor="text2"/>
          <w:spacing w:val="-4"/>
        </w:rPr>
      </w:pPr>
      <w:r>
        <w:t>Indicates nil.</w:t>
      </w:r>
    </w:p>
    <w:p w:rsidR="00AF568A" w:rsidRDefault="00AF568A" w:rsidP="00E4487B">
      <w:pPr>
        <w:pStyle w:val="Caption"/>
        <w:keepNext w:val="0"/>
        <w:keepLines/>
        <w:widowControl w:val="0"/>
        <w:rPr>
          <w:vertAlign w:val="superscript"/>
        </w:rPr>
      </w:pPr>
      <w:r w:rsidRPr="002D239A">
        <w:lastRenderedPageBreak/>
        <w:t xml:space="preserve">Table </w:t>
      </w:r>
      <w:r w:rsidR="001F29CD">
        <w:fldChar w:fldCharType="begin"/>
      </w:r>
      <w:r w:rsidR="001F29CD">
        <w:instrText xml:space="preserve"> STYLEREF 8 \s </w:instrText>
      </w:r>
      <w:r w:rsidR="001F29CD">
        <w:fldChar w:fldCharType="separate"/>
      </w:r>
      <w:r w:rsidR="00784163">
        <w:rPr>
          <w:noProof/>
        </w:rPr>
        <w:t>A</w:t>
      </w:r>
      <w:r w:rsidR="001F29CD">
        <w:rPr>
          <w:noProof/>
        </w:rPr>
        <w:fldChar w:fldCharType="end"/>
      </w:r>
      <w:r w:rsidR="001F29CD">
        <w:fldChar w:fldCharType="begin"/>
      </w:r>
      <w:r w:rsidR="001F29CD">
        <w:instrText xml:space="preserve"> SEQ AppendixTable\s 8 </w:instrText>
      </w:r>
      <w:r w:rsidR="001F29CD">
        <w:fldChar w:fldCharType="separate"/>
      </w:r>
      <w:r w:rsidR="00784163">
        <w:rPr>
          <w:noProof/>
        </w:rPr>
        <w:t>2</w:t>
      </w:r>
      <w:r w:rsidR="001F29CD">
        <w:rPr>
          <w:noProof/>
        </w:rPr>
        <w:fldChar w:fldCharType="end"/>
      </w:r>
      <w:r w:rsidRPr="002D239A">
        <w:t xml:space="preserve">: </w:t>
      </w:r>
      <w:r w:rsidR="008B4307">
        <w:t xml:space="preserve">Tax – </w:t>
      </w:r>
      <w:r w:rsidR="005642B7">
        <w:t xml:space="preserve">Option 1 </w:t>
      </w:r>
      <w:r w:rsidR="00256CD7">
        <w:t>– Personal income tax, company tax</w:t>
      </w:r>
      <w:r w:rsidR="009A3755">
        <w:t>,</w:t>
      </w:r>
      <w:r w:rsidR="00256CD7">
        <w:t xml:space="preserve"> and excise</w:t>
      </w:r>
      <w:r w:rsidR="001E5C16">
        <w:t xml:space="preserve"> and customs duty</w:t>
      </w:r>
      <w:r>
        <w:t>—</w:t>
      </w:r>
      <w:r w:rsidR="0056001A">
        <w:t>Underlying cash</w:t>
      </w:r>
      <w:r>
        <w:t xml:space="preserve"> </w:t>
      </w:r>
      <w:proofErr w:type="gramStart"/>
      <w:r>
        <w:t>balance</w:t>
      </w:r>
      <w:r w:rsidRPr="002D239A">
        <w:rPr>
          <w:vertAlign w:val="superscript"/>
        </w:rPr>
        <w:t>(</w:t>
      </w:r>
      <w:proofErr w:type="gramEnd"/>
      <w:r w:rsidRPr="002D239A">
        <w:rPr>
          <w:vertAlign w:val="superscript"/>
        </w:rPr>
        <w:t>a)(b)</w:t>
      </w:r>
    </w:p>
    <w:tbl>
      <w:tblPr>
        <w:tblStyle w:val="LightGrid-Accent6"/>
        <w:tblW w:w="5000" w:type="pct"/>
        <w:tblLayout w:type="fixed"/>
        <w:tblLook w:val="0680" w:firstRow="0" w:lastRow="0" w:firstColumn="1" w:lastColumn="0" w:noHBand="1" w:noVBand="1"/>
      </w:tblPr>
      <w:tblGrid>
        <w:gridCol w:w="2236"/>
        <w:gridCol w:w="999"/>
        <w:gridCol w:w="999"/>
        <w:gridCol w:w="999"/>
        <w:gridCol w:w="999"/>
        <w:gridCol w:w="999"/>
        <w:gridCol w:w="999"/>
        <w:gridCol w:w="999"/>
        <w:gridCol w:w="999"/>
        <w:gridCol w:w="998"/>
        <w:gridCol w:w="998"/>
        <w:gridCol w:w="998"/>
        <w:gridCol w:w="998"/>
      </w:tblGrid>
      <w:tr w:rsidR="00080CED" w:rsidTr="00AE09C5">
        <w:tc>
          <w:tcPr>
            <w:cnfStyle w:val="001000000000" w:firstRow="0" w:lastRow="0" w:firstColumn="1" w:lastColumn="0" w:oddVBand="0" w:evenVBand="0" w:oddHBand="0" w:evenHBand="0" w:firstRowFirstColumn="0" w:firstRowLastColumn="0" w:lastRowFirstColumn="0" w:lastRowLastColumn="0"/>
            <w:tcW w:w="786" w:type="pct"/>
            <w:shd w:val="clear" w:color="auto" w:fill="D7DDE9" w:themeFill="accent3"/>
            <w:vAlign w:val="center"/>
          </w:tcPr>
          <w:p w:rsidR="005213FE" w:rsidRDefault="005213FE" w:rsidP="00E4487B">
            <w:pPr>
              <w:pStyle w:val="TableHeading"/>
              <w:keepNext w:val="0"/>
              <w:widowControl w:val="0"/>
            </w:pPr>
            <w:r>
              <w:t>($m)</w:t>
            </w:r>
          </w:p>
          <w:p w:rsidR="00607EB6" w:rsidRPr="002D239A" w:rsidRDefault="00607EB6" w:rsidP="00E4487B">
            <w:pPr>
              <w:pStyle w:val="TableHeading"/>
              <w:keepNext w:val="0"/>
              <w:widowControl w:val="0"/>
            </w:pPr>
            <w:r>
              <w:t>Component</w:t>
            </w:r>
            <w:r w:rsidRPr="002D239A">
              <w:rPr>
                <w:vertAlign w:val="superscript"/>
              </w:rPr>
              <w:t>(</w:t>
            </w:r>
            <w:r>
              <w:rPr>
                <w:vertAlign w:val="superscript"/>
              </w:rPr>
              <w:t>c)</w:t>
            </w:r>
          </w:p>
        </w:tc>
        <w:tc>
          <w:tcPr>
            <w:tcW w:w="351" w:type="pct"/>
            <w:shd w:val="clear" w:color="auto" w:fill="D7DDE9" w:themeFill="accent3"/>
            <w:vAlign w:val="center"/>
          </w:tcPr>
          <w:p w:rsidR="005213FE" w:rsidRPr="002D239A" w:rsidRDefault="005213FE" w:rsidP="00E4487B">
            <w:pPr>
              <w:pStyle w:val="TableHeadingRight"/>
              <w:keepNext w:val="0"/>
              <w:widowControl w:val="0"/>
              <w:ind w:left="-57" w:right="-57"/>
              <w:cnfStyle w:val="000000000000" w:firstRow="0" w:lastRow="0" w:firstColumn="0" w:lastColumn="0" w:oddVBand="0" w:evenVBand="0" w:oddHBand="0" w:evenHBand="0" w:firstRowFirstColumn="0" w:firstRowLastColumn="0" w:lastRowFirstColumn="0" w:lastRowLastColumn="0"/>
              <w:rPr>
                <w:b w:val="0"/>
              </w:rPr>
            </w:pPr>
            <w:r>
              <w:rPr>
                <w:b w:val="0"/>
              </w:rPr>
              <w:t>2017-18</w:t>
            </w:r>
          </w:p>
        </w:tc>
        <w:tc>
          <w:tcPr>
            <w:tcW w:w="351" w:type="pct"/>
            <w:shd w:val="clear" w:color="auto" w:fill="D7DDE9" w:themeFill="accent3"/>
            <w:vAlign w:val="center"/>
          </w:tcPr>
          <w:p w:rsidR="005213FE" w:rsidRPr="002D239A" w:rsidRDefault="005213FE" w:rsidP="00E4487B">
            <w:pPr>
              <w:pStyle w:val="TableHeadingRight"/>
              <w:keepNext w:val="0"/>
              <w:widowControl w:val="0"/>
              <w:ind w:left="-57" w:right="-57"/>
              <w:cnfStyle w:val="000000000000" w:firstRow="0" w:lastRow="0" w:firstColumn="0" w:lastColumn="0" w:oddVBand="0" w:evenVBand="0" w:oddHBand="0" w:evenHBand="0" w:firstRowFirstColumn="0" w:firstRowLastColumn="0" w:lastRowFirstColumn="0" w:lastRowLastColumn="0"/>
              <w:rPr>
                <w:b w:val="0"/>
              </w:rPr>
            </w:pPr>
            <w:r>
              <w:rPr>
                <w:b w:val="0"/>
              </w:rPr>
              <w:t>2018-19</w:t>
            </w:r>
          </w:p>
        </w:tc>
        <w:tc>
          <w:tcPr>
            <w:tcW w:w="351" w:type="pct"/>
            <w:shd w:val="clear" w:color="auto" w:fill="D7DDE9" w:themeFill="accent3"/>
            <w:vAlign w:val="center"/>
          </w:tcPr>
          <w:p w:rsidR="005213FE" w:rsidRPr="002D239A" w:rsidRDefault="005213FE" w:rsidP="00E4487B">
            <w:pPr>
              <w:pStyle w:val="TableHeadingRight"/>
              <w:keepNext w:val="0"/>
              <w:widowControl w:val="0"/>
              <w:ind w:left="-57" w:right="-57"/>
              <w:cnfStyle w:val="000000000000" w:firstRow="0" w:lastRow="0" w:firstColumn="0" w:lastColumn="0" w:oddVBand="0" w:evenVBand="0" w:oddHBand="0" w:evenHBand="0" w:firstRowFirstColumn="0" w:firstRowLastColumn="0" w:lastRowFirstColumn="0" w:lastRowLastColumn="0"/>
              <w:rPr>
                <w:b w:val="0"/>
              </w:rPr>
            </w:pPr>
            <w:r>
              <w:rPr>
                <w:b w:val="0"/>
              </w:rPr>
              <w:t>2019-20</w:t>
            </w:r>
          </w:p>
        </w:tc>
        <w:tc>
          <w:tcPr>
            <w:tcW w:w="351" w:type="pct"/>
            <w:shd w:val="clear" w:color="auto" w:fill="D7DDE9" w:themeFill="accent3"/>
            <w:vAlign w:val="center"/>
          </w:tcPr>
          <w:p w:rsidR="005213FE" w:rsidRPr="002D239A" w:rsidRDefault="005213FE" w:rsidP="00E4487B">
            <w:pPr>
              <w:pStyle w:val="TableHeadingRight"/>
              <w:keepNext w:val="0"/>
              <w:widowControl w:val="0"/>
              <w:ind w:left="-57" w:right="-57"/>
              <w:cnfStyle w:val="000000000000" w:firstRow="0" w:lastRow="0" w:firstColumn="0" w:lastColumn="0" w:oddVBand="0" w:evenVBand="0" w:oddHBand="0" w:evenHBand="0" w:firstRowFirstColumn="0" w:firstRowLastColumn="0" w:lastRowFirstColumn="0" w:lastRowLastColumn="0"/>
              <w:rPr>
                <w:b w:val="0"/>
              </w:rPr>
            </w:pPr>
            <w:r>
              <w:t>Total to 2019-20</w:t>
            </w:r>
          </w:p>
        </w:tc>
        <w:tc>
          <w:tcPr>
            <w:tcW w:w="351" w:type="pct"/>
            <w:shd w:val="clear" w:color="auto" w:fill="D7DDE9" w:themeFill="accent3"/>
            <w:vAlign w:val="center"/>
          </w:tcPr>
          <w:p w:rsidR="005213FE" w:rsidRPr="002D239A" w:rsidRDefault="005213FE" w:rsidP="00E4487B">
            <w:pPr>
              <w:pStyle w:val="TableText"/>
              <w:keepLines/>
              <w:widowControl w:val="0"/>
              <w:ind w:left="-57" w:right="-57"/>
              <w:cnfStyle w:val="000000000000" w:firstRow="0" w:lastRow="0" w:firstColumn="0" w:lastColumn="0" w:oddVBand="0" w:evenVBand="0" w:oddHBand="0" w:evenHBand="0" w:firstRowFirstColumn="0" w:firstRowLastColumn="0" w:lastRowFirstColumn="0" w:lastRowLastColumn="0"/>
            </w:pPr>
            <w:r>
              <w:t>2020-21</w:t>
            </w:r>
          </w:p>
        </w:tc>
        <w:tc>
          <w:tcPr>
            <w:tcW w:w="351" w:type="pct"/>
            <w:shd w:val="clear" w:color="auto" w:fill="D7DDE9" w:themeFill="accent3"/>
            <w:vAlign w:val="center"/>
          </w:tcPr>
          <w:p w:rsidR="005213FE" w:rsidRPr="002D239A" w:rsidRDefault="005213FE" w:rsidP="00E4487B">
            <w:pPr>
              <w:pStyle w:val="TableText"/>
              <w:keepLines/>
              <w:widowControl w:val="0"/>
              <w:ind w:left="-57" w:right="-57"/>
              <w:cnfStyle w:val="000000000000" w:firstRow="0" w:lastRow="0" w:firstColumn="0" w:lastColumn="0" w:oddVBand="0" w:evenVBand="0" w:oddHBand="0" w:evenHBand="0" w:firstRowFirstColumn="0" w:firstRowLastColumn="0" w:lastRowFirstColumn="0" w:lastRowLastColumn="0"/>
            </w:pPr>
            <w:r>
              <w:t>2021-22</w:t>
            </w:r>
          </w:p>
        </w:tc>
        <w:tc>
          <w:tcPr>
            <w:tcW w:w="351" w:type="pct"/>
            <w:shd w:val="clear" w:color="auto" w:fill="D7DDE9" w:themeFill="accent3"/>
            <w:vAlign w:val="center"/>
          </w:tcPr>
          <w:p w:rsidR="005213FE" w:rsidRPr="002D239A" w:rsidRDefault="005213FE" w:rsidP="00E4487B">
            <w:pPr>
              <w:pStyle w:val="TableText"/>
              <w:keepLines/>
              <w:widowControl w:val="0"/>
              <w:ind w:left="-57" w:right="-57"/>
              <w:cnfStyle w:val="000000000000" w:firstRow="0" w:lastRow="0" w:firstColumn="0" w:lastColumn="0" w:oddVBand="0" w:evenVBand="0" w:oddHBand="0" w:evenHBand="0" w:firstRowFirstColumn="0" w:firstRowLastColumn="0" w:lastRowFirstColumn="0" w:lastRowLastColumn="0"/>
            </w:pPr>
            <w:r>
              <w:t>2022-23</w:t>
            </w:r>
          </w:p>
        </w:tc>
        <w:tc>
          <w:tcPr>
            <w:tcW w:w="351" w:type="pct"/>
            <w:shd w:val="clear" w:color="auto" w:fill="D7DDE9" w:themeFill="accent3"/>
            <w:vAlign w:val="center"/>
          </w:tcPr>
          <w:p w:rsidR="005213FE" w:rsidRPr="002D239A" w:rsidRDefault="005213FE" w:rsidP="00E4487B">
            <w:pPr>
              <w:pStyle w:val="TableText"/>
              <w:keepLines/>
              <w:widowControl w:val="0"/>
              <w:ind w:left="-57" w:right="-57"/>
              <w:cnfStyle w:val="000000000000" w:firstRow="0" w:lastRow="0" w:firstColumn="0" w:lastColumn="0" w:oddVBand="0" w:evenVBand="0" w:oddHBand="0" w:evenHBand="0" w:firstRowFirstColumn="0" w:firstRowLastColumn="0" w:lastRowFirstColumn="0" w:lastRowLastColumn="0"/>
            </w:pPr>
            <w:r>
              <w:t>2023-24</w:t>
            </w:r>
          </w:p>
        </w:tc>
        <w:tc>
          <w:tcPr>
            <w:tcW w:w="351" w:type="pct"/>
            <w:shd w:val="clear" w:color="auto" w:fill="D7DDE9" w:themeFill="accent3"/>
            <w:vAlign w:val="center"/>
          </w:tcPr>
          <w:p w:rsidR="005213FE" w:rsidRPr="002D239A" w:rsidRDefault="005213FE" w:rsidP="00E4487B">
            <w:pPr>
              <w:pStyle w:val="TableText"/>
              <w:keepLines/>
              <w:widowControl w:val="0"/>
              <w:ind w:left="-57" w:right="-57"/>
              <w:cnfStyle w:val="000000000000" w:firstRow="0" w:lastRow="0" w:firstColumn="0" w:lastColumn="0" w:oddVBand="0" w:evenVBand="0" w:oddHBand="0" w:evenHBand="0" w:firstRowFirstColumn="0" w:firstRowLastColumn="0" w:lastRowFirstColumn="0" w:lastRowLastColumn="0"/>
            </w:pPr>
            <w:r>
              <w:t>2024-25</w:t>
            </w:r>
          </w:p>
        </w:tc>
        <w:tc>
          <w:tcPr>
            <w:tcW w:w="351" w:type="pct"/>
            <w:shd w:val="clear" w:color="auto" w:fill="D7DDE9" w:themeFill="accent3"/>
            <w:vAlign w:val="center"/>
          </w:tcPr>
          <w:p w:rsidR="005213FE" w:rsidRPr="002D239A" w:rsidRDefault="005213FE" w:rsidP="00E4487B">
            <w:pPr>
              <w:pStyle w:val="TableText"/>
              <w:keepLines/>
              <w:widowControl w:val="0"/>
              <w:ind w:left="-57" w:right="-57"/>
              <w:jc w:val="right"/>
              <w:cnfStyle w:val="000000000000" w:firstRow="0" w:lastRow="0" w:firstColumn="0" w:lastColumn="0" w:oddVBand="0" w:evenVBand="0" w:oddHBand="0" w:evenHBand="0" w:firstRowFirstColumn="0" w:firstRowLastColumn="0" w:lastRowFirstColumn="0" w:lastRowLastColumn="0"/>
            </w:pPr>
            <w:r>
              <w:t>2025-26</w:t>
            </w:r>
          </w:p>
        </w:tc>
        <w:tc>
          <w:tcPr>
            <w:tcW w:w="351" w:type="pct"/>
            <w:shd w:val="clear" w:color="auto" w:fill="D7DDE9" w:themeFill="accent3"/>
            <w:vAlign w:val="center"/>
          </w:tcPr>
          <w:p w:rsidR="005213FE" w:rsidRDefault="005213FE" w:rsidP="00E4487B">
            <w:pPr>
              <w:pStyle w:val="TableText"/>
              <w:keepLines/>
              <w:widowControl w:val="0"/>
              <w:ind w:left="-57" w:right="-57"/>
              <w:jc w:val="right"/>
              <w:cnfStyle w:val="000000000000" w:firstRow="0" w:lastRow="0" w:firstColumn="0" w:lastColumn="0" w:oddVBand="0" w:evenVBand="0" w:oddHBand="0" w:evenHBand="0" w:firstRowFirstColumn="0" w:firstRowLastColumn="0" w:lastRowFirstColumn="0" w:lastRowLastColumn="0"/>
            </w:pPr>
            <w:r>
              <w:t>2026-27</w:t>
            </w:r>
          </w:p>
        </w:tc>
        <w:tc>
          <w:tcPr>
            <w:tcW w:w="351" w:type="pct"/>
            <w:shd w:val="clear" w:color="auto" w:fill="D7DDE9" w:themeFill="accent3"/>
          </w:tcPr>
          <w:p w:rsidR="005213FE" w:rsidRPr="009355B8" w:rsidRDefault="005213FE" w:rsidP="00E4487B">
            <w:pPr>
              <w:pStyle w:val="TableText"/>
              <w:keepLines/>
              <w:widowControl w:val="0"/>
              <w:ind w:left="-57" w:right="-57"/>
              <w:jc w:val="center"/>
              <w:cnfStyle w:val="000000000000" w:firstRow="0" w:lastRow="0" w:firstColumn="0" w:lastColumn="0" w:oddVBand="0" w:evenVBand="0" w:oddHBand="0" w:evenHBand="0" w:firstRowFirstColumn="0" w:firstRowLastColumn="0" w:lastRowFirstColumn="0" w:lastRowLastColumn="0"/>
              <w:rPr>
                <w:b/>
              </w:rPr>
            </w:pPr>
            <w:r w:rsidRPr="009355B8">
              <w:rPr>
                <w:b/>
              </w:rPr>
              <w:t>Total to 2026-27</w:t>
            </w:r>
          </w:p>
        </w:tc>
      </w:tr>
      <w:tr w:rsidR="00C73FB2" w:rsidRPr="008D77AF" w:rsidTr="006B4078">
        <w:tc>
          <w:tcPr>
            <w:cnfStyle w:val="001000000000" w:firstRow="0" w:lastRow="0" w:firstColumn="1" w:lastColumn="0" w:oddVBand="0" w:evenVBand="0" w:oddHBand="0" w:evenHBand="0" w:firstRowFirstColumn="0" w:firstRowLastColumn="0" w:lastRowFirstColumn="0" w:lastRowLastColumn="0"/>
            <w:tcW w:w="786" w:type="pct"/>
            <w:vAlign w:val="center"/>
          </w:tcPr>
          <w:p w:rsidR="00C73FB2" w:rsidRPr="0060612C" w:rsidRDefault="00C73FB2" w:rsidP="00E4487B">
            <w:pPr>
              <w:pStyle w:val="TableText"/>
              <w:keepLines/>
              <w:widowControl w:val="0"/>
              <w:ind w:left="0"/>
              <w:rPr>
                <w:b w:val="0"/>
              </w:rPr>
            </w:pPr>
            <w:r w:rsidRPr="0060612C">
              <w:rPr>
                <w:b w:val="0"/>
                <w:color w:val="000000"/>
                <w:szCs w:val="20"/>
              </w:rPr>
              <w:t>Receipts</w:t>
            </w:r>
          </w:p>
        </w:tc>
        <w:tc>
          <w:tcPr>
            <w:tcW w:w="351" w:type="pct"/>
          </w:tcPr>
          <w:p w:rsidR="00C73FB2" w:rsidRPr="0060612C" w:rsidRDefault="00C73FB2"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rPr>
                <w:b/>
                <w:i w:val="0"/>
              </w:rPr>
            </w:pPr>
            <w:r w:rsidRPr="0060612C">
              <w:rPr>
                <w:b/>
                <w:i w:val="0"/>
              </w:rPr>
              <w:t>-172,080</w:t>
            </w:r>
          </w:p>
        </w:tc>
        <w:tc>
          <w:tcPr>
            <w:tcW w:w="351" w:type="pct"/>
          </w:tcPr>
          <w:p w:rsidR="00C73FB2" w:rsidRPr="0060612C" w:rsidRDefault="00C73FB2"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rPr>
                <w:b/>
                <w:i w:val="0"/>
              </w:rPr>
            </w:pPr>
            <w:r w:rsidRPr="0060612C">
              <w:rPr>
                <w:b/>
                <w:i w:val="0"/>
              </w:rPr>
              <w:t>-197,180</w:t>
            </w:r>
          </w:p>
        </w:tc>
        <w:tc>
          <w:tcPr>
            <w:tcW w:w="351" w:type="pct"/>
          </w:tcPr>
          <w:p w:rsidR="00C73FB2" w:rsidRPr="0060612C" w:rsidRDefault="00C73FB2"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rPr>
                <w:b/>
                <w:i w:val="0"/>
              </w:rPr>
            </w:pPr>
            <w:r w:rsidRPr="0060612C">
              <w:rPr>
                <w:b/>
                <w:i w:val="0"/>
              </w:rPr>
              <w:t>-208,530</w:t>
            </w:r>
          </w:p>
        </w:tc>
        <w:tc>
          <w:tcPr>
            <w:tcW w:w="351" w:type="pct"/>
          </w:tcPr>
          <w:p w:rsidR="00C73FB2" w:rsidRPr="0060612C" w:rsidRDefault="00C73FB2" w:rsidP="00E4487B">
            <w:pPr>
              <w:pStyle w:val="TableTextRightBold"/>
              <w:keepLines/>
              <w:widowControl w:val="0"/>
              <w:ind w:left="-57" w:right="-57"/>
              <w:cnfStyle w:val="000000000000" w:firstRow="0" w:lastRow="0" w:firstColumn="0" w:lastColumn="0" w:oddVBand="0" w:evenVBand="0" w:oddHBand="0" w:evenHBand="0" w:firstRowFirstColumn="0" w:firstRowLastColumn="0" w:lastRowFirstColumn="0" w:lastRowLastColumn="0"/>
            </w:pPr>
            <w:r w:rsidRPr="0060612C">
              <w:t>-577,800</w:t>
            </w:r>
          </w:p>
        </w:tc>
        <w:tc>
          <w:tcPr>
            <w:tcW w:w="351" w:type="pct"/>
          </w:tcPr>
          <w:p w:rsidR="00C73FB2" w:rsidRPr="0060612C" w:rsidRDefault="00C73FB2"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rPr>
                <w:b/>
                <w:i w:val="0"/>
              </w:rPr>
            </w:pPr>
            <w:r w:rsidRPr="0060612C">
              <w:rPr>
                <w:b/>
                <w:i w:val="0"/>
              </w:rPr>
              <w:t>-221,630</w:t>
            </w:r>
          </w:p>
        </w:tc>
        <w:tc>
          <w:tcPr>
            <w:tcW w:w="351" w:type="pct"/>
          </w:tcPr>
          <w:p w:rsidR="00C73FB2" w:rsidRPr="0060612C" w:rsidRDefault="00C73FB2"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rPr>
                <w:b/>
                <w:i w:val="0"/>
              </w:rPr>
            </w:pPr>
            <w:r w:rsidRPr="0060612C">
              <w:rPr>
                <w:b/>
                <w:i w:val="0"/>
              </w:rPr>
              <w:t>-232,490</w:t>
            </w:r>
          </w:p>
        </w:tc>
        <w:tc>
          <w:tcPr>
            <w:tcW w:w="351" w:type="pct"/>
          </w:tcPr>
          <w:p w:rsidR="00C73FB2" w:rsidRPr="0060612C" w:rsidRDefault="00C73FB2"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rPr>
                <w:b/>
                <w:i w:val="0"/>
              </w:rPr>
            </w:pPr>
            <w:r w:rsidRPr="0060612C">
              <w:rPr>
                <w:b/>
                <w:i w:val="0"/>
              </w:rPr>
              <w:t>-245,400</w:t>
            </w:r>
          </w:p>
        </w:tc>
        <w:tc>
          <w:tcPr>
            <w:tcW w:w="351" w:type="pct"/>
          </w:tcPr>
          <w:p w:rsidR="00C73FB2" w:rsidRPr="0060612C" w:rsidRDefault="00C73FB2"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rPr>
                <w:b/>
                <w:i w:val="0"/>
              </w:rPr>
            </w:pPr>
            <w:r w:rsidRPr="0060612C">
              <w:rPr>
                <w:b/>
                <w:i w:val="0"/>
              </w:rPr>
              <w:t>-256,350</w:t>
            </w:r>
          </w:p>
        </w:tc>
        <w:tc>
          <w:tcPr>
            <w:tcW w:w="351" w:type="pct"/>
          </w:tcPr>
          <w:p w:rsidR="00C73FB2" w:rsidRPr="0060612C" w:rsidRDefault="00C73FB2"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rPr>
                <w:b/>
                <w:i w:val="0"/>
              </w:rPr>
            </w:pPr>
            <w:r w:rsidRPr="0060612C">
              <w:rPr>
                <w:b/>
                <w:i w:val="0"/>
              </w:rPr>
              <w:t>-268,960</w:t>
            </w:r>
          </w:p>
        </w:tc>
        <w:tc>
          <w:tcPr>
            <w:tcW w:w="351" w:type="pct"/>
          </w:tcPr>
          <w:p w:rsidR="00C73FB2" w:rsidRPr="0060612C" w:rsidRDefault="00C73FB2"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rPr>
                <w:b/>
                <w:i w:val="0"/>
              </w:rPr>
            </w:pPr>
            <w:r w:rsidRPr="0060612C">
              <w:rPr>
                <w:b/>
                <w:i w:val="0"/>
              </w:rPr>
              <w:t>-280,710</w:t>
            </w:r>
          </w:p>
        </w:tc>
        <w:tc>
          <w:tcPr>
            <w:tcW w:w="351" w:type="pct"/>
          </w:tcPr>
          <w:p w:rsidR="00C73FB2" w:rsidRPr="0060612C" w:rsidRDefault="00C73FB2"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rPr>
                <w:b/>
                <w:i w:val="0"/>
              </w:rPr>
            </w:pPr>
            <w:r w:rsidRPr="0060612C">
              <w:rPr>
                <w:b/>
                <w:i w:val="0"/>
              </w:rPr>
              <w:t>-294,090</w:t>
            </w:r>
          </w:p>
        </w:tc>
        <w:tc>
          <w:tcPr>
            <w:tcW w:w="351" w:type="pct"/>
          </w:tcPr>
          <w:p w:rsidR="00C73FB2" w:rsidRPr="0060612C" w:rsidRDefault="00C73FB2" w:rsidP="00E4487B">
            <w:pPr>
              <w:pStyle w:val="TableTextRightBold"/>
              <w:keepLines/>
              <w:widowControl w:val="0"/>
              <w:ind w:left="-57" w:right="-57"/>
              <w:cnfStyle w:val="000000000000" w:firstRow="0" w:lastRow="0" w:firstColumn="0" w:lastColumn="0" w:oddVBand="0" w:evenVBand="0" w:oddHBand="0" w:evenHBand="0" w:firstRowFirstColumn="0" w:firstRowLastColumn="0" w:lastRowFirstColumn="0" w:lastRowLastColumn="0"/>
            </w:pPr>
            <w:r w:rsidRPr="0060612C">
              <w:t>-2,377,420</w:t>
            </w:r>
          </w:p>
        </w:tc>
      </w:tr>
      <w:tr w:rsidR="00C73FB2" w:rsidRPr="008D77AF" w:rsidTr="006B4078">
        <w:tc>
          <w:tcPr>
            <w:cnfStyle w:val="001000000000" w:firstRow="0" w:lastRow="0" w:firstColumn="1" w:lastColumn="0" w:oddVBand="0" w:evenVBand="0" w:oddHBand="0" w:evenHBand="0" w:firstRowFirstColumn="0" w:firstRowLastColumn="0" w:lastRowFirstColumn="0" w:lastRowLastColumn="0"/>
            <w:tcW w:w="786" w:type="pct"/>
            <w:vAlign w:val="center"/>
          </w:tcPr>
          <w:p w:rsidR="00C73FB2" w:rsidRPr="0060612C" w:rsidRDefault="00C73FB2" w:rsidP="003C06FA">
            <w:pPr>
              <w:pStyle w:val="TableText"/>
              <w:keepLines/>
              <w:widowControl w:val="0"/>
              <w:ind w:left="113"/>
              <w:rPr>
                <w:b w:val="0"/>
              </w:rPr>
            </w:pPr>
            <w:r w:rsidRPr="0060612C">
              <w:rPr>
                <w:b w:val="0"/>
                <w:color w:val="000000"/>
                <w:szCs w:val="20"/>
              </w:rPr>
              <w:t xml:space="preserve">Personal income tax </w:t>
            </w:r>
          </w:p>
        </w:tc>
        <w:tc>
          <w:tcPr>
            <w:tcW w:w="351" w:type="pct"/>
          </w:tcPr>
          <w:p w:rsidR="00C73FB2" w:rsidRPr="0060612C" w:rsidRDefault="00C73FB2"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rsidRPr="0060612C">
              <w:t>-115,000</w:t>
            </w:r>
          </w:p>
        </w:tc>
        <w:tc>
          <w:tcPr>
            <w:tcW w:w="351" w:type="pct"/>
          </w:tcPr>
          <w:p w:rsidR="00C73FB2" w:rsidRPr="0060612C" w:rsidRDefault="00C73FB2"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rsidRPr="0060612C">
              <w:t>-136,000</w:t>
            </w:r>
          </w:p>
        </w:tc>
        <w:tc>
          <w:tcPr>
            <w:tcW w:w="351" w:type="pct"/>
          </w:tcPr>
          <w:p w:rsidR="00C73FB2" w:rsidRPr="0060612C" w:rsidRDefault="00C73FB2"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rsidRPr="0060612C">
              <w:t>-143,000</w:t>
            </w:r>
          </w:p>
        </w:tc>
        <w:tc>
          <w:tcPr>
            <w:tcW w:w="351" w:type="pct"/>
          </w:tcPr>
          <w:p w:rsidR="00C73FB2" w:rsidRPr="00285597" w:rsidRDefault="00C73FB2" w:rsidP="00E4487B">
            <w:pPr>
              <w:pStyle w:val="TableTextRightBold"/>
              <w:keepLines/>
              <w:widowControl w:val="0"/>
              <w:ind w:left="-57" w:right="-57"/>
              <w:cnfStyle w:val="000000000000" w:firstRow="0" w:lastRow="0" w:firstColumn="0" w:lastColumn="0" w:oddVBand="0" w:evenVBand="0" w:oddHBand="0" w:evenHBand="0" w:firstRowFirstColumn="0" w:firstRowLastColumn="0" w:lastRowFirstColumn="0" w:lastRowLastColumn="0"/>
              <w:rPr>
                <w:b w:val="0"/>
                <w:i/>
              </w:rPr>
            </w:pPr>
            <w:r w:rsidRPr="00285597">
              <w:rPr>
                <w:b w:val="0"/>
                <w:i/>
              </w:rPr>
              <w:t>-394,000</w:t>
            </w:r>
          </w:p>
        </w:tc>
        <w:tc>
          <w:tcPr>
            <w:tcW w:w="351" w:type="pct"/>
          </w:tcPr>
          <w:p w:rsidR="00C73FB2" w:rsidRPr="0060612C" w:rsidRDefault="00C73FB2"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rsidRPr="0060612C">
              <w:t>-152,000</w:t>
            </w:r>
          </w:p>
        </w:tc>
        <w:tc>
          <w:tcPr>
            <w:tcW w:w="351" w:type="pct"/>
          </w:tcPr>
          <w:p w:rsidR="00C73FB2" w:rsidRPr="0060612C" w:rsidRDefault="00C73FB2"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rsidRPr="0060612C">
              <w:t>-160,000</w:t>
            </w:r>
          </w:p>
        </w:tc>
        <w:tc>
          <w:tcPr>
            <w:tcW w:w="351" w:type="pct"/>
          </w:tcPr>
          <w:p w:rsidR="00C73FB2" w:rsidRPr="0060612C" w:rsidRDefault="00C73FB2"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rsidRPr="0060612C">
              <w:t>-169,000</w:t>
            </w:r>
          </w:p>
        </w:tc>
        <w:tc>
          <w:tcPr>
            <w:tcW w:w="351" w:type="pct"/>
          </w:tcPr>
          <w:p w:rsidR="00C73FB2" w:rsidRPr="0060612C" w:rsidRDefault="00C73FB2"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rsidRPr="0060612C">
              <w:t>-179,000</w:t>
            </w:r>
          </w:p>
        </w:tc>
        <w:tc>
          <w:tcPr>
            <w:tcW w:w="351" w:type="pct"/>
          </w:tcPr>
          <w:p w:rsidR="00C73FB2" w:rsidRPr="0060612C" w:rsidRDefault="00C73FB2"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rsidRPr="0060612C">
              <w:t>-188,000</w:t>
            </w:r>
          </w:p>
        </w:tc>
        <w:tc>
          <w:tcPr>
            <w:tcW w:w="351" w:type="pct"/>
          </w:tcPr>
          <w:p w:rsidR="00C73FB2" w:rsidRPr="0060612C" w:rsidRDefault="00C73FB2"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rsidRPr="0060612C">
              <w:t>-199,000</w:t>
            </w:r>
          </w:p>
        </w:tc>
        <w:tc>
          <w:tcPr>
            <w:tcW w:w="351" w:type="pct"/>
          </w:tcPr>
          <w:p w:rsidR="00C73FB2" w:rsidRPr="0060612C" w:rsidRDefault="00C73FB2"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rsidRPr="0060612C">
              <w:t>-211,000</w:t>
            </w:r>
          </w:p>
        </w:tc>
        <w:tc>
          <w:tcPr>
            <w:tcW w:w="351" w:type="pct"/>
          </w:tcPr>
          <w:p w:rsidR="00C73FB2" w:rsidRPr="0060612C" w:rsidRDefault="00C73FB2" w:rsidP="00E4487B">
            <w:pPr>
              <w:pStyle w:val="TableTextRightBold"/>
              <w:keepLines/>
              <w:widowControl w:val="0"/>
              <w:ind w:left="-57" w:right="-57"/>
              <w:cnfStyle w:val="000000000000" w:firstRow="0" w:lastRow="0" w:firstColumn="0" w:lastColumn="0" w:oddVBand="0" w:evenVBand="0" w:oddHBand="0" w:evenHBand="0" w:firstRowFirstColumn="0" w:firstRowLastColumn="0" w:lastRowFirstColumn="0" w:lastRowLastColumn="0"/>
              <w:rPr>
                <w:i/>
              </w:rPr>
            </w:pPr>
            <w:r w:rsidRPr="0060612C">
              <w:rPr>
                <w:i/>
              </w:rPr>
              <w:t>-1,652,000</w:t>
            </w:r>
          </w:p>
        </w:tc>
      </w:tr>
      <w:tr w:rsidR="00C73FB2" w:rsidRPr="008D77AF" w:rsidTr="006B4078">
        <w:tc>
          <w:tcPr>
            <w:cnfStyle w:val="001000000000" w:firstRow="0" w:lastRow="0" w:firstColumn="1" w:lastColumn="0" w:oddVBand="0" w:evenVBand="0" w:oddHBand="0" w:evenHBand="0" w:firstRowFirstColumn="0" w:firstRowLastColumn="0" w:lastRowFirstColumn="0" w:lastRowLastColumn="0"/>
            <w:tcW w:w="786" w:type="pct"/>
            <w:vAlign w:val="center"/>
          </w:tcPr>
          <w:p w:rsidR="00C73FB2" w:rsidRPr="0060612C" w:rsidRDefault="00C73FB2" w:rsidP="003C06FA">
            <w:pPr>
              <w:pStyle w:val="TableText"/>
              <w:keepLines/>
              <w:widowControl w:val="0"/>
              <w:ind w:left="113"/>
              <w:rPr>
                <w:b w:val="0"/>
              </w:rPr>
            </w:pPr>
            <w:r w:rsidRPr="0060612C">
              <w:rPr>
                <w:b w:val="0"/>
                <w:color w:val="000000"/>
                <w:szCs w:val="20"/>
              </w:rPr>
              <w:t>Company tax</w:t>
            </w:r>
          </w:p>
        </w:tc>
        <w:tc>
          <w:tcPr>
            <w:tcW w:w="351" w:type="pct"/>
          </w:tcPr>
          <w:p w:rsidR="00C73FB2" w:rsidRPr="0060612C" w:rsidRDefault="00C73FB2"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rsidRPr="0060612C">
              <w:t>-17,000</w:t>
            </w:r>
          </w:p>
        </w:tc>
        <w:tc>
          <w:tcPr>
            <w:tcW w:w="351" w:type="pct"/>
          </w:tcPr>
          <w:p w:rsidR="00C73FB2" w:rsidRPr="0060612C" w:rsidRDefault="00C73FB2"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rsidRPr="0060612C">
              <w:t>-17,000</w:t>
            </w:r>
          </w:p>
        </w:tc>
        <w:tc>
          <w:tcPr>
            <w:tcW w:w="351" w:type="pct"/>
          </w:tcPr>
          <w:p w:rsidR="00C73FB2" w:rsidRPr="0060612C" w:rsidRDefault="00C73FB2"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rsidRPr="0060612C">
              <w:t>-18,000</w:t>
            </w:r>
          </w:p>
        </w:tc>
        <w:tc>
          <w:tcPr>
            <w:tcW w:w="351" w:type="pct"/>
          </w:tcPr>
          <w:p w:rsidR="00C73FB2" w:rsidRPr="00285597" w:rsidRDefault="00C73FB2" w:rsidP="00E4487B">
            <w:pPr>
              <w:pStyle w:val="TableTextRightBold"/>
              <w:keepLines/>
              <w:widowControl w:val="0"/>
              <w:ind w:left="-57" w:right="-57"/>
              <w:cnfStyle w:val="000000000000" w:firstRow="0" w:lastRow="0" w:firstColumn="0" w:lastColumn="0" w:oddVBand="0" w:evenVBand="0" w:oddHBand="0" w:evenHBand="0" w:firstRowFirstColumn="0" w:firstRowLastColumn="0" w:lastRowFirstColumn="0" w:lastRowLastColumn="0"/>
              <w:rPr>
                <w:b w:val="0"/>
                <w:i/>
              </w:rPr>
            </w:pPr>
            <w:r w:rsidRPr="00285597">
              <w:rPr>
                <w:b w:val="0"/>
                <w:i/>
              </w:rPr>
              <w:t>-52,000</w:t>
            </w:r>
          </w:p>
        </w:tc>
        <w:tc>
          <w:tcPr>
            <w:tcW w:w="351" w:type="pct"/>
          </w:tcPr>
          <w:p w:rsidR="00C73FB2" w:rsidRPr="0060612C" w:rsidRDefault="00C73FB2"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rsidRPr="0060612C">
              <w:t>-19,000</w:t>
            </w:r>
          </w:p>
        </w:tc>
        <w:tc>
          <w:tcPr>
            <w:tcW w:w="351" w:type="pct"/>
          </w:tcPr>
          <w:p w:rsidR="00C73FB2" w:rsidRPr="0060612C" w:rsidRDefault="00C73FB2"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rsidRPr="0060612C">
              <w:t>-19,000</w:t>
            </w:r>
          </w:p>
        </w:tc>
        <w:tc>
          <w:tcPr>
            <w:tcW w:w="351" w:type="pct"/>
          </w:tcPr>
          <w:p w:rsidR="00C73FB2" w:rsidRPr="0060612C" w:rsidRDefault="00C73FB2"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rsidRPr="0060612C">
              <w:t>-20,000</w:t>
            </w:r>
          </w:p>
        </w:tc>
        <w:tc>
          <w:tcPr>
            <w:tcW w:w="351" w:type="pct"/>
          </w:tcPr>
          <w:p w:rsidR="00C73FB2" w:rsidRPr="0060612C" w:rsidRDefault="00C73FB2"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rsidRPr="0060612C">
              <w:t>-18,000</w:t>
            </w:r>
          </w:p>
        </w:tc>
        <w:tc>
          <w:tcPr>
            <w:tcW w:w="351" w:type="pct"/>
          </w:tcPr>
          <w:p w:rsidR="00C73FB2" w:rsidRPr="0060612C" w:rsidRDefault="00C73FB2"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rsidRPr="0060612C">
              <w:t>-18,000</w:t>
            </w:r>
          </w:p>
        </w:tc>
        <w:tc>
          <w:tcPr>
            <w:tcW w:w="351" w:type="pct"/>
          </w:tcPr>
          <w:p w:rsidR="00C73FB2" w:rsidRPr="0060612C" w:rsidRDefault="00C73FB2"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rsidRPr="0060612C">
              <w:t>-16,000</w:t>
            </w:r>
          </w:p>
        </w:tc>
        <w:tc>
          <w:tcPr>
            <w:tcW w:w="351" w:type="pct"/>
          </w:tcPr>
          <w:p w:rsidR="00C73FB2" w:rsidRPr="0060612C" w:rsidRDefault="00C73FB2"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rsidRPr="0060612C">
              <w:t>-14,000</w:t>
            </w:r>
          </w:p>
        </w:tc>
        <w:tc>
          <w:tcPr>
            <w:tcW w:w="351" w:type="pct"/>
          </w:tcPr>
          <w:p w:rsidR="00C73FB2" w:rsidRPr="0060612C" w:rsidRDefault="00C73FB2" w:rsidP="00E4487B">
            <w:pPr>
              <w:pStyle w:val="TableTextRightBold"/>
              <w:keepLines/>
              <w:widowControl w:val="0"/>
              <w:ind w:left="-57" w:right="-57"/>
              <w:cnfStyle w:val="000000000000" w:firstRow="0" w:lastRow="0" w:firstColumn="0" w:lastColumn="0" w:oddVBand="0" w:evenVBand="0" w:oddHBand="0" w:evenHBand="0" w:firstRowFirstColumn="0" w:firstRowLastColumn="0" w:lastRowFirstColumn="0" w:lastRowLastColumn="0"/>
              <w:rPr>
                <w:i/>
              </w:rPr>
            </w:pPr>
            <w:r w:rsidRPr="0060612C">
              <w:rPr>
                <w:i/>
              </w:rPr>
              <w:t>-176,000</w:t>
            </w:r>
          </w:p>
        </w:tc>
      </w:tr>
      <w:tr w:rsidR="00C73FB2" w:rsidRPr="008D77AF" w:rsidTr="006B4078">
        <w:tc>
          <w:tcPr>
            <w:cnfStyle w:val="001000000000" w:firstRow="0" w:lastRow="0" w:firstColumn="1" w:lastColumn="0" w:oddVBand="0" w:evenVBand="0" w:oddHBand="0" w:evenHBand="0" w:firstRowFirstColumn="0" w:firstRowLastColumn="0" w:lastRowFirstColumn="0" w:lastRowLastColumn="0"/>
            <w:tcW w:w="786" w:type="pct"/>
            <w:vAlign w:val="center"/>
          </w:tcPr>
          <w:p w:rsidR="00C73FB2" w:rsidRPr="0060612C" w:rsidRDefault="00C73FB2" w:rsidP="003C06FA">
            <w:pPr>
              <w:pStyle w:val="TableText"/>
              <w:keepLines/>
              <w:widowControl w:val="0"/>
              <w:ind w:left="113"/>
              <w:rPr>
                <w:b w:val="0"/>
              </w:rPr>
            </w:pPr>
            <w:r w:rsidRPr="0060612C">
              <w:rPr>
                <w:b w:val="0"/>
                <w:color w:val="000000"/>
                <w:szCs w:val="20"/>
              </w:rPr>
              <w:t xml:space="preserve">Excise </w:t>
            </w:r>
            <w:r w:rsidR="00F20E0F">
              <w:rPr>
                <w:b w:val="0"/>
                <w:color w:val="000000"/>
                <w:szCs w:val="20"/>
              </w:rPr>
              <w:t>/</w:t>
            </w:r>
            <w:r w:rsidRPr="0060612C">
              <w:rPr>
                <w:b w:val="0"/>
                <w:color w:val="000000"/>
                <w:szCs w:val="20"/>
              </w:rPr>
              <w:t xml:space="preserve"> import duties</w:t>
            </w:r>
          </w:p>
        </w:tc>
        <w:tc>
          <w:tcPr>
            <w:tcW w:w="351" w:type="pct"/>
          </w:tcPr>
          <w:p w:rsidR="00C73FB2" w:rsidRPr="0060612C" w:rsidRDefault="00C73FB2"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rsidRPr="0060612C">
              <w:t>-40,080</w:t>
            </w:r>
          </w:p>
        </w:tc>
        <w:tc>
          <w:tcPr>
            <w:tcW w:w="351" w:type="pct"/>
          </w:tcPr>
          <w:p w:rsidR="00C73FB2" w:rsidRPr="0060612C" w:rsidRDefault="00C73FB2"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rsidRPr="0060612C">
              <w:t>-44,180</w:t>
            </w:r>
          </w:p>
        </w:tc>
        <w:tc>
          <w:tcPr>
            <w:tcW w:w="351" w:type="pct"/>
          </w:tcPr>
          <w:p w:rsidR="00C73FB2" w:rsidRPr="0060612C" w:rsidRDefault="00C73FB2"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rsidRPr="0060612C">
              <w:t>-47,530</w:t>
            </w:r>
          </w:p>
        </w:tc>
        <w:tc>
          <w:tcPr>
            <w:tcW w:w="351" w:type="pct"/>
          </w:tcPr>
          <w:p w:rsidR="00C73FB2" w:rsidRPr="00285597" w:rsidRDefault="00C73FB2" w:rsidP="00E4487B">
            <w:pPr>
              <w:pStyle w:val="TableTextRightBold"/>
              <w:keepLines/>
              <w:widowControl w:val="0"/>
              <w:ind w:left="-57" w:right="-57"/>
              <w:cnfStyle w:val="000000000000" w:firstRow="0" w:lastRow="0" w:firstColumn="0" w:lastColumn="0" w:oddVBand="0" w:evenVBand="0" w:oddHBand="0" w:evenHBand="0" w:firstRowFirstColumn="0" w:firstRowLastColumn="0" w:lastRowFirstColumn="0" w:lastRowLastColumn="0"/>
              <w:rPr>
                <w:b w:val="0"/>
                <w:i/>
              </w:rPr>
            </w:pPr>
            <w:r w:rsidRPr="00285597">
              <w:rPr>
                <w:b w:val="0"/>
                <w:i/>
              </w:rPr>
              <w:t>-131,800</w:t>
            </w:r>
          </w:p>
        </w:tc>
        <w:tc>
          <w:tcPr>
            <w:tcW w:w="351" w:type="pct"/>
          </w:tcPr>
          <w:p w:rsidR="00C73FB2" w:rsidRPr="0060612C" w:rsidRDefault="00C73FB2"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rsidRPr="0060612C">
              <w:t>-50,630</w:t>
            </w:r>
          </w:p>
        </w:tc>
        <w:tc>
          <w:tcPr>
            <w:tcW w:w="351" w:type="pct"/>
          </w:tcPr>
          <w:p w:rsidR="00C73FB2" w:rsidRPr="0060612C" w:rsidRDefault="00C73FB2"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rsidRPr="0060612C">
              <w:t>-53,490</w:t>
            </w:r>
          </w:p>
        </w:tc>
        <w:tc>
          <w:tcPr>
            <w:tcW w:w="351" w:type="pct"/>
          </w:tcPr>
          <w:p w:rsidR="00C73FB2" w:rsidRPr="0060612C" w:rsidRDefault="00C73FB2"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rsidRPr="0060612C">
              <w:t>-56,400</w:t>
            </w:r>
          </w:p>
        </w:tc>
        <w:tc>
          <w:tcPr>
            <w:tcW w:w="351" w:type="pct"/>
          </w:tcPr>
          <w:p w:rsidR="00C73FB2" w:rsidRPr="0060612C" w:rsidRDefault="00C73FB2"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rsidRPr="0060612C">
              <w:t>-59,350</w:t>
            </w:r>
          </w:p>
        </w:tc>
        <w:tc>
          <w:tcPr>
            <w:tcW w:w="351" w:type="pct"/>
          </w:tcPr>
          <w:p w:rsidR="00C73FB2" w:rsidRPr="0060612C" w:rsidRDefault="00C73FB2"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rsidRPr="0060612C">
              <w:t>-62,960</w:t>
            </w:r>
          </w:p>
        </w:tc>
        <w:tc>
          <w:tcPr>
            <w:tcW w:w="351" w:type="pct"/>
          </w:tcPr>
          <w:p w:rsidR="00C73FB2" w:rsidRPr="0060612C" w:rsidRDefault="00C73FB2"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rsidRPr="0060612C">
              <w:t>-65,710</w:t>
            </w:r>
          </w:p>
        </w:tc>
        <w:tc>
          <w:tcPr>
            <w:tcW w:w="351" w:type="pct"/>
          </w:tcPr>
          <w:p w:rsidR="00C73FB2" w:rsidRPr="0060612C" w:rsidRDefault="00C73FB2"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rsidRPr="0060612C">
              <w:t>-69,090</w:t>
            </w:r>
          </w:p>
        </w:tc>
        <w:tc>
          <w:tcPr>
            <w:tcW w:w="351" w:type="pct"/>
          </w:tcPr>
          <w:p w:rsidR="00C73FB2" w:rsidRPr="0060612C" w:rsidRDefault="00C73FB2" w:rsidP="00E4487B">
            <w:pPr>
              <w:pStyle w:val="TableTextRightBold"/>
              <w:keepLines/>
              <w:widowControl w:val="0"/>
              <w:ind w:left="-57" w:right="-57"/>
              <w:cnfStyle w:val="000000000000" w:firstRow="0" w:lastRow="0" w:firstColumn="0" w:lastColumn="0" w:oddVBand="0" w:evenVBand="0" w:oddHBand="0" w:evenHBand="0" w:firstRowFirstColumn="0" w:firstRowLastColumn="0" w:lastRowFirstColumn="0" w:lastRowLastColumn="0"/>
              <w:rPr>
                <w:i/>
              </w:rPr>
            </w:pPr>
            <w:r w:rsidRPr="0060612C">
              <w:rPr>
                <w:i/>
              </w:rPr>
              <w:t>-549,420</w:t>
            </w:r>
          </w:p>
        </w:tc>
      </w:tr>
      <w:tr w:rsidR="00C73FB2" w:rsidRPr="008D77AF" w:rsidTr="006B4078">
        <w:tc>
          <w:tcPr>
            <w:cnfStyle w:val="001000000000" w:firstRow="0" w:lastRow="0" w:firstColumn="1" w:lastColumn="0" w:oddVBand="0" w:evenVBand="0" w:oddHBand="0" w:evenHBand="0" w:firstRowFirstColumn="0" w:firstRowLastColumn="0" w:lastRowFirstColumn="0" w:lastRowLastColumn="0"/>
            <w:tcW w:w="786" w:type="pct"/>
            <w:vAlign w:val="center"/>
          </w:tcPr>
          <w:p w:rsidR="00C73FB2" w:rsidRPr="0060612C" w:rsidRDefault="00C73FB2" w:rsidP="00E4487B">
            <w:pPr>
              <w:pStyle w:val="TableText"/>
              <w:keepLines/>
              <w:widowControl w:val="0"/>
              <w:ind w:left="0"/>
              <w:rPr>
                <w:b w:val="0"/>
              </w:rPr>
            </w:pPr>
            <w:r w:rsidRPr="0060612C">
              <w:rPr>
                <w:b w:val="0"/>
                <w:color w:val="000000"/>
                <w:szCs w:val="20"/>
              </w:rPr>
              <w:t>Payments</w:t>
            </w:r>
          </w:p>
        </w:tc>
        <w:tc>
          <w:tcPr>
            <w:tcW w:w="351" w:type="pct"/>
          </w:tcPr>
          <w:p w:rsidR="00C73FB2" w:rsidRPr="0060612C" w:rsidRDefault="00C73FB2"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rPr>
                <w:b/>
                <w:i w:val="0"/>
              </w:rPr>
            </w:pPr>
            <w:r w:rsidRPr="0060612C">
              <w:rPr>
                <w:b/>
                <w:i w:val="0"/>
              </w:rPr>
              <w:t>9,102</w:t>
            </w:r>
          </w:p>
        </w:tc>
        <w:tc>
          <w:tcPr>
            <w:tcW w:w="351" w:type="pct"/>
          </w:tcPr>
          <w:p w:rsidR="00C73FB2" w:rsidRPr="0060612C" w:rsidRDefault="00C73FB2"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rPr>
                <w:b/>
                <w:i w:val="0"/>
              </w:rPr>
            </w:pPr>
            <w:r w:rsidRPr="0060612C">
              <w:rPr>
                <w:b/>
                <w:i w:val="0"/>
              </w:rPr>
              <w:t>10,200</w:t>
            </w:r>
          </w:p>
        </w:tc>
        <w:tc>
          <w:tcPr>
            <w:tcW w:w="351" w:type="pct"/>
          </w:tcPr>
          <w:p w:rsidR="00C73FB2" w:rsidRPr="0060612C" w:rsidRDefault="00C73FB2"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rPr>
                <w:b/>
                <w:i w:val="0"/>
              </w:rPr>
            </w:pPr>
            <w:r w:rsidRPr="0060612C">
              <w:rPr>
                <w:b/>
                <w:i w:val="0"/>
              </w:rPr>
              <w:t>10,780</w:t>
            </w:r>
          </w:p>
        </w:tc>
        <w:tc>
          <w:tcPr>
            <w:tcW w:w="351" w:type="pct"/>
          </w:tcPr>
          <w:p w:rsidR="00C73FB2" w:rsidRPr="0060612C" w:rsidRDefault="00C73FB2" w:rsidP="00E4487B">
            <w:pPr>
              <w:pStyle w:val="TableTextRightBold"/>
              <w:keepLines/>
              <w:widowControl w:val="0"/>
              <w:ind w:left="-57" w:right="-57"/>
              <w:cnfStyle w:val="000000000000" w:firstRow="0" w:lastRow="0" w:firstColumn="0" w:lastColumn="0" w:oddVBand="0" w:evenVBand="0" w:oddHBand="0" w:evenHBand="0" w:firstRowFirstColumn="0" w:firstRowLastColumn="0" w:lastRowFirstColumn="0" w:lastRowLastColumn="0"/>
            </w:pPr>
            <w:r w:rsidRPr="0060612C">
              <w:t>30,107</w:t>
            </w:r>
          </w:p>
        </w:tc>
        <w:tc>
          <w:tcPr>
            <w:tcW w:w="351" w:type="pct"/>
          </w:tcPr>
          <w:p w:rsidR="00C73FB2" w:rsidRPr="0060612C" w:rsidRDefault="00C73FB2"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rPr>
                <w:b/>
                <w:i w:val="0"/>
              </w:rPr>
            </w:pPr>
            <w:r w:rsidRPr="0060612C">
              <w:rPr>
                <w:b/>
                <w:i w:val="0"/>
              </w:rPr>
              <w:t>11,710</w:t>
            </w:r>
          </w:p>
        </w:tc>
        <w:tc>
          <w:tcPr>
            <w:tcW w:w="351" w:type="pct"/>
          </w:tcPr>
          <w:p w:rsidR="00C73FB2" w:rsidRPr="0060612C" w:rsidRDefault="00C73FB2"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rPr>
                <w:b/>
                <w:i w:val="0"/>
              </w:rPr>
            </w:pPr>
            <w:r w:rsidRPr="0060612C">
              <w:rPr>
                <w:b/>
                <w:i w:val="0"/>
              </w:rPr>
              <w:t>12,600</w:t>
            </w:r>
          </w:p>
        </w:tc>
        <w:tc>
          <w:tcPr>
            <w:tcW w:w="351" w:type="pct"/>
          </w:tcPr>
          <w:p w:rsidR="00C73FB2" w:rsidRPr="0060612C" w:rsidRDefault="00C73FB2"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rPr>
                <w:b/>
                <w:i w:val="0"/>
              </w:rPr>
            </w:pPr>
            <w:r w:rsidRPr="0060612C">
              <w:rPr>
                <w:b/>
                <w:i w:val="0"/>
              </w:rPr>
              <w:t>13,530</w:t>
            </w:r>
          </w:p>
        </w:tc>
        <w:tc>
          <w:tcPr>
            <w:tcW w:w="351" w:type="pct"/>
          </w:tcPr>
          <w:p w:rsidR="00C73FB2" w:rsidRPr="0060612C" w:rsidRDefault="00C73FB2"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rPr>
                <w:b/>
                <w:i w:val="0"/>
              </w:rPr>
            </w:pPr>
            <w:r w:rsidRPr="0060612C">
              <w:rPr>
                <w:b/>
                <w:i w:val="0"/>
              </w:rPr>
              <w:t>14,470</w:t>
            </w:r>
          </w:p>
        </w:tc>
        <w:tc>
          <w:tcPr>
            <w:tcW w:w="351" w:type="pct"/>
          </w:tcPr>
          <w:p w:rsidR="00C73FB2" w:rsidRPr="0060612C" w:rsidRDefault="00C73FB2"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rPr>
                <w:b/>
                <w:i w:val="0"/>
              </w:rPr>
            </w:pPr>
            <w:r w:rsidRPr="0060612C">
              <w:rPr>
                <w:b/>
                <w:i w:val="0"/>
              </w:rPr>
              <w:t>15,450</w:t>
            </w:r>
          </w:p>
        </w:tc>
        <w:tc>
          <w:tcPr>
            <w:tcW w:w="351" w:type="pct"/>
          </w:tcPr>
          <w:p w:rsidR="00C73FB2" w:rsidRPr="0060612C" w:rsidRDefault="00C73FB2"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rPr>
                <w:b/>
                <w:i w:val="0"/>
              </w:rPr>
            </w:pPr>
            <w:r w:rsidRPr="0060612C">
              <w:rPr>
                <w:b/>
                <w:i w:val="0"/>
              </w:rPr>
              <w:t>16,490</w:t>
            </w:r>
          </w:p>
        </w:tc>
        <w:tc>
          <w:tcPr>
            <w:tcW w:w="351" w:type="pct"/>
          </w:tcPr>
          <w:p w:rsidR="00C73FB2" w:rsidRPr="0060612C" w:rsidRDefault="00C73FB2"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rPr>
                <w:b/>
                <w:i w:val="0"/>
              </w:rPr>
            </w:pPr>
            <w:r w:rsidRPr="0060612C">
              <w:rPr>
                <w:b/>
                <w:i w:val="0"/>
              </w:rPr>
              <w:t>17,570</w:t>
            </w:r>
          </w:p>
        </w:tc>
        <w:tc>
          <w:tcPr>
            <w:tcW w:w="351" w:type="pct"/>
          </w:tcPr>
          <w:p w:rsidR="00C73FB2" w:rsidRPr="0060612C" w:rsidRDefault="00C73FB2" w:rsidP="00E4487B">
            <w:pPr>
              <w:pStyle w:val="TableTextRightBold"/>
              <w:keepLines/>
              <w:widowControl w:val="0"/>
              <w:ind w:left="-57" w:right="-57"/>
              <w:cnfStyle w:val="000000000000" w:firstRow="0" w:lastRow="0" w:firstColumn="0" w:lastColumn="0" w:oddVBand="0" w:evenVBand="0" w:oddHBand="0" w:evenHBand="0" w:firstRowFirstColumn="0" w:firstRowLastColumn="0" w:lastRowFirstColumn="0" w:lastRowLastColumn="0"/>
            </w:pPr>
            <w:r w:rsidRPr="0060612C">
              <w:t>131,932</w:t>
            </w:r>
          </w:p>
        </w:tc>
      </w:tr>
      <w:tr w:rsidR="00A86D80" w:rsidRPr="008D77AF" w:rsidTr="00D17A0B">
        <w:tc>
          <w:tcPr>
            <w:cnfStyle w:val="001000000000" w:firstRow="0" w:lastRow="0" w:firstColumn="1" w:lastColumn="0" w:oddVBand="0" w:evenVBand="0" w:oddHBand="0" w:evenHBand="0" w:firstRowFirstColumn="0" w:firstRowLastColumn="0" w:lastRowFirstColumn="0" w:lastRowLastColumn="0"/>
            <w:tcW w:w="786" w:type="pct"/>
            <w:vAlign w:val="center"/>
          </w:tcPr>
          <w:p w:rsidR="00A86D80" w:rsidRPr="0060612C" w:rsidRDefault="00A86D80" w:rsidP="003C06FA">
            <w:pPr>
              <w:pStyle w:val="TableText"/>
              <w:keepLines/>
              <w:widowControl w:val="0"/>
              <w:ind w:left="113"/>
              <w:rPr>
                <w:b w:val="0"/>
              </w:rPr>
            </w:pPr>
            <w:r w:rsidRPr="0060612C">
              <w:rPr>
                <w:b w:val="0"/>
                <w:color w:val="000000"/>
                <w:szCs w:val="20"/>
              </w:rPr>
              <w:t xml:space="preserve">Personal income tax </w:t>
            </w:r>
            <w:r w:rsidR="003C06FA">
              <w:rPr>
                <w:b w:val="0"/>
                <w:color w:val="000000"/>
                <w:szCs w:val="20"/>
              </w:rPr>
              <w:t>- departmental</w:t>
            </w:r>
          </w:p>
        </w:tc>
        <w:tc>
          <w:tcPr>
            <w:tcW w:w="351" w:type="pct"/>
            <w:vAlign w:val="center"/>
          </w:tcPr>
          <w:p w:rsidR="00A86D80" w:rsidRDefault="00A86D80">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rsidRPr="00A75F0F">
              <w:t>-8</w:t>
            </w:r>
          </w:p>
        </w:tc>
        <w:tc>
          <w:tcPr>
            <w:tcW w:w="351" w:type="pct"/>
            <w:vAlign w:val="center"/>
          </w:tcPr>
          <w:p w:rsidR="00A86D80" w:rsidRDefault="00A86D80">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t>-</w:t>
            </w:r>
          </w:p>
        </w:tc>
        <w:tc>
          <w:tcPr>
            <w:tcW w:w="351" w:type="pct"/>
            <w:vAlign w:val="center"/>
          </w:tcPr>
          <w:p w:rsidR="00A86D80" w:rsidRDefault="00A86D80">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t>-</w:t>
            </w:r>
          </w:p>
        </w:tc>
        <w:tc>
          <w:tcPr>
            <w:tcW w:w="351" w:type="pct"/>
            <w:vAlign w:val="center"/>
          </w:tcPr>
          <w:p w:rsidR="00A86D80" w:rsidRPr="00285597" w:rsidRDefault="00A86D80">
            <w:pPr>
              <w:pStyle w:val="TableTextRightBold"/>
              <w:keepLines/>
              <w:widowControl w:val="0"/>
              <w:ind w:left="-57" w:right="-57"/>
              <w:cnfStyle w:val="000000000000" w:firstRow="0" w:lastRow="0" w:firstColumn="0" w:lastColumn="0" w:oddVBand="0" w:evenVBand="0" w:oddHBand="0" w:evenHBand="0" w:firstRowFirstColumn="0" w:firstRowLastColumn="0" w:lastRowFirstColumn="0" w:lastRowLastColumn="0"/>
              <w:rPr>
                <w:b w:val="0"/>
              </w:rPr>
            </w:pPr>
            <w:r w:rsidRPr="00285597">
              <w:rPr>
                <w:b w:val="0"/>
                <w:i/>
              </w:rPr>
              <w:t>-8</w:t>
            </w:r>
          </w:p>
        </w:tc>
        <w:tc>
          <w:tcPr>
            <w:tcW w:w="351" w:type="pct"/>
            <w:vAlign w:val="center"/>
          </w:tcPr>
          <w:p w:rsidR="00A86D80" w:rsidRDefault="00A86D80">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t>-</w:t>
            </w:r>
          </w:p>
        </w:tc>
        <w:tc>
          <w:tcPr>
            <w:tcW w:w="351" w:type="pct"/>
            <w:vAlign w:val="center"/>
          </w:tcPr>
          <w:p w:rsidR="00A86D80" w:rsidRDefault="00A86D80">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t>-</w:t>
            </w:r>
          </w:p>
        </w:tc>
        <w:tc>
          <w:tcPr>
            <w:tcW w:w="351" w:type="pct"/>
            <w:vAlign w:val="center"/>
          </w:tcPr>
          <w:p w:rsidR="00A86D80" w:rsidRDefault="00A86D80">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t>-</w:t>
            </w:r>
          </w:p>
        </w:tc>
        <w:tc>
          <w:tcPr>
            <w:tcW w:w="351" w:type="pct"/>
            <w:vAlign w:val="center"/>
          </w:tcPr>
          <w:p w:rsidR="00A86D80" w:rsidRDefault="00A86D80">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t>-</w:t>
            </w:r>
          </w:p>
        </w:tc>
        <w:tc>
          <w:tcPr>
            <w:tcW w:w="351" w:type="pct"/>
            <w:vAlign w:val="center"/>
          </w:tcPr>
          <w:p w:rsidR="00A86D80" w:rsidRDefault="00A86D80">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t>-</w:t>
            </w:r>
          </w:p>
        </w:tc>
        <w:tc>
          <w:tcPr>
            <w:tcW w:w="351" w:type="pct"/>
            <w:vAlign w:val="center"/>
          </w:tcPr>
          <w:p w:rsidR="00A86D80" w:rsidRDefault="00A86D80">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t>-</w:t>
            </w:r>
          </w:p>
        </w:tc>
        <w:tc>
          <w:tcPr>
            <w:tcW w:w="351" w:type="pct"/>
            <w:vAlign w:val="center"/>
          </w:tcPr>
          <w:p w:rsidR="00A86D80" w:rsidRDefault="00A86D80">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t>-</w:t>
            </w:r>
          </w:p>
        </w:tc>
        <w:tc>
          <w:tcPr>
            <w:tcW w:w="351" w:type="pct"/>
            <w:vAlign w:val="center"/>
          </w:tcPr>
          <w:p w:rsidR="00A86D80" w:rsidRPr="0060612C" w:rsidRDefault="00A86D80">
            <w:pPr>
              <w:pStyle w:val="TableTextRightBold"/>
              <w:keepLines/>
              <w:widowControl w:val="0"/>
              <w:ind w:left="-57" w:right="-57"/>
              <w:cnfStyle w:val="000000000000" w:firstRow="0" w:lastRow="0" w:firstColumn="0" w:lastColumn="0" w:oddVBand="0" w:evenVBand="0" w:oddHBand="0" w:evenHBand="0" w:firstRowFirstColumn="0" w:firstRowLastColumn="0" w:lastRowFirstColumn="0" w:lastRowLastColumn="0"/>
              <w:rPr>
                <w:i/>
              </w:rPr>
            </w:pPr>
            <w:r w:rsidRPr="00E626A5">
              <w:rPr>
                <w:i/>
              </w:rPr>
              <w:t>-8</w:t>
            </w:r>
          </w:p>
        </w:tc>
      </w:tr>
      <w:tr w:rsidR="00FB70BE" w:rsidRPr="008D77AF" w:rsidTr="006B4078">
        <w:tc>
          <w:tcPr>
            <w:cnfStyle w:val="001000000000" w:firstRow="0" w:lastRow="0" w:firstColumn="1" w:lastColumn="0" w:oddVBand="0" w:evenVBand="0" w:oddHBand="0" w:evenHBand="0" w:firstRowFirstColumn="0" w:firstRowLastColumn="0" w:lastRowFirstColumn="0" w:lastRowLastColumn="0"/>
            <w:tcW w:w="786" w:type="pct"/>
            <w:vAlign w:val="center"/>
          </w:tcPr>
          <w:p w:rsidR="00FB70BE" w:rsidRPr="0060612C" w:rsidRDefault="00FB70BE" w:rsidP="003C06FA">
            <w:pPr>
              <w:pStyle w:val="TableText"/>
              <w:keepLines/>
              <w:widowControl w:val="0"/>
              <w:ind w:left="113"/>
              <w:rPr>
                <w:b w:val="0"/>
                <w:color w:val="000000"/>
                <w:szCs w:val="20"/>
              </w:rPr>
            </w:pPr>
            <w:r w:rsidRPr="00BE3B56">
              <w:rPr>
                <w:b w:val="0"/>
                <w:color w:val="000000"/>
                <w:szCs w:val="20"/>
              </w:rPr>
              <w:t>Excise and import duties - administered</w:t>
            </w:r>
          </w:p>
        </w:tc>
        <w:tc>
          <w:tcPr>
            <w:tcW w:w="351" w:type="pct"/>
            <w:vAlign w:val="center"/>
          </w:tcPr>
          <w:p w:rsidR="00FB70BE" w:rsidRPr="00FB70BE" w:rsidRDefault="00FB70BE"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rsidRPr="006B4078">
              <w:rPr>
                <w:iCs/>
                <w:color w:val="000000"/>
                <w:szCs w:val="20"/>
              </w:rPr>
              <w:t>9,090</w:t>
            </w:r>
          </w:p>
        </w:tc>
        <w:tc>
          <w:tcPr>
            <w:tcW w:w="351" w:type="pct"/>
            <w:vAlign w:val="center"/>
          </w:tcPr>
          <w:p w:rsidR="00FB70BE" w:rsidRPr="00FB70BE" w:rsidRDefault="00FB70BE"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rsidRPr="006B4078">
              <w:rPr>
                <w:iCs/>
                <w:color w:val="000000"/>
                <w:szCs w:val="20"/>
              </w:rPr>
              <w:t>10,090</w:t>
            </w:r>
          </w:p>
        </w:tc>
        <w:tc>
          <w:tcPr>
            <w:tcW w:w="351" w:type="pct"/>
            <w:vAlign w:val="center"/>
          </w:tcPr>
          <w:p w:rsidR="00FB70BE" w:rsidRPr="00FB70BE" w:rsidRDefault="00FB70BE"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rsidRPr="006B4078">
              <w:rPr>
                <w:iCs/>
                <w:color w:val="000000"/>
                <w:szCs w:val="20"/>
              </w:rPr>
              <w:t>10,670</w:t>
            </w:r>
          </w:p>
        </w:tc>
        <w:tc>
          <w:tcPr>
            <w:tcW w:w="351" w:type="pct"/>
            <w:vAlign w:val="center"/>
          </w:tcPr>
          <w:p w:rsidR="00FB70BE" w:rsidRPr="006B4078" w:rsidRDefault="00FB70BE" w:rsidP="00862877">
            <w:pPr>
              <w:pStyle w:val="TableTextRightBold"/>
              <w:keepLines/>
              <w:widowControl w:val="0"/>
              <w:ind w:left="-57" w:right="-57"/>
              <w:cnfStyle w:val="000000000000" w:firstRow="0" w:lastRow="0" w:firstColumn="0" w:lastColumn="0" w:oddVBand="0" w:evenVBand="0" w:oddHBand="0" w:evenHBand="0" w:firstRowFirstColumn="0" w:firstRowLastColumn="0" w:lastRowFirstColumn="0" w:lastRowLastColumn="0"/>
              <w:rPr>
                <w:b w:val="0"/>
                <w:i/>
              </w:rPr>
            </w:pPr>
            <w:r w:rsidRPr="006B4078">
              <w:rPr>
                <w:b w:val="0"/>
                <w:i/>
                <w:iCs/>
                <w:color w:val="000000"/>
                <w:szCs w:val="20"/>
              </w:rPr>
              <w:t>29,870</w:t>
            </w:r>
          </w:p>
        </w:tc>
        <w:tc>
          <w:tcPr>
            <w:tcW w:w="351" w:type="pct"/>
            <w:vAlign w:val="center"/>
          </w:tcPr>
          <w:p w:rsidR="00FB70BE" w:rsidRPr="00FB70BE" w:rsidRDefault="00FB70BE"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rsidRPr="006B4078">
              <w:rPr>
                <w:iCs/>
                <w:color w:val="000000"/>
                <w:szCs w:val="20"/>
              </w:rPr>
              <w:t>11,600</w:t>
            </w:r>
          </w:p>
        </w:tc>
        <w:tc>
          <w:tcPr>
            <w:tcW w:w="351" w:type="pct"/>
            <w:vAlign w:val="center"/>
          </w:tcPr>
          <w:p w:rsidR="00FB70BE" w:rsidRPr="00FB70BE" w:rsidRDefault="00FB70BE"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rsidRPr="006B4078">
              <w:rPr>
                <w:iCs/>
                <w:color w:val="000000"/>
                <w:szCs w:val="20"/>
              </w:rPr>
              <w:t>12,490</w:t>
            </w:r>
          </w:p>
        </w:tc>
        <w:tc>
          <w:tcPr>
            <w:tcW w:w="351" w:type="pct"/>
            <w:vAlign w:val="center"/>
          </w:tcPr>
          <w:p w:rsidR="00FB70BE" w:rsidRPr="00FB70BE" w:rsidRDefault="00FB70BE"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rsidRPr="006B4078">
              <w:rPr>
                <w:iCs/>
                <w:color w:val="000000"/>
                <w:szCs w:val="20"/>
              </w:rPr>
              <w:t>13,420</w:t>
            </w:r>
          </w:p>
        </w:tc>
        <w:tc>
          <w:tcPr>
            <w:tcW w:w="351" w:type="pct"/>
            <w:vAlign w:val="center"/>
          </w:tcPr>
          <w:p w:rsidR="00FB70BE" w:rsidRPr="00FB70BE" w:rsidRDefault="00FB70BE"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rsidRPr="006B4078">
              <w:rPr>
                <w:iCs/>
                <w:color w:val="000000"/>
                <w:szCs w:val="20"/>
              </w:rPr>
              <w:t>14,360</w:t>
            </w:r>
          </w:p>
        </w:tc>
        <w:tc>
          <w:tcPr>
            <w:tcW w:w="351" w:type="pct"/>
            <w:vAlign w:val="center"/>
          </w:tcPr>
          <w:p w:rsidR="00FB70BE" w:rsidRPr="00FB70BE" w:rsidRDefault="00FB70BE"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rsidRPr="006B4078">
              <w:rPr>
                <w:iCs/>
                <w:color w:val="000000"/>
                <w:szCs w:val="20"/>
              </w:rPr>
              <w:t>15,340</w:t>
            </w:r>
          </w:p>
        </w:tc>
        <w:tc>
          <w:tcPr>
            <w:tcW w:w="351" w:type="pct"/>
            <w:vAlign w:val="center"/>
          </w:tcPr>
          <w:p w:rsidR="00FB70BE" w:rsidRPr="00FB70BE" w:rsidRDefault="00FB70BE"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rsidRPr="006B4078">
              <w:rPr>
                <w:iCs/>
                <w:color w:val="000000"/>
                <w:szCs w:val="20"/>
              </w:rPr>
              <w:t>16,380</w:t>
            </w:r>
          </w:p>
        </w:tc>
        <w:tc>
          <w:tcPr>
            <w:tcW w:w="351" w:type="pct"/>
            <w:vAlign w:val="center"/>
          </w:tcPr>
          <w:p w:rsidR="00FB70BE" w:rsidRPr="00FB70BE" w:rsidRDefault="00FB70BE"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rsidRPr="006B4078">
              <w:rPr>
                <w:iCs/>
                <w:color w:val="000000"/>
                <w:szCs w:val="20"/>
              </w:rPr>
              <w:t>17,460</w:t>
            </w:r>
          </w:p>
        </w:tc>
        <w:tc>
          <w:tcPr>
            <w:tcW w:w="351" w:type="pct"/>
            <w:vAlign w:val="center"/>
          </w:tcPr>
          <w:p w:rsidR="00FB70BE" w:rsidRPr="00FB70BE" w:rsidRDefault="00FB70BE" w:rsidP="00E4487B">
            <w:pPr>
              <w:pStyle w:val="TableTextRightBold"/>
              <w:keepLines/>
              <w:widowControl w:val="0"/>
              <w:ind w:left="-57" w:right="-57"/>
              <w:cnfStyle w:val="000000000000" w:firstRow="0" w:lastRow="0" w:firstColumn="0" w:lastColumn="0" w:oddVBand="0" w:evenVBand="0" w:oddHBand="0" w:evenHBand="0" w:firstRowFirstColumn="0" w:firstRowLastColumn="0" w:lastRowFirstColumn="0" w:lastRowLastColumn="0"/>
              <w:rPr>
                <w:i/>
              </w:rPr>
            </w:pPr>
            <w:r w:rsidRPr="00FB70BE">
              <w:rPr>
                <w:i/>
                <w:iCs/>
                <w:color w:val="000000"/>
                <w:szCs w:val="20"/>
              </w:rPr>
              <w:t>130,910</w:t>
            </w:r>
          </w:p>
        </w:tc>
      </w:tr>
      <w:tr w:rsidR="00FB70BE" w:rsidRPr="008D77AF" w:rsidTr="006B4078">
        <w:tc>
          <w:tcPr>
            <w:cnfStyle w:val="001000000000" w:firstRow="0" w:lastRow="0" w:firstColumn="1" w:lastColumn="0" w:oddVBand="0" w:evenVBand="0" w:oddHBand="0" w:evenHBand="0" w:firstRowFirstColumn="0" w:firstRowLastColumn="0" w:lastRowFirstColumn="0" w:lastRowLastColumn="0"/>
            <w:tcW w:w="786" w:type="pct"/>
            <w:vAlign w:val="center"/>
          </w:tcPr>
          <w:p w:rsidR="00FB70BE" w:rsidRPr="0060612C" w:rsidRDefault="00FB70BE" w:rsidP="003C06FA">
            <w:pPr>
              <w:pStyle w:val="TableText"/>
              <w:keepLines/>
              <w:widowControl w:val="0"/>
              <w:ind w:left="113"/>
              <w:rPr>
                <w:b w:val="0"/>
              </w:rPr>
            </w:pPr>
            <w:r w:rsidRPr="00BE3B56">
              <w:rPr>
                <w:b w:val="0"/>
                <w:color w:val="000000"/>
                <w:szCs w:val="20"/>
              </w:rPr>
              <w:t>Excise and import duties - departmental</w:t>
            </w:r>
          </w:p>
        </w:tc>
        <w:tc>
          <w:tcPr>
            <w:tcW w:w="351" w:type="pct"/>
            <w:vAlign w:val="center"/>
          </w:tcPr>
          <w:p w:rsidR="00FB70BE" w:rsidRPr="00FB70BE" w:rsidRDefault="00FB70BE"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rsidRPr="006B4078">
              <w:rPr>
                <w:iCs/>
                <w:color w:val="000000"/>
                <w:szCs w:val="20"/>
              </w:rPr>
              <w:t>20</w:t>
            </w:r>
          </w:p>
        </w:tc>
        <w:tc>
          <w:tcPr>
            <w:tcW w:w="351" w:type="pct"/>
            <w:vAlign w:val="center"/>
          </w:tcPr>
          <w:p w:rsidR="00FB70BE" w:rsidRPr="00FB70BE" w:rsidRDefault="00FB70BE"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rsidRPr="006B4078">
              <w:rPr>
                <w:iCs/>
                <w:color w:val="000000"/>
                <w:szCs w:val="20"/>
              </w:rPr>
              <w:t>110</w:t>
            </w:r>
          </w:p>
        </w:tc>
        <w:tc>
          <w:tcPr>
            <w:tcW w:w="351" w:type="pct"/>
            <w:vAlign w:val="center"/>
          </w:tcPr>
          <w:p w:rsidR="00FB70BE" w:rsidRPr="00FB70BE" w:rsidRDefault="00FB70BE"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rsidRPr="006B4078">
              <w:rPr>
                <w:iCs/>
                <w:color w:val="000000"/>
                <w:szCs w:val="20"/>
              </w:rPr>
              <w:t>110</w:t>
            </w:r>
          </w:p>
        </w:tc>
        <w:tc>
          <w:tcPr>
            <w:tcW w:w="351" w:type="pct"/>
            <w:vAlign w:val="center"/>
          </w:tcPr>
          <w:p w:rsidR="00FB70BE" w:rsidRPr="006B4078" w:rsidRDefault="00FB70BE" w:rsidP="00862877">
            <w:pPr>
              <w:pStyle w:val="TableTextRightBold"/>
              <w:keepLines/>
              <w:widowControl w:val="0"/>
              <w:ind w:left="-57" w:right="-57"/>
              <w:cnfStyle w:val="000000000000" w:firstRow="0" w:lastRow="0" w:firstColumn="0" w:lastColumn="0" w:oddVBand="0" w:evenVBand="0" w:oddHBand="0" w:evenHBand="0" w:firstRowFirstColumn="0" w:firstRowLastColumn="0" w:lastRowFirstColumn="0" w:lastRowLastColumn="0"/>
              <w:rPr>
                <w:b w:val="0"/>
                <w:i/>
              </w:rPr>
            </w:pPr>
            <w:r w:rsidRPr="006B4078">
              <w:rPr>
                <w:b w:val="0"/>
                <w:i/>
                <w:iCs/>
                <w:color w:val="000000"/>
                <w:szCs w:val="20"/>
              </w:rPr>
              <w:t>245</w:t>
            </w:r>
          </w:p>
        </w:tc>
        <w:tc>
          <w:tcPr>
            <w:tcW w:w="351" w:type="pct"/>
            <w:vAlign w:val="center"/>
          </w:tcPr>
          <w:p w:rsidR="00FB70BE" w:rsidRPr="00FB70BE" w:rsidRDefault="00FB70BE"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rsidRPr="006B4078">
              <w:rPr>
                <w:iCs/>
                <w:color w:val="000000"/>
                <w:szCs w:val="20"/>
              </w:rPr>
              <w:t>110</w:t>
            </w:r>
          </w:p>
        </w:tc>
        <w:tc>
          <w:tcPr>
            <w:tcW w:w="351" w:type="pct"/>
            <w:vAlign w:val="center"/>
          </w:tcPr>
          <w:p w:rsidR="00FB70BE" w:rsidRPr="00FB70BE" w:rsidRDefault="00FB70BE"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rsidRPr="006B4078">
              <w:rPr>
                <w:iCs/>
                <w:color w:val="000000"/>
                <w:szCs w:val="20"/>
              </w:rPr>
              <w:t>110</w:t>
            </w:r>
          </w:p>
        </w:tc>
        <w:tc>
          <w:tcPr>
            <w:tcW w:w="351" w:type="pct"/>
            <w:vAlign w:val="center"/>
          </w:tcPr>
          <w:p w:rsidR="00FB70BE" w:rsidRPr="00FB70BE" w:rsidRDefault="00FB70BE"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rsidRPr="006B4078">
              <w:rPr>
                <w:iCs/>
                <w:color w:val="000000"/>
                <w:szCs w:val="20"/>
              </w:rPr>
              <w:t>110</w:t>
            </w:r>
          </w:p>
        </w:tc>
        <w:tc>
          <w:tcPr>
            <w:tcW w:w="351" w:type="pct"/>
            <w:vAlign w:val="center"/>
          </w:tcPr>
          <w:p w:rsidR="00FB70BE" w:rsidRPr="00FB70BE" w:rsidRDefault="00FB70BE"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rsidRPr="006B4078">
              <w:rPr>
                <w:iCs/>
                <w:color w:val="000000"/>
                <w:szCs w:val="20"/>
              </w:rPr>
              <w:t>110</w:t>
            </w:r>
          </w:p>
        </w:tc>
        <w:tc>
          <w:tcPr>
            <w:tcW w:w="351" w:type="pct"/>
            <w:vAlign w:val="center"/>
          </w:tcPr>
          <w:p w:rsidR="00FB70BE" w:rsidRPr="00FB70BE" w:rsidRDefault="00FB70BE"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rsidRPr="006B4078">
              <w:rPr>
                <w:iCs/>
                <w:color w:val="000000"/>
                <w:szCs w:val="20"/>
              </w:rPr>
              <w:t>110</w:t>
            </w:r>
          </w:p>
        </w:tc>
        <w:tc>
          <w:tcPr>
            <w:tcW w:w="351" w:type="pct"/>
            <w:vAlign w:val="center"/>
          </w:tcPr>
          <w:p w:rsidR="00FB70BE" w:rsidRPr="00FB70BE" w:rsidRDefault="00FB70BE"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rsidRPr="006B4078">
              <w:rPr>
                <w:iCs/>
                <w:color w:val="000000"/>
                <w:szCs w:val="20"/>
              </w:rPr>
              <w:t>110</w:t>
            </w:r>
          </w:p>
        </w:tc>
        <w:tc>
          <w:tcPr>
            <w:tcW w:w="351" w:type="pct"/>
            <w:vAlign w:val="center"/>
          </w:tcPr>
          <w:p w:rsidR="00FB70BE" w:rsidRPr="00FB70BE" w:rsidRDefault="00FB70BE" w:rsidP="00E4487B">
            <w:pPr>
              <w:pStyle w:val="TableTextRightItalic"/>
              <w:keepLines/>
              <w:widowControl w:val="0"/>
              <w:ind w:left="-57" w:right="-57"/>
              <w:cnfStyle w:val="000000000000" w:firstRow="0" w:lastRow="0" w:firstColumn="0" w:lastColumn="0" w:oddVBand="0" w:evenVBand="0" w:oddHBand="0" w:evenHBand="0" w:firstRowFirstColumn="0" w:firstRowLastColumn="0" w:lastRowFirstColumn="0" w:lastRowLastColumn="0"/>
            </w:pPr>
            <w:r w:rsidRPr="006B4078">
              <w:rPr>
                <w:iCs/>
                <w:color w:val="000000"/>
                <w:szCs w:val="20"/>
              </w:rPr>
              <w:t>110</w:t>
            </w:r>
          </w:p>
        </w:tc>
        <w:tc>
          <w:tcPr>
            <w:tcW w:w="351" w:type="pct"/>
            <w:vAlign w:val="center"/>
          </w:tcPr>
          <w:p w:rsidR="00FB70BE" w:rsidRPr="00FB70BE" w:rsidRDefault="00FB70BE" w:rsidP="00E4487B">
            <w:pPr>
              <w:pStyle w:val="TableTextRightBold"/>
              <w:keepLines/>
              <w:widowControl w:val="0"/>
              <w:ind w:left="-57" w:right="-57"/>
              <w:cnfStyle w:val="000000000000" w:firstRow="0" w:lastRow="0" w:firstColumn="0" w:lastColumn="0" w:oddVBand="0" w:evenVBand="0" w:oddHBand="0" w:evenHBand="0" w:firstRowFirstColumn="0" w:firstRowLastColumn="0" w:lastRowFirstColumn="0" w:lastRowLastColumn="0"/>
              <w:rPr>
                <w:i/>
              </w:rPr>
            </w:pPr>
            <w:r w:rsidRPr="00FB70BE">
              <w:rPr>
                <w:i/>
                <w:iCs/>
                <w:color w:val="000000"/>
                <w:szCs w:val="20"/>
              </w:rPr>
              <w:t>1,030</w:t>
            </w:r>
          </w:p>
        </w:tc>
      </w:tr>
      <w:tr w:rsidR="00080CED" w:rsidTr="00AE09C5">
        <w:tc>
          <w:tcPr>
            <w:cnfStyle w:val="001000000000" w:firstRow="0" w:lastRow="0" w:firstColumn="1" w:lastColumn="0" w:oddVBand="0" w:evenVBand="0" w:oddHBand="0" w:evenHBand="0" w:firstRowFirstColumn="0" w:firstRowLastColumn="0" w:lastRowFirstColumn="0" w:lastRowLastColumn="0"/>
            <w:tcW w:w="786" w:type="pct"/>
            <w:shd w:val="clear" w:color="auto" w:fill="D7DDE9" w:themeFill="accent3"/>
            <w:vAlign w:val="center"/>
          </w:tcPr>
          <w:p w:rsidR="00C73FB2" w:rsidRPr="008D77AF" w:rsidRDefault="00C73FB2" w:rsidP="00E4487B">
            <w:pPr>
              <w:pStyle w:val="TableText"/>
              <w:keepLines/>
              <w:widowControl w:val="0"/>
            </w:pPr>
            <w:r w:rsidRPr="008D77AF">
              <w:t>Total</w:t>
            </w:r>
          </w:p>
        </w:tc>
        <w:tc>
          <w:tcPr>
            <w:tcW w:w="351" w:type="pct"/>
            <w:shd w:val="clear" w:color="auto" w:fill="D7DDE9" w:themeFill="accent3"/>
          </w:tcPr>
          <w:p w:rsidR="00C73FB2" w:rsidRDefault="00C73FB2" w:rsidP="00E4487B">
            <w:pPr>
              <w:pStyle w:val="TableTextRightBold"/>
              <w:keepLines/>
              <w:widowControl w:val="0"/>
              <w:ind w:left="-57" w:right="-57"/>
              <w:cnfStyle w:val="000000000000" w:firstRow="0" w:lastRow="0" w:firstColumn="0" w:lastColumn="0" w:oddVBand="0" w:evenVBand="0" w:oddHBand="0" w:evenHBand="0" w:firstRowFirstColumn="0" w:firstRowLastColumn="0" w:lastRowFirstColumn="0" w:lastRowLastColumn="0"/>
            </w:pPr>
            <w:r w:rsidRPr="00A75F0F">
              <w:t>-162,978</w:t>
            </w:r>
          </w:p>
        </w:tc>
        <w:tc>
          <w:tcPr>
            <w:tcW w:w="351" w:type="pct"/>
            <w:shd w:val="clear" w:color="auto" w:fill="D7DDE9" w:themeFill="accent3"/>
          </w:tcPr>
          <w:p w:rsidR="00C73FB2" w:rsidRDefault="00C73FB2" w:rsidP="00E4487B">
            <w:pPr>
              <w:pStyle w:val="TableTextRightBold"/>
              <w:keepLines/>
              <w:widowControl w:val="0"/>
              <w:ind w:left="-57" w:right="-57"/>
              <w:cnfStyle w:val="000000000000" w:firstRow="0" w:lastRow="0" w:firstColumn="0" w:lastColumn="0" w:oddVBand="0" w:evenVBand="0" w:oddHBand="0" w:evenHBand="0" w:firstRowFirstColumn="0" w:firstRowLastColumn="0" w:lastRowFirstColumn="0" w:lastRowLastColumn="0"/>
            </w:pPr>
            <w:r w:rsidRPr="00A75F0F">
              <w:t>-186,980</w:t>
            </w:r>
          </w:p>
        </w:tc>
        <w:tc>
          <w:tcPr>
            <w:tcW w:w="351" w:type="pct"/>
            <w:shd w:val="clear" w:color="auto" w:fill="D7DDE9" w:themeFill="accent3"/>
          </w:tcPr>
          <w:p w:rsidR="00C73FB2" w:rsidRDefault="00C73FB2" w:rsidP="00E4487B">
            <w:pPr>
              <w:pStyle w:val="TableTextRightBold"/>
              <w:keepLines/>
              <w:widowControl w:val="0"/>
              <w:ind w:left="-57" w:right="-57"/>
              <w:cnfStyle w:val="000000000000" w:firstRow="0" w:lastRow="0" w:firstColumn="0" w:lastColumn="0" w:oddVBand="0" w:evenVBand="0" w:oddHBand="0" w:evenHBand="0" w:firstRowFirstColumn="0" w:firstRowLastColumn="0" w:lastRowFirstColumn="0" w:lastRowLastColumn="0"/>
            </w:pPr>
            <w:r w:rsidRPr="00A75F0F">
              <w:t>-197,750</w:t>
            </w:r>
          </w:p>
        </w:tc>
        <w:tc>
          <w:tcPr>
            <w:tcW w:w="351" w:type="pct"/>
            <w:shd w:val="clear" w:color="auto" w:fill="D7DDE9" w:themeFill="accent3"/>
          </w:tcPr>
          <w:p w:rsidR="00C73FB2" w:rsidRDefault="00C73FB2" w:rsidP="00862877">
            <w:pPr>
              <w:pStyle w:val="TableTextRightBold"/>
              <w:keepLines/>
              <w:widowControl w:val="0"/>
              <w:ind w:left="-57" w:right="-57"/>
              <w:cnfStyle w:val="000000000000" w:firstRow="0" w:lastRow="0" w:firstColumn="0" w:lastColumn="0" w:oddVBand="0" w:evenVBand="0" w:oddHBand="0" w:evenHBand="0" w:firstRowFirstColumn="0" w:firstRowLastColumn="0" w:lastRowFirstColumn="0" w:lastRowLastColumn="0"/>
            </w:pPr>
            <w:r w:rsidRPr="00A75F0F">
              <w:t>-547,708</w:t>
            </w:r>
          </w:p>
        </w:tc>
        <w:tc>
          <w:tcPr>
            <w:tcW w:w="351" w:type="pct"/>
            <w:shd w:val="clear" w:color="auto" w:fill="D7DDE9" w:themeFill="accent3"/>
          </w:tcPr>
          <w:p w:rsidR="00C73FB2" w:rsidRDefault="00C73FB2" w:rsidP="00E4487B">
            <w:pPr>
              <w:pStyle w:val="TableTextRightBold"/>
              <w:keepLines/>
              <w:widowControl w:val="0"/>
              <w:ind w:left="-57" w:right="-57"/>
              <w:cnfStyle w:val="000000000000" w:firstRow="0" w:lastRow="0" w:firstColumn="0" w:lastColumn="0" w:oddVBand="0" w:evenVBand="0" w:oddHBand="0" w:evenHBand="0" w:firstRowFirstColumn="0" w:firstRowLastColumn="0" w:lastRowFirstColumn="0" w:lastRowLastColumn="0"/>
            </w:pPr>
            <w:r w:rsidRPr="00A75F0F">
              <w:t>-209,920</w:t>
            </w:r>
          </w:p>
        </w:tc>
        <w:tc>
          <w:tcPr>
            <w:tcW w:w="351" w:type="pct"/>
            <w:shd w:val="clear" w:color="auto" w:fill="D7DDE9" w:themeFill="accent3"/>
          </w:tcPr>
          <w:p w:rsidR="00C73FB2" w:rsidRDefault="00C73FB2" w:rsidP="00E4487B">
            <w:pPr>
              <w:pStyle w:val="TableTextRightBold"/>
              <w:keepLines/>
              <w:widowControl w:val="0"/>
              <w:ind w:left="-57" w:right="-57"/>
              <w:cnfStyle w:val="000000000000" w:firstRow="0" w:lastRow="0" w:firstColumn="0" w:lastColumn="0" w:oddVBand="0" w:evenVBand="0" w:oddHBand="0" w:evenHBand="0" w:firstRowFirstColumn="0" w:firstRowLastColumn="0" w:lastRowFirstColumn="0" w:lastRowLastColumn="0"/>
            </w:pPr>
            <w:r w:rsidRPr="00A75F0F">
              <w:t>-219,890</w:t>
            </w:r>
          </w:p>
        </w:tc>
        <w:tc>
          <w:tcPr>
            <w:tcW w:w="351" w:type="pct"/>
            <w:shd w:val="clear" w:color="auto" w:fill="D7DDE9" w:themeFill="accent3"/>
          </w:tcPr>
          <w:p w:rsidR="00C73FB2" w:rsidRDefault="00C73FB2" w:rsidP="00E4487B">
            <w:pPr>
              <w:pStyle w:val="TableTextRightBold"/>
              <w:keepLines/>
              <w:widowControl w:val="0"/>
              <w:ind w:left="-57" w:right="-57"/>
              <w:cnfStyle w:val="000000000000" w:firstRow="0" w:lastRow="0" w:firstColumn="0" w:lastColumn="0" w:oddVBand="0" w:evenVBand="0" w:oddHBand="0" w:evenHBand="0" w:firstRowFirstColumn="0" w:firstRowLastColumn="0" w:lastRowFirstColumn="0" w:lastRowLastColumn="0"/>
            </w:pPr>
            <w:r w:rsidRPr="00A75F0F">
              <w:t>-231,870</w:t>
            </w:r>
          </w:p>
        </w:tc>
        <w:tc>
          <w:tcPr>
            <w:tcW w:w="351" w:type="pct"/>
            <w:shd w:val="clear" w:color="auto" w:fill="D7DDE9" w:themeFill="accent3"/>
          </w:tcPr>
          <w:p w:rsidR="00C73FB2" w:rsidRDefault="00C73FB2" w:rsidP="00E4487B">
            <w:pPr>
              <w:pStyle w:val="TableTextRightBold"/>
              <w:keepLines/>
              <w:widowControl w:val="0"/>
              <w:ind w:left="-57" w:right="-57"/>
              <w:cnfStyle w:val="000000000000" w:firstRow="0" w:lastRow="0" w:firstColumn="0" w:lastColumn="0" w:oddVBand="0" w:evenVBand="0" w:oddHBand="0" w:evenHBand="0" w:firstRowFirstColumn="0" w:firstRowLastColumn="0" w:lastRowFirstColumn="0" w:lastRowLastColumn="0"/>
            </w:pPr>
            <w:r w:rsidRPr="00A75F0F">
              <w:t>-241,880</w:t>
            </w:r>
          </w:p>
        </w:tc>
        <w:tc>
          <w:tcPr>
            <w:tcW w:w="351" w:type="pct"/>
            <w:shd w:val="clear" w:color="auto" w:fill="D7DDE9" w:themeFill="accent3"/>
          </w:tcPr>
          <w:p w:rsidR="00C73FB2" w:rsidRDefault="00C73FB2" w:rsidP="00E4487B">
            <w:pPr>
              <w:pStyle w:val="TableTextRightBold"/>
              <w:keepLines/>
              <w:widowControl w:val="0"/>
              <w:ind w:left="-57" w:right="-57"/>
              <w:cnfStyle w:val="000000000000" w:firstRow="0" w:lastRow="0" w:firstColumn="0" w:lastColumn="0" w:oddVBand="0" w:evenVBand="0" w:oddHBand="0" w:evenHBand="0" w:firstRowFirstColumn="0" w:firstRowLastColumn="0" w:lastRowFirstColumn="0" w:lastRowLastColumn="0"/>
            </w:pPr>
            <w:r w:rsidRPr="00A75F0F">
              <w:t>-253,510</w:t>
            </w:r>
          </w:p>
        </w:tc>
        <w:tc>
          <w:tcPr>
            <w:tcW w:w="351" w:type="pct"/>
            <w:shd w:val="clear" w:color="auto" w:fill="D7DDE9" w:themeFill="accent3"/>
          </w:tcPr>
          <w:p w:rsidR="00C73FB2" w:rsidRDefault="00C73FB2" w:rsidP="00E4487B">
            <w:pPr>
              <w:pStyle w:val="TableTextRightBold"/>
              <w:keepLines/>
              <w:widowControl w:val="0"/>
              <w:ind w:left="-57" w:right="-57"/>
              <w:cnfStyle w:val="000000000000" w:firstRow="0" w:lastRow="0" w:firstColumn="0" w:lastColumn="0" w:oddVBand="0" w:evenVBand="0" w:oddHBand="0" w:evenHBand="0" w:firstRowFirstColumn="0" w:firstRowLastColumn="0" w:lastRowFirstColumn="0" w:lastRowLastColumn="0"/>
            </w:pPr>
            <w:r w:rsidRPr="00A75F0F">
              <w:t>-264,220</w:t>
            </w:r>
          </w:p>
        </w:tc>
        <w:tc>
          <w:tcPr>
            <w:tcW w:w="351" w:type="pct"/>
            <w:shd w:val="clear" w:color="auto" w:fill="D7DDE9" w:themeFill="accent3"/>
          </w:tcPr>
          <w:p w:rsidR="00C73FB2" w:rsidRDefault="00C73FB2" w:rsidP="00E4487B">
            <w:pPr>
              <w:pStyle w:val="TableTextRightBold"/>
              <w:keepLines/>
              <w:widowControl w:val="0"/>
              <w:ind w:left="-57" w:right="-57"/>
              <w:cnfStyle w:val="000000000000" w:firstRow="0" w:lastRow="0" w:firstColumn="0" w:lastColumn="0" w:oddVBand="0" w:evenVBand="0" w:oddHBand="0" w:evenHBand="0" w:firstRowFirstColumn="0" w:firstRowLastColumn="0" w:lastRowFirstColumn="0" w:lastRowLastColumn="0"/>
            </w:pPr>
            <w:r w:rsidRPr="00A75F0F">
              <w:t>-276,520</w:t>
            </w:r>
          </w:p>
        </w:tc>
        <w:tc>
          <w:tcPr>
            <w:tcW w:w="351" w:type="pct"/>
            <w:shd w:val="clear" w:color="auto" w:fill="D7DDE9" w:themeFill="accent3"/>
          </w:tcPr>
          <w:p w:rsidR="00C73FB2" w:rsidRDefault="00C73FB2" w:rsidP="00E4487B">
            <w:pPr>
              <w:pStyle w:val="TableTextRightBold"/>
              <w:keepLines/>
              <w:widowControl w:val="0"/>
              <w:ind w:left="-57" w:right="-57"/>
              <w:cnfStyle w:val="000000000000" w:firstRow="0" w:lastRow="0" w:firstColumn="0" w:lastColumn="0" w:oddVBand="0" w:evenVBand="0" w:oddHBand="0" w:evenHBand="0" w:firstRowFirstColumn="0" w:firstRowLastColumn="0" w:lastRowFirstColumn="0" w:lastRowLastColumn="0"/>
            </w:pPr>
            <w:r w:rsidRPr="00A75F0F">
              <w:t>-2,245,518</w:t>
            </w:r>
          </w:p>
        </w:tc>
      </w:tr>
    </w:tbl>
    <w:p w:rsidR="00AF568A" w:rsidRDefault="0056001A" w:rsidP="00E4487B">
      <w:pPr>
        <w:pStyle w:val="TableFootnotes"/>
        <w:widowControl w:val="0"/>
        <w:numPr>
          <w:ilvl w:val="0"/>
          <w:numId w:val="13"/>
        </w:numPr>
        <w:ind w:left="284" w:hanging="284"/>
      </w:pPr>
      <w:r>
        <w:t>A positive number for the underlying cash balance indicates an increase in receipts or a decrease in outlays or net capital investment in cash terms.  A negative number for the underlying cash balance indicates a decrease in receipts or an increase in outlays or net capital investment in cash terms.</w:t>
      </w:r>
    </w:p>
    <w:p w:rsidR="00AF568A" w:rsidRDefault="00AF568A" w:rsidP="00E4487B">
      <w:pPr>
        <w:pStyle w:val="TableFootnotes"/>
        <w:widowControl w:val="0"/>
      </w:pPr>
      <w:r>
        <w:t>Figures may not sum to totals due to rounding.</w:t>
      </w:r>
    </w:p>
    <w:p w:rsidR="009A3755" w:rsidRDefault="009A3755" w:rsidP="00D17A0B">
      <w:pPr>
        <w:pStyle w:val="TableFootnotes"/>
      </w:pPr>
      <w:r>
        <w:t>Component estimates are the financial impact of each component of the option costed.</w:t>
      </w:r>
    </w:p>
    <w:p w:rsidR="00607EB6" w:rsidRPr="00731C21" w:rsidRDefault="00607EB6" w:rsidP="00907DFB">
      <w:pPr>
        <w:pStyle w:val="TableFootnotes"/>
        <w:numPr>
          <w:ilvl w:val="0"/>
          <w:numId w:val="11"/>
        </w:numPr>
        <w:ind w:left="284" w:hanging="284"/>
        <w:rPr>
          <w:b/>
          <w:bCs/>
          <w:color w:val="2B3B5F" w:themeColor="text2"/>
          <w:spacing w:val="-4"/>
        </w:rPr>
      </w:pPr>
      <w:r>
        <w:t>Indicates nil.</w:t>
      </w:r>
    </w:p>
    <w:p w:rsidR="00FB70BE" w:rsidRPr="00BE3B56" w:rsidRDefault="00FB70BE" w:rsidP="00907DFB">
      <w:pPr>
        <w:pStyle w:val="TableFootnotes"/>
        <w:numPr>
          <w:ilvl w:val="0"/>
          <w:numId w:val="0"/>
        </w:numPr>
        <w:ind w:left="284"/>
        <w:rPr>
          <w:b/>
          <w:bCs/>
          <w:color w:val="2B3B5F" w:themeColor="text2"/>
          <w:spacing w:val="-4"/>
        </w:rPr>
      </w:pPr>
      <w:r>
        <w:br w:type="page"/>
      </w:r>
    </w:p>
    <w:p w:rsidR="00A25ACE" w:rsidRDefault="00A25ACE" w:rsidP="00A25ACE">
      <w:pPr>
        <w:pStyle w:val="Caption"/>
        <w:keepLines/>
        <w:rPr>
          <w:vertAlign w:val="superscript"/>
        </w:rPr>
      </w:pPr>
      <w:r w:rsidRPr="002D239A">
        <w:lastRenderedPageBreak/>
        <w:t xml:space="preserve">Table </w:t>
      </w:r>
      <w:r w:rsidR="001F29CD">
        <w:fldChar w:fldCharType="begin"/>
      </w:r>
      <w:r w:rsidR="001F29CD">
        <w:instrText xml:space="preserve"> STYLEREF 8 \s </w:instrText>
      </w:r>
      <w:r w:rsidR="001F29CD">
        <w:fldChar w:fldCharType="separate"/>
      </w:r>
      <w:r w:rsidR="00784163">
        <w:rPr>
          <w:noProof/>
        </w:rPr>
        <w:t>A</w:t>
      </w:r>
      <w:r w:rsidR="001F29CD">
        <w:rPr>
          <w:noProof/>
        </w:rPr>
        <w:fldChar w:fldCharType="end"/>
      </w:r>
      <w:r>
        <w:t>3</w:t>
      </w:r>
      <w:r w:rsidRPr="002D239A">
        <w:t xml:space="preserve">: </w:t>
      </w:r>
      <w:r w:rsidR="008B4307">
        <w:t xml:space="preserve">Tax – </w:t>
      </w:r>
      <w:r w:rsidR="005642B7">
        <w:t>Option 2</w:t>
      </w:r>
      <w:r w:rsidR="00FE773E">
        <w:t xml:space="preserve"> – </w:t>
      </w:r>
      <w:r w:rsidR="009C40CE">
        <w:t xml:space="preserve">Personal income tax, company tax, excise and customs </w:t>
      </w:r>
      <w:r w:rsidR="009C40CE" w:rsidRPr="0089385B">
        <w:t>duty</w:t>
      </w:r>
      <w:r w:rsidR="00760818">
        <w:t>,</w:t>
      </w:r>
      <w:r w:rsidR="009C40CE" w:rsidRPr="0089385B">
        <w:t xml:space="preserve"> </w:t>
      </w:r>
      <w:r w:rsidR="00D411F5" w:rsidRPr="0089385B">
        <w:t>and</w:t>
      </w:r>
      <w:r w:rsidR="00FE773E" w:rsidRPr="0089385B">
        <w:t xml:space="preserve"> GST on food</w:t>
      </w:r>
      <w:r>
        <w:t xml:space="preserve">—Fiscal </w:t>
      </w:r>
      <w:proofErr w:type="gramStart"/>
      <w:r>
        <w:t>balance</w:t>
      </w:r>
      <w:r w:rsidRPr="002D239A">
        <w:rPr>
          <w:vertAlign w:val="superscript"/>
        </w:rPr>
        <w:t>(</w:t>
      </w:r>
      <w:proofErr w:type="gramEnd"/>
      <w:r w:rsidRPr="002D239A">
        <w:rPr>
          <w:vertAlign w:val="superscript"/>
        </w:rPr>
        <w:t>a)(b)</w:t>
      </w:r>
    </w:p>
    <w:tbl>
      <w:tblPr>
        <w:tblStyle w:val="LightGrid-Accent6"/>
        <w:tblW w:w="4999" w:type="pct"/>
        <w:tblLayout w:type="fixed"/>
        <w:tblLook w:val="0680" w:firstRow="0" w:lastRow="0" w:firstColumn="1" w:lastColumn="0" w:noHBand="1" w:noVBand="1"/>
      </w:tblPr>
      <w:tblGrid>
        <w:gridCol w:w="2236"/>
        <w:gridCol w:w="999"/>
        <w:gridCol w:w="999"/>
        <w:gridCol w:w="999"/>
        <w:gridCol w:w="999"/>
        <w:gridCol w:w="999"/>
        <w:gridCol w:w="998"/>
        <w:gridCol w:w="998"/>
        <w:gridCol w:w="998"/>
        <w:gridCol w:w="998"/>
        <w:gridCol w:w="998"/>
        <w:gridCol w:w="998"/>
        <w:gridCol w:w="998"/>
      </w:tblGrid>
      <w:tr w:rsidR="00080CED" w:rsidTr="000436E6">
        <w:trPr>
          <w:cantSplit/>
        </w:trPr>
        <w:tc>
          <w:tcPr>
            <w:cnfStyle w:val="001000000000" w:firstRow="0" w:lastRow="0" w:firstColumn="1" w:lastColumn="0" w:oddVBand="0" w:evenVBand="0" w:oddHBand="0" w:evenHBand="0" w:firstRowFirstColumn="0" w:firstRowLastColumn="0" w:lastRowFirstColumn="0" w:lastRowLastColumn="0"/>
            <w:tcW w:w="786" w:type="pct"/>
            <w:shd w:val="clear" w:color="auto" w:fill="D7DDE9" w:themeFill="accent3"/>
            <w:vAlign w:val="center"/>
          </w:tcPr>
          <w:p w:rsidR="0032047F" w:rsidRDefault="0032047F">
            <w:pPr>
              <w:pStyle w:val="TableHeading"/>
            </w:pPr>
            <w:r>
              <w:t>($m)</w:t>
            </w:r>
          </w:p>
          <w:p w:rsidR="009655B1" w:rsidRPr="002D239A" w:rsidRDefault="009655B1">
            <w:pPr>
              <w:pStyle w:val="TableHeading"/>
            </w:pPr>
            <w:r>
              <w:t>Component</w:t>
            </w:r>
            <w:r w:rsidRPr="002D239A">
              <w:rPr>
                <w:vertAlign w:val="superscript"/>
              </w:rPr>
              <w:t>(</w:t>
            </w:r>
            <w:r>
              <w:rPr>
                <w:vertAlign w:val="superscript"/>
              </w:rPr>
              <w:t>c)</w:t>
            </w:r>
          </w:p>
        </w:tc>
        <w:tc>
          <w:tcPr>
            <w:tcW w:w="351" w:type="pct"/>
            <w:shd w:val="clear" w:color="auto" w:fill="D7DDE9" w:themeFill="accent3"/>
            <w:vAlign w:val="center"/>
          </w:tcPr>
          <w:p w:rsidR="0032047F" w:rsidRPr="002D239A" w:rsidRDefault="0032047F" w:rsidP="006B4078">
            <w:pPr>
              <w:pStyle w:val="TableHeadingRight"/>
              <w:ind w:left="0" w:right="0"/>
              <w:cnfStyle w:val="000000000000" w:firstRow="0" w:lastRow="0" w:firstColumn="0" w:lastColumn="0" w:oddVBand="0" w:evenVBand="0" w:oddHBand="0" w:evenHBand="0" w:firstRowFirstColumn="0" w:firstRowLastColumn="0" w:lastRowFirstColumn="0" w:lastRowLastColumn="0"/>
              <w:rPr>
                <w:b w:val="0"/>
              </w:rPr>
            </w:pPr>
            <w:r>
              <w:rPr>
                <w:b w:val="0"/>
              </w:rPr>
              <w:t>2017-18</w:t>
            </w:r>
          </w:p>
        </w:tc>
        <w:tc>
          <w:tcPr>
            <w:tcW w:w="351" w:type="pct"/>
            <w:shd w:val="clear" w:color="auto" w:fill="D7DDE9" w:themeFill="accent3"/>
            <w:vAlign w:val="center"/>
          </w:tcPr>
          <w:p w:rsidR="0032047F" w:rsidRPr="002D239A" w:rsidRDefault="0032047F" w:rsidP="006B4078">
            <w:pPr>
              <w:pStyle w:val="TableHeadingRight"/>
              <w:ind w:left="0" w:right="0"/>
              <w:cnfStyle w:val="000000000000" w:firstRow="0" w:lastRow="0" w:firstColumn="0" w:lastColumn="0" w:oddVBand="0" w:evenVBand="0" w:oddHBand="0" w:evenHBand="0" w:firstRowFirstColumn="0" w:firstRowLastColumn="0" w:lastRowFirstColumn="0" w:lastRowLastColumn="0"/>
              <w:rPr>
                <w:b w:val="0"/>
              </w:rPr>
            </w:pPr>
            <w:r>
              <w:rPr>
                <w:b w:val="0"/>
              </w:rPr>
              <w:t>2018-19</w:t>
            </w:r>
          </w:p>
        </w:tc>
        <w:tc>
          <w:tcPr>
            <w:tcW w:w="351" w:type="pct"/>
            <w:shd w:val="clear" w:color="auto" w:fill="D7DDE9" w:themeFill="accent3"/>
            <w:vAlign w:val="center"/>
          </w:tcPr>
          <w:p w:rsidR="0032047F" w:rsidRPr="002D239A" w:rsidRDefault="0032047F" w:rsidP="006B4078">
            <w:pPr>
              <w:pStyle w:val="TableHeadingRight"/>
              <w:ind w:left="0" w:right="0"/>
              <w:cnfStyle w:val="000000000000" w:firstRow="0" w:lastRow="0" w:firstColumn="0" w:lastColumn="0" w:oddVBand="0" w:evenVBand="0" w:oddHBand="0" w:evenHBand="0" w:firstRowFirstColumn="0" w:firstRowLastColumn="0" w:lastRowFirstColumn="0" w:lastRowLastColumn="0"/>
              <w:rPr>
                <w:b w:val="0"/>
              </w:rPr>
            </w:pPr>
            <w:r>
              <w:rPr>
                <w:b w:val="0"/>
              </w:rPr>
              <w:t>2019-20</w:t>
            </w:r>
          </w:p>
        </w:tc>
        <w:tc>
          <w:tcPr>
            <w:tcW w:w="351" w:type="pct"/>
            <w:shd w:val="clear" w:color="auto" w:fill="D7DDE9" w:themeFill="accent3"/>
            <w:vAlign w:val="center"/>
          </w:tcPr>
          <w:p w:rsidR="0032047F" w:rsidRPr="002D239A" w:rsidRDefault="0032047F" w:rsidP="006B4078">
            <w:pPr>
              <w:pStyle w:val="TableHeadingRight"/>
              <w:ind w:left="0" w:right="0"/>
              <w:cnfStyle w:val="000000000000" w:firstRow="0" w:lastRow="0" w:firstColumn="0" w:lastColumn="0" w:oddVBand="0" w:evenVBand="0" w:oddHBand="0" w:evenHBand="0" w:firstRowFirstColumn="0" w:firstRowLastColumn="0" w:lastRowFirstColumn="0" w:lastRowLastColumn="0"/>
              <w:rPr>
                <w:b w:val="0"/>
              </w:rPr>
            </w:pPr>
            <w:r>
              <w:t>Total to 2019-20</w:t>
            </w:r>
          </w:p>
        </w:tc>
        <w:tc>
          <w:tcPr>
            <w:tcW w:w="351" w:type="pct"/>
            <w:shd w:val="clear" w:color="auto" w:fill="D7DDE9" w:themeFill="accent3"/>
            <w:vAlign w:val="center"/>
          </w:tcPr>
          <w:p w:rsidR="0032047F" w:rsidRPr="002D239A" w:rsidRDefault="0032047F" w:rsidP="006B4078">
            <w:pPr>
              <w:pStyle w:val="TableText"/>
              <w:keepNext/>
              <w:keepLines/>
              <w:ind w:left="0" w:right="0"/>
              <w:cnfStyle w:val="000000000000" w:firstRow="0" w:lastRow="0" w:firstColumn="0" w:lastColumn="0" w:oddVBand="0" w:evenVBand="0" w:oddHBand="0" w:evenHBand="0" w:firstRowFirstColumn="0" w:firstRowLastColumn="0" w:lastRowFirstColumn="0" w:lastRowLastColumn="0"/>
            </w:pPr>
            <w:r>
              <w:t>2020-21</w:t>
            </w:r>
          </w:p>
        </w:tc>
        <w:tc>
          <w:tcPr>
            <w:tcW w:w="351" w:type="pct"/>
            <w:shd w:val="clear" w:color="auto" w:fill="D7DDE9" w:themeFill="accent3"/>
            <w:vAlign w:val="center"/>
          </w:tcPr>
          <w:p w:rsidR="0032047F" w:rsidRPr="002D239A" w:rsidRDefault="0032047F" w:rsidP="006B4078">
            <w:pPr>
              <w:pStyle w:val="TableText"/>
              <w:keepNext/>
              <w:keepLines/>
              <w:ind w:left="0" w:right="0"/>
              <w:cnfStyle w:val="000000000000" w:firstRow="0" w:lastRow="0" w:firstColumn="0" w:lastColumn="0" w:oddVBand="0" w:evenVBand="0" w:oddHBand="0" w:evenHBand="0" w:firstRowFirstColumn="0" w:firstRowLastColumn="0" w:lastRowFirstColumn="0" w:lastRowLastColumn="0"/>
            </w:pPr>
            <w:r>
              <w:t>2021-22</w:t>
            </w:r>
          </w:p>
        </w:tc>
        <w:tc>
          <w:tcPr>
            <w:tcW w:w="351" w:type="pct"/>
            <w:shd w:val="clear" w:color="auto" w:fill="D7DDE9" w:themeFill="accent3"/>
            <w:vAlign w:val="center"/>
          </w:tcPr>
          <w:p w:rsidR="0032047F" w:rsidRPr="002D239A" w:rsidRDefault="0032047F" w:rsidP="006B4078">
            <w:pPr>
              <w:pStyle w:val="TableText"/>
              <w:keepNext/>
              <w:keepLines/>
              <w:ind w:left="0" w:right="0"/>
              <w:cnfStyle w:val="000000000000" w:firstRow="0" w:lastRow="0" w:firstColumn="0" w:lastColumn="0" w:oddVBand="0" w:evenVBand="0" w:oddHBand="0" w:evenHBand="0" w:firstRowFirstColumn="0" w:firstRowLastColumn="0" w:lastRowFirstColumn="0" w:lastRowLastColumn="0"/>
            </w:pPr>
            <w:r>
              <w:t>2022-23</w:t>
            </w:r>
          </w:p>
        </w:tc>
        <w:tc>
          <w:tcPr>
            <w:tcW w:w="351" w:type="pct"/>
            <w:shd w:val="clear" w:color="auto" w:fill="D7DDE9" w:themeFill="accent3"/>
            <w:vAlign w:val="center"/>
          </w:tcPr>
          <w:p w:rsidR="0032047F" w:rsidRPr="002D239A" w:rsidRDefault="0032047F" w:rsidP="006B4078">
            <w:pPr>
              <w:pStyle w:val="TableText"/>
              <w:keepNext/>
              <w:keepLines/>
              <w:ind w:left="0" w:right="0"/>
              <w:cnfStyle w:val="000000000000" w:firstRow="0" w:lastRow="0" w:firstColumn="0" w:lastColumn="0" w:oddVBand="0" w:evenVBand="0" w:oddHBand="0" w:evenHBand="0" w:firstRowFirstColumn="0" w:firstRowLastColumn="0" w:lastRowFirstColumn="0" w:lastRowLastColumn="0"/>
            </w:pPr>
            <w:r>
              <w:t>2023-24</w:t>
            </w:r>
          </w:p>
        </w:tc>
        <w:tc>
          <w:tcPr>
            <w:tcW w:w="351" w:type="pct"/>
            <w:shd w:val="clear" w:color="auto" w:fill="D7DDE9" w:themeFill="accent3"/>
            <w:vAlign w:val="center"/>
          </w:tcPr>
          <w:p w:rsidR="0032047F" w:rsidRPr="002D239A" w:rsidRDefault="0032047F" w:rsidP="006B4078">
            <w:pPr>
              <w:pStyle w:val="TableText"/>
              <w:keepNext/>
              <w:keepLines/>
              <w:ind w:left="0" w:right="0"/>
              <w:cnfStyle w:val="000000000000" w:firstRow="0" w:lastRow="0" w:firstColumn="0" w:lastColumn="0" w:oddVBand="0" w:evenVBand="0" w:oddHBand="0" w:evenHBand="0" w:firstRowFirstColumn="0" w:firstRowLastColumn="0" w:lastRowFirstColumn="0" w:lastRowLastColumn="0"/>
            </w:pPr>
            <w:r>
              <w:t>2024-25</w:t>
            </w:r>
          </w:p>
        </w:tc>
        <w:tc>
          <w:tcPr>
            <w:tcW w:w="351" w:type="pct"/>
            <w:shd w:val="clear" w:color="auto" w:fill="D7DDE9" w:themeFill="accent3"/>
            <w:vAlign w:val="center"/>
          </w:tcPr>
          <w:p w:rsidR="0032047F" w:rsidRPr="002D239A" w:rsidRDefault="0032047F" w:rsidP="006B4078">
            <w:pPr>
              <w:pStyle w:val="TableText"/>
              <w:keepNext/>
              <w:keepLines/>
              <w:ind w:left="0" w:right="0"/>
              <w:jc w:val="right"/>
              <w:cnfStyle w:val="000000000000" w:firstRow="0" w:lastRow="0" w:firstColumn="0" w:lastColumn="0" w:oddVBand="0" w:evenVBand="0" w:oddHBand="0" w:evenHBand="0" w:firstRowFirstColumn="0" w:firstRowLastColumn="0" w:lastRowFirstColumn="0" w:lastRowLastColumn="0"/>
            </w:pPr>
            <w:r>
              <w:t>2025-26</w:t>
            </w:r>
          </w:p>
        </w:tc>
        <w:tc>
          <w:tcPr>
            <w:tcW w:w="351" w:type="pct"/>
            <w:shd w:val="clear" w:color="auto" w:fill="D7DDE9" w:themeFill="accent3"/>
            <w:vAlign w:val="center"/>
          </w:tcPr>
          <w:p w:rsidR="0032047F" w:rsidRDefault="0032047F" w:rsidP="006B4078">
            <w:pPr>
              <w:pStyle w:val="TableText"/>
              <w:keepNext/>
              <w:keepLines/>
              <w:ind w:left="0" w:right="0"/>
              <w:jc w:val="right"/>
              <w:cnfStyle w:val="000000000000" w:firstRow="0" w:lastRow="0" w:firstColumn="0" w:lastColumn="0" w:oddVBand="0" w:evenVBand="0" w:oddHBand="0" w:evenHBand="0" w:firstRowFirstColumn="0" w:firstRowLastColumn="0" w:lastRowFirstColumn="0" w:lastRowLastColumn="0"/>
            </w:pPr>
            <w:r>
              <w:t>2026-27</w:t>
            </w:r>
          </w:p>
        </w:tc>
        <w:tc>
          <w:tcPr>
            <w:tcW w:w="351" w:type="pct"/>
            <w:shd w:val="clear" w:color="auto" w:fill="D7DDE9" w:themeFill="accent3"/>
          </w:tcPr>
          <w:p w:rsidR="0032047F" w:rsidRPr="009355B8" w:rsidRDefault="0032047F" w:rsidP="006B4078">
            <w:pPr>
              <w:pStyle w:val="TableText"/>
              <w:keepNext/>
              <w:keepLines/>
              <w:ind w:left="0" w:right="0"/>
              <w:cnfStyle w:val="000000000000" w:firstRow="0" w:lastRow="0" w:firstColumn="0" w:lastColumn="0" w:oddVBand="0" w:evenVBand="0" w:oddHBand="0" w:evenHBand="0" w:firstRowFirstColumn="0" w:firstRowLastColumn="0" w:lastRowFirstColumn="0" w:lastRowLastColumn="0"/>
              <w:rPr>
                <w:b/>
              </w:rPr>
            </w:pPr>
            <w:r w:rsidRPr="009355B8">
              <w:rPr>
                <w:b/>
              </w:rPr>
              <w:t>Total to 2026-27</w:t>
            </w:r>
          </w:p>
        </w:tc>
      </w:tr>
      <w:tr w:rsidR="00936D01" w:rsidRPr="008D77AF" w:rsidTr="00D17A0B">
        <w:trPr>
          <w:cantSplit/>
        </w:trPr>
        <w:tc>
          <w:tcPr>
            <w:cnfStyle w:val="001000000000" w:firstRow="0" w:lastRow="0" w:firstColumn="1" w:lastColumn="0" w:oddVBand="0" w:evenVBand="0" w:oddHBand="0" w:evenHBand="0" w:firstRowFirstColumn="0" w:firstRowLastColumn="0" w:lastRowFirstColumn="0" w:lastRowLastColumn="0"/>
            <w:tcW w:w="786" w:type="pct"/>
            <w:vAlign w:val="center"/>
          </w:tcPr>
          <w:p w:rsidR="00936D01" w:rsidRPr="006212E3" w:rsidRDefault="00936D01">
            <w:pPr>
              <w:pStyle w:val="TableText"/>
              <w:keepNext/>
              <w:keepLines/>
              <w:ind w:left="0"/>
              <w:rPr>
                <w:b w:val="0"/>
              </w:rPr>
            </w:pPr>
            <w:r w:rsidRPr="006212E3">
              <w:rPr>
                <w:b w:val="0"/>
                <w:color w:val="000000"/>
                <w:szCs w:val="20"/>
              </w:rPr>
              <w:t>Revenue</w:t>
            </w:r>
          </w:p>
        </w:tc>
        <w:tc>
          <w:tcPr>
            <w:tcW w:w="351" w:type="pct"/>
            <w:vAlign w:val="center"/>
          </w:tcPr>
          <w:p w:rsidR="00936D01" w:rsidRPr="00A86D80" w:rsidRDefault="00936D01">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rPr>
                <w:b/>
                <w:i w:val="0"/>
              </w:rPr>
            </w:pPr>
            <w:r w:rsidRPr="00A86D80">
              <w:rPr>
                <w:b/>
                <w:i w:val="0"/>
              </w:rPr>
              <w:t>-166,530</w:t>
            </w:r>
          </w:p>
        </w:tc>
        <w:tc>
          <w:tcPr>
            <w:tcW w:w="351" w:type="pct"/>
            <w:vAlign w:val="center"/>
          </w:tcPr>
          <w:p w:rsidR="00936D01" w:rsidRPr="00A86D80" w:rsidRDefault="00936D01">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rPr>
                <w:b/>
                <w:i w:val="0"/>
              </w:rPr>
            </w:pPr>
            <w:r w:rsidRPr="00A86D80">
              <w:rPr>
                <w:b/>
                <w:i w:val="0"/>
              </w:rPr>
              <w:t>-190,170</w:t>
            </w:r>
          </w:p>
        </w:tc>
        <w:tc>
          <w:tcPr>
            <w:tcW w:w="351" w:type="pct"/>
            <w:vAlign w:val="center"/>
          </w:tcPr>
          <w:p w:rsidR="00936D01" w:rsidRPr="00A86D80" w:rsidRDefault="00936D01">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rPr>
                <w:b/>
                <w:i w:val="0"/>
              </w:rPr>
            </w:pPr>
            <w:r w:rsidRPr="00A86D80">
              <w:rPr>
                <w:b/>
                <w:i w:val="0"/>
              </w:rPr>
              <w:t>-200,840</w:t>
            </w:r>
          </w:p>
        </w:tc>
        <w:tc>
          <w:tcPr>
            <w:tcW w:w="351" w:type="pct"/>
            <w:vAlign w:val="center"/>
          </w:tcPr>
          <w:p w:rsidR="00936D01" w:rsidRPr="006212E3" w:rsidRDefault="00936D01">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pPr>
            <w:r w:rsidRPr="006212E3">
              <w:t>-557,540</w:t>
            </w:r>
          </w:p>
        </w:tc>
        <w:tc>
          <w:tcPr>
            <w:tcW w:w="351" w:type="pct"/>
            <w:vAlign w:val="center"/>
          </w:tcPr>
          <w:p w:rsidR="00936D01" w:rsidRPr="00A86D80" w:rsidRDefault="00936D01">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rPr>
                <w:b/>
                <w:i w:val="0"/>
              </w:rPr>
            </w:pPr>
            <w:r w:rsidRPr="00A86D80">
              <w:rPr>
                <w:b/>
                <w:i w:val="0"/>
              </w:rPr>
              <w:t>-213,750</w:t>
            </w:r>
          </w:p>
        </w:tc>
        <w:tc>
          <w:tcPr>
            <w:tcW w:w="351" w:type="pct"/>
            <w:vAlign w:val="center"/>
          </w:tcPr>
          <w:p w:rsidR="00936D01" w:rsidRPr="00A86D80" w:rsidRDefault="00936D01">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rPr>
                <w:b/>
                <w:i w:val="0"/>
              </w:rPr>
            </w:pPr>
            <w:r w:rsidRPr="00A86D80">
              <w:rPr>
                <w:b/>
                <w:i w:val="0"/>
              </w:rPr>
              <w:t>-224,110</w:t>
            </w:r>
          </w:p>
        </w:tc>
        <w:tc>
          <w:tcPr>
            <w:tcW w:w="351" w:type="pct"/>
            <w:vAlign w:val="center"/>
          </w:tcPr>
          <w:p w:rsidR="00936D01" w:rsidRPr="00A86D80" w:rsidRDefault="00936D01">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rPr>
                <w:b/>
                <w:i w:val="0"/>
              </w:rPr>
            </w:pPr>
            <w:r w:rsidRPr="00A86D80">
              <w:rPr>
                <w:b/>
                <w:i w:val="0"/>
              </w:rPr>
              <w:t>-236,530</w:t>
            </w:r>
          </w:p>
        </w:tc>
        <w:tc>
          <w:tcPr>
            <w:tcW w:w="351" w:type="pct"/>
            <w:vAlign w:val="center"/>
          </w:tcPr>
          <w:p w:rsidR="00936D01" w:rsidRPr="00A86D80" w:rsidRDefault="00936D01">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rPr>
                <w:b/>
                <w:i w:val="0"/>
              </w:rPr>
            </w:pPr>
            <w:r w:rsidRPr="00A86D80">
              <w:rPr>
                <w:b/>
                <w:i w:val="0"/>
              </w:rPr>
              <w:t>-246,980</w:t>
            </w:r>
          </w:p>
        </w:tc>
        <w:tc>
          <w:tcPr>
            <w:tcW w:w="351" w:type="pct"/>
            <w:vAlign w:val="center"/>
          </w:tcPr>
          <w:p w:rsidR="00936D01" w:rsidRPr="00A86D80" w:rsidRDefault="00936D01">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rPr>
                <w:b/>
                <w:i w:val="0"/>
              </w:rPr>
            </w:pPr>
            <w:r w:rsidRPr="00A86D80">
              <w:rPr>
                <w:b/>
                <w:i w:val="0"/>
              </w:rPr>
              <w:t>-259,050</w:t>
            </w:r>
          </w:p>
        </w:tc>
        <w:tc>
          <w:tcPr>
            <w:tcW w:w="351" w:type="pct"/>
            <w:vAlign w:val="center"/>
          </w:tcPr>
          <w:p w:rsidR="00936D01" w:rsidRPr="00A86D80" w:rsidRDefault="00936D01">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rPr>
                <w:b/>
                <w:i w:val="0"/>
              </w:rPr>
            </w:pPr>
            <w:r w:rsidRPr="00A86D80">
              <w:rPr>
                <w:b/>
                <w:i w:val="0"/>
              </w:rPr>
              <w:t>-270,250</w:t>
            </w:r>
          </w:p>
        </w:tc>
        <w:tc>
          <w:tcPr>
            <w:tcW w:w="351" w:type="pct"/>
            <w:vAlign w:val="center"/>
          </w:tcPr>
          <w:p w:rsidR="00936D01" w:rsidRPr="00A86D80" w:rsidRDefault="00936D01">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rPr>
                <w:b/>
                <w:i w:val="0"/>
              </w:rPr>
            </w:pPr>
            <w:r w:rsidRPr="00A86D80">
              <w:rPr>
                <w:b/>
                <w:i w:val="0"/>
              </w:rPr>
              <w:t>-283,090</w:t>
            </w:r>
          </w:p>
        </w:tc>
        <w:tc>
          <w:tcPr>
            <w:tcW w:w="351" w:type="pct"/>
            <w:vAlign w:val="center"/>
          </w:tcPr>
          <w:p w:rsidR="00936D01" w:rsidRPr="006212E3" w:rsidRDefault="00936D01">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pPr>
            <w:r w:rsidRPr="006212E3">
              <w:t>-2,291,300</w:t>
            </w:r>
          </w:p>
        </w:tc>
      </w:tr>
      <w:tr w:rsidR="00936D01" w:rsidRPr="008D77AF" w:rsidTr="00D17A0B">
        <w:trPr>
          <w:cantSplit/>
        </w:trPr>
        <w:tc>
          <w:tcPr>
            <w:cnfStyle w:val="001000000000" w:firstRow="0" w:lastRow="0" w:firstColumn="1" w:lastColumn="0" w:oddVBand="0" w:evenVBand="0" w:oddHBand="0" w:evenHBand="0" w:firstRowFirstColumn="0" w:firstRowLastColumn="0" w:lastRowFirstColumn="0" w:lastRowLastColumn="0"/>
            <w:tcW w:w="786" w:type="pct"/>
            <w:vAlign w:val="center"/>
          </w:tcPr>
          <w:p w:rsidR="00936D01" w:rsidRPr="006212E3" w:rsidRDefault="00936D01" w:rsidP="006212E3">
            <w:pPr>
              <w:pStyle w:val="TableText"/>
              <w:keepNext/>
              <w:keepLines/>
              <w:ind w:left="113"/>
              <w:rPr>
                <w:b w:val="0"/>
              </w:rPr>
            </w:pPr>
            <w:r w:rsidRPr="006212E3">
              <w:rPr>
                <w:b w:val="0"/>
                <w:color w:val="000000"/>
                <w:szCs w:val="20"/>
              </w:rPr>
              <w:t xml:space="preserve">Personal income tax </w:t>
            </w:r>
          </w:p>
        </w:tc>
        <w:tc>
          <w:tcPr>
            <w:tcW w:w="351" w:type="pct"/>
            <w:vAlign w:val="center"/>
          </w:tcPr>
          <w:p w:rsidR="00936D01" w:rsidRPr="006212E3" w:rsidRDefault="00936D01">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6212E3">
              <w:t>-115,000</w:t>
            </w:r>
          </w:p>
        </w:tc>
        <w:tc>
          <w:tcPr>
            <w:tcW w:w="351" w:type="pct"/>
            <w:vAlign w:val="center"/>
          </w:tcPr>
          <w:p w:rsidR="00936D01" w:rsidRPr="00A86D80" w:rsidRDefault="00936D01">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A86D80">
              <w:t>-136,000</w:t>
            </w:r>
          </w:p>
        </w:tc>
        <w:tc>
          <w:tcPr>
            <w:tcW w:w="351" w:type="pct"/>
            <w:vAlign w:val="center"/>
          </w:tcPr>
          <w:p w:rsidR="00936D01" w:rsidRPr="00A86D80" w:rsidRDefault="00936D01">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A86D80">
              <w:t>-143,000</w:t>
            </w:r>
          </w:p>
        </w:tc>
        <w:tc>
          <w:tcPr>
            <w:tcW w:w="351" w:type="pct"/>
            <w:vAlign w:val="center"/>
          </w:tcPr>
          <w:p w:rsidR="00936D01" w:rsidRPr="00A86D80" w:rsidRDefault="00936D01">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rPr>
                <w:b w:val="0"/>
                <w:i/>
              </w:rPr>
            </w:pPr>
            <w:r w:rsidRPr="00A86D80">
              <w:rPr>
                <w:b w:val="0"/>
                <w:i/>
              </w:rPr>
              <w:t>-394,000</w:t>
            </w:r>
          </w:p>
        </w:tc>
        <w:tc>
          <w:tcPr>
            <w:tcW w:w="351" w:type="pct"/>
            <w:vAlign w:val="center"/>
          </w:tcPr>
          <w:p w:rsidR="00936D01" w:rsidRPr="006212E3" w:rsidRDefault="00936D01">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6212E3">
              <w:t>-152,000</w:t>
            </w:r>
          </w:p>
        </w:tc>
        <w:tc>
          <w:tcPr>
            <w:tcW w:w="351" w:type="pct"/>
            <w:vAlign w:val="center"/>
          </w:tcPr>
          <w:p w:rsidR="00936D01" w:rsidRPr="00A86D80" w:rsidRDefault="00936D01">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A86D80">
              <w:t>-160,000</w:t>
            </w:r>
          </w:p>
        </w:tc>
        <w:tc>
          <w:tcPr>
            <w:tcW w:w="351" w:type="pct"/>
            <w:vAlign w:val="center"/>
          </w:tcPr>
          <w:p w:rsidR="00936D01" w:rsidRPr="00A86D80" w:rsidRDefault="00936D01">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A86D80">
              <w:t>-169,000</w:t>
            </w:r>
          </w:p>
        </w:tc>
        <w:tc>
          <w:tcPr>
            <w:tcW w:w="351" w:type="pct"/>
            <w:vAlign w:val="center"/>
          </w:tcPr>
          <w:p w:rsidR="00936D01" w:rsidRPr="00A86D80" w:rsidRDefault="00936D01">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A86D80">
              <w:t>-179,000</w:t>
            </w:r>
          </w:p>
        </w:tc>
        <w:tc>
          <w:tcPr>
            <w:tcW w:w="351" w:type="pct"/>
            <w:vAlign w:val="center"/>
          </w:tcPr>
          <w:p w:rsidR="00936D01" w:rsidRPr="00A86D80" w:rsidRDefault="00936D01">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A86D80">
              <w:t>-188,000</w:t>
            </w:r>
          </w:p>
        </w:tc>
        <w:tc>
          <w:tcPr>
            <w:tcW w:w="351" w:type="pct"/>
            <w:vAlign w:val="center"/>
          </w:tcPr>
          <w:p w:rsidR="00936D01" w:rsidRPr="00A86D80" w:rsidRDefault="00936D01">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A86D80">
              <w:t>-199,000</w:t>
            </w:r>
          </w:p>
        </w:tc>
        <w:tc>
          <w:tcPr>
            <w:tcW w:w="351" w:type="pct"/>
            <w:vAlign w:val="center"/>
          </w:tcPr>
          <w:p w:rsidR="00936D01" w:rsidRPr="00A86D80" w:rsidRDefault="00936D01">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A86D80">
              <w:t>-211,000</w:t>
            </w:r>
          </w:p>
        </w:tc>
        <w:tc>
          <w:tcPr>
            <w:tcW w:w="351" w:type="pct"/>
            <w:vAlign w:val="center"/>
          </w:tcPr>
          <w:p w:rsidR="00936D01" w:rsidRPr="00A86D80" w:rsidRDefault="00936D01">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rPr>
                <w:i/>
              </w:rPr>
            </w:pPr>
            <w:r w:rsidRPr="00A86D80">
              <w:rPr>
                <w:i/>
              </w:rPr>
              <w:t>-1,652,000</w:t>
            </w:r>
          </w:p>
        </w:tc>
      </w:tr>
      <w:tr w:rsidR="00936D01" w:rsidRPr="008D77AF" w:rsidTr="00D17A0B">
        <w:trPr>
          <w:cantSplit/>
        </w:trPr>
        <w:tc>
          <w:tcPr>
            <w:cnfStyle w:val="001000000000" w:firstRow="0" w:lastRow="0" w:firstColumn="1" w:lastColumn="0" w:oddVBand="0" w:evenVBand="0" w:oddHBand="0" w:evenHBand="0" w:firstRowFirstColumn="0" w:firstRowLastColumn="0" w:lastRowFirstColumn="0" w:lastRowLastColumn="0"/>
            <w:tcW w:w="786" w:type="pct"/>
            <w:vAlign w:val="center"/>
          </w:tcPr>
          <w:p w:rsidR="00936D01" w:rsidRPr="006212E3" w:rsidRDefault="00936D01" w:rsidP="006212E3">
            <w:pPr>
              <w:pStyle w:val="TableText"/>
              <w:keepNext/>
              <w:keepLines/>
              <w:ind w:left="113"/>
              <w:rPr>
                <w:b w:val="0"/>
              </w:rPr>
            </w:pPr>
            <w:r w:rsidRPr="006212E3">
              <w:rPr>
                <w:b w:val="0"/>
                <w:color w:val="000000"/>
                <w:szCs w:val="20"/>
              </w:rPr>
              <w:t>Company tax</w:t>
            </w:r>
          </w:p>
        </w:tc>
        <w:tc>
          <w:tcPr>
            <w:tcW w:w="351" w:type="pct"/>
            <w:vAlign w:val="center"/>
          </w:tcPr>
          <w:p w:rsidR="00936D01" w:rsidRPr="006212E3" w:rsidRDefault="00936D01">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6212E3">
              <w:t>-17,000</w:t>
            </w:r>
          </w:p>
        </w:tc>
        <w:tc>
          <w:tcPr>
            <w:tcW w:w="351" w:type="pct"/>
            <w:vAlign w:val="center"/>
          </w:tcPr>
          <w:p w:rsidR="00936D01" w:rsidRPr="00A86D80" w:rsidRDefault="00936D01">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A86D80">
              <w:t>-17,000</w:t>
            </w:r>
          </w:p>
        </w:tc>
        <w:tc>
          <w:tcPr>
            <w:tcW w:w="351" w:type="pct"/>
            <w:vAlign w:val="center"/>
          </w:tcPr>
          <w:p w:rsidR="00936D01" w:rsidRPr="00A86D80" w:rsidRDefault="00936D01">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A86D80">
              <w:t>-18,000</w:t>
            </w:r>
          </w:p>
        </w:tc>
        <w:tc>
          <w:tcPr>
            <w:tcW w:w="351" w:type="pct"/>
            <w:vAlign w:val="center"/>
          </w:tcPr>
          <w:p w:rsidR="00936D01" w:rsidRPr="00A86D80" w:rsidRDefault="00936D01">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rPr>
                <w:b w:val="0"/>
                <w:i/>
              </w:rPr>
            </w:pPr>
            <w:r w:rsidRPr="00A86D80">
              <w:rPr>
                <w:b w:val="0"/>
                <w:i/>
              </w:rPr>
              <w:t>-52,000</w:t>
            </w:r>
          </w:p>
        </w:tc>
        <w:tc>
          <w:tcPr>
            <w:tcW w:w="351" w:type="pct"/>
            <w:vAlign w:val="center"/>
          </w:tcPr>
          <w:p w:rsidR="00936D01" w:rsidRPr="006212E3" w:rsidRDefault="00936D01">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6212E3">
              <w:t>-19,000</w:t>
            </w:r>
          </w:p>
        </w:tc>
        <w:tc>
          <w:tcPr>
            <w:tcW w:w="351" w:type="pct"/>
            <w:vAlign w:val="center"/>
          </w:tcPr>
          <w:p w:rsidR="00936D01" w:rsidRPr="00A86D80" w:rsidRDefault="00936D01">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A86D80">
              <w:t>-19,000</w:t>
            </w:r>
          </w:p>
        </w:tc>
        <w:tc>
          <w:tcPr>
            <w:tcW w:w="351" w:type="pct"/>
            <w:vAlign w:val="center"/>
          </w:tcPr>
          <w:p w:rsidR="00936D01" w:rsidRPr="00A86D80" w:rsidRDefault="00936D01">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A86D80">
              <w:t>-20,000</w:t>
            </w:r>
          </w:p>
        </w:tc>
        <w:tc>
          <w:tcPr>
            <w:tcW w:w="351" w:type="pct"/>
            <w:vAlign w:val="center"/>
          </w:tcPr>
          <w:p w:rsidR="00936D01" w:rsidRPr="00A86D80" w:rsidRDefault="00936D01">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A86D80">
              <w:t>-18,000</w:t>
            </w:r>
          </w:p>
        </w:tc>
        <w:tc>
          <w:tcPr>
            <w:tcW w:w="351" w:type="pct"/>
            <w:vAlign w:val="center"/>
          </w:tcPr>
          <w:p w:rsidR="00936D01" w:rsidRPr="00A86D80" w:rsidRDefault="00936D01">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A86D80">
              <w:t>-18,000</w:t>
            </w:r>
          </w:p>
        </w:tc>
        <w:tc>
          <w:tcPr>
            <w:tcW w:w="351" w:type="pct"/>
            <w:vAlign w:val="center"/>
          </w:tcPr>
          <w:p w:rsidR="00936D01" w:rsidRPr="00A86D80" w:rsidRDefault="00936D01">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A86D80">
              <w:t>-16,000</w:t>
            </w:r>
          </w:p>
        </w:tc>
        <w:tc>
          <w:tcPr>
            <w:tcW w:w="351" w:type="pct"/>
            <w:vAlign w:val="center"/>
          </w:tcPr>
          <w:p w:rsidR="00936D01" w:rsidRPr="00A86D80" w:rsidRDefault="00936D01">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A86D80">
              <w:t>-14,000</w:t>
            </w:r>
          </w:p>
        </w:tc>
        <w:tc>
          <w:tcPr>
            <w:tcW w:w="351" w:type="pct"/>
            <w:vAlign w:val="center"/>
          </w:tcPr>
          <w:p w:rsidR="00936D01" w:rsidRPr="00A86D80" w:rsidRDefault="00936D01">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rPr>
                <w:i/>
              </w:rPr>
            </w:pPr>
            <w:r w:rsidRPr="00A86D80">
              <w:rPr>
                <w:i/>
              </w:rPr>
              <w:t>-176,000</w:t>
            </w:r>
          </w:p>
        </w:tc>
      </w:tr>
      <w:tr w:rsidR="00936D01" w:rsidRPr="008D77AF" w:rsidTr="00D17A0B">
        <w:trPr>
          <w:cantSplit/>
        </w:trPr>
        <w:tc>
          <w:tcPr>
            <w:cnfStyle w:val="001000000000" w:firstRow="0" w:lastRow="0" w:firstColumn="1" w:lastColumn="0" w:oddVBand="0" w:evenVBand="0" w:oddHBand="0" w:evenHBand="0" w:firstRowFirstColumn="0" w:firstRowLastColumn="0" w:lastRowFirstColumn="0" w:lastRowLastColumn="0"/>
            <w:tcW w:w="786" w:type="pct"/>
            <w:vAlign w:val="center"/>
          </w:tcPr>
          <w:p w:rsidR="00936D01" w:rsidRPr="006212E3" w:rsidRDefault="00936D01" w:rsidP="006212E3">
            <w:pPr>
              <w:pStyle w:val="TableText"/>
              <w:keepNext/>
              <w:keepLines/>
              <w:ind w:left="113"/>
              <w:rPr>
                <w:b w:val="0"/>
              </w:rPr>
            </w:pPr>
            <w:r w:rsidRPr="006212E3">
              <w:rPr>
                <w:b w:val="0"/>
                <w:color w:val="000000"/>
                <w:szCs w:val="20"/>
              </w:rPr>
              <w:t>Excise and import duties</w:t>
            </w:r>
          </w:p>
        </w:tc>
        <w:tc>
          <w:tcPr>
            <w:tcW w:w="351" w:type="pct"/>
            <w:vAlign w:val="center"/>
          </w:tcPr>
          <w:p w:rsidR="00936D01" w:rsidRPr="006212E3" w:rsidRDefault="00936D01">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6212E3">
              <w:t>-41,380</w:t>
            </w:r>
          </w:p>
        </w:tc>
        <w:tc>
          <w:tcPr>
            <w:tcW w:w="351" w:type="pct"/>
            <w:vAlign w:val="center"/>
          </w:tcPr>
          <w:p w:rsidR="00936D01" w:rsidRPr="00A86D80" w:rsidRDefault="00936D01">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A86D80">
              <w:t>-44,270</w:t>
            </w:r>
          </w:p>
        </w:tc>
        <w:tc>
          <w:tcPr>
            <w:tcW w:w="351" w:type="pct"/>
            <w:vAlign w:val="center"/>
          </w:tcPr>
          <w:p w:rsidR="00936D01" w:rsidRPr="00A86D80" w:rsidRDefault="00936D01">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A86D80">
              <w:t>-47,240</w:t>
            </w:r>
          </w:p>
        </w:tc>
        <w:tc>
          <w:tcPr>
            <w:tcW w:w="351" w:type="pct"/>
            <w:vAlign w:val="center"/>
          </w:tcPr>
          <w:p w:rsidR="00936D01" w:rsidRPr="00A86D80" w:rsidRDefault="00936D01">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rPr>
                <w:b w:val="0"/>
                <w:i/>
              </w:rPr>
            </w:pPr>
            <w:r w:rsidRPr="00A86D80">
              <w:rPr>
                <w:b w:val="0"/>
                <w:i/>
              </w:rPr>
              <w:t>-132,890</w:t>
            </w:r>
          </w:p>
        </w:tc>
        <w:tc>
          <w:tcPr>
            <w:tcW w:w="351" w:type="pct"/>
            <w:vAlign w:val="center"/>
          </w:tcPr>
          <w:p w:rsidR="00936D01" w:rsidRPr="006212E3" w:rsidRDefault="00936D01">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6212E3">
              <w:t>-50,400</w:t>
            </w:r>
          </w:p>
        </w:tc>
        <w:tc>
          <w:tcPr>
            <w:tcW w:w="351" w:type="pct"/>
            <w:vAlign w:val="center"/>
          </w:tcPr>
          <w:p w:rsidR="00936D01" w:rsidRPr="00A86D80" w:rsidRDefault="00936D01">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A86D80">
              <w:t>-53,060</w:t>
            </w:r>
          </w:p>
        </w:tc>
        <w:tc>
          <w:tcPr>
            <w:tcW w:w="351" w:type="pct"/>
            <w:vAlign w:val="center"/>
          </w:tcPr>
          <w:p w:rsidR="00936D01" w:rsidRPr="00A86D80" w:rsidRDefault="00936D01">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A86D80">
              <w:t>-55,780</w:t>
            </w:r>
          </w:p>
        </w:tc>
        <w:tc>
          <w:tcPr>
            <w:tcW w:w="351" w:type="pct"/>
            <w:vAlign w:val="center"/>
          </w:tcPr>
          <w:p w:rsidR="00936D01" w:rsidRPr="00A86D80" w:rsidRDefault="00936D01">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A86D80">
              <w:t>-58,530</w:t>
            </w:r>
          </w:p>
        </w:tc>
        <w:tc>
          <w:tcPr>
            <w:tcW w:w="351" w:type="pct"/>
            <w:vAlign w:val="center"/>
          </w:tcPr>
          <w:p w:rsidR="00936D01" w:rsidRPr="00A86D80" w:rsidRDefault="00936D01">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A86D80">
              <w:t>-61,950</w:t>
            </w:r>
          </w:p>
        </w:tc>
        <w:tc>
          <w:tcPr>
            <w:tcW w:w="351" w:type="pct"/>
            <w:vAlign w:val="center"/>
          </w:tcPr>
          <w:p w:rsidR="00936D01" w:rsidRPr="00A86D80" w:rsidRDefault="00936D01">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A86D80">
              <w:t>-64,500</w:t>
            </w:r>
          </w:p>
        </w:tc>
        <w:tc>
          <w:tcPr>
            <w:tcW w:w="351" w:type="pct"/>
            <w:vAlign w:val="center"/>
          </w:tcPr>
          <w:p w:rsidR="00936D01" w:rsidRPr="00A86D80" w:rsidRDefault="00936D01">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A86D80">
              <w:t>-67,690</w:t>
            </w:r>
          </w:p>
        </w:tc>
        <w:tc>
          <w:tcPr>
            <w:tcW w:w="351" w:type="pct"/>
            <w:vAlign w:val="center"/>
          </w:tcPr>
          <w:p w:rsidR="00936D01" w:rsidRPr="00A86D80" w:rsidRDefault="00936D01">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rPr>
                <w:i/>
              </w:rPr>
            </w:pPr>
            <w:r w:rsidRPr="00A86D80">
              <w:rPr>
                <w:i/>
              </w:rPr>
              <w:t>-544,800</w:t>
            </w:r>
          </w:p>
        </w:tc>
      </w:tr>
      <w:tr w:rsidR="00936D01" w:rsidRPr="008D77AF" w:rsidTr="00D17A0B">
        <w:trPr>
          <w:cantSplit/>
        </w:trPr>
        <w:tc>
          <w:tcPr>
            <w:cnfStyle w:val="001000000000" w:firstRow="0" w:lastRow="0" w:firstColumn="1" w:lastColumn="0" w:oddVBand="0" w:evenVBand="0" w:oddHBand="0" w:evenHBand="0" w:firstRowFirstColumn="0" w:firstRowLastColumn="0" w:lastRowFirstColumn="0" w:lastRowLastColumn="0"/>
            <w:tcW w:w="786" w:type="pct"/>
            <w:vAlign w:val="center"/>
          </w:tcPr>
          <w:p w:rsidR="00936D01" w:rsidRPr="006212E3" w:rsidRDefault="00936D01" w:rsidP="006212E3">
            <w:pPr>
              <w:pStyle w:val="TableText"/>
              <w:keepNext/>
              <w:keepLines/>
              <w:ind w:left="113"/>
              <w:rPr>
                <w:b w:val="0"/>
              </w:rPr>
            </w:pPr>
            <w:r w:rsidRPr="006212E3">
              <w:rPr>
                <w:b w:val="0"/>
                <w:color w:val="000000"/>
                <w:szCs w:val="20"/>
              </w:rPr>
              <w:t>GST</w:t>
            </w:r>
          </w:p>
        </w:tc>
        <w:tc>
          <w:tcPr>
            <w:tcW w:w="351" w:type="pct"/>
            <w:vAlign w:val="center"/>
          </w:tcPr>
          <w:p w:rsidR="00936D01" w:rsidRPr="006212E3" w:rsidRDefault="00936D01">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6212E3">
              <w:t>6,850</w:t>
            </w:r>
          </w:p>
        </w:tc>
        <w:tc>
          <w:tcPr>
            <w:tcW w:w="351" w:type="pct"/>
            <w:vAlign w:val="center"/>
          </w:tcPr>
          <w:p w:rsidR="00936D01" w:rsidRPr="00A86D80" w:rsidRDefault="00936D01">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A86D80">
              <w:t>7,100</w:t>
            </w:r>
          </w:p>
        </w:tc>
        <w:tc>
          <w:tcPr>
            <w:tcW w:w="351" w:type="pct"/>
            <w:vAlign w:val="center"/>
          </w:tcPr>
          <w:p w:rsidR="00936D01" w:rsidRPr="00A86D80" w:rsidRDefault="00936D01">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A86D80">
              <w:t>7,400</w:t>
            </w:r>
          </w:p>
        </w:tc>
        <w:tc>
          <w:tcPr>
            <w:tcW w:w="351" w:type="pct"/>
            <w:vAlign w:val="center"/>
          </w:tcPr>
          <w:p w:rsidR="00936D01" w:rsidRPr="00A86D80" w:rsidRDefault="00936D01">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rPr>
                <w:b w:val="0"/>
                <w:i/>
              </w:rPr>
            </w:pPr>
            <w:r w:rsidRPr="00A86D80">
              <w:rPr>
                <w:b w:val="0"/>
                <w:i/>
              </w:rPr>
              <w:t>21,350</w:t>
            </w:r>
          </w:p>
        </w:tc>
        <w:tc>
          <w:tcPr>
            <w:tcW w:w="351" w:type="pct"/>
            <w:vAlign w:val="center"/>
          </w:tcPr>
          <w:p w:rsidR="00936D01" w:rsidRPr="006212E3" w:rsidRDefault="00936D01">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6212E3">
              <w:t>7,650</w:t>
            </w:r>
          </w:p>
        </w:tc>
        <w:tc>
          <w:tcPr>
            <w:tcW w:w="351" w:type="pct"/>
            <w:vAlign w:val="center"/>
          </w:tcPr>
          <w:p w:rsidR="00936D01" w:rsidRPr="00A86D80" w:rsidRDefault="00936D01">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A86D80">
              <w:t>7,950</w:t>
            </w:r>
          </w:p>
        </w:tc>
        <w:tc>
          <w:tcPr>
            <w:tcW w:w="351" w:type="pct"/>
            <w:vAlign w:val="center"/>
          </w:tcPr>
          <w:p w:rsidR="00936D01" w:rsidRPr="00A86D80" w:rsidRDefault="00936D01">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A86D80">
              <w:t>8,250</w:t>
            </w:r>
          </w:p>
        </w:tc>
        <w:tc>
          <w:tcPr>
            <w:tcW w:w="351" w:type="pct"/>
            <w:vAlign w:val="center"/>
          </w:tcPr>
          <w:p w:rsidR="00936D01" w:rsidRPr="00A86D80" w:rsidRDefault="00936D01">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A86D80">
              <w:t>8,550</w:t>
            </w:r>
          </w:p>
        </w:tc>
        <w:tc>
          <w:tcPr>
            <w:tcW w:w="351" w:type="pct"/>
            <w:vAlign w:val="center"/>
          </w:tcPr>
          <w:p w:rsidR="00936D01" w:rsidRPr="00A86D80" w:rsidRDefault="00936D01">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A86D80">
              <w:t>8,900</w:t>
            </w:r>
          </w:p>
        </w:tc>
        <w:tc>
          <w:tcPr>
            <w:tcW w:w="351" w:type="pct"/>
            <w:vAlign w:val="center"/>
          </w:tcPr>
          <w:p w:rsidR="00936D01" w:rsidRPr="00A86D80" w:rsidRDefault="00936D01">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A86D80">
              <w:t>9,250</w:t>
            </w:r>
          </w:p>
        </w:tc>
        <w:tc>
          <w:tcPr>
            <w:tcW w:w="351" w:type="pct"/>
            <w:vAlign w:val="center"/>
          </w:tcPr>
          <w:p w:rsidR="00936D01" w:rsidRPr="00A86D80" w:rsidRDefault="00936D01">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A86D80">
              <w:t>9,600</w:t>
            </w:r>
          </w:p>
        </w:tc>
        <w:tc>
          <w:tcPr>
            <w:tcW w:w="351" w:type="pct"/>
            <w:vAlign w:val="center"/>
          </w:tcPr>
          <w:p w:rsidR="00936D01" w:rsidRPr="00A86D80" w:rsidRDefault="00936D01">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rPr>
                <w:i/>
              </w:rPr>
            </w:pPr>
            <w:r w:rsidRPr="00A86D80">
              <w:rPr>
                <w:i/>
              </w:rPr>
              <w:t>81,500</w:t>
            </w:r>
          </w:p>
        </w:tc>
      </w:tr>
      <w:tr w:rsidR="008F7923" w:rsidRPr="008D77AF" w:rsidTr="00D17A0B">
        <w:trPr>
          <w:cantSplit/>
        </w:trPr>
        <w:tc>
          <w:tcPr>
            <w:cnfStyle w:val="001000000000" w:firstRow="0" w:lastRow="0" w:firstColumn="1" w:lastColumn="0" w:oddVBand="0" w:evenVBand="0" w:oddHBand="0" w:evenHBand="0" w:firstRowFirstColumn="0" w:firstRowLastColumn="0" w:lastRowFirstColumn="0" w:lastRowLastColumn="0"/>
            <w:tcW w:w="786" w:type="pct"/>
            <w:vAlign w:val="center"/>
          </w:tcPr>
          <w:p w:rsidR="008F7923" w:rsidRPr="006212E3" w:rsidRDefault="008F7923">
            <w:pPr>
              <w:pStyle w:val="TableText"/>
              <w:keepNext/>
              <w:keepLines/>
              <w:ind w:left="0"/>
              <w:rPr>
                <w:b w:val="0"/>
              </w:rPr>
            </w:pPr>
            <w:r w:rsidRPr="006212E3">
              <w:rPr>
                <w:b w:val="0"/>
                <w:color w:val="000000"/>
                <w:szCs w:val="20"/>
              </w:rPr>
              <w:t>Expense</w:t>
            </w:r>
          </w:p>
        </w:tc>
        <w:tc>
          <w:tcPr>
            <w:tcW w:w="351" w:type="pct"/>
            <w:vAlign w:val="center"/>
          </w:tcPr>
          <w:p w:rsidR="008F7923" w:rsidRPr="00DD7620" w:rsidRDefault="008F7923">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rPr>
                <w:b/>
                <w:i w:val="0"/>
              </w:rPr>
            </w:pPr>
            <w:r w:rsidRPr="00DD7620">
              <w:rPr>
                <w:b/>
                <w:i w:val="0"/>
              </w:rPr>
              <w:t>9,262</w:t>
            </w:r>
          </w:p>
        </w:tc>
        <w:tc>
          <w:tcPr>
            <w:tcW w:w="351" w:type="pct"/>
            <w:vAlign w:val="center"/>
          </w:tcPr>
          <w:p w:rsidR="008F7923" w:rsidRPr="00DD7620" w:rsidRDefault="008F7923">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rPr>
                <w:b/>
                <w:i w:val="0"/>
              </w:rPr>
            </w:pPr>
            <w:r w:rsidRPr="00DD7620">
              <w:rPr>
                <w:b/>
                <w:i w:val="0"/>
              </w:rPr>
              <w:t>10,230</w:t>
            </w:r>
          </w:p>
        </w:tc>
        <w:tc>
          <w:tcPr>
            <w:tcW w:w="351" w:type="pct"/>
            <w:vAlign w:val="center"/>
          </w:tcPr>
          <w:p w:rsidR="008F7923" w:rsidRPr="00DD7620" w:rsidRDefault="008F7923">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rPr>
                <w:b/>
                <w:i w:val="0"/>
              </w:rPr>
            </w:pPr>
            <w:r w:rsidRPr="00DD7620">
              <w:rPr>
                <w:b/>
                <w:i w:val="0"/>
              </w:rPr>
              <w:t>10,830</w:t>
            </w:r>
          </w:p>
        </w:tc>
        <w:tc>
          <w:tcPr>
            <w:tcW w:w="351" w:type="pct"/>
            <w:vAlign w:val="center"/>
          </w:tcPr>
          <w:p w:rsidR="008F7923" w:rsidRPr="00DD7620" w:rsidRDefault="008F7923">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pPr>
            <w:r w:rsidRPr="00DD7620">
              <w:t>30,337</w:t>
            </w:r>
          </w:p>
        </w:tc>
        <w:tc>
          <w:tcPr>
            <w:tcW w:w="351" w:type="pct"/>
            <w:vAlign w:val="center"/>
          </w:tcPr>
          <w:p w:rsidR="008F7923" w:rsidRPr="00DD7620" w:rsidRDefault="008F7923">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rPr>
                <w:b/>
                <w:i w:val="0"/>
              </w:rPr>
            </w:pPr>
            <w:r w:rsidRPr="00DD7620">
              <w:rPr>
                <w:b/>
                <w:i w:val="0"/>
              </w:rPr>
              <w:t>11,710</w:t>
            </w:r>
          </w:p>
        </w:tc>
        <w:tc>
          <w:tcPr>
            <w:tcW w:w="351" w:type="pct"/>
            <w:vAlign w:val="center"/>
          </w:tcPr>
          <w:p w:rsidR="008F7923" w:rsidRPr="00DD7620" w:rsidRDefault="008F7923">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rPr>
                <w:b/>
                <w:i w:val="0"/>
              </w:rPr>
            </w:pPr>
            <w:r w:rsidRPr="00DD7620">
              <w:rPr>
                <w:b/>
                <w:i w:val="0"/>
              </w:rPr>
              <w:t>12,595</w:t>
            </w:r>
          </w:p>
        </w:tc>
        <w:tc>
          <w:tcPr>
            <w:tcW w:w="351" w:type="pct"/>
            <w:vAlign w:val="center"/>
          </w:tcPr>
          <w:p w:rsidR="008F7923" w:rsidRPr="00DD7620" w:rsidRDefault="008F7923">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rPr>
                <w:b/>
                <w:i w:val="0"/>
              </w:rPr>
            </w:pPr>
            <w:r w:rsidRPr="00DD7620">
              <w:rPr>
                <w:b/>
                <w:i w:val="0"/>
              </w:rPr>
              <w:t>13,525</w:t>
            </w:r>
          </w:p>
        </w:tc>
        <w:tc>
          <w:tcPr>
            <w:tcW w:w="351" w:type="pct"/>
            <w:vAlign w:val="center"/>
          </w:tcPr>
          <w:p w:rsidR="008F7923" w:rsidRPr="00DD7620" w:rsidRDefault="008F7923">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rPr>
                <w:b/>
                <w:i w:val="0"/>
              </w:rPr>
            </w:pPr>
            <w:r w:rsidRPr="00DD7620">
              <w:rPr>
                <w:b/>
                <w:i w:val="0"/>
              </w:rPr>
              <w:t>14,515</w:t>
            </w:r>
          </w:p>
        </w:tc>
        <w:tc>
          <w:tcPr>
            <w:tcW w:w="351" w:type="pct"/>
            <w:vAlign w:val="center"/>
          </w:tcPr>
          <w:p w:rsidR="008F7923" w:rsidRPr="00DD7620" w:rsidRDefault="008F7923">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rPr>
                <w:b/>
                <w:i w:val="0"/>
              </w:rPr>
            </w:pPr>
            <w:r w:rsidRPr="00DD7620">
              <w:rPr>
                <w:b/>
                <w:i w:val="0"/>
              </w:rPr>
              <w:t>15,495</w:t>
            </w:r>
          </w:p>
        </w:tc>
        <w:tc>
          <w:tcPr>
            <w:tcW w:w="351" w:type="pct"/>
            <w:vAlign w:val="center"/>
          </w:tcPr>
          <w:p w:rsidR="008F7923" w:rsidRPr="00DD7620" w:rsidRDefault="008F7923">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rPr>
                <w:b/>
                <w:i w:val="0"/>
              </w:rPr>
            </w:pPr>
            <w:r w:rsidRPr="00DD7620">
              <w:rPr>
                <w:b/>
                <w:i w:val="0"/>
              </w:rPr>
              <w:t>16,535</w:t>
            </w:r>
          </w:p>
        </w:tc>
        <w:tc>
          <w:tcPr>
            <w:tcW w:w="351" w:type="pct"/>
            <w:vAlign w:val="center"/>
          </w:tcPr>
          <w:p w:rsidR="008F7923" w:rsidRPr="00DD7620" w:rsidRDefault="008F7923">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rPr>
                <w:b/>
                <w:i w:val="0"/>
              </w:rPr>
            </w:pPr>
            <w:r w:rsidRPr="00DD7620">
              <w:rPr>
                <w:b/>
                <w:i w:val="0"/>
              </w:rPr>
              <w:t>17,615</w:t>
            </w:r>
          </w:p>
        </w:tc>
        <w:tc>
          <w:tcPr>
            <w:tcW w:w="351" w:type="pct"/>
            <w:vAlign w:val="center"/>
          </w:tcPr>
          <w:p w:rsidR="008F7923" w:rsidRPr="00DD7620" w:rsidRDefault="008F7923">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pPr>
            <w:r w:rsidRPr="00DD7620">
              <w:t>132,332</w:t>
            </w:r>
          </w:p>
        </w:tc>
      </w:tr>
      <w:tr w:rsidR="00A86D80" w:rsidRPr="008D77AF" w:rsidTr="00D17A0B">
        <w:trPr>
          <w:cantSplit/>
        </w:trPr>
        <w:tc>
          <w:tcPr>
            <w:cnfStyle w:val="001000000000" w:firstRow="0" w:lastRow="0" w:firstColumn="1" w:lastColumn="0" w:oddVBand="0" w:evenVBand="0" w:oddHBand="0" w:evenHBand="0" w:firstRowFirstColumn="0" w:firstRowLastColumn="0" w:lastRowFirstColumn="0" w:lastRowLastColumn="0"/>
            <w:tcW w:w="786" w:type="pct"/>
            <w:vAlign w:val="center"/>
          </w:tcPr>
          <w:p w:rsidR="00A86D80" w:rsidRPr="006212E3" w:rsidRDefault="00A86D80" w:rsidP="006212E3">
            <w:pPr>
              <w:pStyle w:val="TableText"/>
              <w:keepNext/>
              <w:keepLines/>
              <w:ind w:left="113"/>
              <w:rPr>
                <w:b w:val="0"/>
              </w:rPr>
            </w:pPr>
            <w:r w:rsidRPr="006212E3">
              <w:rPr>
                <w:b w:val="0"/>
                <w:color w:val="000000"/>
                <w:szCs w:val="20"/>
              </w:rPr>
              <w:t xml:space="preserve">Personal income tax </w:t>
            </w:r>
            <w:r w:rsidR="003C06FA">
              <w:rPr>
                <w:b w:val="0"/>
                <w:color w:val="000000"/>
                <w:szCs w:val="20"/>
              </w:rPr>
              <w:t>- departmental</w:t>
            </w:r>
          </w:p>
        </w:tc>
        <w:tc>
          <w:tcPr>
            <w:tcW w:w="351" w:type="pct"/>
            <w:vAlign w:val="center"/>
          </w:tcPr>
          <w:p w:rsidR="00A86D80" w:rsidRDefault="00A86D80">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060E1D">
              <w:t>-8</w:t>
            </w:r>
          </w:p>
        </w:tc>
        <w:tc>
          <w:tcPr>
            <w:tcW w:w="351" w:type="pct"/>
            <w:vAlign w:val="center"/>
          </w:tcPr>
          <w:p w:rsidR="00A86D80" w:rsidRDefault="00A86D80">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t>-</w:t>
            </w:r>
          </w:p>
        </w:tc>
        <w:tc>
          <w:tcPr>
            <w:tcW w:w="351" w:type="pct"/>
            <w:vAlign w:val="center"/>
          </w:tcPr>
          <w:p w:rsidR="00A86D80" w:rsidRDefault="00A86D80">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t>-</w:t>
            </w:r>
          </w:p>
        </w:tc>
        <w:tc>
          <w:tcPr>
            <w:tcW w:w="351" w:type="pct"/>
            <w:vAlign w:val="center"/>
          </w:tcPr>
          <w:p w:rsidR="00A86D80" w:rsidRPr="00A86D80" w:rsidRDefault="00A86D80">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rPr>
                <w:b w:val="0"/>
              </w:rPr>
            </w:pPr>
            <w:r w:rsidRPr="00E626A5">
              <w:rPr>
                <w:b w:val="0"/>
                <w:i/>
              </w:rPr>
              <w:t>-8</w:t>
            </w:r>
          </w:p>
        </w:tc>
        <w:tc>
          <w:tcPr>
            <w:tcW w:w="351" w:type="pct"/>
            <w:vAlign w:val="center"/>
          </w:tcPr>
          <w:p w:rsidR="00A86D80" w:rsidRDefault="00A86D80">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t>-</w:t>
            </w:r>
          </w:p>
        </w:tc>
        <w:tc>
          <w:tcPr>
            <w:tcW w:w="351" w:type="pct"/>
            <w:vAlign w:val="center"/>
          </w:tcPr>
          <w:p w:rsidR="00A86D80" w:rsidRDefault="00A86D80">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t>-</w:t>
            </w:r>
          </w:p>
        </w:tc>
        <w:tc>
          <w:tcPr>
            <w:tcW w:w="351" w:type="pct"/>
            <w:vAlign w:val="center"/>
          </w:tcPr>
          <w:p w:rsidR="00A86D80" w:rsidRDefault="00A86D80">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t>-</w:t>
            </w:r>
          </w:p>
        </w:tc>
        <w:tc>
          <w:tcPr>
            <w:tcW w:w="351" w:type="pct"/>
            <w:vAlign w:val="center"/>
          </w:tcPr>
          <w:p w:rsidR="00A86D80" w:rsidRDefault="00A86D80">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t>-</w:t>
            </w:r>
          </w:p>
        </w:tc>
        <w:tc>
          <w:tcPr>
            <w:tcW w:w="351" w:type="pct"/>
            <w:vAlign w:val="center"/>
          </w:tcPr>
          <w:p w:rsidR="00A86D80" w:rsidRDefault="00A86D80">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t>-</w:t>
            </w:r>
          </w:p>
        </w:tc>
        <w:tc>
          <w:tcPr>
            <w:tcW w:w="351" w:type="pct"/>
            <w:vAlign w:val="center"/>
          </w:tcPr>
          <w:p w:rsidR="00A86D80" w:rsidRDefault="00A86D80">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t>-</w:t>
            </w:r>
          </w:p>
        </w:tc>
        <w:tc>
          <w:tcPr>
            <w:tcW w:w="351" w:type="pct"/>
            <w:vAlign w:val="center"/>
          </w:tcPr>
          <w:p w:rsidR="00A86D80" w:rsidRDefault="00A86D80">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t>-</w:t>
            </w:r>
          </w:p>
        </w:tc>
        <w:tc>
          <w:tcPr>
            <w:tcW w:w="351" w:type="pct"/>
            <w:vAlign w:val="center"/>
          </w:tcPr>
          <w:p w:rsidR="00A86D80" w:rsidRPr="00A86D80" w:rsidRDefault="00A86D80">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rPr>
                <w:i/>
              </w:rPr>
            </w:pPr>
            <w:r w:rsidRPr="00E626A5">
              <w:rPr>
                <w:i/>
              </w:rPr>
              <w:t>-8</w:t>
            </w:r>
          </w:p>
        </w:tc>
      </w:tr>
      <w:tr w:rsidR="000436E6" w:rsidRPr="008D77AF" w:rsidTr="00D17A0B">
        <w:trPr>
          <w:cantSplit/>
        </w:trPr>
        <w:tc>
          <w:tcPr>
            <w:cnfStyle w:val="001000000000" w:firstRow="0" w:lastRow="0" w:firstColumn="1" w:lastColumn="0" w:oddVBand="0" w:evenVBand="0" w:oddHBand="0" w:evenHBand="0" w:firstRowFirstColumn="0" w:firstRowLastColumn="0" w:lastRowFirstColumn="0" w:lastRowLastColumn="0"/>
            <w:tcW w:w="786" w:type="pct"/>
            <w:vAlign w:val="center"/>
          </w:tcPr>
          <w:p w:rsidR="000436E6" w:rsidRPr="006212E3" w:rsidRDefault="000436E6" w:rsidP="006212E3">
            <w:pPr>
              <w:pStyle w:val="TableText"/>
              <w:keepNext/>
              <w:keepLines/>
              <w:ind w:left="113"/>
              <w:rPr>
                <w:b w:val="0"/>
                <w:color w:val="000000"/>
                <w:szCs w:val="20"/>
              </w:rPr>
            </w:pPr>
            <w:r w:rsidRPr="00BE3B56">
              <w:rPr>
                <w:b w:val="0"/>
                <w:color w:val="000000"/>
                <w:szCs w:val="20"/>
              </w:rPr>
              <w:t>Excise and import duties - administered</w:t>
            </w:r>
          </w:p>
        </w:tc>
        <w:tc>
          <w:tcPr>
            <w:tcW w:w="351" w:type="pct"/>
            <w:vAlign w:val="center"/>
          </w:tcPr>
          <w:p w:rsidR="000436E6" w:rsidRPr="00F53115" w:rsidRDefault="000436E6">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F53115">
              <w:t>9,250</w:t>
            </w:r>
          </w:p>
        </w:tc>
        <w:tc>
          <w:tcPr>
            <w:tcW w:w="351" w:type="pct"/>
            <w:vAlign w:val="center"/>
          </w:tcPr>
          <w:p w:rsidR="000436E6" w:rsidRPr="00F53115" w:rsidRDefault="000436E6">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F53115">
              <w:t>10,120</w:t>
            </w:r>
          </w:p>
        </w:tc>
        <w:tc>
          <w:tcPr>
            <w:tcW w:w="351" w:type="pct"/>
            <w:vAlign w:val="center"/>
          </w:tcPr>
          <w:p w:rsidR="000436E6" w:rsidRPr="00F53115" w:rsidRDefault="000436E6">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F53115">
              <w:t>10,720</w:t>
            </w:r>
          </w:p>
        </w:tc>
        <w:tc>
          <w:tcPr>
            <w:tcW w:w="351" w:type="pct"/>
            <w:vAlign w:val="center"/>
          </w:tcPr>
          <w:p w:rsidR="000436E6" w:rsidRPr="006B4078" w:rsidRDefault="000436E6">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rPr>
                <w:b w:val="0"/>
                <w:i/>
              </w:rPr>
            </w:pPr>
            <w:r w:rsidRPr="006B4078">
              <w:rPr>
                <w:b w:val="0"/>
                <w:i/>
              </w:rPr>
              <w:t>30,100</w:t>
            </w:r>
          </w:p>
        </w:tc>
        <w:tc>
          <w:tcPr>
            <w:tcW w:w="351" w:type="pct"/>
            <w:vAlign w:val="center"/>
          </w:tcPr>
          <w:p w:rsidR="000436E6" w:rsidRPr="00F53115" w:rsidRDefault="000436E6">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F53115">
              <w:t>11,600</w:t>
            </w:r>
          </w:p>
        </w:tc>
        <w:tc>
          <w:tcPr>
            <w:tcW w:w="351" w:type="pct"/>
            <w:vAlign w:val="center"/>
          </w:tcPr>
          <w:p w:rsidR="000436E6" w:rsidRPr="00F53115" w:rsidRDefault="000436E6">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F53115">
              <w:t>12,490</w:t>
            </w:r>
          </w:p>
        </w:tc>
        <w:tc>
          <w:tcPr>
            <w:tcW w:w="351" w:type="pct"/>
            <w:vAlign w:val="center"/>
          </w:tcPr>
          <w:p w:rsidR="000436E6" w:rsidRPr="00F53115" w:rsidRDefault="000436E6">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F53115">
              <w:t>13,420</w:t>
            </w:r>
          </w:p>
        </w:tc>
        <w:tc>
          <w:tcPr>
            <w:tcW w:w="351" w:type="pct"/>
            <w:vAlign w:val="center"/>
          </w:tcPr>
          <w:p w:rsidR="000436E6" w:rsidRPr="00F53115" w:rsidRDefault="000436E6">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F53115">
              <w:t>14,410</w:t>
            </w:r>
          </w:p>
        </w:tc>
        <w:tc>
          <w:tcPr>
            <w:tcW w:w="351" w:type="pct"/>
            <w:vAlign w:val="center"/>
          </w:tcPr>
          <w:p w:rsidR="000436E6" w:rsidRPr="00F53115" w:rsidRDefault="000436E6">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F53115">
              <w:t>15,390</w:t>
            </w:r>
          </w:p>
        </w:tc>
        <w:tc>
          <w:tcPr>
            <w:tcW w:w="351" w:type="pct"/>
            <w:vAlign w:val="center"/>
          </w:tcPr>
          <w:p w:rsidR="000436E6" w:rsidRPr="00F53115" w:rsidRDefault="000436E6">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F53115">
              <w:t>16,430</w:t>
            </w:r>
          </w:p>
        </w:tc>
        <w:tc>
          <w:tcPr>
            <w:tcW w:w="351" w:type="pct"/>
            <w:vAlign w:val="center"/>
          </w:tcPr>
          <w:p w:rsidR="000436E6" w:rsidRPr="00F53115" w:rsidRDefault="000436E6">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F53115">
              <w:t>17,510</w:t>
            </w:r>
          </w:p>
        </w:tc>
        <w:tc>
          <w:tcPr>
            <w:tcW w:w="351" w:type="pct"/>
            <w:vAlign w:val="center"/>
          </w:tcPr>
          <w:p w:rsidR="000436E6" w:rsidRPr="00F53115" w:rsidRDefault="000436E6">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rPr>
                <w:i/>
              </w:rPr>
            </w:pPr>
            <w:r w:rsidRPr="006B4078">
              <w:rPr>
                <w:i/>
              </w:rPr>
              <w:t>131,340</w:t>
            </w:r>
          </w:p>
        </w:tc>
      </w:tr>
      <w:tr w:rsidR="000436E6" w:rsidRPr="008D77AF" w:rsidTr="00D17A0B">
        <w:trPr>
          <w:cantSplit/>
        </w:trPr>
        <w:tc>
          <w:tcPr>
            <w:cnfStyle w:val="001000000000" w:firstRow="0" w:lastRow="0" w:firstColumn="1" w:lastColumn="0" w:oddVBand="0" w:evenVBand="0" w:oddHBand="0" w:evenHBand="0" w:firstRowFirstColumn="0" w:firstRowLastColumn="0" w:lastRowFirstColumn="0" w:lastRowLastColumn="0"/>
            <w:tcW w:w="786" w:type="pct"/>
            <w:vAlign w:val="center"/>
          </w:tcPr>
          <w:p w:rsidR="000436E6" w:rsidRPr="006212E3" w:rsidRDefault="000436E6" w:rsidP="006212E3">
            <w:pPr>
              <w:pStyle w:val="TableText"/>
              <w:keepNext/>
              <w:keepLines/>
              <w:ind w:left="113"/>
              <w:rPr>
                <w:b w:val="0"/>
              </w:rPr>
            </w:pPr>
            <w:r w:rsidRPr="00BE3B56">
              <w:rPr>
                <w:b w:val="0"/>
                <w:color w:val="000000"/>
                <w:szCs w:val="20"/>
              </w:rPr>
              <w:t>Excise and import duties - departmental</w:t>
            </w:r>
          </w:p>
        </w:tc>
        <w:tc>
          <w:tcPr>
            <w:tcW w:w="351" w:type="pct"/>
            <w:vAlign w:val="center"/>
          </w:tcPr>
          <w:p w:rsidR="000436E6" w:rsidRPr="00F53115" w:rsidRDefault="000436E6">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F53115">
              <w:t>20</w:t>
            </w:r>
          </w:p>
        </w:tc>
        <w:tc>
          <w:tcPr>
            <w:tcW w:w="351" w:type="pct"/>
            <w:vAlign w:val="center"/>
          </w:tcPr>
          <w:p w:rsidR="000436E6" w:rsidRPr="00F53115" w:rsidRDefault="000436E6">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F53115">
              <w:t>110</w:t>
            </w:r>
          </w:p>
        </w:tc>
        <w:tc>
          <w:tcPr>
            <w:tcW w:w="351" w:type="pct"/>
            <w:vAlign w:val="center"/>
          </w:tcPr>
          <w:p w:rsidR="000436E6" w:rsidRPr="00F53115" w:rsidRDefault="000436E6">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F53115">
              <w:t>110</w:t>
            </w:r>
          </w:p>
        </w:tc>
        <w:tc>
          <w:tcPr>
            <w:tcW w:w="351" w:type="pct"/>
            <w:vAlign w:val="center"/>
          </w:tcPr>
          <w:p w:rsidR="000436E6" w:rsidRPr="006B4078" w:rsidRDefault="000436E6">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rPr>
                <w:b w:val="0"/>
                <w:i/>
              </w:rPr>
            </w:pPr>
            <w:r w:rsidRPr="006B4078">
              <w:rPr>
                <w:b w:val="0"/>
                <w:i/>
              </w:rPr>
              <w:t>245</w:t>
            </w:r>
          </w:p>
        </w:tc>
        <w:tc>
          <w:tcPr>
            <w:tcW w:w="351" w:type="pct"/>
            <w:vAlign w:val="center"/>
          </w:tcPr>
          <w:p w:rsidR="000436E6" w:rsidRPr="00F53115" w:rsidRDefault="000436E6">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F53115">
              <w:t>110</w:t>
            </w:r>
          </w:p>
        </w:tc>
        <w:tc>
          <w:tcPr>
            <w:tcW w:w="351" w:type="pct"/>
            <w:vAlign w:val="center"/>
          </w:tcPr>
          <w:p w:rsidR="000436E6" w:rsidRPr="00F53115" w:rsidRDefault="000436E6">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F53115">
              <w:t>105</w:t>
            </w:r>
          </w:p>
        </w:tc>
        <w:tc>
          <w:tcPr>
            <w:tcW w:w="351" w:type="pct"/>
            <w:vAlign w:val="center"/>
          </w:tcPr>
          <w:p w:rsidR="000436E6" w:rsidRPr="00F53115" w:rsidRDefault="000436E6">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F53115">
              <w:t>105</w:t>
            </w:r>
          </w:p>
        </w:tc>
        <w:tc>
          <w:tcPr>
            <w:tcW w:w="351" w:type="pct"/>
            <w:vAlign w:val="center"/>
          </w:tcPr>
          <w:p w:rsidR="000436E6" w:rsidRPr="00F53115" w:rsidRDefault="000436E6">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F53115">
              <w:t>105</w:t>
            </w:r>
          </w:p>
        </w:tc>
        <w:tc>
          <w:tcPr>
            <w:tcW w:w="351" w:type="pct"/>
            <w:vAlign w:val="center"/>
          </w:tcPr>
          <w:p w:rsidR="000436E6" w:rsidRPr="00F53115" w:rsidRDefault="000436E6">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F53115">
              <w:t>105</w:t>
            </w:r>
          </w:p>
        </w:tc>
        <w:tc>
          <w:tcPr>
            <w:tcW w:w="351" w:type="pct"/>
            <w:vAlign w:val="center"/>
          </w:tcPr>
          <w:p w:rsidR="000436E6" w:rsidRPr="00F53115" w:rsidRDefault="000436E6">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F53115">
              <w:t>105</w:t>
            </w:r>
          </w:p>
        </w:tc>
        <w:tc>
          <w:tcPr>
            <w:tcW w:w="351" w:type="pct"/>
            <w:vAlign w:val="center"/>
          </w:tcPr>
          <w:p w:rsidR="000436E6" w:rsidRPr="00F53115" w:rsidRDefault="000436E6">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F53115">
              <w:t>105</w:t>
            </w:r>
          </w:p>
        </w:tc>
        <w:tc>
          <w:tcPr>
            <w:tcW w:w="351" w:type="pct"/>
            <w:vAlign w:val="center"/>
          </w:tcPr>
          <w:p w:rsidR="000436E6" w:rsidRPr="00F53115" w:rsidRDefault="000436E6">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rPr>
                <w:i/>
              </w:rPr>
            </w:pPr>
            <w:r w:rsidRPr="006B4078">
              <w:rPr>
                <w:i/>
              </w:rPr>
              <w:t>1,000</w:t>
            </w:r>
          </w:p>
        </w:tc>
      </w:tr>
      <w:tr w:rsidR="00080CED" w:rsidTr="000436E6">
        <w:trPr>
          <w:cantSplit/>
        </w:trPr>
        <w:tc>
          <w:tcPr>
            <w:cnfStyle w:val="001000000000" w:firstRow="0" w:lastRow="0" w:firstColumn="1" w:lastColumn="0" w:oddVBand="0" w:evenVBand="0" w:oddHBand="0" w:evenHBand="0" w:firstRowFirstColumn="0" w:firstRowLastColumn="0" w:lastRowFirstColumn="0" w:lastRowLastColumn="0"/>
            <w:tcW w:w="786" w:type="pct"/>
            <w:shd w:val="clear" w:color="auto" w:fill="D7DDE9" w:themeFill="accent3"/>
            <w:vAlign w:val="center"/>
          </w:tcPr>
          <w:p w:rsidR="008F7923" w:rsidRPr="008D77AF" w:rsidRDefault="008F7923">
            <w:pPr>
              <w:pStyle w:val="TableText"/>
              <w:keepNext/>
              <w:keepLines/>
            </w:pPr>
            <w:r w:rsidRPr="008D77AF">
              <w:t>Total</w:t>
            </w:r>
          </w:p>
        </w:tc>
        <w:tc>
          <w:tcPr>
            <w:tcW w:w="351" w:type="pct"/>
            <w:shd w:val="clear" w:color="auto" w:fill="D7DDE9" w:themeFill="accent3"/>
          </w:tcPr>
          <w:p w:rsidR="008F7923" w:rsidRDefault="008F7923" w:rsidP="00E4487B">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pPr>
            <w:r w:rsidRPr="00687D27">
              <w:t>-157,268</w:t>
            </w:r>
          </w:p>
        </w:tc>
        <w:tc>
          <w:tcPr>
            <w:tcW w:w="351" w:type="pct"/>
            <w:shd w:val="clear" w:color="auto" w:fill="D7DDE9" w:themeFill="accent3"/>
          </w:tcPr>
          <w:p w:rsidR="008F7923" w:rsidRDefault="008F7923" w:rsidP="00E4487B">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pPr>
            <w:r w:rsidRPr="00687D27">
              <w:t>-179,940</w:t>
            </w:r>
          </w:p>
        </w:tc>
        <w:tc>
          <w:tcPr>
            <w:tcW w:w="351" w:type="pct"/>
            <w:shd w:val="clear" w:color="auto" w:fill="D7DDE9" w:themeFill="accent3"/>
          </w:tcPr>
          <w:p w:rsidR="008F7923" w:rsidRDefault="008F7923" w:rsidP="00E4487B">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pPr>
            <w:r w:rsidRPr="00687D27">
              <w:t>-190,010</w:t>
            </w:r>
          </w:p>
        </w:tc>
        <w:tc>
          <w:tcPr>
            <w:tcW w:w="351" w:type="pct"/>
            <w:shd w:val="clear" w:color="auto" w:fill="D7DDE9" w:themeFill="accent3"/>
          </w:tcPr>
          <w:p w:rsidR="008F7923" w:rsidRDefault="008F7923" w:rsidP="00862877">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pPr>
            <w:r w:rsidRPr="00687D27">
              <w:t>-527,218</w:t>
            </w:r>
          </w:p>
        </w:tc>
        <w:tc>
          <w:tcPr>
            <w:tcW w:w="351" w:type="pct"/>
            <w:shd w:val="clear" w:color="auto" w:fill="D7DDE9" w:themeFill="accent3"/>
          </w:tcPr>
          <w:p w:rsidR="008F7923" w:rsidRDefault="008F7923" w:rsidP="00E4487B">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pPr>
            <w:r w:rsidRPr="00687D27">
              <w:t>-202,040</w:t>
            </w:r>
          </w:p>
        </w:tc>
        <w:tc>
          <w:tcPr>
            <w:tcW w:w="351" w:type="pct"/>
            <w:shd w:val="clear" w:color="auto" w:fill="D7DDE9" w:themeFill="accent3"/>
          </w:tcPr>
          <w:p w:rsidR="008F7923" w:rsidRDefault="008F7923" w:rsidP="00E4487B">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pPr>
            <w:r w:rsidRPr="00687D27">
              <w:t>-211,515</w:t>
            </w:r>
          </w:p>
        </w:tc>
        <w:tc>
          <w:tcPr>
            <w:tcW w:w="351" w:type="pct"/>
            <w:shd w:val="clear" w:color="auto" w:fill="D7DDE9" w:themeFill="accent3"/>
          </w:tcPr>
          <w:p w:rsidR="008F7923" w:rsidRDefault="008F7923" w:rsidP="00E4487B">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pPr>
            <w:r w:rsidRPr="00687D27">
              <w:t>-223,005</w:t>
            </w:r>
          </w:p>
        </w:tc>
        <w:tc>
          <w:tcPr>
            <w:tcW w:w="351" w:type="pct"/>
            <w:shd w:val="clear" w:color="auto" w:fill="D7DDE9" w:themeFill="accent3"/>
          </w:tcPr>
          <w:p w:rsidR="008F7923" w:rsidRDefault="008F7923" w:rsidP="00E4487B">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pPr>
            <w:r w:rsidRPr="00687D27">
              <w:t>-232,465</w:t>
            </w:r>
          </w:p>
        </w:tc>
        <w:tc>
          <w:tcPr>
            <w:tcW w:w="351" w:type="pct"/>
            <w:shd w:val="clear" w:color="auto" w:fill="D7DDE9" w:themeFill="accent3"/>
          </w:tcPr>
          <w:p w:rsidR="008F7923" w:rsidRDefault="008F7923" w:rsidP="00E4487B">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pPr>
            <w:r w:rsidRPr="00687D27">
              <w:t>-243,555</w:t>
            </w:r>
          </w:p>
        </w:tc>
        <w:tc>
          <w:tcPr>
            <w:tcW w:w="351" w:type="pct"/>
            <w:shd w:val="clear" w:color="auto" w:fill="D7DDE9" w:themeFill="accent3"/>
          </w:tcPr>
          <w:p w:rsidR="008F7923" w:rsidRDefault="008F7923" w:rsidP="00E4487B">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pPr>
            <w:r w:rsidRPr="00687D27">
              <w:t>-253,715</w:t>
            </w:r>
          </w:p>
        </w:tc>
        <w:tc>
          <w:tcPr>
            <w:tcW w:w="351" w:type="pct"/>
            <w:shd w:val="clear" w:color="auto" w:fill="D7DDE9" w:themeFill="accent3"/>
          </w:tcPr>
          <w:p w:rsidR="008F7923" w:rsidRDefault="008F7923" w:rsidP="00E4487B">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pPr>
            <w:r w:rsidRPr="00687D27">
              <w:t>-265,475</w:t>
            </w:r>
          </w:p>
        </w:tc>
        <w:tc>
          <w:tcPr>
            <w:tcW w:w="351" w:type="pct"/>
            <w:shd w:val="clear" w:color="auto" w:fill="D7DDE9" w:themeFill="accent3"/>
          </w:tcPr>
          <w:p w:rsidR="008F7923" w:rsidRDefault="008F7923" w:rsidP="00E4487B">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pPr>
            <w:r w:rsidRPr="00687D27">
              <w:t>-2,158,988</w:t>
            </w:r>
          </w:p>
        </w:tc>
      </w:tr>
    </w:tbl>
    <w:p w:rsidR="00A25ACE" w:rsidRDefault="00A25ACE" w:rsidP="00244FF5">
      <w:pPr>
        <w:pStyle w:val="TableFootnotes"/>
        <w:keepNext/>
        <w:numPr>
          <w:ilvl w:val="0"/>
          <w:numId w:val="16"/>
        </w:numPr>
        <w:ind w:left="284" w:hanging="284"/>
      </w:pPr>
      <w:r>
        <w:t>A positive number for the fiscal balance indicates an increase in revenue or a decrease in expenses or net capital investment in accrual terms.  A negative number for the fiscal balance indicates a decrease in revenue or an increase in expenses or net capital investment in accrual terms.</w:t>
      </w:r>
    </w:p>
    <w:p w:rsidR="00A25ACE" w:rsidRDefault="00A25ACE" w:rsidP="00A25ACE">
      <w:pPr>
        <w:pStyle w:val="TableFootnotes"/>
        <w:keepNext/>
      </w:pPr>
      <w:r>
        <w:t>Figures may not sum to totals due to rounding.</w:t>
      </w:r>
    </w:p>
    <w:p w:rsidR="004E7E8D" w:rsidRPr="002D239A" w:rsidRDefault="004E7E8D" w:rsidP="00D17A0B">
      <w:pPr>
        <w:pStyle w:val="TableFootnotes"/>
      </w:pPr>
      <w:r>
        <w:t>Component estimates are the financial impact of each component of the option costed.</w:t>
      </w:r>
    </w:p>
    <w:p w:rsidR="009655B1" w:rsidRPr="00731C21" w:rsidRDefault="009655B1" w:rsidP="00907DFB">
      <w:pPr>
        <w:pStyle w:val="TableFootnotes"/>
        <w:numPr>
          <w:ilvl w:val="0"/>
          <w:numId w:val="11"/>
        </w:numPr>
        <w:ind w:left="284" w:hanging="284"/>
        <w:rPr>
          <w:b/>
          <w:bCs/>
          <w:color w:val="2B3B5F" w:themeColor="text2"/>
          <w:spacing w:val="-4"/>
        </w:rPr>
      </w:pPr>
      <w:r>
        <w:t>Indicates nil.</w:t>
      </w:r>
    </w:p>
    <w:p w:rsidR="009B534C" w:rsidRPr="006B4078" w:rsidRDefault="009B534C" w:rsidP="00907DFB">
      <w:pPr>
        <w:pStyle w:val="TableFootnotes"/>
        <w:numPr>
          <w:ilvl w:val="0"/>
          <w:numId w:val="0"/>
        </w:numPr>
        <w:ind w:left="284"/>
        <w:rPr>
          <w:b/>
          <w:bCs/>
          <w:color w:val="2B3B5F" w:themeColor="text2"/>
          <w:spacing w:val="-4"/>
        </w:rPr>
      </w:pPr>
      <w:r>
        <w:br w:type="page"/>
      </w:r>
    </w:p>
    <w:p w:rsidR="00A25ACE" w:rsidRDefault="00A25ACE" w:rsidP="00A25ACE">
      <w:pPr>
        <w:pStyle w:val="Caption"/>
        <w:keepLines/>
        <w:rPr>
          <w:vertAlign w:val="superscript"/>
        </w:rPr>
      </w:pPr>
      <w:r w:rsidRPr="002D239A">
        <w:lastRenderedPageBreak/>
        <w:t xml:space="preserve">Table </w:t>
      </w:r>
      <w:r w:rsidR="001F29CD">
        <w:fldChar w:fldCharType="begin"/>
      </w:r>
      <w:r w:rsidR="001F29CD">
        <w:instrText xml:space="preserve"> STYLEREF 8 \s </w:instrText>
      </w:r>
      <w:r w:rsidR="001F29CD">
        <w:fldChar w:fldCharType="separate"/>
      </w:r>
      <w:r w:rsidR="00784163">
        <w:rPr>
          <w:noProof/>
        </w:rPr>
        <w:t>A</w:t>
      </w:r>
      <w:r w:rsidR="001F29CD">
        <w:rPr>
          <w:noProof/>
        </w:rPr>
        <w:fldChar w:fldCharType="end"/>
      </w:r>
      <w:r>
        <w:t>4</w:t>
      </w:r>
      <w:r w:rsidRPr="002D239A">
        <w:t xml:space="preserve">: </w:t>
      </w:r>
      <w:r w:rsidR="008B4307">
        <w:t xml:space="preserve">Tax – </w:t>
      </w:r>
      <w:r w:rsidR="005642B7">
        <w:t>Option 2</w:t>
      </w:r>
      <w:r w:rsidR="00FE773E">
        <w:t xml:space="preserve"> – </w:t>
      </w:r>
      <w:r w:rsidR="009C40CE">
        <w:t>Personal income tax, company tax, excise and customs duty</w:t>
      </w:r>
      <w:r w:rsidR="00395CF2">
        <w:t>,</w:t>
      </w:r>
      <w:r w:rsidR="009C40CE" w:rsidDel="009C40CE">
        <w:t xml:space="preserve"> </w:t>
      </w:r>
      <w:r w:rsidR="00D411F5">
        <w:t>and</w:t>
      </w:r>
      <w:r w:rsidR="00FE773E">
        <w:t xml:space="preserve"> GST on food</w:t>
      </w:r>
      <w:r>
        <w:t xml:space="preserve">—Underlying cash </w:t>
      </w:r>
      <w:proofErr w:type="gramStart"/>
      <w:r>
        <w:t>balance</w:t>
      </w:r>
      <w:r w:rsidRPr="002D239A">
        <w:rPr>
          <w:vertAlign w:val="superscript"/>
        </w:rPr>
        <w:t>(</w:t>
      </w:r>
      <w:proofErr w:type="gramEnd"/>
      <w:r w:rsidRPr="002D239A">
        <w:rPr>
          <w:vertAlign w:val="superscript"/>
        </w:rPr>
        <w:t>a)(b)</w:t>
      </w:r>
    </w:p>
    <w:tbl>
      <w:tblPr>
        <w:tblStyle w:val="LightGrid-Accent6"/>
        <w:tblW w:w="4999" w:type="pct"/>
        <w:tblLayout w:type="fixed"/>
        <w:tblLook w:val="0680" w:firstRow="0" w:lastRow="0" w:firstColumn="1" w:lastColumn="0" w:noHBand="1" w:noVBand="1"/>
      </w:tblPr>
      <w:tblGrid>
        <w:gridCol w:w="2236"/>
        <w:gridCol w:w="999"/>
        <w:gridCol w:w="999"/>
        <w:gridCol w:w="999"/>
        <w:gridCol w:w="999"/>
        <w:gridCol w:w="999"/>
        <w:gridCol w:w="998"/>
        <w:gridCol w:w="998"/>
        <w:gridCol w:w="998"/>
        <w:gridCol w:w="998"/>
        <w:gridCol w:w="998"/>
        <w:gridCol w:w="998"/>
        <w:gridCol w:w="998"/>
      </w:tblGrid>
      <w:tr w:rsidR="00080CED" w:rsidTr="00F53115">
        <w:tc>
          <w:tcPr>
            <w:cnfStyle w:val="001000000000" w:firstRow="0" w:lastRow="0" w:firstColumn="1" w:lastColumn="0" w:oddVBand="0" w:evenVBand="0" w:oddHBand="0" w:evenHBand="0" w:firstRowFirstColumn="0" w:firstRowLastColumn="0" w:lastRowFirstColumn="0" w:lastRowLastColumn="0"/>
            <w:tcW w:w="786" w:type="pct"/>
            <w:shd w:val="clear" w:color="auto" w:fill="D7DDE9" w:themeFill="accent3"/>
            <w:vAlign w:val="center"/>
          </w:tcPr>
          <w:p w:rsidR="0032047F" w:rsidRDefault="0032047F" w:rsidP="00386BB5">
            <w:pPr>
              <w:pStyle w:val="TableHeading"/>
            </w:pPr>
            <w:r>
              <w:t>($m)</w:t>
            </w:r>
          </w:p>
          <w:p w:rsidR="00D74722" w:rsidRPr="002D239A" w:rsidRDefault="00D74722" w:rsidP="00386BB5">
            <w:pPr>
              <w:pStyle w:val="TableHeading"/>
            </w:pPr>
            <w:r>
              <w:t>Component</w:t>
            </w:r>
            <w:r w:rsidRPr="002D239A">
              <w:rPr>
                <w:vertAlign w:val="superscript"/>
              </w:rPr>
              <w:t>(</w:t>
            </w:r>
            <w:r>
              <w:rPr>
                <w:vertAlign w:val="superscript"/>
              </w:rPr>
              <w:t>c)</w:t>
            </w:r>
          </w:p>
        </w:tc>
        <w:tc>
          <w:tcPr>
            <w:tcW w:w="351" w:type="pct"/>
            <w:shd w:val="clear" w:color="auto" w:fill="D7DDE9" w:themeFill="accent3"/>
            <w:vAlign w:val="center"/>
          </w:tcPr>
          <w:p w:rsidR="0032047F" w:rsidRPr="002D239A" w:rsidRDefault="0032047F" w:rsidP="006B4078">
            <w:pPr>
              <w:pStyle w:val="TableHeadingRight"/>
              <w:ind w:left="0" w:right="0"/>
              <w:cnfStyle w:val="000000000000" w:firstRow="0" w:lastRow="0" w:firstColumn="0" w:lastColumn="0" w:oddVBand="0" w:evenVBand="0" w:oddHBand="0" w:evenHBand="0" w:firstRowFirstColumn="0" w:firstRowLastColumn="0" w:lastRowFirstColumn="0" w:lastRowLastColumn="0"/>
              <w:rPr>
                <w:b w:val="0"/>
              </w:rPr>
            </w:pPr>
            <w:r>
              <w:rPr>
                <w:b w:val="0"/>
              </w:rPr>
              <w:t>2017-18</w:t>
            </w:r>
          </w:p>
        </w:tc>
        <w:tc>
          <w:tcPr>
            <w:tcW w:w="351" w:type="pct"/>
            <w:shd w:val="clear" w:color="auto" w:fill="D7DDE9" w:themeFill="accent3"/>
            <w:vAlign w:val="center"/>
          </w:tcPr>
          <w:p w:rsidR="0032047F" w:rsidRPr="002D239A" w:rsidRDefault="0032047F" w:rsidP="006B4078">
            <w:pPr>
              <w:pStyle w:val="TableHeadingRight"/>
              <w:ind w:left="0" w:right="0"/>
              <w:cnfStyle w:val="000000000000" w:firstRow="0" w:lastRow="0" w:firstColumn="0" w:lastColumn="0" w:oddVBand="0" w:evenVBand="0" w:oddHBand="0" w:evenHBand="0" w:firstRowFirstColumn="0" w:firstRowLastColumn="0" w:lastRowFirstColumn="0" w:lastRowLastColumn="0"/>
              <w:rPr>
                <w:b w:val="0"/>
              </w:rPr>
            </w:pPr>
            <w:r>
              <w:rPr>
                <w:b w:val="0"/>
              </w:rPr>
              <w:t>2018-19</w:t>
            </w:r>
          </w:p>
        </w:tc>
        <w:tc>
          <w:tcPr>
            <w:tcW w:w="351" w:type="pct"/>
            <w:shd w:val="clear" w:color="auto" w:fill="D7DDE9" w:themeFill="accent3"/>
            <w:vAlign w:val="center"/>
          </w:tcPr>
          <w:p w:rsidR="0032047F" w:rsidRPr="002D239A" w:rsidRDefault="0032047F" w:rsidP="006B4078">
            <w:pPr>
              <w:pStyle w:val="TableHeadingRight"/>
              <w:ind w:left="0" w:right="0"/>
              <w:cnfStyle w:val="000000000000" w:firstRow="0" w:lastRow="0" w:firstColumn="0" w:lastColumn="0" w:oddVBand="0" w:evenVBand="0" w:oddHBand="0" w:evenHBand="0" w:firstRowFirstColumn="0" w:firstRowLastColumn="0" w:lastRowFirstColumn="0" w:lastRowLastColumn="0"/>
              <w:rPr>
                <w:b w:val="0"/>
              </w:rPr>
            </w:pPr>
            <w:r>
              <w:rPr>
                <w:b w:val="0"/>
              </w:rPr>
              <w:t>2019-20</w:t>
            </w:r>
          </w:p>
        </w:tc>
        <w:tc>
          <w:tcPr>
            <w:tcW w:w="351" w:type="pct"/>
            <w:shd w:val="clear" w:color="auto" w:fill="D7DDE9" w:themeFill="accent3"/>
            <w:vAlign w:val="center"/>
          </w:tcPr>
          <w:p w:rsidR="0032047F" w:rsidRPr="002D239A" w:rsidRDefault="0032047F" w:rsidP="006B4078">
            <w:pPr>
              <w:pStyle w:val="TableHeadingRight"/>
              <w:ind w:left="0" w:right="0"/>
              <w:cnfStyle w:val="000000000000" w:firstRow="0" w:lastRow="0" w:firstColumn="0" w:lastColumn="0" w:oddVBand="0" w:evenVBand="0" w:oddHBand="0" w:evenHBand="0" w:firstRowFirstColumn="0" w:firstRowLastColumn="0" w:lastRowFirstColumn="0" w:lastRowLastColumn="0"/>
              <w:rPr>
                <w:b w:val="0"/>
              </w:rPr>
            </w:pPr>
            <w:r>
              <w:t>Total to 2019-20</w:t>
            </w:r>
          </w:p>
        </w:tc>
        <w:tc>
          <w:tcPr>
            <w:tcW w:w="351" w:type="pct"/>
            <w:shd w:val="clear" w:color="auto" w:fill="D7DDE9" w:themeFill="accent3"/>
            <w:vAlign w:val="center"/>
          </w:tcPr>
          <w:p w:rsidR="0032047F" w:rsidRPr="002D239A" w:rsidRDefault="0032047F" w:rsidP="006B4078">
            <w:pPr>
              <w:pStyle w:val="TableText"/>
              <w:ind w:left="0" w:right="0"/>
              <w:cnfStyle w:val="000000000000" w:firstRow="0" w:lastRow="0" w:firstColumn="0" w:lastColumn="0" w:oddVBand="0" w:evenVBand="0" w:oddHBand="0" w:evenHBand="0" w:firstRowFirstColumn="0" w:firstRowLastColumn="0" w:lastRowFirstColumn="0" w:lastRowLastColumn="0"/>
            </w:pPr>
            <w:r>
              <w:t>2020-21</w:t>
            </w:r>
          </w:p>
        </w:tc>
        <w:tc>
          <w:tcPr>
            <w:tcW w:w="351" w:type="pct"/>
            <w:shd w:val="clear" w:color="auto" w:fill="D7DDE9" w:themeFill="accent3"/>
            <w:vAlign w:val="center"/>
          </w:tcPr>
          <w:p w:rsidR="0032047F" w:rsidRPr="002D239A" w:rsidRDefault="0032047F" w:rsidP="006B4078">
            <w:pPr>
              <w:pStyle w:val="TableText"/>
              <w:ind w:left="0" w:right="0"/>
              <w:cnfStyle w:val="000000000000" w:firstRow="0" w:lastRow="0" w:firstColumn="0" w:lastColumn="0" w:oddVBand="0" w:evenVBand="0" w:oddHBand="0" w:evenHBand="0" w:firstRowFirstColumn="0" w:firstRowLastColumn="0" w:lastRowFirstColumn="0" w:lastRowLastColumn="0"/>
            </w:pPr>
            <w:r>
              <w:t>2021-22</w:t>
            </w:r>
          </w:p>
        </w:tc>
        <w:tc>
          <w:tcPr>
            <w:tcW w:w="351" w:type="pct"/>
            <w:shd w:val="clear" w:color="auto" w:fill="D7DDE9" w:themeFill="accent3"/>
            <w:vAlign w:val="center"/>
          </w:tcPr>
          <w:p w:rsidR="0032047F" w:rsidRPr="002D239A" w:rsidRDefault="0032047F" w:rsidP="006B4078">
            <w:pPr>
              <w:pStyle w:val="TableText"/>
              <w:ind w:left="0" w:right="0"/>
              <w:cnfStyle w:val="000000000000" w:firstRow="0" w:lastRow="0" w:firstColumn="0" w:lastColumn="0" w:oddVBand="0" w:evenVBand="0" w:oddHBand="0" w:evenHBand="0" w:firstRowFirstColumn="0" w:firstRowLastColumn="0" w:lastRowFirstColumn="0" w:lastRowLastColumn="0"/>
            </w:pPr>
            <w:r>
              <w:t>2022-23</w:t>
            </w:r>
          </w:p>
        </w:tc>
        <w:tc>
          <w:tcPr>
            <w:tcW w:w="351" w:type="pct"/>
            <w:shd w:val="clear" w:color="auto" w:fill="D7DDE9" w:themeFill="accent3"/>
            <w:vAlign w:val="center"/>
          </w:tcPr>
          <w:p w:rsidR="0032047F" w:rsidRPr="002D239A" w:rsidRDefault="0032047F" w:rsidP="006B4078">
            <w:pPr>
              <w:pStyle w:val="TableText"/>
              <w:ind w:left="0" w:right="0"/>
              <w:cnfStyle w:val="000000000000" w:firstRow="0" w:lastRow="0" w:firstColumn="0" w:lastColumn="0" w:oddVBand="0" w:evenVBand="0" w:oddHBand="0" w:evenHBand="0" w:firstRowFirstColumn="0" w:firstRowLastColumn="0" w:lastRowFirstColumn="0" w:lastRowLastColumn="0"/>
            </w:pPr>
            <w:r>
              <w:t>2023-24</w:t>
            </w:r>
          </w:p>
        </w:tc>
        <w:tc>
          <w:tcPr>
            <w:tcW w:w="351" w:type="pct"/>
            <w:shd w:val="clear" w:color="auto" w:fill="D7DDE9" w:themeFill="accent3"/>
            <w:vAlign w:val="center"/>
          </w:tcPr>
          <w:p w:rsidR="0032047F" w:rsidRPr="002D239A" w:rsidRDefault="0032047F" w:rsidP="006B4078">
            <w:pPr>
              <w:pStyle w:val="TableText"/>
              <w:ind w:left="0" w:right="0"/>
              <w:cnfStyle w:val="000000000000" w:firstRow="0" w:lastRow="0" w:firstColumn="0" w:lastColumn="0" w:oddVBand="0" w:evenVBand="0" w:oddHBand="0" w:evenHBand="0" w:firstRowFirstColumn="0" w:firstRowLastColumn="0" w:lastRowFirstColumn="0" w:lastRowLastColumn="0"/>
            </w:pPr>
            <w:r>
              <w:t>2024-25</w:t>
            </w:r>
          </w:p>
        </w:tc>
        <w:tc>
          <w:tcPr>
            <w:tcW w:w="351" w:type="pct"/>
            <w:shd w:val="clear" w:color="auto" w:fill="D7DDE9" w:themeFill="accent3"/>
            <w:vAlign w:val="center"/>
          </w:tcPr>
          <w:p w:rsidR="0032047F" w:rsidRPr="002D239A" w:rsidRDefault="0032047F" w:rsidP="006B4078">
            <w:pPr>
              <w:pStyle w:val="TableText"/>
              <w:ind w:left="0" w:right="0"/>
              <w:jc w:val="right"/>
              <w:cnfStyle w:val="000000000000" w:firstRow="0" w:lastRow="0" w:firstColumn="0" w:lastColumn="0" w:oddVBand="0" w:evenVBand="0" w:oddHBand="0" w:evenHBand="0" w:firstRowFirstColumn="0" w:firstRowLastColumn="0" w:lastRowFirstColumn="0" w:lastRowLastColumn="0"/>
            </w:pPr>
            <w:r>
              <w:t>2025-26</w:t>
            </w:r>
          </w:p>
        </w:tc>
        <w:tc>
          <w:tcPr>
            <w:tcW w:w="351" w:type="pct"/>
            <w:shd w:val="clear" w:color="auto" w:fill="D7DDE9" w:themeFill="accent3"/>
            <w:vAlign w:val="center"/>
          </w:tcPr>
          <w:p w:rsidR="0032047F" w:rsidRDefault="0032047F" w:rsidP="006B4078">
            <w:pPr>
              <w:pStyle w:val="TableText"/>
              <w:ind w:left="0" w:right="0"/>
              <w:jc w:val="right"/>
              <w:cnfStyle w:val="000000000000" w:firstRow="0" w:lastRow="0" w:firstColumn="0" w:lastColumn="0" w:oddVBand="0" w:evenVBand="0" w:oddHBand="0" w:evenHBand="0" w:firstRowFirstColumn="0" w:firstRowLastColumn="0" w:lastRowFirstColumn="0" w:lastRowLastColumn="0"/>
            </w:pPr>
            <w:r>
              <w:t>2026-27</w:t>
            </w:r>
          </w:p>
        </w:tc>
        <w:tc>
          <w:tcPr>
            <w:tcW w:w="351" w:type="pct"/>
            <w:shd w:val="clear" w:color="auto" w:fill="D7DDE9" w:themeFill="accent3"/>
          </w:tcPr>
          <w:p w:rsidR="0032047F" w:rsidRPr="009355B8" w:rsidRDefault="0032047F" w:rsidP="006B4078">
            <w:pPr>
              <w:pStyle w:val="TableText"/>
              <w:ind w:left="0" w:right="0"/>
              <w:cnfStyle w:val="000000000000" w:firstRow="0" w:lastRow="0" w:firstColumn="0" w:lastColumn="0" w:oddVBand="0" w:evenVBand="0" w:oddHBand="0" w:evenHBand="0" w:firstRowFirstColumn="0" w:firstRowLastColumn="0" w:lastRowFirstColumn="0" w:lastRowLastColumn="0"/>
              <w:rPr>
                <w:b/>
              </w:rPr>
            </w:pPr>
            <w:r w:rsidRPr="009355B8">
              <w:rPr>
                <w:b/>
              </w:rPr>
              <w:t>Total to 2026-27</w:t>
            </w:r>
          </w:p>
        </w:tc>
      </w:tr>
      <w:tr w:rsidR="002547A5" w:rsidRPr="008D77AF" w:rsidTr="00D17A0B">
        <w:tc>
          <w:tcPr>
            <w:cnfStyle w:val="001000000000" w:firstRow="0" w:lastRow="0" w:firstColumn="1" w:lastColumn="0" w:oddVBand="0" w:evenVBand="0" w:oddHBand="0" w:evenHBand="0" w:firstRowFirstColumn="0" w:firstRowLastColumn="0" w:lastRowFirstColumn="0" w:lastRowLastColumn="0"/>
            <w:tcW w:w="786" w:type="pct"/>
            <w:vAlign w:val="center"/>
          </w:tcPr>
          <w:p w:rsidR="002547A5" w:rsidRPr="00A86D80" w:rsidRDefault="002547A5" w:rsidP="00386BB5">
            <w:pPr>
              <w:pStyle w:val="TableText"/>
              <w:keepNext/>
              <w:keepLines/>
              <w:ind w:left="0"/>
              <w:rPr>
                <w:b w:val="0"/>
              </w:rPr>
            </w:pPr>
            <w:r w:rsidRPr="002547A5">
              <w:rPr>
                <w:b w:val="0"/>
                <w:color w:val="000000"/>
                <w:szCs w:val="20"/>
              </w:rPr>
              <w:t>Receipts</w:t>
            </w:r>
          </w:p>
        </w:tc>
        <w:tc>
          <w:tcPr>
            <w:tcW w:w="351" w:type="pct"/>
            <w:vAlign w:val="center"/>
          </w:tcPr>
          <w:p w:rsidR="002547A5" w:rsidRPr="00285597"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285597">
              <w:rPr>
                <w:b/>
                <w:i w:val="0"/>
              </w:rPr>
              <w:t>-166,130</w:t>
            </w:r>
          </w:p>
        </w:tc>
        <w:tc>
          <w:tcPr>
            <w:tcW w:w="351" w:type="pct"/>
            <w:vAlign w:val="center"/>
          </w:tcPr>
          <w:p w:rsidR="002547A5" w:rsidRPr="00285597"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285597">
              <w:rPr>
                <w:b/>
                <w:i w:val="0"/>
              </w:rPr>
              <w:t>-190,130</w:t>
            </w:r>
          </w:p>
        </w:tc>
        <w:tc>
          <w:tcPr>
            <w:tcW w:w="351" w:type="pct"/>
            <w:vAlign w:val="center"/>
          </w:tcPr>
          <w:p w:rsidR="002547A5" w:rsidRPr="00285597"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285597">
              <w:rPr>
                <w:b/>
                <w:i w:val="0"/>
              </w:rPr>
              <w:t>-201,180</w:t>
            </w:r>
          </w:p>
        </w:tc>
        <w:tc>
          <w:tcPr>
            <w:tcW w:w="351" w:type="pct"/>
            <w:vAlign w:val="center"/>
          </w:tcPr>
          <w:p w:rsidR="002547A5" w:rsidRPr="00285597" w:rsidRDefault="002547A5">
            <w:pPr>
              <w:pStyle w:val="TableTextRightBold"/>
              <w:ind w:left="-57" w:right="-57"/>
              <w:cnfStyle w:val="000000000000" w:firstRow="0" w:lastRow="0" w:firstColumn="0" w:lastColumn="0" w:oddVBand="0" w:evenVBand="0" w:oddHBand="0" w:evenHBand="0" w:firstRowFirstColumn="0" w:firstRowLastColumn="0" w:lastRowFirstColumn="0" w:lastRowLastColumn="0"/>
            </w:pPr>
            <w:r w:rsidRPr="00285597">
              <w:t>-557,450</w:t>
            </w:r>
          </w:p>
        </w:tc>
        <w:tc>
          <w:tcPr>
            <w:tcW w:w="351" w:type="pct"/>
            <w:vAlign w:val="center"/>
          </w:tcPr>
          <w:p w:rsidR="002547A5" w:rsidRPr="00285597"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285597">
              <w:rPr>
                <w:b/>
                <w:i w:val="0"/>
              </w:rPr>
              <w:t>-214,030</w:t>
            </w:r>
          </w:p>
        </w:tc>
        <w:tc>
          <w:tcPr>
            <w:tcW w:w="351" w:type="pct"/>
            <w:vAlign w:val="center"/>
          </w:tcPr>
          <w:p w:rsidR="002547A5" w:rsidRPr="00285597"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285597">
              <w:rPr>
                <w:b/>
                <w:i w:val="0"/>
              </w:rPr>
              <w:t>-224,590</w:t>
            </w:r>
          </w:p>
        </w:tc>
        <w:tc>
          <w:tcPr>
            <w:tcW w:w="351" w:type="pct"/>
            <w:vAlign w:val="center"/>
          </w:tcPr>
          <w:p w:rsidR="002547A5" w:rsidRPr="00285597"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285597">
              <w:rPr>
                <w:b/>
                <w:i w:val="0"/>
              </w:rPr>
              <w:t>-237,200</w:t>
            </w:r>
          </w:p>
        </w:tc>
        <w:tc>
          <w:tcPr>
            <w:tcW w:w="351" w:type="pct"/>
            <w:vAlign w:val="center"/>
          </w:tcPr>
          <w:p w:rsidR="002547A5" w:rsidRPr="00285597"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285597">
              <w:rPr>
                <w:b/>
                <w:i w:val="0"/>
              </w:rPr>
              <w:t>-247,800</w:t>
            </w:r>
          </w:p>
        </w:tc>
        <w:tc>
          <w:tcPr>
            <w:tcW w:w="351" w:type="pct"/>
            <w:vAlign w:val="center"/>
          </w:tcPr>
          <w:p w:rsidR="002547A5" w:rsidRPr="00285597"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285597">
              <w:rPr>
                <w:b/>
                <w:i w:val="0"/>
              </w:rPr>
              <w:t>-260,110</w:t>
            </w:r>
          </w:p>
        </w:tc>
        <w:tc>
          <w:tcPr>
            <w:tcW w:w="351" w:type="pct"/>
            <w:vAlign w:val="center"/>
          </w:tcPr>
          <w:p w:rsidR="002547A5" w:rsidRPr="00285597"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285597">
              <w:rPr>
                <w:b/>
                <w:i w:val="0"/>
              </w:rPr>
              <w:t>-271,510</w:t>
            </w:r>
          </w:p>
        </w:tc>
        <w:tc>
          <w:tcPr>
            <w:tcW w:w="351" w:type="pct"/>
            <w:vAlign w:val="center"/>
          </w:tcPr>
          <w:p w:rsidR="002547A5" w:rsidRPr="00285597"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285597">
              <w:rPr>
                <w:b/>
                <w:i w:val="0"/>
              </w:rPr>
              <w:t>-284,540</w:t>
            </w:r>
          </w:p>
        </w:tc>
        <w:tc>
          <w:tcPr>
            <w:tcW w:w="351" w:type="pct"/>
            <w:vAlign w:val="center"/>
          </w:tcPr>
          <w:p w:rsidR="002547A5" w:rsidRPr="00285597" w:rsidRDefault="002547A5">
            <w:pPr>
              <w:pStyle w:val="TableTextRightBold"/>
              <w:ind w:left="-57" w:right="-57"/>
              <w:cnfStyle w:val="000000000000" w:firstRow="0" w:lastRow="0" w:firstColumn="0" w:lastColumn="0" w:oddVBand="0" w:evenVBand="0" w:oddHBand="0" w:evenHBand="0" w:firstRowFirstColumn="0" w:firstRowLastColumn="0" w:lastRowFirstColumn="0" w:lastRowLastColumn="0"/>
            </w:pPr>
            <w:r w:rsidRPr="00285597">
              <w:t>-2,297,220</w:t>
            </w:r>
          </w:p>
        </w:tc>
      </w:tr>
      <w:tr w:rsidR="002547A5" w:rsidRPr="008D77AF" w:rsidTr="00D17A0B">
        <w:tc>
          <w:tcPr>
            <w:cnfStyle w:val="001000000000" w:firstRow="0" w:lastRow="0" w:firstColumn="1" w:lastColumn="0" w:oddVBand="0" w:evenVBand="0" w:oddHBand="0" w:evenHBand="0" w:firstRowFirstColumn="0" w:firstRowLastColumn="0" w:lastRowFirstColumn="0" w:lastRowLastColumn="0"/>
            <w:tcW w:w="786" w:type="pct"/>
            <w:vAlign w:val="center"/>
          </w:tcPr>
          <w:p w:rsidR="002547A5" w:rsidRPr="00A86D80" w:rsidRDefault="002547A5" w:rsidP="002547A5">
            <w:pPr>
              <w:pStyle w:val="TableText"/>
              <w:keepNext/>
              <w:keepLines/>
              <w:ind w:left="113"/>
              <w:rPr>
                <w:b w:val="0"/>
              </w:rPr>
            </w:pPr>
            <w:r w:rsidRPr="002547A5">
              <w:rPr>
                <w:b w:val="0"/>
                <w:color w:val="000000"/>
                <w:szCs w:val="20"/>
              </w:rPr>
              <w:t xml:space="preserve">Personal income tax </w:t>
            </w:r>
          </w:p>
        </w:tc>
        <w:tc>
          <w:tcPr>
            <w:tcW w:w="351" w:type="pct"/>
            <w:vAlign w:val="center"/>
          </w:tcPr>
          <w:p w:rsidR="002547A5"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77F93">
              <w:t>-115,000</w:t>
            </w:r>
          </w:p>
        </w:tc>
        <w:tc>
          <w:tcPr>
            <w:tcW w:w="351" w:type="pct"/>
            <w:vAlign w:val="center"/>
          </w:tcPr>
          <w:p w:rsidR="002547A5"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77F93">
              <w:t>-136,000</w:t>
            </w:r>
          </w:p>
        </w:tc>
        <w:tc>
          <w:tcPr>
            <w:tcW w:w="351" w:type="pct"/>
            <w:vAlign w:val="center"/>
          </w:tcPr>
          <w:p w:rsidR="002547A5"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77F93">
              <w:t>-143,000</w:t>
            </w:r>
          </w:p>
        </w:tc>
        <w:tc>
          <w:tcPr>
            <w:tcW w:w="351" w:type="pct"/>
            <w:vAlign w:val="center"/>
          </w:tcPr>
          <w:p w:rsidR="002547A5" w:rsidRPr="00285597" w:rsidRDefault="002547A5">
            <w:pPr>
              <w:pStyle w:val="TableTextRightBold"/>
              <w:ind w:left="-57" w:right="-57"/>
              <w:cnfStyle w:val="000000000000" w:firstRow="0" w:lastRow="0" w:firstColumn="0" w:lastColumn="0" w:oddVBand="0" w:evenVBand="0" w:oddHBand="0" w:evenHBand="0" w:firstRowFirstColumn="0" w:firstRowLastColumn="0" w:lastRowFirstColumn="0" w:lastRowLastColumn="0"/>
              <w:rPr>
                <w:b w:val="0"/>
                <w:i/>
              </w:rPr>
            </w:pPr>
            <w:r w:rsidRPr="00285597">
              <w:rPr>
                <w:b w:val="0"/>
                <w:i/>
              </w:rPr>
              <w:t>-394,000</w:t>
            </w:r>
          </w:p>
        </w:tc>
        <w:tc>
          <w:tcPr>
            <w:tcW w:w="351" w:type="pct"/>
            <w:vAlign w:val="center"/>
          </w:tcPr>
          <w:p w:rsidR="002547A5"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77F93">
              <w:t>-152,000</w:t>
            </w:r>
          </w:p>
        </w:tc>
        <w:tc>
          <w:tcPr>
            <w:tcW w:w="351" w:type="pct"/>
            <w:vAlign w:val="center"/>
          </w:tcPr>
          <w:p w:rsidR="002547A5"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77F93">
              <w:t>-160,000</w:t>
            </w:r>
          </w:p>
        </w:tc>
        <w:tc>
          <w:tcPr>
            <w:tcW w:w="351" w:type="pct"/>
            <w:vAlign w:val="center"/>
          </w:tcPr>
          <w:p w:rsidR="002547A5"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77F93">
              <w:t>-169,000</w:t>
            </w:r>
          </w:p>
        </w:tc>
        <w:tc>
          <w:tcPr>
            <w:tcW w:w="351" w:type="pct"/>
            <w:vAlign w:val="center"/>
          </w:tcPr>
          <w:p w:rsidR="002547A5"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77F93">
              <w:t>-179,000</w:t>
            </w:r>
          </w:p>
        </w:tc>
        <w:tc>
          <w:tcPr>
            <w:tcW w:w="351" w:type="pct"/>
            <w:vAlign w:val="center"/>
          </w:tcPr>
          <w:p w:rsidR="002547A5"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77F93">
              <w:t>-188,000</w:t>
            </w:r>
          </w:p>
        </w:tc>
        <w:tc>
          <w:tcPr>
            <w:tcW w:w="351" w:type="pct"/>
            <w:vAlign w:val="center"/>
          </w:tcPr>
          <w:p w:rsidR="002547A5"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77F93">
              <w:t>-199,000</w:t>
            </w:r>
          </w:p>
        </w:tc>
        <w:tc>
          <w:tcPr>
            <w:tcW w:w="351" w:type="pct"/>
            <w:vAlign w:val="center"/>
          </w:tcPr>
          <w:p w:rsidR="002547A5"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77F93">
              <w:t>-211,000</w:t>
            </w:r>
          </w:p>
        </w:tc>
        <w:tc>
          <w:tcPr>
            <w:tcW w:w="351" w:type="pct"/>
            <w:vAlign w:val="center"/>
          </w:tcPr>
          <w:p w:rsidR="002547A5" w:rsidRPr="00285597" w:rsidRDefault="002547A5">
            <w:pPr>
              <w:pStyle w:val="TableTextRightBold"/>
              <w:ind w:left="-57" w:right="-57"/>
              <w:cnfStyle w:val="000000000000" w:firstRow="0" w:lastRow="0" w:firstColumn="0" w:lastColumn="0" w:oddVBand="0" w:evenVBand="0" w:oddHBand="0" w:evenHBand="0" w:firstRowFirstColumn="0" w:firstRowLastColumn="0" w:lastRowFirstColumn="0" w:lastRowLastColumn="0"/>
              <w:rPr>
                <w:i/>
              </w:rPr>
            </w:pPr>
            <w:r w:rsidRPr="00285597">
              <w:rPr>
                <w:i/>
              </w:rPr>
              <w:t>-1,652,000</w:t>
            </w:r>
          </w:p>
        </w:tc>
      </w:tr>
      <w:tr w:rsidR="002547A5" w:rsidRPr="008D77AF" w:rsidTr="00D17A0B">
        <w:tc>
          <w:tcPr>
            <w:cnfStyle w:val="001000000000" w:firstRow="0" w:lastRow="0" w:firstColumn="1" w:lastColumn="0" w:oddVBand="0" w:evenVBand="0" w:oddHBand="0" w:evenHBand="0" w:firstRowFirstColumn="0" w:firstRowLastColumn="0" w:lastRowFirstColumn="0" w:lastRowLastColumn="0"/>
            <w:tcW w:w="786" w:type="pct"/>
            <w:vAlign w:val="center"/>
          </w:tcPr>
          <w:p w:rsidR="002547A5" w:rsidRPr="00A86D80" w:rsidRDefault="002547A5" w:rsidP="002547A5">
            <w:pPr>
              <w:pStyle w:val="TableText"/>
              <w:keepNext/>
              <w:keepLines/>
              <w:ind w:left="113"/>
              <w:rPr>
                <w:b w:val="0"/>
              </w:rPr>
            </w:pPr>
            <w:r w:rsidRPr="002547A5">
              <w:rPr>
                <w:b w:val="0"/>
                <w:color w:val="000000"/>
                <w:szCs w:val="20"/>
              </w:rPr>
              <w:t>Company tax</w:t>
            </w:r>
          </w:p>
        </w:tc>
        <w:tc>
          <w:tcPr>
            <w:tcW w:w="351" w:type="pct"/>
            <w:vAlign w:val="center"/>
          </w:tcPr>
          <w:p w:rsidR="002547A5"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77F93">
              <w:t>-17,000</w:t>
            </w:r>
          </w:p>
        </w:tc>
        <w:tc>
          <w:tcPr>
            <w:tcW w:w="351" w:type="pct"/>
            <w:vAlign w:val="center"/>
          </w:tcPr>
          <w:p w:rsidR="002547A5"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77F93">
              <w:t>-17,000</w:t>
            </w:r>
          </w:p>
        </w:tc>
        <w:tc>
          <w:tcPr>
            <w:tcW w:w="351" w:type="pct"/>
            <w:vAlign w:val="center"/>
          </w:tcPr>
          <w:p w:rsidR="002547A5"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77F93">
              <w:t>-18,000</w:t>
            </w:r>
          </w:p>
        </w:tc>
        <w:tc>
          <w:tcPr>
            <w:tcW w:w="351" w:type="pct"/>
            <w:vAlign w:val="center"/>
          </w:tcPr>
          <w:p w:rsidR="002547A5" w:rsidRPr="00285597" w:rsidRDefault="002547A5">
            <w:pPr>
              <w:pStyle w:val="TableTextRightBold"/>
              <w:ind w:left="-57" w:right="-57"/>
              <w:cnfStyle w:val="000000000000" w:firstRow="0" w:lastRow="0" w:firstColumn="0" w:lastColumn="0" w:oddVBand="0" w:evenVBand="0" w:oddHBand="0" w:evenHBand="0" w:firstRowFirstColumn="0" w:firstRowLastColumn="0" w:lastRowFirstColumn="0" w:lastRowLastColumn="0"/>
              <w:rPr>
                <w:b w:val="0"/>
                <w:i/>
              </w:rPr>
            </w:pPr>
            <w:r w:rsidRPr="00285597">
              <w:rPr>
                <w:b w:val="0"/>
                <w:i/>
              </w:rPr>
              <w:t>-52,000</w:t>
            </w:r>
          </w:p>
        </w:tc>
        <w:tc>
          <w:tcPr>
            <w:tcW w:w="351" w:type="pct"/>
            <w:vAlign w:val="center"/>
          </w:tcPr>
          <w:p w:rsidR="002547A5"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77F93">
              <w:t>-19,000</w:t>
            </w:r>
          </w:p>
        </w:tc>
        <w:tc>
          <w:tcPr>
            <w:tcW w:w="351" w:type="pct"/>
            <w:vAlign w:val="center"/>
          </w:tcPr>
          <w:p w:rsidR="002547A5"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77F93">
              <w:t>-19,000</w:t>
            </w:r>
          </w:p>
        </w:tc>
        <w:tc>
          <w:tcPr>
            <w:tcW w:w="351" w:type="pct"/>
            <w:vAlign w:val="center"/>
          </w:tcPr>
          <w:p w:rsidR="002547A5"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77F93">
              <w:t>-20,000</w:t>
            </w:r>
          </w:p>
        </w:tc>
        <w:tc>
          <w:tcPr>
            <w:tcW w:w="351" w:type="pct"/>
            <w:vAlign w:val="center"/>
          </w:tcPr>
          <w:p w:rsidR="002547A5"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77F93">
              <w:t>-18,000</w:t>
            </w:r>
          </w:p>
        </w:tc>
        <w:tc>
          <w:tcPr>
            <w:tcW w:w="351" w:type="pct"/>
            <w:vAlign w:val="center"/>
          </w:tcPr>
          <w:p w:rsidR="002547A5"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77F93">
              <w:t>-18,000</w:t>
            </w:r>
          </w:p>
        </w:tc>
        <w:tc>
          <w:tcPr>
            <w:tcW w:w="351" w:type="pct"/>
            <w:vAlign w:val="center"/>
          </w:tcPr>
          <w:p w:rsidR="002547A5"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77F93">
              <w:t>-16,000</w:t>
            </w:r>
          </w:p>
        </w:tc>
        <w:tc>
          <w:tcPr>
            <w:tcW w:w="351" w:type="pct"/>
            <w:vAlign w:val="center"/>
          </w:tcPr>
          <w:p w:rsidR="002547A5"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77F93">
              <w:t>-14,000</w:t>
            </w:r>
          </w:p>
        </w:tc>
        <w:tc>
          <w:tcPr>
            <w:tcW w:w="351" w:type="pct"/>
            <w:vAlign w:val="center"/>
          </w:tcPr>
          <w:p w:rsidR="002547A5" w:rsidRPr="00285597" w:rsidRDefault="002547A5">
            <w:pPr>
              <w:pStyle w:val="TableTextRightBold"/>
              <w:ind w:left="-57" w:right="-57"/>
              <w:cnfStyle w:val="000000000000" w:firstRow="0" w:lastRow="0" w:firstColumn="0" w:lastColumn="0" w:oddVBand="0" w:evenVBand="0" w:oddHBand="0" w:evenHBand="0" w:firstRowFirstColumn="0" w:firstRowLastColumn="0" w:lastRowFirstColumn="0" w:lastRowLastColumn="0"/>
              <w:rPr>
                <w:i/>
              </w:rPr>
            </w:pPr>
            <w:r w:rsidRPr="00285597">
              <w:rPr>
                <w:i/>
              </w:rPr>
              <w:t>-176,000</w:t>
            </w:r>
          </w:p>
        </w:tc>
      </w:tr>
      <w:tr w:rsidR="002547A5" w:rsidRPr="008D77AF" w:rsidTr="00D17A0B">
        <w:tc>
          <w:tcPr>
            <w:cnfStyle w:val="001000000000" w:firstRow="0" w:lastRow="0" w:firstColumn="1" w:lastColumn="0" w:oddVBand="0" w:evenVBand="0" w:oddHBand="0" w:evenHBand="0" w:firstRowFirstColumn="0" w:firstRowLastColumn="0" w:lastRowFirstColumn="0" w:lastRowLastColumn="0"/>
            <w:tcW w:w="786" w:type="pct"/>
            <w:vAlign w:val="center"/>
          </w:tcPr>
          <w:p w:rsidR="002547A5" w:rsidRPr="00A86D80" w:rsidRDefault="002547A5" w:rsidP="002547A5">
            <w:pPr>
              <w:pStyle w:val="TableText"/>
              <w:keepNext/>
              <w:keepLines/>
              <w:ind w:left="113"/>
              <w:rPr>
                <w:b w:val="0"/>
              </w:rPr>
            </w:pPr>
            <w:r w:rsidRPr="002547A5">
              <w:rPr>
                <w:b w:val="0"/>
                <w:color w:val="000000"/>
                <w:szCs w:val="20"/>
              </w:rPr>
              <w:t>Excise and import duties</w:t>
            </w:r>
          </w:p>
        </w:tc>
        <w:tc>
          <w:tcPr>
            <w:tcW w:w="351" w:type="pct"/>
            <w:vAlign w:val="center"/>
          </w:tcPr>
          <w:p w:rsidR="002547A5"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77F93">
              <w:t>-40,080</w:t>
            </w:r>
          </w:p>
        </w:tc>
        <w:tc>
          <w:tcPr>
            <w:tcW w:w="351" w:type="pct"/>
            <w:vAlign w:val="center"/>
          </w:tcPr>
          <w:p w:rsidR="002547A5"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77F93">
              <w:t>-44,180</w:t>
            </w:r>
          </w:p>
        </w:tc>
        <w:tc>
          <w:tcPr>
            <w:tcW w:w="351" w:type="pct"/>
            <w:vAlign w:val="center"/>
          </w:tcPr>
          <w:p w:rsidR="002547A5"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77F93">
              <w:t>-47,530</w:t>
            </w:r>
          </w:p>
        </w:tc>
        <w:tc>
          <w:tcPr>
            <w:tcW w:w="351" w:type="pct"/>
            <w:vAlign w:val="center"/>
          </w:tcPr>
          <w:p w:rsidR="002547A5" w:rsidRPr="00285597" w:rsidRDefault="002547A5">
            <w:pPr>
              <w:pStyle w:val="TableTextRightBold"/>
              <w:ind w:left="-57" w:right="-57"/>
              <w:cnfStyle w:val="000000000000" w:firstRow="0" w:lastRow="0" w:firstColumn="0" w:lastColumn="0" w:oddVBand="0" w:evenVBand="0" w:oddHBand="0" w:evenHBand="0" w:firstRowFirstColumn="0" w:firstRowLastColumn="0" w:lastRowFirstColumn="0" w:lastRowLastColumn="0"/>
              <w:rPr>
                <w:b w:val="0"/>
                <w:i/>
              </w:rPr>
            </w:pPr>
            <w:r w:rsidRPr="00285597">
              <w:rPr>
                <w:b w:val="0"/>
                <w:i/>
              </w:rPr>
              <w:t>-131,800</w:t>
            </w:r>
          </w:p>
        </w:tc>
        <w:tc>
          <w:tcPr>
            <w:tcW w:w="351" w:type="pct"/>
            <w:vAlign w:val="center"/>
          </w:tcPr>
          <w:p w:rsidR="002547A5"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77F93">
              <w:t>-50,630</w:t>
            </w:r>
          </w:p>
        </w:tc>
        <w:tc>
          <w:tcPr>
            <w:tcW w:w="351" w:type="pct"/>
            <w:vAlign w:val="center"/>
          </w:tcPr>
          <w:p w:rsidR="002547A5"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77F93">
              <w:t>-53,490</w:t>
            </w:r>
          </w:p>
        </w:tc>
        <w:tc>
          <w:tcPr>
            <w:tcW w:w="351" w:type="pct"/>
            <w:vAlign w:val="center"/>
          </w:tcPr>
          <w:p w:rsidR="002547A5"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77F93">
              <w:t>-56,400</w:t>
            </w:r>
          </w:p>
        </w:tc>
        <w:tc>
          <w:tcPr>
            <w:tcW w:w="351" w:type="pct"/>
            <w:vAlign w:val="center"/>
          </w:tcPr>
          <w:p w:rsidR="002547A5"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77F93">
              <w:t>-59,350</w:t>
            </w:r>
          </w:p>
        </w:tc>
        <w:tc>
          <w:tcPr>
            <w:tcW w:w="351" w:type="pct"/>
            <w:vAlign w:val="center"/>
          </w:tcPr>
          <w:p w:rsidR="002547A5"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77F93">
              <w:t>-62,960</w:t>
            </w:r>
          </w:p>
        </w:tc>
        <w:tc>
          <w:tcPr>
            <w:tcW w:w="351" w:type="pct"/>
            <w:vAlign w:val="center"/>
          </w:tcPr>
          <w:p w:rsidR="002547A5"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77F93">
              <w:t>-65,710</w:t>
            </w:r>
          </w:p>
        </w:tc>
        <w:tc>
          <w:tcPr>
            <w:tcW w:w="351" w:type="pct"/>
            <w:vAlign w:val="center"/>
          </w:tcPr>
          <w:p w:rsidR="002547A5"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77F93">
              <w:t>-69,090</w:t>
            </w:r>
          </w:p>
        </w:tc>
        <w:tc>
          <w:tcPr>
            <w:tcW w:w="351" w:type="pct"/>
            <w:vAlign w:val="center"/>
          </w:tcPr>
          <w:p w:rsidR="002547A5" w:rsidRPr="00285597" w:rsidRDefault="002547A5">
            <w:pPr>
              <w:pStyle w:val="TableTextRightBold"/>
              <w:ind w:left="-57" w:right="-57"/>
              <w:cnfStyle w:val="000000000000" w:firstRow="0" w:lastRow="0" w:firstColumn="0" w:lastColumn="0" w:oddVBand="0" w:evenVBand="0" w:oddHBand="0" w:evenHBand="0" w:firstRowFirstColumn="0" w:firstRowLastColumn="0" w:lastRowFirstColumn="0" w:lastRowLastColumn="0"/>
              <w:rPr>
                <w:i/>
              </w:rPr>
            </w:pPr>
            <w:r w:rsidRPr="00285597">
              <w:rPr>
                <w:i/>
              </w:rPr>
              <w:t>-549,420</w:t>
            </w:r>
          </w:p>
        </w:tc>
      </w:tr>
      <w:tr w:rsidR="002547A5" w:rsidRPr="008D77AF" w:rsidTr="00D17A0B">
        <w:tc>
          <w:tcPr>
            <w:cnfStyle w:val="001000000000" w:firstRow="0" w:lastRow="0" w:firstColumn="1" w:lastColumn="0" w:oddVBand="0" w:evenVBand="0" w:oddHBand="0" w:evenHBand="0" w:firstRowFirstColumn="0" w:firstRowLastColumn="0" w:lastRowFirstColumn="0" w:lastRowLastColumn="0"/>
            <w:tcW w:w="786" w:type="pct"/>
            <w:vAlign w:val="center"/>
          </w:tcPr>
          <w:p w:rsidR="002547A5" w:rsidRPr="00A86D80" w:rsidRDefault="002547A5" w:rsidP="002547A5">
            <w:pPr>
              <w:pStyle w:val="TableText"/>
              <w:keepNext/>
              <w:keepLines/>
              <w:ind w:left="113"/>
              <w:rPr>
                <w:b w:val="0"/>
              </w:rPr>
            </w:pPr>
            <w:r w:rsidRPr="002547A5">
              <w:rPr>
                <w:b w:val="0"/>
                <w:color w:val="000000"/>
                <w:szCs w:val="20"/>
              </w:rPr>
              <w:t>GST</w:t>
            </w:r>
          </w:p>
        </w:tc>
        <w:tc>
          <w:tcPr>
            <w:tcW w:w="351" w:type="pct"/>
            <w:vAlign w:val="center"/>
          </w:tcPr>
          <w:p w:rsidR="002547A5"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77F93">
              <w:t>5,950</w:t>
            </w:r>
          </w:p>
        </w:tc>
        <w:tc>
          <w:tcPr>
            <w:tcW w:w="351" w:type="pct"/>
            <w:vAlign w:val="center"/>
          </w:tcPr>
          <w:p w:rsidR="002547A5"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77F93">
              <w:t>7,050</w:t>
            </w:r>
          </w:p>
        </w:tc>
        <w:tc>
          <w:tcPr>
            <w:tcW w:w="351" w:type="pct"/>
            <w:vAlign w:val="center"/>
          </w:tcPr>
          <w:p w:rsidR="002547A5"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77F93">
              <w:t>7,350</w:t>
            </w:r>
          </w:p>
        </w:tc>
        <w:tc>
          <w:tcPr>
            <w:tcW w:w="351" w:type="pct"/>
            <w:vAlign w:val="center"/>
          </w:tcPr>
          <w:p w:rsidR="002547A5" w:rsidRPr="00285597" w:rsidRDefault="002547A5">
            <w:pPr>
              <w:pStyle w:val="TableTextRightBold"/>
              <w:ind w:left="-57" w:right="-57"/>
              <w:cnfStyle w:val="000000000000" w:firstRow="0" w:lastRow="0" w:firstColumn="0" w:lastColumn="0" w:oddVBand="0" w:evenVBand="0" w:oddHBand="0" w:evenHBand="0" w:firstRowFirstColumn="0" w:firstRowLastColumn="0" w:lastRowFirstColumn="0" w:lastRowLastColumn="0"/>
              <w:rPr>
                <w:b w:val="0"/>
                <w:i/>
              </w:rPr>
            </w:pPr>
            <w:r w:rsidRPr="00285597">
              <w:rPr>
                <w:b w:val="0"/>
                <w:i/>
              </w:rPr>
              <w:t>20,350</w:t>
            </w:r>
          </w:p>
        </w:tc>
        <w:tc>
          <w:tcPr>
            <w:tcW w:w="351" w:type="pct"/>
            <w:vAlign w:val="center"/>
          </w:tcPr>
          <w:p w:rsidR="002547A5"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77F93">
              <w:t>7,600</w:t>
            </w:r>
          </w:p>
        </w:tc>
        <w:tc>
          <w:tcPr>
            <w:tcW w:w="351" w:type="pct"/>
            <w:vAlign w:val="center"/>
          </w:tcPr>
          <w:p w:rsidR="002547A5"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77F93">
              <w:t>7,900</w:t>
            </w:r>
          </w:p>
        </w:tc>
        <w:tc>
          <w:tcPr>
            <w:tcW w:w="351" w:type="pct"/>
            <w:vAlign w:val="center"/>
          </w:tcPr>
          <w:p w:rsidR="002547A5"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77F93">
              <w:t>8,200</w:t>
            </w:r>
          </w:p>
        </w:tc>
        <w:tc>
          <w:tcPr>
            <w:tcW w:w="351" w:type="pct"/>
            <w:vAlign w:val="center"/>
          </w:tcPr>
          <w:p w:rsidR="002547A5"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77F93">
              <w:t>8,550</w:t>
            </w:r>
          </w:p>
        </w:tc>
        <w:tc>
          <w:tcPr>
            <w:tcW w:w="351" w:type="pct"/>
            <w:vAlign w:val="center"/>
          </w:tcPr>
          <w:p w:rsidR="002547A5"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77F93">
              <w:t>8,850</w:t>
            </w:r>
          </w:p>
        </w:tc>
        <w:tc>
          <w:tcPr>
            <w:tcW w:w="351" w:type="pct"/>
            <w:vAlign w:val="center"/>
          </w:tcPr>
          <w:p w:rsidR="002547A5"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77F93">
              <w:t>9,200</w:t>
            </w:r>
          </w:p>
        </w:tc>
        <w:tc>
          <w:tcPr>
            <w:tcW w:w="351" w:type="pct"/>
            <w:vAlign w:val="center"/>
          </w:tcPr>
          <w:p w:rsidR="002547A5"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77F93">
              <w:t>9,550</w:t>
            </w:r>
          </w:p>
        </w:tc>
        <w:tc>
          <w:tcPr>
            <w:tcW w:w="351" w:type="pct"/>
            <w:vAlign w:val="center"/>
          </w:tcPr>
          <w:p w:rsidR="002547A5" w:rsidRPr="00285597" w:rsidRDefault="002547A5">
            <w:pPr>
              <w:pStyle w:val="TableTextRightBold"/>
              <w:ind w:left="-57" w:right="-57"/>
              <w:cnfStyle w:val="000000000000" w:firstRow="0" w:lastRow="0" w:firstColumn="0" w:lastColumn="0" w:oddVBand="0" w:evenVBand="0" w:oddHBand="0" w:evenHBand="0" w:firstRowFirstColumn="0" w:firstRowLastColumn="0" w:lastRowFirstColumn="0" w:lastRowLastColumn="0"/>
              <w:rPr>
                <w:i/>
              </w:rPr>
            </w:pPr>
            <w:r w:rsidRPr="00285597">
              <w:rPr>
                <w:i/>
              </w:rPr>
              <w:t>80,200</w:t>
            </w:r>
          </w:p>
        </w:tc>
      </w:tr>
      <w:tr w:rsidR="00AA3B16" w:rsidRPr="008D77AF" w:rsidTr="00D17A0B">
        <w:tc>
          <w:tcPr>
            <w:cnfStyle w:val="001000000000" w:firstRow="0" w:lastRow="0" w:firstColumn="1" w:lastColumn="0" w:oddVBand="0" w:evenVBand="0" w:oddHBand="0" w:evenHBand="0" w:firstRowFirstColumn="0" w:firstRowLastColumn="0" w:lastRowFirstColumn="0" w:lastRowLastColumn="0"/>
            <w:tcW w:w="786" w:type="pct"/>
            <w:vAlign w:val="center"/>
          </w:tcPr>
          <w:p w:rsidR="00AA3B16" w:rsidRPr="002547A5" w:rsidRDefault="00AA3B16" w:rsidP="00386BB5">
            <w:pPr>
              <w:pStyle w:val="TableText"/>
              <w:keepNext/>
              <w:keepLines/>
              <w:ind w:left="0"/>
              <w:rPr>
                <w:b w:val="0"/>
              </w:rPr>
            </w:pPr>
            <w:r w:rsidRPr="002547A5">
              <w:rPr>
                <w:b w:val="0"/>
                <w:color w:val="000000"/>
                <w:szCs w:val="20"/>
              </w:rPr>
              <w:t>Payments</w:t>
            </w:r>
          </w:p>
        </w:tc>
        <w:tc>
          <w:tcPr>
            <w:tcW w:w="351" w:type="pct"/>
            <w:vAlign w:val="center"/>
          </w:tcPr>
          <w:p w:rsidR="00AA3B16" w:rsidRPr="00AA3B16" w:rsidRDefault="00AA3B16">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AA3B16">
              <w:rPr>
                <w:b/>
                <w:i w:val="0"/>
              </w:rPr>
              <w:t>9,102</w:t>
            </w:r>
          </w:p>
        </w:tc>
        <w:tc>
          <w:tcPr>
            <w:tcW w:w="351" w:type="pct"/>
            <w:vAlign w:val="center"/>
          </w:tcPr>
          <w:p w:rsidR="00AA3B16" w:rsidRPr="00AA3B16" w:rsidRDefault="00AA3B16">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AA3B16">
              <w:rPr>
                <w:b/>
                <w:i w:val="0"/>
              </w:rPr>
              <w:t>10,200</w:t>
            </w:r>
          </w:p>
        </w:tc>
        <w:tc>
          <w:tcPr>
            <w:tcW w:w="351" w:type="pct"/>
            <w:vAlign w:val="center"/>
          </w:tcPr>
          <w:p w:rsidR="00AA3B16" w:rsidRPr="00AA3B16" w:rsidRDefault="00AA3B16">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AA3B16">
              <w:rPr>
                <w:b/>
                <w:i w:val="0"/>
              </w:rPr>
              <w:t>10,780</w:t>
            </w:r>
          </w:p>
        </w:tc>
        <w:tc>
          <w:tcPr>
            <w:tcW w:w="351" w:type="pct"/>
            <w:vAlign w:val="center"/>
          </w:tcPr>
          <w:p w:rsidR="00AA3B16" w:rsidRPr="00AA3B16" w:rsidRDefault="00AA3B16">
            <w:pPr>
              <w:pStyle w:val="TableTextRightBold"/>
              <w:ind w:left="-57" w:right="-57"/>
              <w:cnfStyle w:val="000000000000" w:firstRow="0" w:lastRow="0" w:firstColumn="0" w:lastColumn="0" w:oddVBand="0" w:evenVBand="0" w:oddHBand="0" w:evenHBand="0" w:firstRowFirstColumn="0" w:firstRowLastColumn="0" w:lastRowFirstColumn="0" w:lastRowLastColumn="0"/>
            </w:pPr>
            <w:r w:rsidRPr="00AA3B16">
              <w:t>30,107</w:t>
            </w:r>
          </w:p>
        </w:tc>
        <w:tc>
          <w:tcPr>
            <w:tcW w:w="351" w:type="pct"/>
            <w:vAlign w:val="center"/>
          </w:tcPr>
          <w:p w:rsidR="00AA3B16" w:rsidRPr="00AA3B16" w:rsidRDefault="00AA3B16">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AA3B16">
              <w:rPr>
                <w:b/>
                <w:i w:val="0"/>
              </w:rPr>
              <w:t>11,710</w:t>
            </w:r>
          </w:p>
        </w:tc>
        <w:tc>
          <w:tcPr>
            <w:tcW w:w="351" w:type="pct"/>
            <w:vAlign w:val="center"/>
          </w:tcPr>
          <w:p w:rsidR="00AA3B16" w:rsidRPr="00AA3B16" w:rsidRDefault="00AA3B16">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AA3B16">
              <w:rPr>
                <w:b/>
                <w:i w:val="0"/>
              </w:rPr>
              <w:t>12,600</w:t>
            </w:r>
          </w:p>
        </w:tc>
        <w:tc>
          <w:tcPr>
            <w:tcW w:w="351" w:type="pct"/>
            <w:vAlign w:val="center"/>
          </w:tcPr>
          <w:p w:rsidR="00AA3B16" w:rsidRPr="00AA3B16" w:rsidRDefault="00AA3B16">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AA3B16">
              <w:rPr>
                <w:b/>
                <w:i w:val="0"/>
              </w:rPr>
              <w:t>13,530</w:t>
            </w:r>
          </w:p>
        </w:tc>
        <w:tc>
          <w:tcPr>
            <w:tcW w:w="351" w:type="pct"/>
            <w:vAlign w:val="center"/>
          </w:tcPr>
          <w:p w:rsidR="00AA3B16" w:rsidRPr="00AA3B16" w:rsidRDefault="00AA3B16">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AA3B16">
              <w:rPr>
                <w:b/>
                <w:i w:val="0"/>
              </w:rPr>
              <w:t>14,470</w:t>
            </w:r>
          </w:p>
        </w:tc>
        <w:tc>
          <w:tcPr>
            <w:tcW w:w="351" w:type="pct"/>
            <w:vAlign w:val="center"/>
          </w:tcPr>
          <w:p w:rsidR="00AA3B16" w:rsidRPr="00AA3B16" w:rsidRDefault="00AA3B16">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AA3B16">
              <w:rPr>
                <w:b/>
                <w:i w:val="0"/>
              </w:rPr>
              <w:t>15,450</w:t>
            </w:r>
          </w:p>
        </w:tc>
        <w:tc>
          <w:tcPr>
            <w:tcW w:w="351" w:type="pct"/>
            <w:vAlign w:val="center"/>
          </w:tcPr>
          <w:p w:rsidR="00AA3B16" w:rsidRPr="00AA3B16" w:rsidRDefault="00AA3B16">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AA3B16">
              <w:rPr>
                <w:b/>
                <w:i w:val="0"/>
              </w:rPr>
              <w:t>16,490</w:t>
            </w:r>
          </w:p>
        </w:tc>
        <w:tc>
          <w:tcPr>
            <w:tcW w:w="351" w:type="pct"/>
            <w:vAlign w:val="center"/>
          </w:tcPr>
          <w:p w:rsidR="00AA3B16" w:rsidRPr="00AA3B16" w:rsidRDefault="00AA3B16">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AA3B16">
              <w:rPr>
                <w:b/>
                <w:i w:val="0"/>
              </w:rPr>
              <w:t>17,570</w:t>
            </w:r>
          </w:p>
        </w:tc>
        <w:tc>
          <w:tcPr>
            <w:tcW w:w="351" w:type="pct"/>
            <w:vAlign w:val="center"/>
          </w:tcPr>
          <w:p w:rsidR="00AA3B16" w:rsidRPr="00AA3B16" w:rsidRDefault="00AA3B16">
            <w:pPr>
              <w:pStyle w:val="TableTextRightBold"/>
              <w:ind w:left="-57" w:right="-57"/>
              <w:cnfStyle w:val="000000000000" w:firstRow="0" w:lastRow="0" w:firstColumn="0" w:lastColumn="0" w:oddVBand="0" w:evenVBand="0" w:oddHBand="0" w:evenHBand="0" w:firstRowFirstColumn="0" w:firstRowLastColumn="0" w:lastRowFirstColumn="0" w:lastRowLastColumn="0"/>
            </w:pPr>
            <w:r w:rsidRPr="00AA3B16">
              <w:t>131,932</w:t>
            </w:r>
          </w:p>
        </w:tc>
      </w:tr>
      <w:tr w:rsidR="002547A5" w:rsidRPr="008D77AF" w:rsidTr="00D17A0B">
        <w:tc>
          <w:tcPr>
            <w:cnfStyle w:val="001000000000" w:firstRow="0" w:lastRow="0" w:firstColumn="1" w:lastColumn="0" w:oddVBand="0" w:evenVBand="0" w:oddHBand="0" w:evenHBand="0" w:firstRowFirstColumn="0" w:firstRowLastColumn="0" w:lastRowFirstColumn="0" w:lastRowLastColumn="0"/>
            <w:tcW w:w="786" w:type="pct"/>
            <w:vAlign w:val="center"/>
          </w:tcPr>
          <w:p w:rsidR="002547A5" w:rsidRPr="002547A5" w:rsidRDefault="002547A5" w:rsidP="002547A5">
            <w:pPr>
              <w:pStyle w:val="TableText"/>
              <w:keepNext/>
              <w:keepLines/>
              <w:ind w:left="113"/>
              <w:rPr>
                <w:b w:val="0"/>
              </w:rPr>
            </w:pPr>
            <w:r w:rsidRPr="002547A5">
              <w:rPr>
                <w:b w:val="0"/>
                <w:color w:val="000000"/>
                <w:szCs w:val="20"/>
              </w:rPr>
              <w:t xml:space="preserve">Personal income tax </w:t>
            </w:r>
            <w:r w:rsidR="00A801B0">
              <w:rPr>
                <w:b w:val="0"/>
                <w:color w:val="000000"/>
                <w:szCs w:val="20"/>
              </w:rPr>
              <w:t>- departmental</w:t>
            </w:r>
          </w:p>
        </w:tc>
        <w:tc>
          <w:tcPr>
            <w:tcW w:w="351" w:type="pct"/>
            <w:vAlign w:val="center"/>
          </w:tcPr>
          <w:p w:rsidR="002547A5"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77F93">
              <w:t>-8</w:t>
            </w:r>
          </w:p>
        </w:tc>
        <w:tc>
          <w:tcPr>
            <w:tcW w:w="351" w:type="pct"/>
            <w:vAlign w:val="center"/>
          </w:tcPr>
          <w:p w:rsidR="002547A5"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pPr>
            <w:r>
              <w:t>-</w:t>
            </w:r>
          </w:p>
        </w:tc>
        <w:tc>
          <w:tcPr>
            <w:tcW w:w="351" w:type="pct"/>
            <w:vAlign w:val="center"/>
          </w:tcPr>
          <w:p w:rsidR="002547A5"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pPr>
            <w:r>
              <w:t>-</w:t>
            </w:r>
          </w:p>
        </w:tc>
        <w:tc>
          <w:tcPr>
            <w:tcW w:w="351" w:type="pct"/>
            <w:vAlign w:val="center"/>
          </w:tcPr>
          <w:p w:rsidR="002547A5" w:rsidRPr="00285597" w:rsidRDefault="002547A5">
            <w:pPr>
              <w:pStyle w:val="TableTextRightBold"/>
              <w:ind w:left="-57" w:right="-57"/>
              <w:cnfStyle w:val="000000000000" w:firstRow="0" w:lastRow="0" w:firstColumn="0" w:lastColumn="0" w:oddVBand="0" w:evenVBand="0" w:oddHBand="0" w:evenHBand="0" w:firstRowFirstColumn="0" w:firstRowLastColumn="0" w:lastRowFirstColumn="0" w:lastRowLastColumn="0"/>
              <w:rPr>
                <w:b w:val="0"/>
                <w:i/>
              </w:rPr>
            </w:pPr>
            <w:r w:rsidRPr="00285597">
              <w:rPr>
                <w:b w:val="0"/>
                <w:i/>
              </w:rPr>
              <w:t>-8</w:t>
            </w:r>
          </w:p>
        </w:tc>
        <w:tc>
          <w:tcPr>
            <w:tcW w:w="351" w:type="pct"/>
            <w:vAlign w:val="center"/>
          </w:tcPr>
          <w:p w:rsidR="002547A5"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pPr>
            <w:r>
              <w:t>-</w:t>
            </w:r>
          </w:p>
        </w:tc>
        <w:tc>
          <w:tcPr>
            <w:tcW w:w="351" w:type="pct"/>
            <w:vAlign w:val="center"/>
          </w:tcPr>
          <w:p w:rsidR="002547A5"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pPr>
            <w:r>
              <w:t>-</w:t>
            </w:r>
          </w:p>
        </w:tc>
        <w:tc>
          <w:tcPr>
            <w:tcW w:w="351" w:type="pct"/>
            <w:vAlign w:val="center"/>
          </w:tcPr>
          <w:p w:rsidR="002547A5"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pPr>
            <w:r>
              <w:t>-</w:t>
            </w:r>
          </w:p>
        </w:tc>
        <w:tc>
          <w:tcPr>
            <w:tcW w:w="351" w:type="pct"/>
            <w:vAlign w:val="center"/>
          </w:tcPr>
          <w:p w:rsidR="002547A5"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pPr>
            <w:r>
              <w:t>-</w:t>
            </w:r>
          </w:p>
        </w:tc>
        <w:tc>
          <w:tcPr>
            <w:tcW w:w="351" w:type="pct"/>
            <w:vAlign w:val="center"/>
          </w:tcPr>
          <w:p w:rsidR="002547A5"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pPr>
            <w:r>
              <w:t>-</w:t>
            </w:r>
          </w:p>
        </w:tc>
        <w:tc>
          <w:tcPr>
            <w:tcW w:w="351" w:type="pct"/>
            <w:vAlign w:val="center"/>
          </w:tcPr>
          <w:p w:rsidR="002547A5"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pPr>
            <w:r>
              <w:t>-</w:t>
            </w:r>
          </w:p>
        </w:tc>
        <w:tc>
          <w:tcPr>
            <w:tcW w:w="351" w:type="pct"/>
            <w:vAlign w:val="center"/>
          </w:tcPr>
          <w:p w:rsidR="002547A5" w:rsidRDefault="002547A5">
            <w:pPr>
              <w:pStyle w:val="TableTextRightItalic"/>
              <w:ind w:left="-57" w:right="-57"/>
              <w:cnfStyle w:val="000000000000" w:firstRow="0" w:lastRow="0" w:firstColumn="0" w:lastColumn="0" w:oddVBand="0" w:evenVBand="0" w:oddHBand="0" w:evenHBand="0" w:firstRowFirstColumn="0" w:firstRowLastColumn="0" w:lastRowFirstColumn="0" w:lastRowLastColumn="0"/>
            </w:pPr>
            <w:r>
              <w:t>-</w:t>
            </w:r>
          </w:p>
        </w:tc>
        <w:tc>
          <w:tcPr>
            <w:tcW w:w="351" w:type="pct"/>
            <w:vAlign w:val="center"/>
          </w:tcPr>
          <w:p w:rsidR="002547A5" w:rsidRDefault="002547A5">
            <w:pPr>
              <w:pStyle w:val="TableTextRightBold"/>
              <w:ind w:left="-57" w:right="-57"/>
              <w:cnfStyle w:val="000000000000" w:firstRow="0" w:lastRow="0" w:firstColumn="0" w:lastColumn="0" w:oddVBand="0" w:evenVBand="0" w:oddHBand="0" w:evenHBand="0" w:firstRowFirstColumn="0" w:firstRowLastColumn="0" w:lastRowFirstColumn="0" w:lastRowLastColumn="0"/>
            </w:pPr>
            <w:r w:rsidRPr="00E626A5">
              <w:rPr>
                <w:i/>
              </w:rPr>
              <w:t>-8</w:t>
            </w:r>
          </w:p>
        </w:tc>
      </w:tr>
      <w:tr w:rsidR="00CB22E3" w:rsidRPr="008D77AF" w:rsidTr="00D17A0B">
        <w:tc>
          <w:tcPr>
            <w:cnfStyle w:val="001000000000" w:firstRow="0" w:lastRow="0" w:firstColumn="1" w:lastColumn="0" w:oddVBand="0" w:evenVBand="0" w:oddHBand="0" w:evenHBand="0" w:firstRowFirstColumn="0" w:firstRowLastColumn="0" w:lastRowFirstColumn="0" w:lastRowLastColumn="0"/>
            <w:tcW w:w="786" w:type="pct"/>
            <w:vAlign w:val="center"/>
          </w:tcPr>
          <w:p w:rsidR="00CB22E3" w:rsidRPr="002547A5" w:rsidRDefault="00CB22E3" w:rsidP="002547A5">
            <w:pPr>
              <w:pStyle w:val="TableText"/>
              <w:keepNext/>
              <w:keepLines/>
              <w:ind w:left="113"/>
              <w:rPr>
                <w:b w:val="0"/>
                <w:color w:val="000000"/>
                <w:szCs w:val="20"/>
              </w:rPr>
            </w:pPr>
            <w:r w:rsidRPr="00BE3B56">
              <w:rPr>
                <w:b w:val="0"/>
                <w:color w:val="000000"/>
                <w:szCs w:val="20"/>
              </w:rPr>
              <w:t>Excise and import duties - administered</w:t>
            </w:r>
          </w:p>
        </w:tc>
        <w:tc>
          <w:tcPr>
            <w:tcW w:w="351" w:type="pct"/>
            <w:vAlign w:val="center"/>
          </w:tcPr>
          <w:p w:rsidR="00CB22E3" w:rsidRPr="00CB22E3" w:rsidRDefault="00CB22E3">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CB22E3">
              <w:t>9,090</w:t>
            </w:r>
          </w:p>
        </w:tc>
        <w:tc>
          <w:tcPr>
            <w:tcW w:w="351" w:type="pct"/>
            <w:vAlign w:val="center"/>
          </w:tcPr>
          <w:p w:rsidR="00CB22E3" w:rsidRPr="00CB22E3" w:rsidRDefault="00CB22E3">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CB22E3">
              <w:t>10,090</w:t>
            </w:r>
          </w:p>
        </w:tc>
        <w:tc>
          <w:tcPr>
            <w:tcW w:w="351" w:type="pct"/>
            <w:vAlign w:val="center"/>
          </w:tcPr>
          <w:p w:rsidR="00CB22E3" w:rsidRPr="00CB22E3" w:rsidRDefault="00CB22E3">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CB22E3">
              <w:t>10,670</w:t>
            </w:r>
          </w:p>
        </w:tc>
        <w:tc>
          <w:tcPr>
            <w:tcW w:w="351" w:type="pct"/>
            <w:vAlign w:val="center"/>
          </w:tcPr>
          <w:p w:rsidR="00CB22E3" w:rsidRPr="00CB22E3" w:rsidRDefault="00CB22E3">
            <w:pPr>
              <w:pStyle w:val="TableTextRightBold"/>
              <w:ind w:left="-57" w:right="-57"/>
              <w:cnfStyle w:val="000000000000" w:firstRow="0" w:lastRow="0" w:firstColumn="0" w:lastColumn="0" w:oddVBand="0" w:evenVBand="0" w:oddHBand="0" w:evenHBand="0" w:firstRowFirstColumn="0" w:firstRowLastColumn="0" w:lastRowFirstColumn="0" w:lastRowLastColumn="0"/>
              <w:rPr>
                <w:b w:val="0"/>
                <w:i/>
              </w:rPr>
            </w:pPr>
            <w:r w:rsidRPr="006B4078">
              <w:rPr>
                <w:b w:val="0"/>
                <w:i/>
              </w:rPr>
              <w:t>29,870</w:t>
            </w:r>
          </w:p>
        </w:tc>
        <w:tc>
          <w:tcPr>
            <w:tcW w:w="351" w:type="pct"/>
            <w:vAlign w:val="center"/>
          </w:tcPr>
          <w:p w:rsidR="00CB22E3" w:rsidRPr="00CB22E3" w:rsidRDefault="00CB22E3">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CB22E3">
              <w:t>11,600</w:t>
            </w:r>
          </w:p>
        </w:tc>
        <w:tc>
          <w:tcPr>
            <w:tcW w:w="351" w:type="pct"/>
            <w:vAlign w:val="center"/>
          </w:tcPr>
          <w:p w:rsidR="00CB22E3" w:rsidRPr="00CB22E3" w:rsidRDefault="00CB22E3">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CB22E3">
              <w:t>12,490</w:t>
            </w:r>
          </w:p>
        </w:tc>
        <w:tc>
          <w:tcPr>
            <w:tcW w:w="351" w:type="pct"/>
            <w:vAlign w:val="center"/>
          </w:tcPr>
          <w:p w:rsidR="00CB22E3" w:rsidRPr="00CB22E3" w:rsidRDefault="00CB22E3">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CB22E3">
              <w:t>13,420</w:t>
            </w:r>
          </w:p>
        </w:tc>
        <w:tc>
          <w:tcPr>
            <w:tcW w:w="351" w:type="pct"/>
            <w:vAlign w:val="center"/>
          </w:tcPr>
          <w:p w:rsidR="00CB22E3" w:rsidRPr="00CB22E3" w:rsidRDefault="00CB22E3">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CB22E3">
              <w:t>14,360</w:t>
            </w:r>
          </w:p>
        </w:tc>
        <w:tc>
          <w:tcPr>
            <w:tcW w:w="351" w:type="pct"/>
            <w:vAlign w:val="center"/>
          </w:tcPr>
          <w:p w:rsidR="00CB22E3" w:rsidRPr="00CB22E3" w:rsidRDefault="00CB22E3">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CB22E3">
              <w:t>15,340</w:t>
            </w:r>
          </w:p>
        </w:tc>
        <w:tc>
          <w:tcPr>
            <w:tcW w:w="351" w:type="pct"/>
            <w:vAlign w:val="center"/>
          </w:tcPr>
          <w:p w:rsidR="00CB22E3" w:rsidRPr="00CB22E3" w:rsidRDefault="00CB22E3">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CB22E3">
              <w:t>16,380</w:t>
            </w:r>
          </w:p>
        </w:tc>
        <w:tc>
          <w:tcPr>
            <w:tcW w:w="351" w:type="pct"/>
            <w:vAlign w:val="center"/>
          </w:tcPr>
          <w:p w:rsidR="00CB22E3" w:rsidRPr="00CB22E3" w:rsidRDefault="00CB22E3">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CB22E3">
              <w:t>17,460</w:t>
            </w:r>
          </w:p>
        </w:tc>
        <w:tc>
          <w:tcPr>
            <w:tcW w:w="351" w:type="pct"/>
            <w:vAlign w:val="center"/>
          </w:tcPr>
          <w:p w:rsidR="00CB22E3" w:rsidRPr="00CB22E3" w:rsidRDefault="00CB22E3">
            <w:pPr>
              <w:pStyle w:val="TableTextRightBold"/>
              <w:ind w:left="-57" w:right="-57"/>
              <w:cnfStyle w:val="000000000000" w:firstRow="0" w:lastRow="0" w:firstColumn="0" w:lastColumn="0" w:oddVBand="0" w:evenVBand="0" w:oddHBand="0" w:evenHBand="0" w:firstRowFirstColumn="0" w:firstRowLastColumn="0" w:lastRowFirstColumn="0" w:lastRowLastColumn="0"/>
              <w:rPr>
                <w:i/>
              </w:rPr>
            </w:pPr>
            <w:r w:rsidRPr="006B4078">
              <w:rPr>
                <w:i/>
              </w:rPr>
              <w:t>130,910</w:t>
            </w:r>
          </w:p>
        </w:tc>
      </w:tr>
      <w:tr w:rsidR="00CB22E3" w:rsidRPr="008D77AF" w:rsidTr="00D17A0B">
        <w:tc>
          <w:tcPr>
            <w:cnfStyle w:val="001000000000" w:firstRow="0" w:lastRow="0" w:firstColumn="1" w:lastColumn="0" w:oddVBand="0" w:evenVBand="0" w:oddHBand="0" w:evenHBand="0" w:firstRowFirstColumn="0" w:firstRowLastColumn="0" w:lastRowFirstColumn="0" w:lastRowLastColumn="0"/>
            <w:tcW w:w="786" w:type="pct"/>
            <w:vAlign w:val="center"/>
          </w:tcPr>
          <w:p w:rsidR="00CB22E3" w:rsidRPr="002547A5" w:rsidRDefault="00CB22E3" w:rsidP="002547A5">
            <w:pPr>
              <w:pStyle w:val="TableText"/>
              <w:keepNext/>
              <w:keepLines/>
              <w:ind w:left="113"/>
              <w:rPr>
                <w:b w:val="0"/>
              </w:rPr>
            </w:pPr>
            <w:r w:rsidRPr="00BE3B56">
              <w:rPr>
                <w:b w:val="0"/>
                <w:color w:val="000000"/>
                <w:szCs w:val="20"/>
              </w:rPr>
              <w:t>Excise and import duties - departmental</w:t>
            </w:r>
          </w:p>
        </w:tc>
        <w:tc>
          <w:tcPr>
            <w:tcW w:w="351" w:type="pct"/>
            <w:vAlign w:val="center"/>
          </w:tcPr>
          <w:p w:rsidR="00CB22E3" w:rsidRPr="00CB22E3" w:rsidRDefault="00CB22E3">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CB22E3">
              <w:t>20</w:t>
            </w:r>
          </w:p>
        </w:tc>
        <w:tc>
          <w:tcPr>
            <w:tcW w:w="351" w:type="pct"/>
            <w:vAlign w:val="center"/>
          </w:tcPr>
          <w:p w:rsidR="00CB22E3" w:rsidRPr="00CB22E3" w:rsidRDefault="00CB22E3">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CB22E3">
              <w:t>110</w:t>
            </w:r>
          </w:p>
        </w:tc>
        <w:tc>
          <w:tcPr>
            <w:tcW w:w="351" w:type="pct"/>
            <w:vAlign w:val="center"/>
          </w:tcPr>
          <w:p w:rsidR="00CB22E3" w:rsidRPr="00CB22E3" w:rsidRDefault="00CB22E3">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CB22E3">
              <w:t>110</w:t>
            </w:r>
          </w:p>
        </w:tc>
        <w:tc>
          <w:tcPr>
            <w:tcW w:w="351" w:type="pct"/>
            <w:vAlign w:val="center"/>
          </w:tcPr>
          <w:p w:rsidR="00CB22E3" w:rsidRPr="00CB22E3" w:rsidRDefault="00CB22E3">
            <w:pPr>
              <w:pStyle w:val="TableTextRightBold"/>
              <w:ind w:left="-57" w:right="-57"/>
              <w:cnfStyle w:val="000000000000" w:firstRow="0" w:lastRow="0" w:firstColumn="0" w:lastColumn="0" w:oddVBand="0" w:evenVBand="0" w:oddHBand="0" w:evenHBand="0" w:firstRowFirstColumn="0" w:firstRowLastColumn="0" w:lastRowFirstColumn="0" w:lastRowLastColumn="0"/>
              <w:rPr>
                <w:b w:val="0"/>
                <w:i/>
              </w:rPr>
            </w:pPr>
            <w:r w:rsidRPr="006B4078">
              <w:rPr>
                <w:b w:val="0"/>
                <w:i/>
              </w:rPr>
              <w:t>245</w:t>
            </w:r>
          </w:p>
        </w:tc>
        <w:tc>
          <w:tcPr>
            <w:tcW w:w="351" w:type="pct"/>
            <w:vAlign w:val="center"/>
          </w:tcPr>
          <w:p w:rsidR="00CB22E3" w:rsidRPr="00CB22E3" w:rsidRDefault="00CB22E3">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CB22E3">
              <w:t>110</w:t>
            </w:r>
          </w:p>
        </w:tc>
        <w:tc>
          <w:tcPr>
            <w:tcW w:w="351" w:type="pct"/>
            <w:vAlign w:val="center"/>
          </w:tcPr>
          <w:p w:rsidR="00CB22E3" w:rsidRPr="00CB22E3" w:rsidRDefault="00CB22E3">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CB22E3">
              <w:t>110</w:t>
            </w:r>
          </w:p>
        </w:tc>
        <w:tc>
          <w:tcPr>
            <w:tcW w:w="351" w:type="pct"/>
            <w:vAlign w:val="center"/>
          </w:tcPr>
          <w:p w:rsidR="00CB22E3" w:rsidRPr="00CB22E3" w:rsidRDefault="00CB22E3">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CB22E3">
              <w:t>110</w:t>
            </w:r>
          </w:p>
        </w:tc>
        <w:tc>
          <w:tcPr>
            <w:tcW w:w="351" w:type="pct"/>
            <w:vAlign w:val="center"/>
          </w:tcPr>
          <w:p w:rsidR="00CB22E3" w:rsidRPr="00CB22E3" w:rsidRDefault="00CB22E3">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CB22E3">
              <w:t>110</w:t>
            </w:r>
          </w:p>
        </w:tc>
        <w:tc>
          <w:tcPr>
            <w:tcW w:w="351" w:type="pct"/>
            <w:vAlign w:val="center"/>
          </w:tcPr>
          <w:p w:rsidR="00CB22E3" w:rsidRPr="00CB22E3" w:rsidRDefault="00CB22E3">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CB22E3">
              <w:t>110</w:t>
            </w:r>
          </w:p>
        </w:tc>
        <w:tc>
          <w:tcPr>
            <w:tcW w:w="351" w:type="pct"/>
            <w:vAlign w:val="center"/>
          </w:tcPr>
          <w:p w:rsidR="00CB22E3" w:rsidRPr="00CB22E3" w:rsidRDefault="00CB22E3">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CB22E3">
              <w:t>110</w:t>
            </w:r>
          </w:p>
        </w:tc>
        <w:tc>
          <w:tcPr>
            <w:tcW w:w="351" w:type="pct"/>
            <w:vAlign w:val="center"/>
          </w:tcPr>
          <w:p w:rsidR="00CB22E3" w:rsidRPr="00CB22E3" w:rsidRDefault="00CB22E3">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CB22E3">
              <w:t>110</w:t>
            </w:r>
          </w:p>
        </w:tc>
        <w:tc>
          <w:tcPr>
            <w:tcW w:w="351" w:type="pct"/>
            <w:vAlign w:val="center"/>
          </w:tcPr>
          <w:p w:rsidR="00CB22E3" w:rsidRPr="00CB22E3" w:rsidRDefault="00CB22E3">
            <w:pPr>
              <w:pStyle w:val="TableTextRightBold"/>
              <w:ind w:left="-57" w:right="-57"/>
              <w:cnfStyle w:val="000000000000" w:firstRow="0" w:lastRow="0" w:firstColumn="0" w:lastColumn="0" w:oddVBand="0" w:evenVBand="0" w:oddHBand="0" w:evenHBand="0" w:firstRowFirstColumn="0" w:firstRowLastColumn="0" w:lastRowFirstColumn="0" w:lastRowLastColumn="0"/>
              <w:rPr>
                <w:i/>
              </w:rPr>
            </w:pPr>
            <w:r w:rsidRPr="006B4078">
              <w:rPr>
                <w:i/>
              </w:rPr>
              <w:t>1,030</w:t>
            </w:r>
          </w:p>
        </w:tc>
      </w:tr>
      <w:tr w:rsidR="00D17A0B" w:rsidTr="00D17A0B">
        <w:tc>
          <w:tcPr>
            <w:cnfStyle w:val="001000000000" w:firstRow="0" w:lastRow="0" w:firstColumn="1" w:lastColumn="0" w:oddVBand="0" w:evenVBand="0" w:oddHBand="0" w:evenHBand="0" w:firstRowFirstColumn="0" w:firstRowLastColumn="0" w:lastRowFirstColumn="0" w:lastRowLastColumn="0"/>
            <w:tcW w:w="786" w:type="pct"/>
            <w:shd w:val="clear" w:color="auto" w:fill="D7DDE9" w:themeFill="accent3"/>
            <w:vAlign w:val="center"/>
          </w:tcPr>
          <w:p w:rsidR="00AA3B16" w:rsidRPr="008D77AF" w:rsidRDefault="00AA3B16" w:rsidP="00386BB5">
            <w:pPr>
              <w:pStyle w:val="TableText"/>
              <w:keepNext/>
              <w:keepLines/>
            </w:pPr>
            <w:r w:rsidRPr="008D77AF">
              <w:t>Total</w:t>
            </w:r>
          </w:p>
        </w:tc>
        <w:tc>
          <w:tcPr>
            <w:tcW w:w="351" w:type="pct"/>
            <w:shd w:val="clear" w:color="auto" w:fill="D7DDE9" w:themeFill="accent3"/>
            <w:vAlign w:val="center"/>
          </w:tcPr>
          <w:p w:rsidR="00AA3B16" w:rsidRDefault="00AA3B16">
            <w:pPr>
              <w:pStyle w:val="TableTextRightBold"/>
              <w:ind w:left="-57" w:right="-57"/>
              <w:cnfStyle w:val="000000000000" w:firstRow="0" w:lastRow="0" w:firstColumn="0" w:lastColumn="0" w:oddVBand="0" w:evenVBand="0" w:oddHBand="0" w:evenHBand="0" w:firstRowFirstColumn="0" w:firstRowLastColumn="0" w:lastRowFirstColumn="0" w:lastRowLastColumn="0"/>
            </w:pPr>
            <w:r w:rsidRPr="00D866A1">
              <w:t>-157,028</w:t>
            </w:r>
          </w:p>
        </w:tc>
        <w:tc>
          <w:tcPr>
            <w:tcW w:w="351" w:type="pct"/>
            <w:shd w:val="clear" w:color="auto" w:fill="D7DDE9" w:themeFill="accent3"/>
            <w:vAlign w:val="center"/>
          </w:tcPr>
          <w:p w:rsidR="00AA3B16" w:rsidRDefault="00AA3B16">
            <w:pPr>
              <w:pStyle w:val="TableTextRightBold"/>
              <w:ind w:left="-57" w:right="-57"/>
              <w:cnfStyle w:val="000000000000" w:firstRow="0" w:lastRow="0" w:firstColumn="0" w:lastColumn="0" w:oddVBand="0" w:evenVBand="0" w:oddHBand="0" w:evenHBand="0" w:firstRowFirstColumn="0" w:firstRowLastColumn="0" w:lastRowFirstColumn="0" w:lastRowLastColumn="0"/>
            </w:pPr>
            <w:r w:rsidRPr="00D866A1">
              <w:t>-179,930</w:t>
            </w:r>
          </w:p>
        </w:tc>
        <w:tc>
          <w:tcPr>
            <w:tcW w:w="351" w:type="pct"/>
            <w:shd w:val="clear" w:color="auto" w:fill="D7DDE9" w:themeFill="accent3"/>
            <w:vAlign w:val="center"/>
          </w:tcPr>
          <w:p w:rsidR="00AA3B16" w:rsidRDefault="00AA3B16">
            <w:pPr>
              <w:pStyle w:val="TableTextRightBold"/>
              <w:ind w:left="-57" w:right="-57"/>
              <w:cnfStyle w:val="000000000000" w:firstRow="0" w:lastRow="0" w:firstColumn="0" w:lastColumn="0" w:oddVBand="0" w:evenVBand="0" w:oddHBand="0" w:evenHBand="0" w:firstRowFirstColumn="0" w:firstRowLastColumn="0" w:lastRowFirstColumn="0" w:lastRowLastColumn="0"/>
            </w:pPr>
            <w:r w:rsidRPr="00D866A1">
              <w:t>-190,400</w:t>
            </w:r>
          </w:p>
        </w:tc>
        <w:tc>
          <w:tcPr>
            <w:tcW w:w="351" w:type="pct"/>
            <w:shd w:val="clear" w:color="auto" w:fill="D7DDE9" w:themeFill="accent3"/>
            <w:vAlign w:val="center"/>
          </w:tcPr>
          <w:p w:rsidR="00AA3B16" w:rsidRDefault="00AA3B16">
            <w:pPr>
              <w:pStyle w:val="TableTextRightBold"/>
              <w:ind w:left="-57" w:right="-57"/>
              <w:cnfStyle w:val="000000000000" w:firstRow="0" w:lastRow="0" w:firstColumn="0" w:lastColumn="0" w:oddVBand="0" w:evenVBand="0" w:oddHBand="0" w:evenHBand="0" w:firstRowFirstColumn="0" w:firstRowLastColumn="0" w:lastRowFirstColumn="0" w:lastRowLastColumn="0"/>
            </w:pPr>
            <w:r w:rsidRPr="00D866A1">
              <w:t>-527,358</w:t>
            </w:r>
          </w:p>
        </w:tc>
        <w:tc>
          <w:tcPr>
            <w:tcW w:w="351" w:type="pct"/>
            <w:shd w:val="clear" w:color="auto" w:fill="D7DDE9" w:themeFill="accent3"/>
            <w:vAlign w:val="center"/>
          </w:tcPr>
          <w:p w:rsidR="00AA3B16" w:rsidRDefault="00AA3B16">
            <w:pPr>
              <w:pStyle w:val="TableTextRightBold"/>
              <w:ind w:left="-57" w:right="-57"/>
              <w:cnfStyle w:val="000000000000" w:firstRow="0" w:lastRow="0" w:firstColumn="0" w:lastColumn="0" w:oddVBand="0" w:evenVBand="0" w:oddHBand="0" w:evenHBand="0" w:firstRowFirstColumn="0" w:firstRowLastColumn="0" w:lastRowFirstColumn="0" w:lastRowLastColumn="0"/>
            </w:pPr>
            <w:r w:rsidRPr="00D866A1">
              <w:t>-202,320</w:t>
            </w:r>
          </w:p>
        </w:tc>
        <w:tc>
          <w:tcPr>
            <w:tcW w:w="351" w:type="pct"/>
            <w:shd w:val="clear" w:color="auto" w:fill="D7DDE9" w:themeFill="accent3"/>
            <w:vAlign w:val="center"/>
          </w:tcPr>
          <w:p w:rsidR="00AA3B16" w:rsidRDefault="00AA3B16">
            <w:pPr>
              <w:pStyle w:val="TableTextRightBold"/>
              <w:ind w:left="-57" w:right="-57"/>
              <w:cnfStyle w:val="000000000000" w:firstRow="0" w:lastRow="0" w:firstColumn="0" w:lastColumn="0" w:oddVBand="0" w:evenVBand="0" w:oddHBand="0" w:evenHBand="0" w:firstRowFirstColumn="0" w:firstRowLastColumn="0" w:lastRowFirstColumn="0" w:lastRowLastColumn="0"/>
            </w:pPr>
            <w:r w:rsidRPr="00D866A1">
              <w:t>-211,990</w:t>
            </w:r>
          </w:p>
        </w:tc>
        <w:tc>
          <w:tcPr>
            <w:tcW w:w="351" w:type="pct"/>
            <w:shd w:val="clear" w:color="auto" w:fill="D7DDE9" w:themeFill="accent3"/>
            <w:vAlign w:val="center"/>
          </w:tcPr>
          <w:p w:rsidR="00AA3B16" w:rsidRDefault="00AA3B16">
            <w:pPr>
              <w:pStyle w:val="TableTextRightBold"/>
              <w:ind w:left="-57" w:right="-57"/>
              <w:cnfStyle w:val="000000000000" w:firstRow="0" w:lastRow="0" w:firstColumn="0" w:lastColumn="0" w:oddVBand="0" w:evenVBand="0" w:oddHBand="0" w:evenHBand="0" w:firstRowFirstColumn="0" w:firstRowLastColumn="0" w:lastRowFirstColumn="0" w:lastRowLastColumn="0"/>
            </w:pPr>
            <w:r w:rsidRPr="00D866A1">
              <w:t>-223,670</w:t>
            </w:r>
          </w:p>
        </w:tc>
        <w:tc>
          <w:tcPr>
            <w:tcW w:w="351" w:type="pct"/>
            <w:shd w:val="clear" w:color="auto" w:fill="D7DDE9" w:themeFill="accent3"/>
            <w:vAlign w:val="center"/>
          </w:tcPr>
          <w:p w:rsidR="00AA3B16" w:rsidRDefault="00AA3B16">
            <w:pPr>
              <w:pStyle w:val="TableTextRightBold"/>
              <w:ind w:left="-57" w:right="-57"/>
              <w:cnfStyle w:val="000000000000" w:firstRow="0" w:lastRow="0" w:firstColumn="0" w:lastColumn="0" w:oddVBand="0" w:evenVBand="0" w:oddHBand="0" w:evenHBand="0" w:firstRowFirstColumn="0" w:firstRowLastColumn="0" w:lastRowFirstColumn="0" w:lastRowLastColumn="0"/>
            </w:pPr>
            <w:r w:rsidRPr="00D866A1">
              <w:t>-233,330</w:t>
            </w:r>
          </w:p>
        </w:tc>
        <w:tc>
          <w:tcPr>
            <w:tcW w:w="351" w:type="pct"/>
            <w:shd w:val="clear" w:color="auto" w:fill="D7DDE9" w:themeFill="accent3"/>
            <w:vAlign w:val="center"/>
          </w:tcPr>
          <w:p w:rsidR="00AA3B16" w:rsidRDefault="00AA3B16">
            <w:pPr>
              <w:pStyle w:val="TableTextRightBold"/>
              <w:ind w:left="-57" w:right="-57"/>
              <w:cnfStyle w:val="000000000000" w:firstRow="0" w:lastRow="0" w:firstColumn="0" w:lastColumn="0" w:oddVBand="0" w:evenVBand="0" w:oddHBand="0" w:evenHBand="0" w:firstRowFirstColumn="0" w:firstRowLastColumn="0" w:lastRowFirstColumn="0" w:lastRowLastColumn="0"/>
            </w:pPr>
            <w:r w:rsidRPr="00D866A1">
              <w:t>-244,660</w:t>
            </w:r>
          </w:p>
        </w:tc>
        <w:tc>
          <w:tcPr>
            <w:tcW w:w="351" w:type="pct"/>
            <w:shd w:val="clear" w:color="auto" w:fill="D7DDE9" w:themeFill="accent3"/>
            <w:vAlign w:val="center"/>
          </w:tcPr>
          <w:p w:rsidR="00AA3B16" w:rsidRDefault="00AA3B16">
            <w:pPr>
              <w:pStyle w:val="TableTextRightBold"/>
              <w:ind w:left="-57" w:right="-57"/>
              <w:cnfStyle w:val="000000000000" w:firstRow="0" w:lastRow="0" w:firstColumn="0" w:lastColumn="0" w:oddVBand="0" w:evenVBand="0" w:oddHBand="0" w:evenHBand="0" w:firstRowFirstColumn="0" w:firstRowLastColumn="0" w:lastRowFirstColumn="0" w:lastRowLastColumn="0"/>
            </w:pPr>
            <w:r w:rsidRPr="00D866A1">
              <w:t>-255,020</w:t>
            </w:r>
          </w:p>
        </w:tc>
        <w:tc>
          <w:tcPr>
            <w:tcW w:w="351" w:type="pct"/>
            <w:shd w:val="clear" w:color="auto" w:fill="D7DDE9" w:themeFill="accent3"/>
            <w:vAlign w:val="center"/>
          </w:tcPr>
          <w:p w:rsidR="00AA3B16" w:rsidRDefault="00AA3B16">
            <w:pPr>
              <w:pStyle w:val="TableTextRightBold"/>
              <w:ind w:left="-57" w:right="-57"/>
              <w:cnfStyle w:val="000000000000" w:firstRow="0" w:lastRow="0" w:firstColumn="0" w:lastColumn="0" w:oddVBand="0" w:evenVBand="0" w:oddHBand="0" w:evenHBand="0" w:firstRowFirstColumn="0" w:firstRowLastColumn="0" w:lastRowFirstColumn="0" w:lastRowLastColumn="0"/>
            </w:pPr>
            <w:r w:rsidRPr="00D866A1">
              <w:t>-266,970</w:t>
            </w:r>
          </w:p>
        </w:tc>
        <w:tc>
          <w:tcPr>
            <w:tcW w:w="351" w:type="pct"/>
            <w:shd w:val="clear" w:color="auto" w:fill="D7DDE9" w:themeFill="accent3"/>
            <w:vAlign w:val="center"/>
          </w:tcPr>
          <w:p w:rsidR="00AA3B16" w:rsidRDefault="00AA3B16">
            <w:pPr>
              <w:pStyle w:val="TableTextRightBold"/>
              <w:ind w:left="-57" w:right="-57"/>
              <w:cnfStyle w:val="000000000000" w:firstRow="0" w:lastRow="0" w:firstColumn="0" w:lastColumn="0" w:oddVBand="0" w:evenVBand="0" w:oddHBand="0" w:evenHBand="0" w:firstRowFirstColumn="0" w:firstRowLastColumn="0" w:lastRowFirstColumn="0" w:lastRowLastColumn="0"/>
            </w:pPr>
            <w:r w:rsidRPr="00D866A1">
              <w:t>-2,165,318</w:t>
            </w:r>
          </w:p>
        </w:tc>
      </w:tr>
    </w:tbl>
    <w:p w:rsidR="00A25ACE" w:rsidRDefault="00A25ACE" w:rsidP="00244FF5">
      <w:pPr>
        <w:pStyle w:val="TableFootnotes"/>
        <w:keepNext/>
        <w:numPr>
          <w:ilvl w:val="0"/>
          <w:numId w:val="17"/>
        </w:numPr>
        <w:ind w:left="284" w:hanging="284"/>
      </w:pPr>
      <w:r>
        <w:t>A positive number for the underlying cash balance indicates an increase in receipts or a decrease in outlays or net capital investment in cash terms.  A negative number for the underlying cash balance indicates a decrease in receipts or an increase in outlays or net capital investment in cash terms.</w:t>
      </w:r>
    </w:p>
    <w:p w:rsidR="005642B7" w:rsidRDefault="00A25ACE" w:rsidP="00E4487B">
      <w:pPr>
        <w:pStyle w:val="TableFootnotes"/>
        <w:keepNext/>
      </w:pPr>
      <w:r>
        <w:t>Figures may not sum to totals due to rounding.</w:t>
      </w:r>
    </w:p>
    <w:p w:rsidR="004243CC" w:rsidRDefault="004243CC" w:rsidP="00D17A0B">
      <w:pPr>
        <w:pStyle w:val="TableFootnotes"/>
      </w:pPr>
      <w:r>
        <w:t>Component estimates are the financial impact of each component of the option costed.</w:t>
      </w:r>
    </w:p>
    <w:p w:rsidR="00D74722" w:rsidRPr="00731C21" w:rsidRDefault="00D74722" w:rsidP="00907DFB">
      <w:pPr>
        <w:pStyle w:val="TableFootnotes"/>
        <w:numPr>
          <w:ilvl w:val="0"/>
          <w:numId w:val="11"/>
        </w:numPr>
        <w:ind w:left="284" w:hanging="284"/>
        <w:rPr>
          <w:b/>
          <w:bCs/>
          <w:color w:val="2B3B5F" w:themeColor="text2"/>
          <w:spacing w:val="-4"/>
        </w:rPr>
      </w:pPr>
      <w:r>
        <w:t>Indicates nil.</w:t>
      </w:r>
    </w:p>
    <w:p w:rsidR="00BA2E6F" w:rsidRPr="006B4078" w:rsidRDefault="00BA2E6F" w:rsidP="00907DFB">
      <w:pPr>
        <w:pStyle w:val="TableFootnotes"/>
        <w:numPr>
          <w:ilvl w:val="0"/>
          <w:numId w:val="0"/>
        </w:numPr>
        <w:rPr>
          <w:b/>
          <w:bCs/>
          <w:color w:val="2B3B5F" w:themeColor="text2"/>
          <w:spacing w:val="-4"/>
        </w:rPr>
      </w:pPr>
      <w:r>
        <w:br w:type="page"/>
      </w:r>
    </w:p>
    <w:p w:rsidR="005642B7" w:rsidRDefault="005642B7">
      <w:pPr>
        <w:pStyle w:val="Caption"/>
        <w:keepLines/>
        <w:rPr>
          <w:vertAlign w:val="superscript"/>
        </w:rPr>
      </w:pPr>
      <w:r w:rsidRPr="002D239A">
        <w:lastRenderedPageBreak/>
        <w:t xml:space="preserve">Table </w:t>
      </w:r>
      <w:r w:rsidR="001F29CD">
        <w:fldChar w:fldCharType="begin"/>
      </w:r>
      <w:r w:rsidR="001F29CD">
        <w:instrText xml:space="preserve"> STYLEREF 8 \s </w:instrText>
      </w:r>
      <w:r w:rsidR="001F29CD">
        <w:fldChar w:fldCharType="separate"/>
      </w:r>
      <w:r w:rsidR="00784163">
        <w:rPr>
          <w:noProof/>
        </w:rPr>
        <w:t>A</w:t>
      </w:r>
      <w:r w:rsidR="001F29CD">
        <w:rPr>
          <w:noProof/>
        </w:rPr>
        <w:fldChar w:fldCharType="end"/>
      </w:r>
      <w:r>
        <w:t>5</w:t>
      </w:r>
      <w:r w:rsidRPr="002D239A">
        <w:t xml:space="preserve">: </w:t>
      </w:r>
      <w:r w:rsidR="008B4307">
        <w:t xml:space="preserve">Tax – </w:t>
      </w:r>
      <w:r>
        <w:t>Option 3</w:t>
      </w:r>
      <w:r w:rsidR="00FC51CA">
        <w:t xml:space="preserve">– </w:t>
      </w:r>
      <w:r w:rsidR="0089385B">
        <w:t xml:space="preserve">Personal income tax, company tax, excise and customs </w:t>
      </w:r>
      <w:r w:rsidR="0089385B" w:rsidRPr="0089385B">
        <w:t>duty</w:t>
      </w:r>
      <w:r w:rsidR="00D069C5">
        <w:t>,</w:t>
      </w:r>
      <w:r w:rsidR="00FC51CA" w:rsidRPr="0089385B">
        <w:t xml:space="preserve"> </w:t>
      </w:r>
      <w:r w:rsidR="00D411F5" w:rsidRPr="0089385B">
        <w:t>and</w:t>
      </w:r>
      <w:r w:rsidR="00FC51CA" w:rsidRPr="0089385B">
        <w:t xml:space="preserve"> GST like New Zealand</w:t>
      </w:r>
      <w:r>
        <w:t>—Fiscal balance</w:t>
      </w:r>
      <w:r w:rsidRPr="002D239A">
        <w:rPr>
          <w:vertAlign w:val="superscript"/>
        </w:rPr>
        <w:t>(a)(b)</w:t>
      </w:r>
    </w:p>
    <w:tbl>
      <w:tblPr>
        <w:tblStyle w:val="LightGrid-Accent6"/>
        <w:tblW w:w="4999" w:type="pct"/>
        <w:tblLayout w:type="fixed"/>
        <w:tblLook w:val="0680" w:firstRow="0" w:lastRow="0" w:firstColumn="1" w:lastColumn="0" w:noHBand="1" w:noVBand="1"/>
      </w:tblPr>
      <w:tblGrid>
        <w:gridCol w:w="2236"/>
        <w:gridCol w:w="999"/>
        <w:gridCol w:w="999"/>
        <w:gridCol w:w="999"/>
        <w:gridCol w:w="999"/>
        <w:gridCol w:w="999"/>
        <w:gridCol w:w="998"/>
        <w:gridCol w:w="998"/>
        <w:gridCol w:w="998"/>
        <w:gridCol w:w="998"/>
        <w:gridCol w:w="998"/>
        <w:gridCol w:w="998"/>
        <w:gridCol w:w="998"/>
      </w:tblGrid>
      <w:tr w:rsidR="00080CED" w:rsidTr="00D92520">
        <w:tc>
          <w:tcPr>
            <w:cnfStyle w:val="001000000000" w:firstRow="0" w:lastRow="0" w:firstColumn="1" w:lastColumn="0" w:oddVBand="0" w:evenVBand="0" w:oddHBand="0" w:evenHBand="0" w:firstRowFirstColumn="0" w:firstRowLastColumn="0" w:lastRowFirstColumn="0" w:lastRowLastColumn="0"/>
            <w:tcW w:w="786" w:type="pct"/>
            <w:shd w:val="clear" w:color="auto" w:fill="D7DDE9" w:themeFill="accent3"/>
            <w:vAlign w:val="center"/>
          </w:tcPr>
          <w:p w:rsidR="0032047F" w:rsidRDefault="0032047F">
            <w:pPr>
              <w:pStyle w:val="TableHeading"/>
            </w:pPr>
            <w:r>
              <w:t>($m)</w:t>
            </w:r>
          </w:p>
          <w:p w:rsidR="00D74722" w:rsidRPr="002D239A" w:rsidRDefault="00D74722">
            <w:pPr>
              <w:pStyle w:val="TableHeading"/>
            </w:pPr>
            <w:r>
              <w:t>Component</w:t>
            </w:r>
            <w:r w:rsidRPr="002D239A">
              <w:rPr>
                <w:vertAlign w:val="superscript"/>
              </w:rPr>
              <w:t>(</w:t>
            </w:r>
            <w:r>
              <w:rPr>
                <w:vertAlign w:val="superscript"/>
              </w:rPr>
              <w:t>c)</w:t>
            </w:r>
          </w:p>
        </w:tc>
        <w:tc>
          <w:tcPr>
            <w:tcW w:w="351" w:type="pct"/>
            <w:shd w:val="clear" w:color="auto" w:fill="D7DDE9" w:themeFill="accent3"/>
            <w:vAlign w:val="center"/>
          </w:tcPr>
          <w:p w:rsidR="0032047F" w:rsidRPr="002D239A" w:rsidRDefault="0032047F" w:rsidP="006B4078">
            <w:pPr>
              <w:pStyle w:val="TableHeadingRight"/>
              <w:ind w:left="0" w:right="0"/>
              <w:cnfStyle w:val="000000000000" w:firstRow="0" w:lastRow="0" w:firstColumn="0" w:lastColumn="0" w:oddVBand="0" w:evenVBand="0" w:oddHBand="0" w:evenHBand="0" w:firstRowFirstColumn="0" w:firstRowLastColumn="0" w:lastRowFirstColumn="0" w:lastRowLastColumn="0"/>
              <w:rPr>
                <w:b w:val="0"/>
              </w:rPr>
            </w:pPr>
            <w:r>
              <w:rPr>
                <w:b w:val="0"/>
              </w:rPr>
              <w:t>2017-18</w:t>
            </w:r>
          </w:p>
        </w:tc>
        <w:tc>
          <w:tcPr>
            <w:tcW w:w="351" w:type="pct"/>
            <w:shd w:val="clear" w:color="auto" w:fill="D7DDE9" w:themeFill="accent3"/>
            <w:vAlign w:val="center"/>
          </w:tcPr>
          <w:p w:rsidR="0032047F" w:rsidRPr="002D239A" w:rsidRDefault="0032047F" w:rsidP="006B4078">
            <w:pPr>
              <w:pStyle w:val="TableHeadingRight"/>
              <w:ind w:left="0" w:right="0"/>
              <w:cnfStyle w:val="000000000000" w:firstRow="0" w:lastRow="0" w:firstColumn="0" w:lastColumn="0" w:oddVBand="0" w:evenVBand="0" w:oddHBand="0" w:evenHBand="0" w:firstRowFirstColumn="0" w:firstRowLastColumn="0" w:lastRowFirstColumn="0" w:lastRowLastColumn="0"/>
              <w:rPr>
                <w:b w:val="0"/>
              </w:rPr>
            </w:pPr>
            <w:r>
              <w:rPr>
                <w:b w:val="0"/>
              </w:rPr>
              <w:t>2018-19</w:t>
            </w:r>
          </w:p>
        </w:tc>
        <w:tc>
          <w:tcPr>
            <w:tcW w:w="351" w:type="pct"/>
            <w:shd w:val="clear" w:color="auto" w:fill="D7DDE9" w:themeFill="accent3"/>
            <w:vAlign w:val="center"/>
          </w:tcPr>
          <w:p w:rsidR="0032047F" w:rsidRPr="002D239A" w:rsidRDefault="0032047F" w:rsidP="006B4078">
            <w:pPr>
              <w:pStyle w:val="TableHeadingRight"/>
              <w:ind w:left="0" w:right="0"/>
              <w:cnfStyle w:val="000000000000" w:firstRow="0" w:lastRow="0" w:firstColumn="0" w:lastColumn="0" w:oddVBand="0" w:evenVBand="0" w:oddHBand="0" w:evenHBand="0" w:firstRowFirstColumn="0" w:firstRowLastColumn="0" w:lastRowFirstColumn="0" w:lastRowLastColumn="0"/>
              <w:rPr>
                <w:b w:val="0"/>
              </w:rPr>
            </w:pPr>
            <w:r>
              <w:rPr>
                <w:b w:val="0"/>
              </w:rPr>
              <w:t>2019-20</w:t>
            </w:r>
          </w:p>
        </w:tc>
        <w:tc>
          <w:tcPr>
            <w:tcW w:w="351" w:type="pct"/>
            <w:shd w:val="clear" w:color="auto" w:fill="D7DDE9" w:themeFill="accent3"/>
            <w:vAlign w:val="center"/>
          </w:tcPr>
          <w:p w:rsidR="0032047F" w:rsidRPr="002D239A" w:rsidRDefault="0032047F" w:rsidP="006B4078">
            <w:pPr>
              <w:pStyle w:val="TableHeadingRight"/>
              <w:ind w:left="0" w:right="0"/>
              <w:cnfStyle w:val="000000000000" w:firstRow="0" w:lastRow="0" w:firstColumn="0" w:lastColumn="0" w:oddVBand="0" w:evenVBand="0" w:oddHBand="0" w:evenHBand="0" w:firstRowFirstColumn="0" w:firstRowLastColumn="0" w:lastRowFirstColumn="0" w:lastRowLastColumn="0"/>
              <w:rPr>
                <w:b w:val="0"/>
              </w:rPr>
            </w:pPr>
            <w:r>
              <w:t>Total to 2019-20</w:t>
            </w:r>
          </w:p>
        </w:tc>
        <w:tc>
          <w:tcPr>
            <w:tcW w:w="351" w:type="pct"/>
            <w:shd w:val="clear" w:color="auto" w:fill="D7DDE9" w:themeFill="accent3"/>
            <w:vAlign w:val="center"/>
          </w:tcPr>
          <w:p w:rsidR="0032047F" w:rsidRPr="002D239A" w:rsidRDefault="0032047F" w:rsidP="006B4078">
            <w:pPr>
              <w:pStyle w:val="TableText"/>
              <w:keepNext/>
              <w:keepLines/>
              <w:ind w:left="0" w:right="0"/>
              <w:cnfStyle w:val="000000000000" w:firstRow="0" w:lastRow="0" w:firstColumn="0" w:lastColumn="0" w:oddVBand="0" w:evenVBand="0" w:oddHBand="0" w:evenHBand="0" w:firstRowFirstColumn="0" w:firstRowLastColumn="0" w:lastRowFirstColumn="0" w:lastRowLastColumn="0"/>
            </w:pPr>
            <w:r>
              <w:t>2020-21</w:t>
            </w:r>
          </w:p>
        </w:tc>
        <w:tc>
          <w:tcPr>
            <w:tcW w:w="351" w:type="pct"/>
            <w:shd w:val="clear" w:color="auto" w:fill="D7DDE9" w:themeFill="accent3"/>
            <w:vAlign w:val="center"/>
          </w:tcPr>
          <w:p w:rsidR="0032047F" w:rsidRPr="002D239A" w:rsidRDefault="0032047F" w:rsidP="006B4078">
            <w:pPr>
              <w:pStyle w:val="TableText"/>
              <w:keepNext/>
              <w:keepLines/>
              <w:ind w:left="0" w:right="0"/>
              <w:cnfStyle w:val="000000000000" w:firstRow="0" w:lastRow="0" w:firstColumn="0" w:lastColumn="0" w:oddVBand="0" w:evenVBand="0" w:oddHBand="0" w:evenHBand="0" w:firstRowFirstColumn="0" w:firstRowLastColumn="0" w:lastRowFirstColumn="0" w:lastRowLastColumn="0"/>
            </w:pPr>
            <w:r>
              <w:t>2021-22</w:t>
            </w:r>
          </w:p>
        </w:tc>
        <w:tc>
          <w:tcPr>
            <w:tcW w:w="351" w:type="pct"/>
            <w:shd w:val="clear" w:color="auto" w:fill="D7DDE9" w:themeFill="accent3"/>
            <w:vAlign w:val="center"/>
          </w:tcPr>
          <w:p w:rsidR="0032047F" w:rsidRPr="002D239A" w:rsidRDefault="0032047F" w:rsidP="006B4078">
            <w:pPr>
              <w:pStyle w:val="TableText"/>
              <w:keepNext/>
              <w:keepLines/>
              <w:ind w:left="0" w:right="0"/>
              <w:cnfStyle w:val="000000000000" w:firstRow="0" w:lastRow="0" w:firstColumn="0" w:lastColumn="0" w:oddVBand="0" w:evenVBand="0" w:oddHBand="0" w:evenHBand="0" w:firstRowFirstColumn="0" w:firstRowLastColumn="0" w:lastRowFirstColumn="0" w:lastRowLastColumn="0"/>
            </w:pPr>
            <w:r>
              <w:t>2022-23</w:t>
            </w:r>
          </w:p>
        </w:tc>
        <w:tc>
          <w:tcPr>
            <w:tcW w:w="351" w:type="pct"/>
            <w:shd w:val="clear" w:color="auto" w:fill="D7DDE9" w:themeFill="accent3"/>
            <w:vAlign w:val="center"/>
          </w:tcPr>
          <w:p w:rsidR="0032047F" w:rsidRPr="002D239A" w:rsidRDefault="0032047F" w:rsidP="006B4078">
            <w:pPr>
              <w:pStyle w:val="TableText"/>
              <w:keepNext/>
              <w:keepLines/>
              <w:ind w:left="0" w:right="0"/>
              <w:cnfStyle w:val="000000000000" w:firstRow="0" w:lastRow="0" w:firstColumn="0" w:lastColumn="0" w:oddVBand="0" w:evenVBand="0" w:oddHBand="0" w:evenHBand="0" w:firstRowFirstColumn="0" w:firstRowLastColumn="0" w:lastRowFirstColumn="0" w:lastRowLastColumn="0"/>
            </w:pPr>
            <w:r>
              <w:t>2023-24</w:t>
            </w:r>
          </w:p>
        </w:tc>
        <w:tc>
          <w:tcPr>
            <w:tcW w:w="351" w:type="pct"/>
            <w:shd w:val="clear" w:color="auto" w:fill="D7DDE9" w:themeFill="accent3"/>
            <w:vAlign w:val="center"/>
          </w:tcPr>
          <w:p w:rsidR="0032047F" w:rsidRPr="002D239A" w:rsidRDefault="0032047F" w:rsidP="006B4078">
            <w:pPr>
              <w:pStyle w:val="TableText"/>
              <w:keepNext/>
              <w:keepLines/>
              <w:ind w:left="0" w:right="0"/>
              <w:cnfStyle w:val="000000000000" w:firstRow="0" w:lastRow="0" w:firstColumn="0" w:lastColumn="0" w:oddVBand="0" w:evenVBand="0" w:oddHBand="0" w:evenHBand="0" w:firstRowFirstColumn="0" w:firstRowLastColumn="0" w:lastRowFirstColumn="0" w:lastRowLastColumn="0"/>
            </w:pPr>
            <w:r>
              <w:t>2024-25</w:t>
            </w:r>
          </w:p>
        </w:tc>
        <w:tc>
          <w:tcPr>
            <w:tcW w:w="351" w:type="pct"/>
            <w:shd w:val="clear" w:color="auto" w:fill="D7DDE9" w:themeFill="accent3"/>
            <w:vAlign w:val="center"/>
          </w:tcPr>
          <w:p w:rsidR="0032047F" w:rsidRPr="002D239A" w:rsidRDefault="0032047F" w:rsidP="006B4078">
            <w:pPr>
              <w:pStyle w:val="TableText"/>
              <w:keepNext/>
              <w:keepLines/>
              <w:ind w:left="0" w:right="0"/>
              <w:jc w:val="right"/>
              <w:cnfStyle w:val="000000000000" w:firstRow="0" w:lastRow="0" w:firstColumn="0" w:lastColumn="0" w:oddVBand="0" w:evenVBand="0" w:oddHBand="0" w:evenHBand="0" w:firstRowFirstColumn="0" w:firstRowLastColumn="0" w:lastRowFirstColumn="0" w:lastRowLastColumn="0"/>
            </w:pPr>
            <w:r>
              <w:t>2025-26</w:t>
            </w:r>
          </w:p>
        </w:tc>
        <w:tc>
          <w:tcPr>
            <w:tcW w:w="351" w:type="pct"/>
            <w:shd w:val="clear" w:color="auto" w:fill="D7DDE9" w:themeFill="accent3"/>
            <w:vAlign w:val="center"/>
          </w:tcPr>
          <w:p w:rsidR="0032047F" w:rsidRDefault="0032047F" w:rsidP="006B4078">
            <w:pPr>
              <w:pStyle w:val="TableText"/>
              <w:keepNext/>
              <w:keepLines/>
              <w:ind w:left="0" w:right="0"/>
              <w:jc w:val="right"/>
              <w:cnfStyle w:val="000000000000" w:firstRow="0" w:lastRow="0" w:firstColumn="0" w:lastColumn="0" w:oddVBand="0" w:evenVBand="0" w:oddHBand="0" w:evenHBand="0" w:firstRowFirstColumn="0" w:firstRowLastColumn="0" w:lastRowFirstColumn="0" w:lastRowLastColumn="0"/>
            </w:pPr>
            <w:r>
              <w:t>2026-27</w:t>
            </w:r>
          </w:p>
        </w:tc>
        <w:tc>
          <w:tcPr>
            <w:tcW w:w="351" w:type="pct"/>
            <w:shd w:val="clear" w:color="auto" w:fill="D7DDE9" w:themeFill="accent3"/>
          </w:tcPr>
          <w:p w:rsidR="0032047F" w:rsidRPr="009355B8" w:rsidRDefault="0032047F" w:rsidP="006B4078">
            <w:pPr>
              <w:pStyle w:val="TableText"/>
              <w:keepNext/>
              <w:keepLines/>
              <w:ind w:left="0" w:right="0"/>
              <w:cnfStyle w:val="000000000000" w:firstRow="0" w:lastRow="0" w:firstColumn="0" w:lastColumn="0" w:oddVBand="0" w:evenVBand="0" w:oddHBand="0" w:evenHBand="0" w:firstRowFirstColumn="0" w:firstRowLastColumn="0" w:lastRowFirstColumn="0" w:lastRowLastColumn="0"/>
              <w:rPr>
                <w:b/>
              </w:rPr>
            </w:pPr>
            <w:r w:rsidRPr="009355B8">
              <w:rPr>
                <w:b/>
              </w:rPr>
              <w:t>Total to 2026-27</w:t>
            </w:r>
          </w:p>
        </w:tc>
      </w:tr>
      <w:tr w:rsidR="00515D5C" w:rsidRPr="008D77AF" w:rsidTr="00D17A0B">
        <w:tc>
          <w:tcPr>
            <w:cnfStyle w:val="001000000000" w:firstRow="0" w:lastRow="0" w:firstColumn="1" w:lastColumn="0" w:oddVBand="0" w:evenVBand="0" w:oddHBand="0" w:evenHBand="0" w:firstRowFirstColumn="0" w:firstRowLastColumn="0" w:lastRowFirstColumn="0" w:lastRowLastColumn="0"/>
            <w:tcW w:w="786" w:type="pct"/>
            <w:vAlign w:val="center"/>
          </w:tcPr>
          <w:p w:rsidR="00515D5C" w:rsidRDefault="00515D5C">
            <w:pPr>
              <w:pStyle w:val="TableText"/>
              <w:keepNext/>
              <w:keepLines/>
              <w:ind w:left="0"/>
              <w:rPr>
                <w:b w:val="0"/>
              </w:rPr>
            </w:pPr>
            <w:r w:rsidRPr="006212E3">
              <w:rPr>
                <w:b w:val="0"/>
                <w:color w:val="000000"/>
                <w:szCs w:val="20"/>
              </w:rPr>
              <w:t>Revenue</w:t>
            </w:r>
          </w:p>
        </w:tc>
        <w:tc>
          <w:tcPr>
            <w:tcW w:w="351" w:type="pct"/>
            <w:vAlign w:val="center"/>
          </w:tcPr>
          <w:p w:rsidR="00515D5C" w:rsidRPr="00453D92"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rPr>
                <w:b/>
                <w:i w:val="0"/>
              </w:rPr>
            </w:pPr>
            <w:r w:rsidRPr="00453D92">
              <w:rPr>
                <w:b/>
                <w:i w:val="0"/>
              </w:rPr>
              <w:t>-154,030</w:t>
            </w:r>
          </w:p>
        </w:tc>
        <w:tc>
          <w:tcPr>
            <w:tcW w:w="351" w:type="pct"/>
            <w:vAlign w:val="center"/>
          </w:tcPr>
          <w:p w:rsidR="00515D5C" w:rsidRPr="00453D92"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rPr>
                <w:b/>
                <w:i w:val="0"/>
              </w:rPr>
            </w:pPr>
            <w:r w:rsidRPr="00453D92">
              <w:rPr>
                <w:b/>
                <w:i w:val="0"/>
              </w:rPr>
              <w:t>-176,670</w:t>
            </w:r>
          </w:p>
        </w:tc>
        <w:tc>
          <w:tcPr>
            <w:tcW w:w="351" w:type="pct"/>
            <w:vAlign w:val="center"/>
          </w:tcPr>
          <w:p w:rsidR="00515D5C" w:rsidRPr="00453D92"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rPr>
                <w:b/>
                <w:i w:val="0"/>
              </w:rPr>
            </w:pPr>
            <w:r w:rsidRPr="00453D92">
              <w:rPr>
                <w:b/>
                <w:i w:val="0"/>
              </w:rPr>
              <w:t>-186,290</w:t>
            </w:r>
          </w:p>
        </w:tc>
        <w:tc>
          <w:tcPr>
            <w:tcW w:w="351" w:type="pct"/>
            <w:vAlign w:val="center"/>
          </w:tcPr>
          <w:p w:rsidR="00515D5C" w:rsidRPr="00453D92" w:rsidRDefault="00515D5C">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pPr>
            <w:r w:rsidRPr="00453D92">
              <w:t>-516,990</w:t>
            </w:r>
          </w:p>
        </w:tc>
        <w:tc>
          <w:tcPr>
            <w:tcW w:w="351" w:type="pct"/>
            <w:vAlign w:val="center"/>
          </w:tcPr>
          <w:p w:rsidR="00515D5C" w:rsidRPr="00453D92"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rPr>
                <w:b/>
                <w:i w:val="0"/>
              </w:rPr>
            </w:pPr>
            <w:r w:rsidRPr="00453D92">
              <w:rPr>
                <w:b/>
                <w:i w:val="0"/>
              </w:rPr>
              <w:t>-197,850</w:t>
            </w:r>
          </w:p>
        </w:tc>
        <w:tc>
          <w:tcPr>
            <w:tcW w:w="351" w:type="pct"/>
            <w:vAlign w:val="center"/>
          </w:tcPr>
          <w:p w:rsidR="00515D5C" w:rsidRPr="00453D92"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rPr>
                <w:b/>
                <w:i w:val="0"/>
              </w:rPr>
            </w:pPr>
            <w:r w:rsidRPr="00453D92">
              <w:rPr>
                <w:b/>
                <w:i w:val="0"/>
              </w:rPr>
              <w:t>-206,960</w:t>
            </w:r>
          </w:p>
        </w:tc>
        <w:tc>
          <w:tcPr>
            <w:tcW w:w="351" w:type="pct"/>
            <w:vAlign w:val="center"/>
          </w:tcPr>
          <w:p w:rsidR="00515D5C" w:rsidRPr="00453D92"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rPr>
                <w:b/>
                <w:i w:val="0"/>
              </w:rPr>
            </w:pPr>
            <w:r w:rsidRPr="00453D92">
              <w:rPr>
                <w:b/>
                <w:i w:val="0"/>
              </w:rPr>
              <w:t>-217,980</w:t>
            </w:r>
          </w:p>
        </w:tc>
        <w:tc>
          <w:tcPr>
            <w:tcW w:w="351" w:type="pct"/>
            <w:vAlign w:val="center"/>
          </w:tcPr>
          <w:p w:rsidR="00515D5C" w:rsidRPr="00453D92"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rPr>
                <w:b/>
                <w:i w:val="0"/>
              </w:rPr>
            </w:pPr>
            <w:r w:rsidRPr="00453D92">
              <w:rPr>
                <w:b/>
                <w:i w:val="0"/>
              </w:rPr>
              <w:t>-226,880</w:t>
            </w:r>
          </w:p>
        </w:tc>
        <w:tc>
          <w:tcPr>
            <w:tcW w:w="351" w:type="pct"/>
            <w:vAlign w:val="center"/>
          </w:tcPr>
          <w:p w:rsidR="00515D5C" w:rsidRPr="00453D92"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rPr>
                <w:b/>
                <w:i w:val="0"/>
              </w:rPr>
            </w:pPr>
            <w:r w:rsidRPr="00453D92">
              <w:rPr>
                <w:b/>
                <w:i w:val="0"/>
              </w:rPr>
              <w:t>-237,300</w:t>
            </w:r>
          </w:p>
        </w:tc>
        <w:tc>
          <w:tcPr>
            <w:tcW w:w="351" w:type="pct"/>
            <w:vAlign w:val="center"/>
          </w:tcPr>
          <w:p w:rsidR="00515D5C" w:rsidRPr="00453D92"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rPr>
                <w:b/>
                <w:i w:val="0"/>
              </w:rPr>
            </w:pPr>
            <w:r w:rsidRPr="00453D92">
              <w:rPr>
                <w:b/>
                <w:i w:val="0"/>
              </w:rPr>
              <w:t>-246,800</w:t>
            </w:r>
          </w:p>
        </w:tc>
        <w:tc>
          <w:tcPr>
            <w:tcW w:w="351" w:type="pct"/>
            <w:vAlign w:val="center"/>
          </w:tcPr>
          <w:p w:rsidR="00515D5C" w:rsidRPr="00453D92"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rPr>
                <w:b/>
                <w:i w:val="0"/>
              </w:rPr>
            </w:pPr>
            <w:r w:rsidRPr="00453D92">
              <w:rPr>
                <w:b/>
                <w:i w:val="0"/>
              </w:rPr>
              <w:t>-257,640</w:t>
            </w:r>
          </w:p>
        </w:tc>
        <w:tc>
          <w:tcPr>
            <w:tcW w:w="351" w:type="pct"/>
            <w:vAlign w:val="center"/>
          </w:tcPr>
          <w:p w:rsidR="00515D5C" w:rsidRPr="00453D92" w:rsidRDefault="00515D5C">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pPr>
            <w:r w:rsidRPr="00453D92">
              <w:t>-2,108,400</w:t>
            </w:r>
          </w:p>
        </w:tc>
      </w:tr>
      <w:tr w:rsidR="00515D5C" w:rsidRPr="008D77AF" w:rsidTr="00D17A0B">
        <w:tc>
          <w:tcPr>
            <w:cnfStyle w:val="001000000000" w:firstRow="0" w:lastRow="0" w:firstColumn="1" w:lastColumn="0" w:oddVBand="0" w:evenVBand="0" w:oddHBand="0" w:evenHBand="0" w:firstRowFirstColumn="0" w:firstRowLastColumn="0" w:lastRowFirstColumn="0" w:lastRowLastColumn="0"/>
            <w:tcW w:w="786" w:type="pct"/>
            <w:vAlign w:val="center"/>
          </w:tcPr>
          <w:p w:rsidR="00515D5C" w:rsidRDefault="00515D5C" w:rsidP="00453D92">
            <w:pPr>
              <w:pStyle w:val="TableText"/>
              <w:keepNext/>
              <w:keepLines/>
              <w:ind w:left="113"/>
              <w:rPr>
                <w:b w:val="0"/>
              </w:rPr>
            </w:pPr>
            <w:r w:rsidRPr="006212E3">
              <w:rPr>
                <w:b w:val="0"/>
                <w:color w:val="000000"/>
                <w:szCs w:val="20"/>
              </w:rPr>
              <w:t xml:space="preserve">Personal income tax </w:t>
            </w:r>
          </w:p>
        </w:tc>
        <w:tc>
          <w:tcPr>
            <w:tcW w:w="351" w:type="pct"/>
            <w:vAlign w:val="center"/>
          </w:tcPr>
          <w:p w:rsidR="00515D5C"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087D3D">
              <w:t>-115,000</w:t>
            </w:r>
          </w:p>
        </w:tc>
        <w:tc>
          <w:tcPr>
            <w:tcW w:w="351" w:type="pct"/>
            <w:vAlign w:val="center"/>
          </w:tcPr>
          <w:p w:rsidR="00515D5C"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087D3D">
              <w:t>-136,000</w:t>
            </w:r>
          </w:p>
        </w:tc>
        <w:tc>
          <w:tcPr>
            <w:tcW w:w="351" w:type="pct"/>
            <w:vAlign w:val="center"/>
          </w:tcPr>
          <w:p w:rsidR="00515D5C"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087D3D">
              <w:t>-143,000</w:t>
            </w:r>
          </w:p>
        </w:tc>
        <w:tc>
          <w:tcPr>
            <w:tcW w:w="351" w:type="pct"/>
            <w:vAlign w:val="center"/>
          </w:tcPr>
          <w:p w:rsidR="00515D5C" w:rsidRPr="00453D92" w:rsidRDefault="00515D5C">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rPr>
                <w:b w:val="0"/>
                <w:i/>
              </w:rPr>
            </w:pPr>
            <w:r w:rsidRPr="00453D92">
              <w:rPr>
                <w:b w:val="0"/>
                <w:i/>
              </w:rPr>
              <w:t>-394,000</w:t>
            </w:r>
          </w:p>
        </w:tc>
        <w:tc>
          <w:tcPr>
            <w:tcW w:w="351" w:type="pct"/>
            <w:vAlign w:val="center"/>
          </w:tcPr>
          <w:p w:rsidR="00515D5C"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087D3D">
              <w:t>-152,000</w:t>
            </w:r>
          </w:p>
        </w:tc>
        <w:tc>
          <w:tcPr>
            <w:tcW w:w="351" w:type="pct"/>
            <w:vAlign w:val="center"/>
          </w:tcPr>
          <w:p w:rsidR="00515D5C"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087D3D">
              <w:t>-160,000</w:t>
            </w:r>
          </w:p>
        </w:tc>
        <w:tc>
          <w:tcPr>
            <w:tcW w:w="351" w:type="pct"/>
            <w:vAlign w:val="center"/>
          </w:tcPr>
          <w:p w:rsidR="00515D5C"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087D3D">
              <w:t>-169,000</w:t>
            </w:r>
          </w:p>
        </w:tc>
        <w:tc>
          <w:tcPr>
            <w:tcW w:w="351" w:type="pct"/>
            <w:vAlign w:val="center"/>
          </w:tcPr>
          <w:p w:rsidR="00515D5C"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087D3D">
              <w:t>-179,000</w:t>
            </w:r>
          </w:p>
        </w:tc>
        <w:tc>
          <w:tcPr>
            <w:tcW w:w="351" w:type="pct"/>
            <w:vAlign w:val="center"/>
          </w:tcPr>
          <w:p w:rsidR="00515D5C"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087D3D">
              <w:t>-188,000</w:t>
            </w:r>
          </w:p>
        </w:tc>
        <w:tc>
          <w:tcPr>
            <w:tcW w:w="351" w:type="pct"/>
            <w:vAlign w:val="center"/>
          </w:tcPr>
          <w:p w:rsidR="00515D5C"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087D3D">
              <w:t>-199,000</w:t>
            </w:r>
          </w:p>
        </w:tc>
        <w:tc>
          <w:tcPr>
            <w:tcW w:w="351" w:type="pct"/>
            <w:vAlign w:val="center"/>
          </w:tcPr>
          <w:p w:rsidR="00515D5C"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087D3D">
              <w:t>-211,000</w:t>
            </w:r>
          </w:p>
        </w:tc>
        <w:tc>
          <w:tcPr>
            <w:tcW w:w="351" w:type="pct"/>
            <w:vAlign w:val="center"/>
          </w:tcPr>
          <w:p w:rsidR="00515D5C" w:rsidRPr="00453D92" w:rsidRDefault="00515D5C">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rPr>
                <w:i/>
              </w:rPr>
            </w:pPr>
            <w:r w:rsidRPr="00453D92">
              <w:rPr>
                <w:i/>
              </w:rPr>
              <w:t>-1,652,000</w:t>
            </w:r>
          </w:p>
        </w:tc>
      </w:tr>
      <w:tr w:rsidR="00515D5C" w:rsidRPr="008D77AF" w:rsidTr="00D17A0B">
        <w:tc>
          <w:tcPr>
            <w:cnfStyle w:val="001000000000" w:firstRow="0" w:lastRow="0" w:firstColumn="1" w:lastColumn="0" w:oddVBand="0" w:evenVBand="0" w:oddHBand="0" w:evenHBand="0" w:firstRowFirstColumn="0" w:firstRowLastColumn="0" w:lastRowFirstColumn="0" w:lastRowLastColumn="0"/>
            <w:tcW w:w="786" w:type="pct"/>
            <w:vAlign w:val="center"/>
          </w:tcPr>
          <w:p w:rsidR="00515D5C" w:rsidRDefault="00515D5C" w:rsidP="00453D92">
            <w:pPr>
              <w:pStyle w:val="TableText"/>
              <w:keepNext/>
              <w:keepLines/>
              <w:ind w:left="113"/>
              <w:rPr>
                <w:b w:val="0"/>
              </w:rPr>
            </w:pPr>
            <w:r w:rsidRPr="006212E3">
              <w:rPr>
                <w:b w:val="0"/>
                <w:color w:val="000000"/>
                <w:szCs w:val="20"/>
              </w:rPr>
              <w:t>Company tax</w:t>
            </w:r>
          </w:p>
        </w:tc>
        <w:tc>
          <w:tcPr>
            <w:tcW w:w="351" w:type="pct"/>
            <w:vAlign w:val="center"/>
          </w:tcPr>
          <w:p w:rsidR="00515D5C"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087D3D">
              <w:t>-17,000</w:t>
            </w:r>
          </w:p>
        </w:tc>
        <w:tc>
          <w:tcPr>
            <w:tcW w:w="351" w:type="pct"/>
            <w:vAlign w:val="center"/>
          </w:tcPr>
          <w:p w:rsidR="00515D5C"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087D3D">
              <w:t>-17,000</w:t>
            </w:r>
          </w:p>
        </w:tc>
        <w:tc>
          <w:tcPr>
            <w:tcW w:w="351" w:type="pct"/>
            <w:vAlign w:val="center"/>
          </w:tcPr>
          <w:p w:rsidR="00515D5C"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087D3D">
              <w:t>-18,000</w:t>
            </w:r>
          </w:p>
        </w:tc>
        <w:tc>
          <w:tcPr>
            <w:tcW w:w="351" w:type="pct"/>
            <w:vAlign w:val="center"/>
          </w:tcPr>
          <w:p w:rsidR="00515D5C" w:rsidRPr="00453D92" w:rsidRDefault="00515D5C">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rPr>
                <w:b w:val="0"/>
                <w:i/>
              </w:rPr>
            </w:pPr>
            <w:r w:rsidRPr="00453D92">
              <w:rPr>
                <w:b w:val="0"/>
                <w:i/>
              </w:rPr>
              <w:t>-52,000</w:t>
            </w:r>
          </w:p>
        </w:tc>
        <w:tc>
          <w:tcPr>
            <w:tcW w:w="351" w:type="pct"/>
            <w:vAlign w:val="center"/>
          </w:tcPr>
          <w:p w:rsidR="00515D5C"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087D3D">
              <w:t>-19,000</w:t>
            </w:r>
          </w:p>
        </w:tc>
        <w:tc>
          <w:tcPr>
            <w:tcW w:w="351" w:type="pct"/>
            <w:vAlign w:val="center"/>
          </w:tcPr>
          <w:p w:rsidR="00515D5C"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087D3D">
              <w:t>-19,000</w:t>
            </w:r>
          </w:p>
        </w:tc>
        <w:tc>
          <w:tcPr>
            <w:tcW w:w="351" w:type="pct"/>
            <w:vAlign w:val="center"/>
          </w:tcPr>
          <w:p w:rsidR="00515D5C"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087D3D">
              <w:t>-20,000</w:t>
            </w:r>
          </w:p>
        </w:tc>
        <w:tc>
          <w:tcPr>
            <w:tcW w:w="351" w:type="pct"/>
            <w:vAlign w:val="center"/>
          </w:tcPr>
          <w:p w:rsidR="00515D5C"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087D3D">
              <w:t>-18,000</w:t>
            </w:r>
          </w:p>
        </w:tc>
        <w:tc>
          <w:tcPr>
            <w:tcW w:w="351" w:type="pct"/>
            <w:vAlign w:val="center"/>
          </w:tcPr>
          <w:p w:rsidR="00515D5C"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087D3D">
              <w:t>-18,000</w:t>
            </w:r>
          </w:p>
        </w:tc>
        <w:tc>
          <w:tcPr>
            <w:tcW w:w="351" w:type="pct"/>
            <w:vAlign w:val="center"/>
          </w:tcPr>
          <w:p w:rsidR="00515D5C"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087D3D">
              <w:t>-16,000</w:t>
            </w:r>
          </w:p>
        </w:tc>
        <w:tc>
          <w:tcPr>
            <w:tcW w:w="351" w:type="pct"/>
            <w:vAlign w:val="center"/>
          </w:tcPr>
          <w:p w:rsidR="00515D5C"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087D3D">
              <w:t>-14,000</w:t>
            </w:r>
          </w:p>
        </w:tc>
        <w:tc>
          <w:tcPr>
            <w:tcW w:w="351" w:type="pct"/>
            <w:vAlign w:val="center"/>
          </w:tcPr>
          <w:p w:rsidR="00515D5C" w:rsidRPr="00453D92" w:rsidRDefault="00515D5C">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rPr>
                <w:i/>
              </w:rPr>
            </w:pPr>
            <w:r w:rsidRPr="00453D92">
              <w:rPr>
                <w:i/>
              </w:rPr>
              <w:t>-176,000</w:t>
            </w:r>
          </w:p>
        </w:tc>
      </w:tr>
      <w:tr w:rsidR="00515D5C" w:rsidRPr="008D77AF" w:rsidTr="00D17A0B">
        <w:tc>
          <w:tcPr>
            <w:cnfStyle w:val="001000000000" w:firstRow="0" w:lastRow="0" w:firstColumn="1" w:lastColumn="0" w:oddVBand="0" w:evenVBand="0" w:oddHBand="0" w:evenHBand="0" w:firstRowFirstColumn="0" w:firstRowLastColumn="0" w:lastRowFirstColumn="0" w:lastRowLastColumn="0"/>
            <w:tcW w:w="786" w:type="pct"/>
            <w:vAlign w:val="center"/>
          </w:tcPr>
          <w:p w:rsidR="00515D5C" w:rsidRDefault="00515D5C" w:rsidP="00453D92">
            <w:pPr>
              <w:pStyle w:val="TableText"/>
              <w:keepNext/>
              <w:keepLines/>
              <w:ind w:left="113"/>
              <w:rPr>
                <w:b w:val="0"/>
              </w:rPr>
            </w:pPr>
            <w:r w:rsidRPr="006212E3">
              <w:rPr>
                <w:b w:val="0"/>
                <w:color w:val="000000"/>
                <w:szCs w:val="20"/>
              </w:rPr>
              <w:t>Excise and import duties</w:t>
            </w:r>
          </w:p>
        </w:tc>
        <w:tc>
          <w:tcPr>
            <w:tcW w:w="351" w:type="pct"/>
            <w:vAlign w:val="center"/>
          </w:tcPr>
          <w:p w:rsidR="00515D5C"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087D3D">
              <w:t>-41,380</w:t>
            </w:r>
          </w:p>
        </w:tc>
        <w:tc>
          <w:tcPr>
            <w:tcW w:w="351" w:type="pct"/>
            <w:vAlign w:val="center"/>
          </w:tcPr>
          <w:p w:rsidR="00515D5C"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087D3D">
              <w:t>-44,270</w:t>
            </w:r>
          </w:p>
        </w:tc>
        <w:tc>
          <w:tcPr>
            <w:tcW w:w="351" w:type="pct"/>
            <w:vAlign w:val="center"/>
          </w:tcPr>
          <w:p w:rsidR="00515D5C"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087D3D">
              <w:t>-47,240</w:t>
            </w:r>
          </w:p>
        </w:tc>
        <w:tc>
          <w:tcPr>
            <w:tcW w:w="351" w:type="pct"/>
            <w:vAlign w:val="center"/>
          </w:tcPr>
          <w:p w:rsidR="00515D5C" w:rsidRPr="00453D92" w:rsidRDefault="00515D5C">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rPr>
                <w:b w:val="0"/>
                <w:i/>
              </w:rPr>
            </w:pPr>
            <w:r w:rsidRPr="00453D92">
              <w:rPr>
                <w:b w:val="0"/>
                <w:i/>
              </w:rPr>
              <w:t>-132,890</w:t>
            </w:r>
          </w:p>
        </w:tc>
        <w:tc>
          <w:tcPr>
            <w:tcW w:w="351" w:type="pct"/>
            <w:vAlign w:val="center"/>
          </w:tcPr>
          <w:p w:rsidR="00515D5C"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087D3D">
              <w:t>-50,400</w:t>
            </w:r>
          </w:p>
        </w:tc>
        <w:tc>
          <w:tcPr>
            <w:tcW w:w="351" w:type="pct"/>
            <w:vAlign w:val="center"/>
          </w:tcPr>
          <w:p w:rsidR="00515D5C"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087D3D">
              <w:t>-53,060</w:t>
            </w:r>
          </w:p>
        </w:tc>
        <w:tc>
          <w:tcPr>
            <w:tcW w:w="351" w:type="pct"/>
            <w:vAlign w:val="center"/>
          </w:tcPr>
          <w:p w:rsidR="00515D5C"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087D3D">
              <w:t>-55,780</w:t>
            </w:r>
          </w:p>
        </w:tc>
        <w:tc>
          <w:tcPr>
            <w:tcW w:w="351" w:type="pct"/>
            <w:vAlign w:val="center"/>
          </w:tcPr>
          <w:p w:rsidR="00515D5C"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087D3D">
              <w:t>-58,530</w:t>
            </w:r>
          </w:p>
        </w:tc>
        <w:tc>
          <w:tcPr>
            <w:tcW w:w="351" w:type="pct"/>
            <w:vAlign w:val="center"/>
          </w:tcPr>
          <w:p w:rsidR="00515D5C"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087D3D">
              <w:t>-61,950</w:t>
            </w:r>
          </w:p>
        </w:tc>
        <w:tc>
          <w:tcPr>
            <w:tcW w:w="351" w:type="pct"/>
            <w:vAlign w:val="center"/>
          </w:tcPr>
          <w:p w:rsidR="00515D5C"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087D3D">
              <w:t>-64,500</w:t>
            </w:r>
          </w:p>
        </w:tc>
        <w:tc>
          <w:tcPr>
            <w:tcW w:w="351" w:type="pct"/>
            <w:vAlign w:val="center"/>
          </w:tcPr>
          <w:p w:rsidR="00515D5C"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087D3D">
              <w:t>-67,690</w:t>
            </w:r>
          </w:p>
        </w:tc>
        <w:tc>
          <w:tcPr>
            <w:tcW w:w="351" w:type="pct"/>
            <w:vAlign w:val="center"/>
          </w:tcPr>
          <w:p w:rsidR="00515D5C" w:rsidRPr="00453D92" w:rsidRDefault="00515D5C">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rPr>
                <w:i/>
              </w:rPr>
            </w:pPr>
            <w:r w:rsidRPr="00453D92">
              <w:rPr>
                <w:i/>
              </w:rPr>
              <w:t>-544,800</w:t>
            </w:r>
          </w:p>
        </w:tc>
      </w:tr>
      <w:tr w:rsidR="00515D5C" w:rsidRPr="008D77AF" w:rsidTr="00D17A0B">
        <w:tc>
          <w:tcPr>
            <w:cnfStyle w:val="001000000000" w:firstRow="0" w:lastRow="0" w:firstColumn="1" w:lastColumn="0" w:oddVBand="0" w:evenVBand="0" w:oddHBand="0" w:evenHBand="0" w:firstRowFirstColumn="0" w:firstRowLastColumn="0" w:lastRowFirstColumn="0" w:lastRowLastColumn="0"/>
            <w:tcW w:w="786" w:type="pct"/>
            <w:vAlign w:val="center"/>
          </w:tcPr>
          <w:p w:rsidR="00515D5C" w:rsidRDefault="00515D5C" w:rsidP="00453D92">
            <w:pPr>
              <w:pStyle w:val="TableText"/>
              <w:keepNext/>
              <w:keepLines/>
              <w:ind w:left="113"/>
              <w:rPr>
                <w:b w:val="0"/>
              </w:rPr>
            </w:pPr>
            <w:r w:rsidRPr="006212E3">
              <w:rPr>
                <w:b w:val="0"/>
                <w:color w:val="000000"/>
                <w:szCs w:val="20"/>
              </w:rPr>
              <w:t>GST</w:t>
            </w:r>
          </w:p>
        </w:tc>
        <w:tc>
          <w:tcPr>
            <w:tcW w:w="351" w:type="pct"/>
            <w:vAlign w:val="center"/>
          </w:tcPr>
          <w:p w:rsidR="00515D5C"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087D3D">
              <w:t>19,350</w:t>
            </w:r>
          </w:p>
        </w:tc>
        <w:tc>
          <w:tcPr>
            <w:tcW w:w="351" w:type="pct"/>
            <w:vAlign w:val="center"/>
          </w:tcPr>
          <w:p w:rsidR="00515D5C"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087D3D">
              <w:t>20,600</w:t>
            </w:r>
          </w:p>
        </w:tc>
        <w:tc>
          <w:tcPr>
            <w:tcW w:w="351" w:type="pct"/>
            <w:vAlign w:val="center"/>
          </w:tcPr>
          <w:p w:rsidR="00515D5C"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087D3D">
              <w:t>21,950</w:t>
            </w:r>
          </w:p>
        </w:tc>
        <w:tc>
          <w:tcPr>
            <w:tcW w:w="351" w:type="pct"/>
            <w:vAlign w:val="center"/>
          </w:tcPr>
          <w:p w:rsidR="00515D5C" w:rsidRPr="00453D92" w:rsidRDefault="00515D5C">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rPr>
                <w:b w:val="0"/>
                <w:i/>
              </w:rPr>
            </w:pPr>
            <w:r w:rsidRPr="00453D92">
              <w:rPr>
                <w:b w:val="0"/>
                <w:i/>
              </w:rPr>
              <w:t>61,900</w:t>
            </w:r>
          </w:p>
        </w:tc>
        <w:tc>
          <w:tcPr>
            <w:tcW w:w="351" w:type="pct"/>
            <w:vAlign w:val="center"/>
          </w:tcPr>
          <w:p w:rsidR="00515D5C"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087D3D">
              <w:t>23,550</w:t>
            </w:r>
          </w:p>
        </w:tc>
        <w:tc>
          <w:tcPr>
            <w:tcW w:w="351" w:type="pct"/>
            <w:vAlign w:val="center"/>
          </w:tcPr>
          <w:p w:rsidR="00515D5C"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087D3D">
              <w:t>25,100</w:t>
            </w:r>
          </w:p>
        </w:tc>
        <w:tc>
          <w:tcPr>
            <w:tcW w:w="351" w:type="pct"/>
            <w:vAlign w:val="center"/>
          </w:tcPr>
          <w:p w:rsidR="00515D5C"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087D3D">
              <w:t>26,800</w:t>
            </w:r>
          </w:p>
        </w:tc>
        <w:tc>
          <w:tcPr>
            <w:tcW w:w="351" w:type="pct"/>
            <w:vAlign w:val="center"/>
          </w:tcPr>
          <w:p w:rsidR="00515D5C"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087D3D">
              <w:t>28,650</w:t>
            </w:r>
          </w:p>
        </w:tc>
        <w:tc>
          <w:tcPr>
            <w:tcW w:w="351" w:type="pct"/>
            <w:vAlign w:val="center"/>
          </w:tcPr>
          <w:p w:rsidR="00515D5C"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087D3D">
              <w:t>30,650</w:t>
            </w:r>
          </w:p>
        </w:tc>
        <w:tc>
          <w:tcPr>
            <w:tcW w:w="351" w:type="pct"/>
            <w:vAlign w:val="center"/>
          </w:tcPr>
          <w:p w:rsidR="00515D5C"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087D3D">
              <w:t>32,700</w:t>
            </w:r>
          </w:p>
        </w:tc>
        <w:tc>
          <w:tcPr>
            <w:tcW w:w="351" w:type="pct"/>
            <w:vAlign w:val="center"/>
          </w:tcPr>
          <w:p w:rsidR="00515D5C"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087D3D">
              <w:t>35,050</w:t>
            </w:r>
          </w:p>
        </w:tc>
        <w:tc>
          <w:tcPr>
            <w:tcW w:w="351" w:type="pct"/>
            <w:vAlign w:val="center"/>
          </w:tcPr>
          <w:p w:rsidR="00515D5C" w:rsidRPr="00453D92" w:rsidRDefault="00515D5C">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rPr>
                <w:i/>
              </w:rPr>
            </w:pPr>
            <w:r w:rsidRPr="00453D92">
              <w:rPr>
                <w:i/>
              </w:rPr>
              <w:t>264,400</w:t>
            </w:r>
          </w:p>
        </w:tc>
      </w:tr>
      <w:tr w:rsidR="00515D5C" w:rsidRPr="008D77AF" w:rsidTr="00D17A0B">
        <w:tc>
          <w:tcPr>
            <w:cnfStyle w:val="001000000000" w:firstRow="0" w:lastRow="0" w:firstColumn="1" w:lastColumn="0" w:oddVBand="0" w:evenVBand="0" w:oddHBand="0" w:evenHBand="0" w:firstRowFirstColumn="0" w:firstRowLastColumn="0" w:lastRowFirstColumn="0" w:lastRowLastColumn="0"/>
            <w:tcW w:w="786" w:type="pct"/>
            <w:vAlign w:val="center"/>
          </w:tcPr>
          <w:p w:rsidR="00515D5C" w:rsidRPr="00A25ACE" w:rsidRDefault="00515D5C">
            <w:pPr>
              <w:pStyle w:val="TableText"/>
              <w:keepNext/>
              <w:keepLines/>
              <w:ind w:left="0"/>
              <w:rPr>
                <w:b w:val="0"/>
              </w:rPr>
            </w:pPr>
            <w:r w:rsidRPr="006212E3">
              <w:rPr>
                <w:b w:val="0"/>
                <w:color w:val="000000"/>
                <w:szCs w:val="20"/>
              </w:rPr>
              <w:t>Expense</w:t>
            </w:r>
          </w:p>
        </w:tc>
        <w:tc>
          <w:tcPr>
            <w:tcW w:w="351" w:type="pct"/>
            <w:vAlign w:val="center"/>
          </w:tcPr>
          <w:p w:rsidR="00515D5C" w:rsidRPr="00453D92"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rPr>
                <w:b/>
                <w:i w:val="0"/>
              </w:rPr>
            </w:pPr>
            <w:r w:rsidRPr="00453D92">
              <w:rPr>
                <w:b/>
                <w:i w:val="0"/>
              </w:rPr>
              <w:t>9,202</w:t>
            </w:r>
          </w:p>
        </w:tc>
        <w:tc>
          <w:tcPr>
            <w:tcW w:w="351" w:type="pct"/>
            <w:vAlign w:val="center"/>
          </w:tcPr>
          <w:p w:rsidR="00515D5C" w:rsidRPr="00453D92"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rPr>
                <w:b/>
                <w:i w:val="0"/>
              </w:rPr>
            </w:pPr>
            <w:r w:rsidRPr="00453D92">
              <w:rPr>
                <w:b/>
                <w:i w:val="0"/>
              </w:rPr>
              <w:t>10,190</w:t>
            </w:r>
          </w:p>
        </w:tc>
        <w:tc>
          <w:tcPr>
            <w:tcW w:w="351" w:type="pct"/>
            <w:vAlign w:val="center"/>
          </w:tcPr>
          <w:p w:rsidR="00515D5C" w:rsidRPr="00453D92"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rPr>
                <w:b/>
                <w:i w:val="0"/>
              </w:rPr>
            </w:pPr>
            <w:r w:rsidRPr="00453D92">
              <w:rPr>
                <w:b/>
                <w:i w:val="0"/>
              </w:rPr>
              <w:t>10,810</w:t>
            </w:r>
          </w:p>
        </w:tc>
        <w:tc>
          <w:tcPr>
            <w:tcW w:w="351" w:type="pct"/>
            <w:vAlign w:val="center"/>
          </w:tcPr>
          <w:p w:rsidR="00515D5C" w:rsidRPr="00453D92" w:rsidRDefault="00515D5C">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pPr>
            <w:r w:rsidRPr="00453D92">
              <w:t>30,217</w:t>
            </w:r>
          </w:p>
        </w:tc>
        <w:tc>
          <w:tcPr>
            <w:tcW w:w="351" w:type="pct"/>
            <w:vAlign w:val="center"/>
          </w:tcPr>
          <w:p w:rsidR="00515D5C" w:rsidRPr="00453D92"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rPr>
                <w:b/>
                <w:i w:val="0"/>
              </w:rPr>
            </w:pPr>
            <w:r w:rsidRPr="00453D92">
              <w:rPr>
                <w:b/>
                <w:i w:val="0"/>
              </w:rPr>
              <w:t>11,690</w:t>
            </w:r>
          </w:p>
        </w:tc>
        <w:tc>
          <w:tcPr>
            <w:tcW w:w="351" w:type="pct"/>
            <w:vAlign w:val="center"/>
          </w:tcPr>
          <w:p w:rsidR="00515D5C" w:rsidRPr="00453D92"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rPr>
                <w:b/>
                <w:i w:val="0"/>
              </w:rPr>
            </w:pPr>
            <w:r w:rsidRPr="00453D92">
              <w:rPr>
                <w:b/>
                <w:i w:val="0"/>
              </w:rPr>
              <w:t>12,575</w:t>
            </w:r>
          </w:p>
        </w:tc>
        <w:tc>
          <w:tcPr>
            <w:tcW w:w="351" w:type="pct"/>
            <w:vAlign w:val="center"/>
          </w:tcPr>
          <w:p w:rsidR="00515D5C" w:rsidRPr="00453D92"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rPr>
                <w:b/>
                <w:i w:val="0"/>
              </w:rPr>
            </w:pPr>
            <w:r w:rsidRPr="00453D92">
              <w:rPr>
                <w:b/>
                <w:i w:val="0"/>
              </w:rPr>
              <w:t>13,515</w:t>
            </w:r>
          </w:p>
        </w:tc>
        <w:tc>
          <w:tcPr>
            <w:tcW w:w="351" w:type="pct"/>
            <w:vAlign w:val="center"/>
          </w:tcPr>
          <w:p w:rsidR="00515D5C" w:rsidRPr="00453D92"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rPr>
                <w:b/>
                <w:i w:val="0"/>
              </w:rPr>
            </w:pPr>
            <w:r w:rsidRPr="00453D92">
              <w:rPr>
                <w:b/>
                <w:i w:val="0"/>
              </w:rPr>
              <w:t>14,505</w:t>
            </w:r>
          </w:p>
        </w:tc>
        <w:tc>
          <w:tcPr>
            <w:tcW w:w="351" w:type="pct"/>
            <w:vAlign w:val="center"/>
          </w:tcPr>
          <w:p w:rsidR="00515D5C" w:rsidRPr="00453D92"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rPr>
                <w:b/>
                <w:i w:val="0"/>
              </w:rPr>
            </w:pPr>
            <w:r w:rsidRPr="00453D92">
              <w:rPr>
                <w:b/>
                <w:i w:val="0"/>
              </w:rPr>
              <w:t>15,485</w:t>
            </w:r>
          </w:p>
        </w:tc>
        <w:tc>
          <w:tcPr>
            <w:tcW w:w="351" w:type="pct"/>
            <w:vAlign w:val="center"/>
          </w:tcPr>
          <w:p w:rsidR="00515D5C" w:rsidRPr="00453D92"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rPr>
                <w:b/>
                <w:i w:val="0"/>
              </w:rPr>
            </w:pPr>
            <w:r w:rsidRPr="00453D92">
              <w:rPr>
                <w:b/>
                <w:i w:val="0"/>
              </w:rPr>
              <w:t>16,525</w:t>
            </w:r>
          </w:p>
        </w:tc>
        <w:tc>
          <w:tcPr>
            <w:tcW w:w="351" w:type="pct"/>
            <w:vAlign w:val="center"/>
          </w:tcPr>
          <w:p w:rsidR="00515D5C" w:rsidRPr="00453D92"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rPr>
                <w:b/>
                <w:i w:val="0"/>
              </w:rPr>
            </w:pPr>
            <w:r w:rsidRPr="00453D92">
              <w:rPr>
                <w:b/>
                <w:i w:val="0"/>
              </w:rPr>
              <w:t>17,605</w:t>
            </w:r>
          </w:p>
        </w:tc>
        <w:tc>
          <w:tcPr>
            <w:tcW w:w="351" w:type="pct"/>
            <w:vAlign w:val="center"/>
          </w:tcPr>
          <w:p w:rsidR="00515D5C" w:rsidRPr="00453D92" w:rsidRDefault="00515D5C">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pPr>
            <w:r w:rsidRPr="00453D92">
              <w:t>132,122</w:t>
            </w:r>
          </w:p>
        </w:tc>
      </w:tr>
      <w:tr w:rsidR="00515D5C" w:rsidRPr="008D77AF" w:rsidTr="00D17A0B">
        <w:tc>
          <w:tcPr>
            <w:cnfStyle w:val="001000000000" w:firstRow="0" w:lastRow="0" w:firstColumn="1" w:lastColumn="0" w:oddVBand="0" w:evenVBand="0" w:oddHBand="0" w:evenHBand="0" w:firstRowFirstColumn="0" w:firstRowLastColumn="0" w:lastRowFirstColumn="0" w:lastRowLastColumn="0"/>
            <w:tcW w:w="786" w:type="pct"/>
            <w:vAlign w:val="center"/>
          </w:tcPr>
          <w:p w:rsidR="00515D5C" w:rsidRPr="00A25ACE" w:rsidRDefault="00515D5C" w:rsidP="00453D92">
            <w:pPr>
              <w:pStyle w:val="TableText"/>
              <w:keepNext/>
              <w:keepLines/>
              <w:ind w:left="113"/>
              <w:rPr>
                <w:b w:val="0"/>
              </w:rPr>
            </w:pPr>
            <w:r w:rsidRPr="006212E3">
              <w:rPr>
                <w:b w:val="0"/>
                <w:color w:val="000000"/>
                <w:szCs w:val="20"/>
              </w:rPr>
              <w:t xml:space="preserve">Personal income tax </w:t>
            </w:r>
            <w:r w:rsidR="00A801B0">
              <w:rPr>
                <w:b w:val="0"/>
                <w:color w:val="000000"/>
                <w:szCs w:val="20"/>
              </w:rPr>
              <w:t>- departmental</w:t>
            </w:r>
          </w:p>
        </w:tc>
        <w:tc>
          <w:tcPr>
            <w:tcW w:w="351" w:type="pct"/>
            <w:vAlign w:val="center"/>
          </w:tcPr>
          <w:p w:rsidR="00515D5C"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087D3D">
              <w:t>-8</w:t>
            </w:r>
          </w:p>
        </w:tc>
        <w:tc>
          <w:tcPr>
            <w:tcW w:w="351" w:type="pct"/>
            <w:vAlign w:val="center"/>
          </w:tcPr>
          <w:p w:rsidR="00515D5C" w:rsidRDefault="00671216">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t>-</w:t>
            </w:r>
          </w:p>
        </w:tc>
        <w:tc>
          <w:tcPr>
            <w:tcW w:w="351" w:type="pct"/>
            <w:vAlign w:val="center"/>
          </w:tcPr>
          <w:p w:rsidR="00515D5C" w:rsidRDefault="00671216">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t>-</w:t>
            </w:r>
          </w:p>
        </w:tc>
        <w:tc>
          <w:tcPr>
            <w:tcW w:w="351" w:type="pct"/>
            <w:vAlign w:val="center"/>
          </w:tcPr>
          <w:p w:rsidR="00515D5C" w:rsidRPr="00453D92" w:rsidRDefault="00515D5C">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rPr>
                <w:b w:val="0"/>
                <w:i/>
              </w:rPr>
            </w:pPr>
            <w:r w:rsidRPr="00453D92">
              <w:rPr>
                <w:b w:val="0"/>
                <w:i/>
              </w:rPr>
              <w:t>-8</w:t>
            </w:r>
          </w:p>
        </w:tc>
        <w:tc>
          <w:tcPr>
            <w:tcW w:w="351" w:type="pct"/>
            <w:vAlign w:val="center"/>
          </w:tcPr>
          <w:p w:rsidR="00515D5C" w:rsidRDefault="00671216">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t>-</w:t>
            </w:r>
          </w:p>
        </w:tc>
        <w:tc>
          <w:tcPr>
            <w:tcW w:w="351" w:type="pct"/>
            <w:vAlign w:val="center"/>
          </w:tcPr>
          <w:p w:rsidR="00515D5C" w:rsidRDefault="00671216">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t>-</w:t>
            </w:r>
          </w:p>
        </w:tc>
        <w:tc>
          <w:tcPr>
            <w:tcW w:w="351" w:type="pct"/>
            <w:vAlign w:val="center"/>
          </w:tcPr>
          <w:p w:rsidR="00515D5C" w:rsidRDefault="00671216">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t>-</w:t>
            </w:r>
          </w:p>
        </w:tc>
        <w:tc>
          <w:tcPr>
            <w:tcW w:w="351" w:type="pct"/>
            <w:vAlign w:val="center"/>
          </w:tcPr>
          <w:p w:rsidR="00515D5C" w:rsidRDefault="00671216">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t>-</w:t>
            </w:r>
          </w:p>
        </w:tc>
        <w:tc>
          <w:tcPr>
            <w:tcW w:w="351" w:type="pct"/>
            <w:vAlign w:val="center"/>
          </w:tcPr>
          <w:p w:rsidR="00515D5C" w:rsidRDefault="00671216">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t>-</w:t>
            </w:r>
          </w:p>
        </w:tc>
        <w:tc>
          <w:tcPr>
            <w:tcW w:w="351" w:type="pct"/>
            <w:vAlign w:val="center"/>
          </w:tcPr>
          <w:p w:rsidR="00515D5C" w:rsidRDefault="00671216">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t>-</w:t>
            </w:r>
          </w:p>
        </w:tc>
        <w:tc>
          <w:tcPr>
            <w:tcW w:w="351" w:type="pct"/>
            <w:vAlign w:val="center"/>
          </w:tcPr>
          <w:p w:rsidR="00515D5C" w:rsidRDefault="00671216">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t>-</w:t>
            </w:r>
          </w:p>
        </w:tc>
        <w:tc>
          <w:tcPr>
            <w:tcW w:w="351" w:type="pct"/>
            <w:vAlign w:val="center"/>
          </w:tcPr>
          <w:p w:rsidR="00515D5C" w:rsidRPr="00453D92" w:rsidRDefault="00515D5C">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rPr>
                <w:i/>
              </w:rPr>
            </w:pPr>
            <w:r w:rsidRPr="00453D92">
              <w:rPr>
                <w:i/>
              </w:rPr>
              <w:t>-8</w:t>
            </w:r>
          </w:p>
        </w:tc>
      </w:tr>
      <w:tr w:rsidR="00D92520" w:rsidRPr="008D77AF" w:rsidTr="00D17A0B">
        <w:tc>
          <w:tcPr>
            <w:cnfStyle w:val="001000000000" w:firstRow="0" w:lastRow="0" w:firstColumn="1" w:lastColumn="0" w:oddVBand="0" w:evenVBand="0" w:oddHBand="0" w:evenHBand="0" w:firstRowFirstColumn="0" w:firstRowLastColumn="0" w:lastRowFirstColumn="0" w:lastRowLastColumn="0"/>
            <w:tcW w:w="786" w:type="pct"/>
            <w:vAlign w:val="center"/>
          </w:tcPr>
          <w:p w:rsidR="00D92520" w:rsidRPr="006212E3" w:rsidRDefault="00D92520" w:rsidP="00453D92">
            <w:pPr>
              <w:pStyle w:val="TableText"/>
              <w:keepNext/>
              <w:keepLines/>
              <w:ind w:left="113"/>
              <w:rPr>
                <w:b w:val="0"/>
                <w:color w:val="000000"/>
                <w:szCs w:val="20"/>
              </w:rPr>
            </w:pPr>
            <w:r w:rsidRPr="00BE3B56">
              <w:rPr>
                <w:b w:val="0"/>
                <w:color w:val="000000"/>
                <w:szCs w:val="20"/>
              </w:rPr>
              <w:t>Excise and import duties - administered</w:t>
            </w:r>
          </w:p>
        </w:tc>
        <w:tc>
          <w:tcPr>
            <w:tcW w:w="351" w:type="pct"/>
            <w:vAlign w:val="center"/>
          </w:tcPr>
          <w:p w:rsidR="00D92520" w:rsidRPr="00D92520" w:rsidRDefault="00D92520">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D92520">
              <w:t>9,250</w:t>
            </w:r>
          </w:p>
        </w:tc>
        <w:tc>
          <w:tcPr>
            <w:tcW w:w="351" w:type="pct"/>
            <w:vAlign w:val="center"/>
          </w:tcPr>
          <w:p w:rsidR="00D92520" w:rsidRPr="00D92520" w:rsidRDefault="00D92520">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D92520">
              <w:t>10,120</w:t>
            </w:r>
          </w:p>
        </w:tc>
        <w:tc>
          <w:tcPr>
            <w:tcW w:w="351" w:type="pct"/>
            <w:vAlign w:val="center"/>
          </w:tcPr>
          <w:p w:rsidR="00D92520" w:rsidRPr="00D92520" w:rsidRDefault="00D92520">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D92520">
              <w:t>10,720</w:t>
            </w:r>
          </w:p>
        </w:tc>
        <w:tc>
          <w:tcPr>
            <w:tcW w:w="351" w:type="pct"/>
            <w:vAlign w:val="center"/>
          </w:tcPr>
          <w:p w:rsidR="00D92520" w:rsidRPr="00D92520" w:rsidRDefault="00D92520">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rPr>
                <w:b w:val="0"/>
                <w:i/>
              </w:rPr>
            </w:pPr>
            <w:r w:rsidRPr="006B4078">
              <w:rPr>
                <w:b w:val="0"/>
                <w:i/>
              </w:rPr>
              <w:t>30,100</w:t>
            </w:r>
          </w:p>
        </w:tc>
        <w:tc>
          <w:tcPr>
            <w:tcW w:w="351" w:type="pct"/>
            <w:vAlign w:val="center"/>
          </w:tcPr>
          <w:p w:rsidR="00D92520" w:rsidRPr="00D92520" w:rsidRDefault="00D92520">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D92520">
              <w:t>11,600</w:t>
            </w:r>
          </w:p>
        </w:tc>
        <w:tc>
          <w:tcPr>
            <w:tcW w:w="351" w:type="pct"/>
            <w:vAlign w:val="center"/>
          </w:tcPr>
          <w:p w:rsidR="00D92520" w:rsidRPr="00D92520" w:rsidRDefault="00D92520">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D92520">
              <w:t>12,490</w:t>
            </w:r>
          </w:p>
        </w:tc>
        <w:tc>
          <w:tcPr>
            <w:tcW w:w="351" w:type="pct"/>
            <w:vAlign w:val="center"/>
          </w:tcPr>
          <w:p w:rsidR="00D92520" w:rsidRPr="00D92520" w:rsidRDefault="00D92520">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D92520">
              <w:t>13,420</w:t>
            </w:r>
          </w:p>
        </w:tc>
        <w:tc>
          <w:tcPr>
            <w:tcW w:w="351" w:type="pct"/>
            <w:vAlign w:val="center"/>
          </w:tcPr>
          <w:p w:rsidR="00D92520" w:rsidRPr="00D92520" w:rsidRDefault="00D92520">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D92520">
              <w:t>14,410</w:t>
            </w:r>
          </w:p>
        </w:tc>
        <w:tc>
          <w:tcPr>
            <w:tcW w:w="351" w:type="pct"/>
            <w:vAlign w:val="center"/>
          </w:tcPr>
          <w:p w:rsidR="00D92520" w:rsidRPr="00D92520" w:rsidRDefault="00D92520">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D92520">
              <w:t>15,390</w:t>
            </w:r>
          </w:p>
        </w:tc>
        <w:tc>
          <w:tcPr>
            <w:tcW w:w="351" w:type="pct"/>
            <w:vAlign w:val="center"/>
          </w:tcPr>
          <w:p w:rsidR="00D92520" w:rsidRPr="00D92520" w:rsidRDefault="00D92520">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D92520">
              <w:t>16,430</w:t>
            </w:r>
          </w:p>
        </w:tc>
        <w:tc>
          <w:tcPr>
            <w:tcW w:w="351" w:type="pct"/>
            <w:vAlign w:val="center"/>
          </w:tcPr>
          <w:p w:rsidR="00D92520" w:rsidRPr="00D92520" w:rsidRDefault="00D92520">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D92520">
              <w:t>17,510</w:t>
            </w:r>
          </w:p>
        </w:tc>
        <w:tc>
          <w:tcPr>
            <w:tcW w:w="351" w:type="pct"/>
            <w:vAlign w:val="center"/>
          </w:tcPr>
          <w:p w:rsidR="00D92520" w:rsidRPr="00D92520" w:rsidRDefault="00D92520">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rPr>
                <w:i/>
              </w:rPr>
            </w:pPr>
            <w:r w:rsidRPr="006B4078">
              <w:rPr>
                <w:i/>
              </w:rPr>
              <w:t>131,340</w:t>
            </w:r>
          </w:p>
        </w:tc>
      </w:tr>
      <w:tr w:rsidR="00D92520" w:rsidRPr="008D77AF" w:rsidTr="00D17A0B">
        <w:tc>
          <w:tcPr>
            <w:cnfStyle w:val="001000000000" w:firstRow="0" w:lastRow="0" w:firstColumn="1" w:lastColumn="0" w:oddVBand="0" w:evenVBand="0" w:oddHBand="0" w:evenHBand="0" w:firstRowFirstColumn="0" w:firstRowLastColumn="0" w:lastRowFirstColumn="0" w:lastRowLastColumn="0"/>
            <w:tcW w:w="786" w:type="pct"/>
            <w:vAlign w:val="center"/>
          </w:tcPr>
          <w:p w:rsidR="00D92520" w:rsidRPr="00A25ACE" w:rsidRDefault="00D92520" w:rsidP="00453D92">
            <w:pPr>
              <w:pStyle w:val="TableText"/>
              <w:keepNext/>
              <w:keepLines/>
              <w:ind w:left="113"/>
              <w:rPr>
                <w:b w:val="0"/>
              </w:rPr>
            </w:pPr>
            <w:r w:rsidRPr="00BE3B56">
              <w:rPr>
                <w:b w:val="0"/>
                <w:color w:val="000000"/>
                <w:szCs w:val="20"/>
              </w:rPr>
              <w:t>Excise and import duties - departmental</w:t>
            </w:r>
          </w:p>
        </w:tc>
        <w:tc>
          <w:tcPr>
            <w:tcW w:w="351" w:type="pct"/>
            <w:vAlign w:val="center"/>
          </w:tcPr>
          <w:p w:rsidR="00D92520" w:rsidRPr="00D92520" w:rsidRDefault="00D92520">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D92520">
              <w:t>20</w:t>
            </w:r>
          </w:p>
        </w:tc>
        <w:tc>
          <w:tcPr>
            <w:tcW w:w="351" w:type="pct"/>
            <w:vAlign w:val="center"/>
          </w:tcPr>
          <w:p w:rsidR="00D92520" w:rsidRPr="00D92520" w:rsidRDefault="00D92520">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D92520">
              <w:t>110</w:t>
            </w:r>
          </w:p>
        </w:tc>
        <w:tc>
          <w:tcPr>
            <w:tcW w:w="351" w:type="pct"/>
            <w:vAlign w:val="center"/>
          </w:tcPr>
          <w:p w:rsidR="00D92520" w:rsidRPr="00D92520" w:rsidRDefault="00D92520">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D92520">
              <w:t>110</w:t>
            </w:r>
          </w:p>
        </w:tc>
        <w:tc>
          <w:tcPr>
            <w:tcW w:w="351" w:type="pct"/>
            <w:vAlign w:val="center"/>
          </w:tcPr>
          <w:p w:rsidR="00D92520" w:rsidRPr="00D92520" w:rsidRDefault="00D92520">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rPr>
                <w:b w:val="0"/>
                <w:i/>
              </w:rPr>
            </w:pPr>
            <w:r w:rsidRPr="006B4078">
              <w:rPr>
                <w:b w:val="0"/>
                <w:i/>
              </w:rPr>
              <w:t>245</w:t>
            </w:r>
          </w:p>
        </w:tc>
        <w:tc>
          <w:tcPr>
            <w:tcW w:w="351" w:type="pct"/>
            <w:vAlign w:val="center"/>
          </w:tcPr>
          <w:p w:rsidR="00D92520" w:rsidRPr="00D92520" w:rsidRDefault="00D92520">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D92520">
              <w:t>110</w:t>
            </w:r>
          </w:p>
        </w:tc>
        <w:tc>
          <w:tcPr>
            <w:tcW w:w="351" w:type="pct"/>
            <w:vAlign w:val="center"/>
          </w:tcPr>
          <w:p w:rsidR="00D92520" w:rsidRPr="00D92520" w:rsidRDefault="00D92520">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D92520">
              <w:t>105</w:t>
            </w:r>
          </w:p>
        </w:tc>
        <w:tc>
          <w:tcPr>
            <w:tcW w:w="351" w:type="pct"/>
            <w:vAlign w:val="center"/>
          </w:tcPr>
          <w:p w:rsidR="00D92520" w:rsidRPr="00D92520" w:rsidRDefault="00D92520">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D92520">
              <w:t>105</w:t>
            </w:r>
          </w:p>
        </w:tc>
        <w:tc>
          <w:tcPr>
            <w:tcW w:w="351" w:type="pct"/>
            <w:vAlign w:val="center"/>
          </w:tcPr>
          <w:p w:rsidR="00D92520" w:rsidRPr="00D92520" w:rsidRDefault="00D92520">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D92520">
              <w:t>105</w:t>
            </w:r>
          </w:p>
        </w:tc>
        <w:tc>
          <w:tcPr>
            <w:tcW w:w="351" w:type="pct"/>
            <w:vAlign w:val="center"/>
          </w:tcPr>
          <w:p w:rsidR="00D92520" w:rsidRPr="00D92520" w:rsidRDefault="00D92520">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D92520">
              <w:t>105</w:t>
            </w:r>
          </w:p>
        </w:tc>
        <w:tc>
          <w:tcPr>
            <w:tcW w:w="351" w:type="pct"/>
            <w:vAlign w:val="center"/>
          </w:tcPr>
          <w:p w:rsidR="00D92520" w:rsidRPr="00D92520" w:rsidRDefault="00D92520">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D92520">
              <w:t>105</w:t>
            </w:r>
          </w:p>
        </w:tc>
        <w:tc>
          <w:tcPr>
            <w:tcW w:w="351" w:type="pct"/>
            <w:vAlign w:val="center"/>
          </w:tcPr>
          <w:p w:rsidR="00D92520" w:rsidRPr="00D92520" w:rsidRDefault="00D92520">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D92520">
              <w:t>105</w:t>
            </w:r>
          </w:p>
        </w:tc>
        <w:tc>
          <w:tcPr>
            <w:tcW w:w="351" w:type="pct"/>
            <w:vAlign w:val="center"/>
          </w:tcPr>
          <w:p w:rsidR="00D92520" w:rsidRPr="00D92520" w:rsidRDefault="00D92520">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rPr>
                <w:i/>
              </w:rPr>
            </w:pPr>
            <w:r w:rsidRPr="006B4078">
              <w:rPr>
                <w:i/>
              </w:rPr>
              <w:t>1,000</w:t>
            </w:r>
          </w:p>
        </w:tc>
      </w:tr>
      <w:tr w:rsidR="00515D5C" w:rsidRPr="008D77AF" w:rsidTr="00D17A0B">
        <w:tc>
          <w:tcPr>
            <w:cnfStyle w:val="001000000000" w:firstRow="0" w:lastRow="0" w:firstColumn="1" w:lastColumn="0" w:oddVBand="0" w:evenVBand="0" w:oddHBand="0" w:evenHBand="0" w:firstRowFirstColumn="0" w:firstRowLastColumn="0" w:lastRowFirstColumn="0" w:lastRowLastColumn="0"/>
            <w:tcW w:w="786" w:type="pct"/>
            <w:vAlign w:val="center"/>
          </w:tcPr>
          <w:p w:rsidR="00515D5C" w:rsidRPr="00B134E8" w:rsidRDefault="00515D5C" w:rsidP="00067E5B">
            <w:pPr>
              <w:pStyle w:val="TableText"/>
              <w:keepNext/>
              <w:keepLines/>
              <w:ind w:left="113" w:right="0"/>
              <w:rPr>
                <w:b w:val="0"/>
              </w:rPr>
            </w:pPr>
            <w:r w:rsidRPr="006212E3">
              <w:rPr>
                <w:b w:val="0"/>
                <w:color w:val="000000"/>
                <w:szCs w:val="20"/>
              </w:rPr>
              <w:t>GST</w:t>
            </w:r>
            <w:r w:rsidR="00A801B0">
              <w:rPr>
                <w:b w:val="0"/>
                <w:color w:val="000000"/>
                <w:szCs w:val="20"/>
              </w:rPr>
              <w:t xml:space="preserve"> - departmental</w:t>
            </w:r>
          </w:p>
        </w:tc>
        <w:tc>
          <w:tcPr>
            <w:tcW w:w="351" w:type="pct"/>
            <w:vAlign w:val="center"/>
          </w:tcPr>
          <w:p w:rsidR="00515D5C"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087D3D">
              <w:t>-60</w:t>
            </w:r>
          </w:p>
        </w:tc>
        <w:tc>
          <w:tcPr>
            <w:tcW w:w="351" w:type="pct"/>
            <w:vAlign w:val="center"/>
          </w:tcPr>
          <w:p w:rsidR="00515D5C"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087D3D">
              <w:t>-40</w:t>
            </w:r>
          </w:p>
        </w:tc>
        <w:tc>
          <w:tcPr>
            <w:tcW w:w="351" w:type="pct"/>
            <w:vAlign w:val="center"/>
          </w:tcPr>
          <w:p w:rsidR="00515D5C"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087D3D">
              <w:t>-20</w:t>
            </w:r>
          </w:p>
        </w:tc>
        <w:tc>
          <w:tcPr>
            <w:tcW w:w="351" w:type="pct"/>
            <w:vAlign w:val="center"/>
          </w:tcPr>
          <w:p w:rsidR="00515D5C" w:rsidRPr="00453D92" w:rsidRDefault="00515D5C">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rPr>
                <w:b w:val="0"/>
                <w:i/>
              </w:rPr>
            </w:pPr>
            <w:r w:rsidRPr="00453D92">
              <w:rPr>
                <w:b w:val="0"/>
                <w:i/>
              </w:rPr>
              <w:t>-120</w:t>
            </w:r>
          </w:p>
        </w:tc>
        <w:tc>
          <w:tcPr>
            <w:tcW w:w="351" w:type="pct"/>
            <w:vAlign w:val="center"/>
          </w:tcPr>
          <w:p w:rsidR="00515D5C"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087D3D">
              <w:t>-20</w:t>
            </w:r>
          </w:p>
        </w:tc>
        <w:tc>
          <w:tcPr>
            <w:tcW w:w="351" w:type="pct"/>
            <w:vAlign w:val="center"/>
          </w:tcPr>
          <w:p w:rsidR="00515D5C"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087D3D">
              <w:t>-20</w:t>
            </w:r>
          </w:p>
        </w:tc>
        <w:tc>
          <w:tcPr>
            <w:tcW w:w="351" w:type="pct"/>
            <w:vAlign w:val="center"/>
          </w:tcPr>
          <w:p w:rsidR="00515D5C"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087D3D">
              <w:t>-10</w:t>
            </w:r>
          </w:p>
        </w:tc>
        <w:tc>
          <w:tcPr>
            <w:tcW w:w="351" w:type="pct"/>
            <w:vAlign w:val="center"/>
          </w:tcPr>
          <w:p w:rsidR="00515D5C"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087D3D">
              <w:t>-10</w:t>
            </w:r>
          </w:p>
        </w:tc>
        <w:tc>
          <w:tcPr>
            <w:tcW w:w="351" w:type="pct"/>
            <w:vAlign w:val="center"/>
          </w:tcPr>
          <w:p w:rsidR="00515D5C"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087D3D">
              <w:t>-10</w:t>
            </w:r>
          </w:p>
        </w:tc>
        <w:tc>
          <w:tcPr>
            <w:tcW w:w="351" w:type="pct"/>
            <w:vAlign w:val="center"/>
          </w:tcPr>
          <w:p w:rsidR="00515D5C"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087D3D">
              <w:t>-10</w:t>
            </w:r>
          </w:p>
        </w:tc>
        <w:tc>
          <w:tcPr>
            <w:tcW w:w="351" w:type="pct"/>
            <w:vAlign w:val="center"/>
          </w:tcPr>
          <w:p w:rsidR="00515D5C" w:rsidRDefault="00515D5C">
            <w:pPr>
              <w:pStyle w:val="TableTextRightItalic"/>
              <w:keepNext/>
              <w:keepLines/>
              <w:ind w:left="-57" w:right="-57"/>
              <w:cnfStyle w:val="000000000000" w:firstRow="0" w:lastRow="0" w:firstColumn="0" w:lastColumn="0" w:oddVBand="0" w:evenVBand="0" w:oddHBand="0" w:evenHBand="0" w:firstRowFirstColumn="0" w:firstRowLastColumn="0" w:lastRowFirstColumn="0" w:lastRowLastColumn="0"/>
            </w:pPr>
            <w:r w:rsidRPr="00087D3D">
              <w:t>-10</w:t>
            </w:r>
          </w:p>
        </w:tc>
        <w:tc>
          <w:tcPr>
            <w:tcW w:w="351" w:type="pct"/>
            <w:vAlign w:val="center"/>
          </w:tcPr>
          <w:p w:rsidR="00515D5C" w:rsidRPr="00453D92" w:rsidRDefault="00515D5C">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rPr>
                <w:i/>
              </w:rPr>
            </w:pPr>
            <w:r w:rsidRPr="00453D92">
              <w:rPr>
                <w:i/>
              </w:rPr>
              <w:t>-210</w:t>
            </w:r>
          </w:p>
        </w:tc>
      </w:tr>
      <w:tr w:rsidR="00D17A0B" w:rsidTr="00D17A0B">
        <w:tc>
          <w:tcPr>
            <w:cnfStyle w:val="001000000000" w:firstRow="0" w:lastRow="0" w:firstColumn="1" w:lastColumn="0" w:oddVBand="0" w:evenVBand="0" w:oddHBand="0" w:evenHBand="0" w:firstRowFirstColumn="0" w:firstRowLastColumn="0" w:lastRowFirstColumn="0" w:lastRowLastColumn="0"/>
            <w:tcW w:w="786" w:type="pct"/>
            <w:shd w:val="clear" w:color="auto" w:fill="D7DDE9" w:themeFill="accent3"/>
            <w:vAlign w:val="center"/>
          </w:tcPr>
          <w:p w:rsidR="00515D5C" w:rsidRPr="008D77AF" w:rsidRDefault="00515D5C">
            <w:pPr>
              <w:pStyle w:val="TableText"/>
              <w:keepNext/>
              <w:keepLines/>
            </w:pPr>
            <w:r w:rsidRPr="008D77AF">
              <w:t>Total</w:t>
            </w:r>
          </w:p>
        </w:tc>
        <w:tc>
          <w:tcPr>
            <w:tcW w:w="351" w:type="pct"/>
            <w:shd w:val="clear" w:color="auto" w:fill="D7DDE9" w:themeFill="accent3"/>
            <w:vAlign w:val="center"/>
          </w:tcPr>
          <w:p w:rsidR="00515D5C" w:rsidRDefault="00515D5C">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pPr>
            <w:r w:rsidRPr="00087D3D">
              <w:t>-144,828</w:t>
            </w:r>
          </w:p>
        </w:tc>
        <w:tc>
          <w:tcPr>
            <w:tcW w:w="351" w:type="pct"/>
            <w:shd w:val="clear" w:color="auto" w:fill="D7DDE9" w:themeFill="accent3"/>
            <w:vAlign w:val="center"/>
          </w:tcPr>
          <w:p w:rsidR="00515D5C" w:rsidRDefault="00515D5C">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pPr>
            <w:r w:rsidRPr="00087D3D">
              <w:t>-166,480</w:t>
            </w:r>
          </w:p>
        </w:tc>
        <w:tc>
          <w:tcPr>
            <w:tcW w:w="351" w:type="pct"/>
            <w:shd w:val="clear" w:color="auto" w:fill="D7DDE9" w:themeFill="accent3"/>
            <w:vAlign w:val="center"/>
          </w:tcPr>
          <w:p w:rsidR="00515D5C" w:rsidRDefault="00515D5C">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pPr>
            <w:r w:rsidRPr="00087D3D">
              <w:t>-175,480</w:t>
            </w:r>
          </w:p>
        </w:tc>
        <w:tc>
          <w:tcPr>
            <w:tcW w:w="351" w:type="pct"/>
            <w:shd w:val="clear" w:color="auto" w:fill="D7DDE9" w:themeFill="accent3"/>
            <w:vAlign w:val="center"/>
          </w:tcPr>
          <w:p w:rsidR="00515D5C" w:rsidRDefault="00515D5C">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pPr>
            <w:r w:rsidRPr="00087D3D">
              <w:t>-486,788</w:t>
            </w:r>
          </w:p>
        </w:tc>
        <w:tc>
          <w:tcPr>
            <w:tcW w:w="351" w:type="pct"/>
            <w:shd w:val="clear" w:color="auto" w:fill="D7DDE9" w:themeFill="accent3"/>
            <w:vAlign w:val="center"/>
          </w:tcPr>
          <w:p w:rsidR="00515D5C" w:rsidRDefault="00515D5C">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pPr>
            <w:r w:rsidRPr="00087D3D">
              <w:t>-186,160</w:t>
            </w:r>
          </w:p>
        </w:tc>
        <w:tc>
          <w:tcPr>
            <w:tcW w:w="351" w:type="pct"/>
            <w:shd w:val="clear" w:color="auto" w:fill="D7DDE9" w:themeFill="accent3"/>
            <w:vAlign w:val="center"/>
          </w:tcPr>
          <w:p w:rsidR="00515D5C" w:rsidRDefault="00515D5C">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pPr>
            <w:r w:rsidRPr="00087D3D">
              <w:t>-194,385</w:t>
            </w:r>
          </w:p>
        </w:tc>
        <w:tc>
          <w:tcPr>
            <w:tcW w:w="351" w:type="pct"/>
            <w:shd w:val="clear" w:color="auto" w:fill="D7DDE9" w:themeFill="accent3"/>
            <w:vAlign w:val="center"/>
          </w:tcPr>
          <w:p w:rsidR="00515D5C" w:rsidRDefault="00515D5C">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pPr>
            <w:r w:rsidRPr="00087D3D">
              <w:t>-204,465</w:t>
            </w:r>
          </w:p>
        </w:tc>
        <w:tc>
          <w:tcPr>
            <w:tcW w:w="351" w:type="pct"/>
            <w:shd w:val="clear" w:color="auto" w:fill="D7DDE9" w:themeFill="accent3"/>
            <w:vAlign w:val="center"/>
          </w:tcPr>
          <w:p w:rsidR="00515D5C" w:rsidRDefault="00515D5C">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pPr>
            <w:r w:rsidRPr="00087D3D">
              <w:t>-212,375</w:t>
            </w:r>
          </w:p>
        </w:tc>
        <w:tc>
          <w:tcPr>
            <w:tcW w:w="351" w:type="pct"/>
            <w:shd w:val="clear" w:color="auto" w:fill="D7DDE9" w:themeFill="accent3"/>
            <w:vAlign w:val="center"/>
          </w:tcPr>
          <w:p w:rsidR="00515D5C" w:rsidRDefault="00515D5C">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pPr>
            <w:r w:rsidRPr="00087D3D">
              <w:t>-221,815</w:t>
            </w:r>
          </w:p>
        </w:tc>
        <w:tc>
          <w:tcPr>
            <w:tcW w:w="351" w:type="pct"/>
            <w:shd w:val="clear" w:color="auto" w:fill="D7DDE9" w:themeFill="accent3"/>
            <w:vAlign w:val="center"/>
          </w:tcPr>
          <w:p w:rsidR="00515D5C" w:rsidRDefault="00515D5C">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pPr>
            <w:r w:rsidRPr="00087D3D">
              <w:t>-230,275</w:t>
            </w:r>
          </w:p>
        </w:tc>
        <w:tc>
          <w:tcPr>
            <w:tcW w:w="351" w:type="pct"/>
            <w:shd w:val="clear" w:color="auto" w:fill="D7DDE9" w:themeFill="accent3"/>
            <w:vAlign w:val="center"/>
          </w:tcPr>
          <w:p w:rsidR="00515D5C" w:rsidRDefault="00515D5C">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pPr>
            <w:r w:rsidRPr="00087D3D">
              <w:t>-240,035</w:t>
            </w:r>
          </w:p>
        </w:tc>
        <w:tc>
          <w:tcPr>
            <w:tcW w:w="351" w:type="pct"/>
            <w:shd w:val="clear" w:color="auto" w:fill="D7DDE9" w:themeFill="accent3"/>
            <w:vAlign w:val="center"/>
          </w:tcPr>
          <w:p w:rsidR="00515D5C" w:rsidRDefault="00515D5C">
            <w:pPr>
              <w:pStyle w:val="TableTextRightBold"/>
              <w:keepNext/>
              <w:keepLines/>
              <w:ind w:left="-57" w:right="-57"/>
              <w:cnfStyle w:val="000000000000" w:firstRow="0" w:lastRow="0" w:firstColumn="0" w:lastColumn="0" w:oddVBand="0" w:evenVBand="0" w:oddHBand="0" w:evenHBand="0" w:firstRowFirstColumn="0" w:firstRowLastColumn="0" w:lastRowFirstColumn="0" w:lastRowLastColumn="0"/>
            </w:pPr>
            <w:r w:rsidRPr="00087D3D">
              <w:t>-1,976,298</w:t>
            </w:r>
          </w:p>
        </w:tc>
      </w:tr>
    </w:tbl>
    <w:p w:rsidR="005642B7" w:rsidRDefault="005642B7" w:rsidP="0089385B">
      <w:pPr>
        <w:pStyle w:val="TableFootnotes"/>
        <w:keepNext/>
        <w:numPr>
          <w:ilvl w:val="0"/>
          <w:numId w:val="31"/>
        </w:numPr>
        <w:ind w:left="284" w:hanging="284"/>
      </w:pPr>
      <w:r>
        <w:t>A positive number for the fiscal balance indicates an increase in revenue or a decrease in expenses or net capital investment in accrual terms.  A negative number for the fiscal balance indicates a decrease in revenue or an increase in expenses or net capital investment in accrual terms.</w:t>
      </w:r>
    </w:p>
    <w:p w:rsidR="005642B7" w:rsidRDefault="005642B7">
      <w:pPr>
        <w:pStyle w:val="TableFootnotes"/>
        <w:keepNext/>
      </w:pPr>
      <w:r>
        <w:t>Figures may not sum to totals due to rounding.</w:t>
      </w:r>
    </w:p>
    <w:p w:rsidR="00D022B5" w:rsidRPr="002D239A" w:rsidRDefault="00D022B5" w:rsidP="00D17A0B">
      <w:pPr>
        <w:pStyle w:val="TableFootnotes"/>
      </w:pPr>
      <w:r>
        <w:t>Component estimates are the financial impact of each component of the option costed.</w:t>
      </w:r>
    </w:p>
    <w:p w:rsidR="00D74722" w:rsidRPr="00731C21" w:rsidRDefault="00D74722" w:rsidP="00907DFB">
      <w:pPr>
        <w:pStyle w:val="TableFootnotes"/>
        <w:numPr>
          <w:ilvl w:val="0"/>
          <w:numId w:val="11"/>
        </w:numPr>
        <w:ind w:left="284" w:hanging="284"/>
        <w:rPr>
          <w:b/>
          <w:bCs/>
          <w:color w:val="2B3B5F" w:themeColor="text2"/>
          <w:spacing w:val="-4"/>
        </w:rPr>
      </w:pPr>
      <w:r>
        <w:t>Indicates nil.</w:t>
      </w:r>
    </w:p>
    <w:p w:rsidR="005642B7" w:rsidRDefault="005642B7" w:rsidP="00907DFB">
      <w:pPr>
        <w:pStyle w:val="Caption"/>
        <w:rPr>
          <w:vertAlign w:val="superscript"/>
        </w:rPr>
      </w:pPr>
      <w:r w:rsidRPr="002D239A">
        <w:lastRenderedPageBreak/>
        <w:t xml:space="preserve">Table </w:t>
      </w:r>
      <w:r w:rsidR="001F29CD">
        <w:fldChar w:fldCharType="begin"/>
      </w:r>
      <w:r w:rsidR="001F29CD">
        <w:instrText xml:space="preserve"> STYLEREF 8 \s </w:instrText>
      </w:r>
      <w:r w:rsidR="001F29CD">
        <w:fldChar w:fldCharType="separate"/>
      </w:r>
      <w:r w:rsidR="00784163">
        <w:rPr>
          <w:noProof/>
        </w:rPr>
        <w:t>A</w:t>
      </w:r>
      <w:r w:rsidR="001F29CD">
        <w:rPr>
          <w:noProof/>
        </w:rPr>
        <w:fldChar w:fldCharType="end"/>
      </w:r>
      <w:r>
        <w:t>6</w:t>
      </w:r>
      <w:r w:rsidRPr="002D239A">
        <w:t xml:space="preserve">: </w:t>
      </w:r>
      <w:r w:rsidR="008B4307">
        <w:t xml:space="preserve">Tax – </w:t>
      </w:r>
      <w:r>
        <w:t>Option 3</w:t>
      </w:r>
      <w:r w:rsidR="00FC51CA">
        <w:t xml:space="preserve"> – </w:t>
      </w:r>
      <w:r w:rsidR="0089385B">
        <w:t>Personal income tax, company tax, excise and customs duty</w:t>
      </w:r>
      <w:r w:rsidR="00063EC2">
        <w:t>,</w:t>
      </w:r>
      <w:r w:rsidR="00FC51CA">
        <w:t xml:space="preserve"> </w:t>
      </w:r>
      <w:r w:rsidR="00D411F5">
        <w:t>and</w:t>
      </w:r>
      <w:r w:rsidR="00FC51CA">
        <w:t xml:space="preserve"> GST like New Zealand</w:t>
      </w:r>
      <w:r>
        <w:t xml:space="preserve">—Underlying cash </w:t>
      </w:r>
      <w:proofErr w:type="gramStart"/>
      <w:r>
        <w:t>balance</w:t>
      </w:r>
      <w:r w:rsidRPr="002D239A">
        <w:rPr>
          <w:vertAlign w:val="superscript"/>
        </w:rPr>
        <w:t>(</w:t>
      </w:r>
      <w:proofErr w:type="gramEnd"/>
      <w:r w:rsidRPr="002D239A">
        <w:rPr>
          <w:vertAlign w:val="superscript"/>
        </w:rPr>
        <w:t>a)(b)</w:t>
      </w:r>
    </w:p>
    <w:tbl>
      <w:tblPr>
        <w:tblStyle w:val="LightGrid-Accent6"/>
        <w:tblW w:w="4999" w:type="pct"/>
        <w:tblLayout w:type="fixed"/>
        <w:tblLook w:val="0680" w:firstRow="0" w:lastRow="0" w:firstColumn="1" w:lastColumn="0" w:noHBand="1" w:noVBand="1"/>
      </w:tblPr>
      <w:tblGrid>
        <w:gridCol w:w="2236"/>
        <w:gridCol w:w="999"/>
        <w:gridCol w:w="999"/>
        <w:gridCol w:w="999"/>
        <w:gridCol w:w="999"/>
        <w:gridCol w:w="999"/>
        <w:gridCol w:w="998"/>
        <w:gridCol w:w="998"/>
        <w:gridCol w:w="998"/>
        <w:gridCol w:w="998"/>
        <w:gridCol w:w="998"/>
        <w:gridCol w:w="998"/>
        <w:gridCol w:w="998"/>
      </w:tblGrid>
      <w:tr w:rsidR="00080CED" w:rsidTr="00DB55D3">
        <w:tc>
          <w:tcPr>
            <w:cnfStyle w:val="001000000000" w:firstRow="0" w:lastRow="0" w:firstColumn="1" w:lastColumn="0" w:oddVBand="0" w:evenVBand="0" w:oddHBand="0" w:evenHBand="0" w:firstRowFirstColumn="0" w:firstRowLastColumn="0" w:lastRowFirstColumn="0" w:lastRowLastColumn="0"/>
            <w:tcW w:w="786" w:type="pct"/>
            <w:shd w:val="clear" w:color="auto" w:fill="D7DDE9" w:themeFill="accent3"/>
            <w:vAlign w:val="center"/>
          </w:tcPr>
          <w:p w:rsidR="0032047F" w:rsidRDefault="0032047F" w:rsidP="00386BB5">
            <w:pPr>
              <w:pStyle w:val="TableHeading"/>
            </w:pPr>
            <w:r>
              <w:t>($m)</w:t>
            </w:r>
          </w:p>
          <w:p w:rsidR="00D74722" w:rsidRPr="002D239A" w:rsidRDefault="00D74722" w:rsidP="00386BB5">
            <w:pPr>
              <w:pStyle w:val="TableHeading"/>
            </w:pPr>
            <w:r>
              <w:t>Component</w:t>
            </w:r>
            <w:r w:rsidRPr="002D239A">
              <w:rPr>
                <w:vertAlign w:val="superscript"/>
              </w:rPr>
              <w:t>(</w:t>
            </w:r>
            <w:r>
              <w:rPr>
                <w:vertAlign w:val="superscript"/>
              </w:rPr>
              <w:t>c)</w:t>
            </w:r>
          </w:p>
        </w:tc>
        <w:tc>
          <w:tcPr>
            <w:tcW w:w="351" w:type="pct"/>
            <w:shd w:val="clear" w:color="auto" w:fill="D7DDE9" w:themeFill="accent3"/>
            <w:vAlign w:val="center"/>
          </w:tcPr>
          <w:p w:rsidR="0032047F" w:rsidRPr="002D239A" w:rsidRDefault="0032047F" w:rsidP="006B4078">
            <w:pPr>
              <w:pStyle w:val="TableHeadingRight"/>
              <w:ind w:left="0" w:right="0"/>
              <w:cnfStyle w:val="000000000000" w:firstRow="0" w:lastRow="0" w:firstColumn="0" w:lastColumn="0" w:oddVBand="0" w:evenVBand="0" w:oddHBand="0" w:evenHBand="0" w:firstRowFirstColumn="0" w:firstRowLastColumn="0" w:lastRowFirstColumn="0" w:lastRowLastColumn="0"/>
              <w:rPr>
                <w:b w:val="0"/>
              </w:rPr>
            </w:pPr>
            <w:r>
              <w:rPr>
                <w:b w:val="0"/>
              </w:rPr>
              <w:t>2017-18</w:t>
            </w:r>
          </w:p>
        </w:tc>
        <w:tc>
          <w:tcPr>
            <w:tcW w:w="351" w:type="pct"/>
            <w:shd w:val="clear" w:color="auto" w:fill="D7DDE9" w:themeFill="accent3"/>
            <w:vAlign w:val="center"/>
          </w:tcPr>
          <w:p w:rsidR="0032047F" w:rsidRPr="002D239A" w:rsidRDefault="0032047F" w:rsidP="006B4078">
            <w:pPr>
              <w:pStyle w:val="TableHeadingRight"/>
              <w:ind w:left="0" w:right="0"/>
              <w:cnfStyle w:val="000000000000" w:firstRow="0" w:lastRow="0" w:firstColumn="0" w:lastColumn="0" w:oddVBand="0" w:evenVBand="0" w:oddHBand="0" w:evenHBand="0" w:firstRowFirstColumn="0" w:firstRowLastColumn="0" w:lastRowFirstColumn="0" w:lastRowLastColumn="0"/>
              <w:rPr>
                <w:b w:val="0"/>
              </w:rPr>
            </w:pPr>
            <w:r>
              <w:rPr>
                <w:b w:val="0"/>
              </w:rPr>
              <w:t>2018-19</w:t>
            </w:r>
          </w:p>
        </w:tc>
        <w:tc>
          <w:tcPr>
            <w:tcW w:w="351" w:type="pct"/>
            <w:shd w:val="clear" w:color="auto" w:fill="D7DDE9" w:themeFill="accent3"/>
            <w:vAlign w:val="center"/>
          </w:tcPr>
          <w:p w:rsidR="0032047F" w:rsidRPr="002D239A" w:rsidRDefault="0032047F" w:rsidP="006B4078">
            <w:pPr>
              <w:pStyle w:val="TableHeadingRight"/>
              <w:ind w:left="0" w:right="0"/>
              <w:cnfStyle w:val="000000000000" w:firstRow="0" w:lastRow="0" w:firstColumn="0" w:lastColumn="0" w:oddVBand="0" w:evenVBand="0" w:oddHBand="0" w:evenHBand="0" w:firstRowFirstColumn="0" w:firstRowLastColumn="0" w:lastRowFirstColumn="0" w:lastRowLastColumn="0"/>
              <w:rPr>
                <w:b w:val="0"/>
              </w:rPr>
            </w:pPr>
            <w:r>
              <w:rPr>
                <w:b w:val="0"/>
              </w:rPr>
              <w:t>2019-20</w:t>
            </w:r>
          </w:p>
        </w:tc>
        <w:tc>
          <w:tcPr>
            <w:tcW w:w="351" w:type="pct"/>
            <w:shd w:val="clear" w:color="auto" w:fill="D7DDE9" w:themeFill="accent3"/>
            <w:vAlign w:val="center"/>
          </w:tcPr>
          <w:p w:rsidR="0032047F" w:rsidRPr="00DE5E7B" w:rsidRDefault="0032047F" w:rsidP="006B4078">
            <w:pPr>
              <w:pStyle w:val="TableHeadingRight"/>
              <w:ind w:left="0" w:right="0"/>
              <w:cnfStyle w:val="000000000000" w:firstRow="0" w:lastRow="0" w:firstColumn="0" w:lastColumn="0" w:oddVBand="0" w:evenVBand="0" w:oddHBand="0" w:evenHBand="0" w:firstRowFirstColumn="0" w:firstRowLastColumn="0" w:lastRowFirstColumn="0" w:lastRowLastColumn="0"/>
              <w:rPr>
                <w:b w:val="0"/>
                <w:szCs w:val="20"/>
              </w:rPr>
            </w:pPr>
            <w:r>
              <w:t>Total to 2019-20</w:t>
            </w:r>
          </w:p>
        </w:tc>
        <w:tc>
          <w:tcPr>
            <w:tcW w:w="351" w:type="pct"/>
            <w:shd w:val="clear" w:color="auto" w:fill="D7DDE9" w:themeFill="accent3"/>
            <w:vAlign w:val="center"/>
          </w:tcPr>
          <w:p w:rsidR="0032047F" w:rsidRPr="00DE5E7B" w:rsidRDefault="0032047F" w:rsidP="006B4078">
            <w:pPr>
              <w:pStyle w:val="TableText"/>
              <w:ind w:left="0" w:right="0"/>
              <w:cnfStyle w:val="000000000000" w:firstRow="0" w:lastRow="0" w:firstColumn="0" w:lastColumn="0" w:oddVBand="0" w:evenVBand="0" w:oddHBand="0" w:evenHBand="0" w:firstRowFirstColumn="0" w:firstRowLastColumn="0" w:lastRowFirstColumn="0" w:lastRowLastColumn="0"/>
              <w:rPr>
                <w:szCs w:val="20"/>
              </w:rPr>
            </w:pPr>
            <w:r w:rsidRPr="00DE5E7B">
              <w:rPr>
                <w:szCs w:val="20"/>
              </w:rPr>
              <w:t>2020-21</w:t>
            </w:r>
          </w:p>
        </w:tc>
        <w:tc>
          <w:tcPr>
            <w:tcW w:w="351" w:type="pct"/>
            <w:shd w:val="clear" w:color="auto" w:fill="D7DDE9" w:themeFill="accent3"/>
            <w:vAlign w:val="center"/>
          </w:tcPr>
          <w:p w:rsidR="0032047F" w:rsidRPr="00DE5E7B" w:rsidRDefault="0032047F" w:rsidP="006B4078">
            <w:pPr>
              <w:pStyle w:val="TableText"/>
              <w:ind w:left="0" w:right="0"/>
              <w:cnfStyle w:val="000000000000" w:firstRow="0" w:lastRow="0" w:firstColumn="0" w:lastColumn="0" w:oddVBand="0" w:evenVBand="0" w:oddHBand="0" w:evenHBand="0" w:firstRowFirstColumn="0" w:firstRowLastColumn="0" w:lastRowFirstColumn="0" w:lastRowLastColumn="0"/>
              <w:rPr>
                <w:szCs w:val="20"/>
              </w:rPr>
            </w:pPr>
            <w:r w:rsidRPr="00DE5E7B">
              <w:rPr>
                <w:szCs w:val="20"/>
              </w:rPr>
              <w:t>2021-22</w:t>
            </w:r>
          </w:p>
        </w:tc>
        <w:tc>
          <w:tcPr>
            <w:tcW w:w="351" w:type="pct"/>
            <w:shd w:val="clear" w:color="auto" w:fill="D7DDE9" w:themeFill="accent3"/>
            <w:vAlign w:val="center"/>
          </w:tcPr>
          <w:p w:rsidR="0032047F" w:rsidRPr="00DE5E7B" w:rsidRDefault="0032047F" w:rsidP="006B4078">
            <w:pPr>
              <w:pStyle w:val="TableText"/>
              <w:ind w:left="0" w:right="0"/>
              <w:cnfStyle w:val="000000000000" w:firstRow="0" w:lastRow="0" w:firstColumn="0" w:lastColumn="0" w:oddVBand="0" w:evenVBand="0" w:oddHBand="0" w:evenHBand="0" w:firstRowFirstColumn="0" w:firstRowLastColumn="0" w:lastRowFirstColumn="0" w:lastRowLastColumn="0"/>
              <w:rPr>
                <w:szCs w:val="20"/>
              </w:rPr>
            </w:pPr>
            <w:r w:rsidRPr="00DE5E7B">
              <w:rPr>
                <w:szCs w:val="20"/>
              </w:rPr>
              <w:t>2022-23</w:t>
            </w:r>
          </w:p>
        </w:tc>
        <w:tc>
          <w:tcPr>
            <w:tcW w:w="351" w:type="pct"/>
            <w:shd w:val="clear" w:color="auto" w:fill="D7DDE9" w:themeFill="accent3"/>
            <w:vAlign w:val="center"/>
          </w:tcPr>
          <w:p w:rsidR="0032047F" w:rsidRPr="00DE5E7B" w:rsidRDefault="0032047F" w:rsidP="006B4078">
            <w:pPr>
              <w:pStyle w:val="TableText"/>
              <w:ind w:left="0" w:right="0"/>
              <w:cnfStyle w:val="000000000000" w:firstRow="0" w:lastRow="0" w:firstColumn="0" w:lastColumn="0" w:oddVBand="0" w:evenVBand="0" w:oddHBand="0" w:evenHBand="0" w:firstRowFirstColumn="0" w:firstRowLastColumn="0" w:lastRowFirstColumn="0" w:lastRowLastColumn="0"/>
              <w:rPr>
                <w:szCs w:val="20"/>
              </w:rPr>
            </w:pPr>
            <w:r w:rsidRPr="00DE5E7B">
              <w:rPr>
                <w:szCs w:val="20"/>
              </w:rPr>
              <w:t>2023-24</w:t>
            </w:r>
          </w:p>
        </w:tc>
        <w:tc>
          <w:tcPr>
            <w:tcW w:w="351" w:type="pct"/>
            <w:shd w:val="clear" w:color="auto" w:fill="D7DDE9" w:themeFill="accent3"/>
            <w:vAlign w:val="center"/>
          </w:tcPr>
          <w:p w:rsidR="0032047F" w:rsidRPr="00DE5E7B" w:rsidRDefault="0032047F" w:rsidP="006B4078">
            <w:pPr>
              <w:pStyle w:val="TableText"/>
              <w:ind w:left="0" w:right="0"/>
              <w:cnfStyle w:val="000000000000" w:firstRow="0" w:lastRow="0" w:firstColumn="0" w:lastColumn="0" w:oddVBand="0" w:evenVBand="0" w:oddHBand="0" w:evenHBand="0" w:firstRowFirstColumn="0" w:firstRowLastColumn="0" w:lastRowFirstColumn="0" w:lastRowLastColumn="0"/>
              <w:rPr>
                <w:szCs w:val="20"/>
              </w:rPr>
            </w:pPr>
            <w:r w:rsidRPr="00DE5E7B">
              <w:rPr>
                <w:szCs w:val="20"/>
              </w:rPr>
              <w:t>2024-25</w:t>
            </w:r>
          </w:p>
        </w:tc>
        <w:tc>
          <w:tcPr>
            <w:tcW w:w="351" w:type="pct"/>
            <w:shd w:val="clear" w:color="auto" w:fill="D7DDE9" w:themeFill="accent3"/>
            <w:vAlign w:val="center"/>
          </w:tcPr>
          <w:p w:rsidR="0032047F" w:rsidRPr="00DE5E7B" w:rsidRDefault="0032047F" w:rsidP="006B4078">
            <w:pPr>
              <w:pStyle w:val="TableText"/>
              <w:ind w:left="0" w:right="0"/>
              <w:jc w:val="right"/>
              <w:cnfStyle w:val="000000000000" w:firstRow="0" w:lastRow="0" w:firstColumn="0" w:lastColumn="0" w:oddVBand="0" w:evenVBand="0" w:oddHBand="0" w:evenHBand="0" w:firstRowFirstColumn="0" w:firstRowLastColumn="0" w:lastRowFirstColumn="0" w:lastRowLastColumn="0"/>
              <w:rPr>
                <w:szCs w:val="20"/>
              </w:rPr>
            </w:pPr>
            <w:r w:rsidRPr="00DE5E7B">
              <w:rPr>
                <w:szCs w:val="20"/>
              </w:rPr>
              <w:t>2025-26</w:t>
            </w:r>
          </w:p>
        </w:tc>
        <w:tc>
          <w:tcPr>
            <w:tcW w:w="351" w:type="pct"/>
            <w:shd w:val="clear" w:color="auto" w:fill="D7DDE9" w:themeFill="accent3"/>
            <w:vAlign w:val="center"/>
          </w:tcPr>
          <w:p w:rsidR="0032047F" w:rsidRPr="00DE5E7B" w:rsidRDefault="0032047F" w:rsidP="006B4078">
            <w:pPr>
              <w:pStyle w:val="TableText"/>
              <w:ind w:left="0" w:right="0"/>
              <w:jc w:val="right"/>
              <w:cnfStyle w:val="000000000000" w:firstRow="0" w:lastRow="0" w:firstColumn="0" w:lastColumn="0" w:oddVBand="0" w:evenVBand="0" w:oddHBand="0" w:evenHBand="0" w:firstRowFirstColumn="0" w:firstRowLastColumn="0" w:lastRowFirstColumn="0" w:lastRowLastColumn="0"/>
              <w:rPr>
                <w:szCs w:val="20"/>
              </w:rPr>
            </w:pPr>
            <w:r w:rsidRPr="00DE5E7B">
              <w:rPr>
                <w:szCs w:val="20"/>
              </w:rPr>
              <w:t>2026-27</w:t>
            </w:r>
          </w:p>
        </w:tc>
        <w:tc>
          <w:tcPr>
            <w:tcW w:w="351" w:type="pct"/>
            <w:shd w:val="clear" w:color="auto" w:fill="D7DDE9" w:themeFill="accent3"/>
          </w:tcPr>
          <w:p w:rsidR="0032047F" w:rsidRPr="00DE5E7B" w:rsidRDefault="0032047F" w:rsidP="006B4078">
            <w:pPr>
              <w:pStyle w:val="TableText"/>
              <w:ind w:left="0" w:right="0"/>
              <w:cnfStyle w:val="000000000000" w:firstRow="0" w:lastRow="0" w:firstColumn="0" w:lastColumn="0" w:oddVBand="0" w:evenVBand="0" w:oddHBand="0" w:evenHBand="0" w:firstRowFirstColumn="0" w:firstRowLastColumn="0" w:lastRowFirstColumn="0" w:lastRowLastColumn="0"/>
              <w:rPr>
                <w:b/>
                <w:szCs w:val="20"/>
              </w:rPr>
            </w:pPr>
            <w:r w:rsidRPr="00DE5E7B">
              <w:rPr>
                <w:b/>
                <w:szCs w:val="20"/>
              </w:rPr>
              <w:t>Total to 2026-27</w:t>
            </w:r>
          </w:p>
        </w:tc>
      </w:tr>
      <w:tr w:rsidR="00B11102" w:rsidRPr="008D77AF" w:rsidTr="00D17A0B">
        <w:tc>
          <w:tcPr>
            <w:cnfStyle w:val="001000000000" w:firstRow="0" w:lastRow="0" w:firstColumn="1" w:lastColumn="0" w:oddVBand="0" w:evenVBand="0" w:oddHBand="0" w:evenHBand="0" w:firstRowFirstColumn="0" w:firstRowLastColumn="0" w:lastRowFirstColumn="0" w:lastRowLastColumn="0"/>
            <w:tcW w:w="786" w:type="pct"/>
            <w:vAlign w:val="center"/>
          </w:tcPr>
          <w:p w:rsidR="00B11102" w:rsidRDefault="00B11102" w:rsidP="00386BB5">
            <w:pPr>
              <w:pStyle w:val="TableText"/>
              <w:keepNext/>
              <w:keepLines/>
              <w:ind w:left="0"/>
              <w:rPr>
                <w:b w:val="0"/>
              </w:rPr>
            </w:pPr>
            <w:r w:rsidRPr="002547A5">
              <w:rPr>
                <w:b w:val="0"/>
                <w:color w:val="000000"/>
                <w:szCs w:val="20"/>
              </w:rPr>
              <w:t>Receipts</w:t>
            </w:r>
          </w:p>
        </w:tc>
        <w:tc>
          <w:tcPr>
            <w:tcW w:w="351" w:type="pct"/>
            <w:vAlign w:val="center"/>
          </w:tcPr>
          <w:p w:rsidR="00B11102" w:rsidRP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B11102">
              <w:rPr>
                <w:b/>
                <w:i w:val="0"/>
              </w:rPr>
              <w:t>-155,280</w:t>
            </w:r>
          </w:p>
        </w:tc>
        <w:tc>
          <w:tcPr>
            <w:tcW w:w="351" w:type="pct"/>
            <w:vAlign w:val="center"/>
          </w:tcPr>
          <w:p w:rsidR="00B11102" w:rsidRP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B11102">
              <w:rPr>
                <w:b/>
                <w:i w:val="0"/>
              </w:rPr>
              <w:t>-176,780</w:t>
            </w:r>
          </w:p>
        </w:tc>
        <w:tc>
          <w:tcPr>
            <w:tcW w:w="351" w:type="pct"/>
            <w:vAlign w:val="center"/>
          </w:tcPr>
          <w:p w:rsidR="00B11102" w:rsidRP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B11102">
              <w:rPr>
                <w:b/>
                <w:i w:val="0"/>
              </w:rPr>
              <w:t>-186,780</w:t>
            </w:r>
          </w:p>
        </w:tc>
        <w:tc>
          <w:tcPr>
            <w:tcW w:w="351" w:type="pct"/>
            <w:vAlign w:val="center"/>
          </w:tcPr>
          <w:p w:rsidR="00B11102" w:rsidRPr="00B11102" w:rsidRDefault="00B11102">
            <w:pPr>
              <w:pStyle w:val="TableTextRightBold"/>
              <w:ind w:left="-57" w:right="-57"/>
              <w:cnfStyle w:val="000000000000" w:firstRow="0" w:lastRow="0" w:firstColumn="0" w:lastColumn="0" w:oddVBand="0" w:evenVBand="0" w:oddHBand="0" w:evenHBand="0" w:firstRowFirstColumn="0" w:firstRowLastColumn="0" w:lastRowFirstColumn="0" w:lastRowLastColumn="0"/>
            </w:pPr>
            <w:r w:rsidRPr="00B11102">
              <w:t>-518,850</w:t>
            </w:r>
          </w:p>
        </w:tc>
        <w:tc>
          <w:tcPr>
            <w:tcW w:w="351" w:type="pct"/>
            <w:vAlign w:val="center"/>
          </w:tcPr>
          <w:p w:rsidR="00B11102" w:rsidRP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B11102">
              <w:rPr>
                <w:b/>
                <w:i w:val="0"/>
              </w:rPr>
              <w:t>-198,380</w:t>
            </w:r>
          </w:p>
        </w:tc>
        <w:tc>
          <w:tcPr>
            <w:tcW w:w="351" w:type="pct"/>
            <w:vAlign w:val="center"/>
          </w:tcPr>
          <w:p w:rsidR="00B11102" w:rsidRP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B11102">
              <w:rPr>
                <w:b/>
                <w:i w:val="0"/>
              </w:rPr>
              <w:t>-207,640</w:t>
            </w:r>
          </w:p>
        </w:tc>
        <w:tc>
          <w:tcPr>
            <w:tcW w:w="351" w:type="pct"/>
            <w:vAlign w:val="center"/>
          </w:tcPr>
          <w:p w:rsidR="00B11102" w:rsidRP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B11102">
              <w:rPr>
                <w:b/>
                <w:i w:val="0"/>
              </w:rPr>
              <w:t>-218,850</w:t>
            </w:r>
          </w:p>
        </w:tc>
        <w:tc>
          <w:tcPr>
            <w:tcW w:w="351" w:type="pct"/>
            <w:vAlign w:val="center"/>
          </w:tcPr>
          <w:p w:rsidR="00B11102" w:rsidRP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B11102">
              <w:rPr>
                <w:b/>
                <w:i w:val="0"/>
              </w:rPr>
              <w:t>-227,950</w:t>
            </w:r>
          </w:p>
        </w:tc>
        <w:tc>
          <w:tcPr>
            <w:tcW w:w="351" w:type="pct"/>
            <w:vAlign w:val="center"/>
          </w:tcPr>
          <w:p w:rsidR="00B11102" w:rsidRP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B11102">
              <w:rPr>
                <w:b/>
                <w:i w:val="0"/>
              </w:rPr>
              <w:t>-238,610</w:t>
            </w:r>
          </w:p>
        </w:tc>
        <w:tc>
          <w:tcPr>
            <w:tcW w:w="351" w:type="pct"/>
            <w:vAlign w:val="center"/>
          </w:tcPr>
          <w:p w:rsidR="00B11102" w:rsidRP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B11102">
              <w:rPr>
                <w:b/>
                <w:i w:val="0"/>
              </w:rPr>
              <w:t>-248,210</w:t>
            </w:r>
          </w:p>
        </w:tc>
        <w:tc>
          <w:tcPr>
            <w:tcW w:w="351" w:type="pct"/>
            <w:vAlign w:val="center"/>
          </w:tcPr>
          <w:p w:rsidR="00B11102" w:rsidRP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B11102">
              <w:rPr>
                <w:b/>
                <w:i w:val="0"/>
              </w:rPr>
              <w:t>-259,390</w:t>
            </w:r>
          </w:p>
        </w:tc>
        <w:tc>
          <w:tcPr>
            <w:tcW w:w="351" w:type="pct"/>
            <w:vAlign w:val="center"/>
          </w:tcPr>
          <w:p w:rsidR="00B11102" w:rsidRPr="00B11102" w:rsidRDefault="00B11102">
            <w:pPr>
              <w:pStyle w:val="TableTextRightBold"/>
              <w:ind w:left="-57" w:right="-57"/>
              <w:cnfStyle w:val="000000000000" w:firstRow="0" w:lastRow="0" w:firstColumn="0" w:lastColumn="0" w:oddVBand="0" w:evenVBand="0" w:oddHBand="0" w:evenHBand="0" w:firstRowFirstColumn="0" w:firstRowLastColumn="0" w:lastRowFirstColumn="0" w:lastRowLastColumn="0"/>
            </w:pPr>
            <w:r w:rsidRPr="00B11102">
              <w:t>-2,117,870</w:t>
            </w:r>
          </w:p>
        </w:tc>
      </w:tr>
      <w:tr w:rsidR="00B11102" w:rsidRPr="008D77AF" w:rsidTr="00D17A0B">
        <w:tc>
          <w:tcPr>
            <w:cnfStyle w:val="001000000000" w:firstRow="0" w:lastRow="0" w:firstColumn="1" w:lastColumn="0" w:oddVBand="0" w:evenVBand="0" w:oddHBand="0" w:evenHBand="0" w:firstRowFirstColumn="0" w:firstRowLastColumn="0" w:lastRowFirstColumn="0" w:lastRowLastColumn="0"/>
            <w:tcW w:w="786" w:type="pct"/>
            <w:vAlign w:val="center"/>
          </w:tcPr>
          <w:p w:rsidR="00B11102" w:rsidRDefault="00B11102" w:rsidP="00B11102">
            <w:pPr>
              <w:pStyle w:val="TableText"/>
              <w:keepNext/>
              <w:keepLines/>
              <w:ind w:left="113"/>
              <w:rPr>
                <w:b w:val="0"/>
              </w:rPr>
            </w:pPr>
            <w:r w:rsidRPr="002547A5">
              <w:rPr>
                <w:b w:val="0"/>
                <w:color w:val="000000"/>
                <w:szCs w:val="20"/>
              </w:rPr>
              <w:t xml:space="preserve">Personal income tax </w:t>
            </w:r>
          </w:p>
        </w:tc>
        <w:tc>
          <w:tcPr>
            <w:tcW w:w="351" w:type="pct"/>
            <w:vAlign w:val="center"/>
          </w:tcPr>
          <w:p w:rsid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D2C43">
              <w:t>-115,000</w:t>
            </w:r>
          </w:p>
        </w:tc>
        <w:tc>
          <w:tcPr>
            <w:tcW w:w="351" w:type="pct"/>
            <w:vAlign w:val="center"/>
          </w:tcPr>
          <w:p w:rsid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D2C43">
              <w:t>-136,000</w:t>
            </w:r>
          </w:p>
        </w:tc>
        <w:tc>
          <w:tcPr>
            <w:tcW w:w="351" w:type="pct"/>
            <w:vAlign w:val="center"/>
          </w:tcPr>
          <w:p w:rsid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D2C43">
              <w:t>-143,000</w:t>
            </w:r>
          </w:p>
        </w:tc>
        <w:tc>
          <w:tcPr>
            <w:tcW w:w="351" w:type="pct"/>
            <w:vAlign w:val="center"/>
          </w:tcPr>
          <w:p w:rsidR="00B11102" w:rsidRPr="00B11102" w:rsidRDefault="00B11102">
            <w:pPr>
              <w:pStyle w:val="TableTextRightBold"/>
              <w:ind w:left="-57" w:right="-57"/>
              <w:cnfStyle w:val="000000000000" w:firstRow="0" w:lastRow="0" w:firstColumn="0" w:lastColumn="0" w:oddVBand="0" w:evenVBand="0" w:oddHBand="0" w:evenHBand="0" w:firstRowFirstColumn="0" w:firstRowLastColumn="0" w:lastRowFirstColumn="0" w:lastRowLastColumn="0"/>
              <w:rPr>
                <w:b w:val="0"/>
                <w:i/>
              </w:rPr>
            </w:pPr>
            <w:r w:rsidRPr="00B11102">
              <w:rPr>
                <w:b w:val="0"/>
                <w:i/>
              </w:rPr>
              <w:t>-394,000</w:t>
            </w:r>
          </w:p>
        </w:tc>
        <w:tc>
          <w:tcPr>
            <w:tcW w:w="351" w:type="pct"/>
            <w:vAlign w:val="center"/>
          </w:tcPr>
          <w:p w:rsid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D2C43">
              <w:t>-152,000</w:t>
            </w:r>
          </w:p>
        </w:tc>
        <w:tc>
          <w:tcPr>
            <w:tcW w:w="351" w:type="pct"/>
            <w:vAlign w:val="center"/>
          </w:tcPr>
          <w:p w:rsid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D2C43">
              <w:t>-160,000</w:t>
            </w:r>
          </w:p>
        </w:tc>
        <w:tc>
          <w:tcPr>
            <w:tcW w:w="351" w:type="pct"/>
            <w:vAlign w:val="center"/>
          </w:tcPr>
          <w:p w:rsid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D2C43">
              <w:t>-169,000</w:t>
            </w:r>
          </w:p>
        </w:tc>
        <w:tc>
          <w:tcPr>
            <w:tcW w:w="351" w:type="pct"/>
            <w:vAlign w:val="center"/>
          </w:tcPr>
          <w:p w:rsid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D2C43">
              <w:t>-179,000</w:t>
            </w:r>
          </w:p>
        </w:tc>
        <w:tc>
          <w:tcPr>
            <w:tcW w:w="351" w:type="pct"/>
            <w:vAlign w:val="center"/>
          </w:tcPr>
          <w:p w:rsid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D2C43">
              <w:t>-188,000</w:t>
            </w:r>
          </w:p>
        </w:tc>
        <w:tc>
          <w:tcPr>
            <w:tcW w:w="351" w:type="pct"/>
            <w:vAlign w:val="center"/>
          </w:tcPr>
          <w:p w:rsid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D2C43">
              <w:t>-199,000</w:t>
            </w:r>
          </w:p>
        </w:tc>
        <w:tc>
          <w:tcPr>
            <w:tcW w:w="351" w:type="pct"/>
            <w:vAlign w:val="center"/>
          </w:tcPr>
          <w:p w:rsid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D2C43">
              <w:t>-211,000</w:t>
            </w:r>
          </w:p>
        </w:tc>
        <w:tc>
          <w:tcPr>
            <w:tcW w:w="351" w:type="pct"/>
            <w:vAlign w:val="center"/>
          </w:tcPr>
          <w:p w:rsidR="00B11102" w:rsidRPr="00B11102" w:rsidRDefault="00B11102">
            <w:pPr>
              <w:pStyle w:val="TableTextRightBold"/>
              <w:ind w:left="-57" w:right="-57"/>
              <w:cnfStyle w:val="000000000000" w:firstRow="0" w:lastRow="0" w:firstColumn="0" w:lastColumn="0" w:oddVBand="0" w:evenVBand="0" w:oddHBand="0" w:evenHBand="0" w:firstRowFirstColumn="0" w:firstRowLastColumn="0" w:lastRowFirstColumn="0" w:lastRowLastColumn="0"/>
              <w:rPr>
                <w:i/>
              </w:rPr>
            </w:pPr>
            <w:r w:rsidRPr="00B11102">
              <w:rPr>
                <w:i/>
              </w:rPr>
              <w:t>-1,652,000</w:t>
            </w:r>
          </w:p>
        </w:tc>
      </w:tr>
      <w:tr w:rsidR="00B11102" w:rsidRPr="008D77AF" w:rsidTr="00D17A0B">
        <w:tc>
          <w:tcPr>
            <w:cnfStyle w:val="001000000000" w:firstRow="0" w:lastRow="0" w:firstColumn="1" w:lastColumn="0" w:oddVBand="0" w:evenVBand="0" w:oddHBand="0" w:evenHBand="0" w:firstRowFirstColumn="0" w:firstRowLastColumn="0" w:lastRowFirstColumn="0" w:lastRowLastColumn="0"/>
            <w:tcW w:w="786" w:type="pct"/>
            <w:vAlign w:val="center"/>
          </w:tcPr>
          <w:p w:rsidR="00B11102" w:rsidRDefault="00B11102" w:rsidP="00B11102">
            <w:pPr>
              <w:pStyle w:val="TableText"/>
              <w:keepNext/>
              <w:keepLines/>
              <w:ind w:left="113"/>
              <w:rPr>
                <w:b w:val="0"/>
              </w:rPr>
            </w:pPr>
            <w:r w:rsidRPr="002547A5">
              <w:rPr>
                <w:b w:val="0"/>
                <w:color w:val="000000"/>
                <w:szCs w:val="20"/>
              </w:rPr>
              <w:t>Company tax</w:t>
            </w:r>
          </w:p>
        </w:tc>
        <w:tc>
          <w:tcPr>
            <w:tcW w:w="351" w:type="pct"/>
            <w:vAlign w:val="center"/>
          </w:tcPr>
          <w:p w:rsid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D2C43">
              <w:t>-17,000</w:t>
            </w:r>
          </w:p>
        </w:tc>
        <w:tc>
          <w:tcPr>
            <w:tcW w:w="351" w:type="pct"/>
            <w:vAlign w:val="center"/>
          </w:tcPr>
          <w:p w:rsid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D2C43">
              <w:t>-17,000</w:t>
            </w:r>
          </w:p>
        </w:tc>
        <w:tc>
          <w:tcPr>
            <w:tcW w:w="351" w:type="pct"/>
            <w:vAlign w:val="center"/>
          </w:tcPr>
          <w:p w:rsid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D2C43">
              <w:t>-18,000</w:t>
            </w:r>
          </w:p>
        </w:tc>
        <w:tc>
          <w:tcPr>
            <w:tcW w:w="351" w:type="pct"/>
            <w:vAlign w:val="center"/>
          </w:tcPr>
          <w:p w:rsidR="00B11102" w:rsidRPr="00B11102" w:rsidRDefault="00B11102">
            <w:pPr>
              <w:pStyle w:val="TableTextRightBold"/>
              <w:ind w:left="-57" w:right="-57"/>
              <w:cnfStyle w:val="000000000000" w:firstRow="0" w:lastRow="0" w:firstColumn="0" w:lastColumn="0" w:oddVBand="0" w:evenVBand="0" w:oddHBand="0" w:evenHBand="0" w:firstRowFirstColumn="0" w:firstRowLastColumn="0" w:lastRowFirstColumn="0" w:lastRowLastColumn="0"/>
              <w:rPr>
                <w:b w:val="0"/>
                <w:i/>
              </w:rPr>
            </w:pPr>
            <w:r w:rsidRPr="00B11102">
              <w:rPr>
                <w:b w:val="0"/>
                <w:i/>
              </w:rPr>
              <w:t>-52,000</w:t>
            </w:r>
          </w:p>
        </w:tc>
        <w:tc>
          <w:tcPr>
            <w:tcW w:w="351" w:type="pct"/>
            <w:vAlign w:val="center"/>
          </w:tcPr>
          <w:p w:rsid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D2C43">
              <w:t>-19,000</w:t>
            </w:r>
          </w:p>
        </w:tc>
        <w:tc>
          <w:tcPr>
            <w:tcW w:w="351" w:type="pct"/>
            <w:vAlign w:val="center"/>
          </w:tcPr>
          <w:p w:rsid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D2C43">
              <w:t>-19,000</w:t>
            </w:r>
          </w:p>
        </w:tc>
        <w:tc>
          <w:tcPr>
            <w:tcW w:w="351" w:type="pct"/>
            <w:vAlign w:val="center"/>
          </w:tcPr>
          <w:p w:rsid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D2C43">
              <w:t>-20,000</w:t>
            </w:r>
          </w:p>
        </w:tc>
        <w:tc>
          <w:tcPr>
            <w:tcW w:w="351" w:type="pct"/>
            <w:vAlign w:val="center"/>
          </w:tcPr>
          <w:p w:rsid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D2C43">
              <w:t>-18,000</w:t>
            </w:r>
          </w:p>
        </w:tc>
        <w:tc>
          <w:tcPr>
            <w:tcW w:w="351" w:type="pct"/>
            <w:vAlign w:val="center"/>
          </w:tcPr>
          <w:p w:rsid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D2C43">
              <w:t>-18,000</w:t>
            </w:r>
          </w:p>
        </w:tc>
        <w:tc>
          <w:tcPr>
            <w:tcW w:w="351" w:type="pct"/>
            <w:vAlign w:val="center"/>
          </w:tcPr>
          <w:p w:rsid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D2C43">
              <w:t>-16,000</w:t>
            </w:r>
          </w:p>
        </w:tc>
        <w:tc>
          <w:tcPr>
            <w:tcW w:w="351" w:type="pct"/>
            <w:vAlign w:val="center"/>
          </w:tcPr>
          <w:p w:rsid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D2C43">
              <w:t>-14,000</w:t>
            </w:r>
          </w:p>
        </w:tc>
        <w:tc>
          <w:tcPr>
            <w:tcW w:w="351" w:type="pct"/>
            <w:vAlign w:val="center"/>
          </w:tcPr>
          <w:p w:rsidR="00B11102" w:rsidRPr="00B11102" w:rsidRDefault="00B11102">
            <w:pPr>
              <w:pStyle w:val="TableTextRightBold"/>
              <w:ind w:left="-57" w:right="-57"/>
              <w:cnfStyle w:val="000000000000" w:firstRow="0" w:lastRow="0" w:firstColumn="0" w:lastColumn="0" w:oddVBand="0" w:evenVBand="0" w:oddHBand="0" w:evenHBand="0" w:firstRowFirstColumn="0" w:firstRowLastColumn="0" w:lastRowFirstColumn="0" w:lastRowLastColumn="0"/>
              <w:rPr>
                <w:i/>
              </w:rPr>
            </w:pPr>
            <w:r w:rsidRPr="00B11102">
              <w:rPr>
                <w:i/>
              </w:rPr>
              <w:t>-176,000</w:t>
            </w:r>
          </w:p>
        </w:tc>
      </w:tr>
      <w:tr w:rsidR="00B11102" w:rsidRPr="008D77AF" w:rsidTr="00D17A0B">
        <w:tc>
          <w:tcPr>
            <w:cnfStyle w:val="001000000000" w:firstRow="0" w:lastRow="0" w:firstColumn="1" w:lastColumn="0" w:oddVBand="0" w:evenVBand="0" w:oddHBand="0" w:evenHBand="0" w:firstRowFirstColumn="0" w:firstRowLastColumn="0" w:lastRowFirstColumn="0" w:lastRowLastColumn="0"/>
            <w:tcW w:w="786" w:type="pct"/>
            <w:vAlign w:val="center"/>
          </w:tcPr>
          <w:p w:rsidR="00B11102" w:rsidRDefault="00B11102" w:rsidP="00B11102">
            <w:pPr>
              <w:pStyle w:val="TableText"/>
              <w:keepNext/>
              <w:keepLines/>
              <w:ind w:left="113"/>
              <w:rPr>
                <w:b w:val="0"/>
              </w:rPr>
            </w:pPr>
            <w:r w:rsidRPr="002547A5">
              <w:rPr>
                <w:b w:val="0"/>
                <w:color w:val="000000"/>
                <w:szCs w:val="20"/>
              </w:rPr>
              <w:t>Excise and import duties</w:t>
            </w:r>
          </w:p>
        </w:tc>
        <w:tc>
          <w:tcPr>
            <w:tcW w:w="351" w:type="pct"/>
            <w:vAlign w:val="center"/>
          </w:tcPr>
          <w:p w:rsid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D2C43">
              <w:t>-40,080</w:t>
            </w:r>
          </w:p>
        </w:tc>
        <w:tc>
          <w:tcPr>
            <w:tcW w:w="351" w:type="pct"/>
            <w:vAlign w:val="center"/>
          </w:tcPr>
          <w:p w:rsid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D2C43">
              <w:t>-44,180</w:t>
            </w:r>
          </w:p>
        </w:tc>
        <w:tc>
          <w:tcPr>
            <w:tcW w:w="351" w:type="pct"/>
            <w:vAlign w:val="center"/>
          </w:tcPr>
          <w:p w:rsid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D2C43">
              <w:t>-47,530</w:t>
            </w:r>
          </w:p>
        </w:tc>
        <w:tc>
          <w:tcPr>
            <w:tcW w:w="351" w:type="pct"/>
            <w:vAlign w:val="center"/>
          </w:tcPr>
          <w:p w:rsidR="00B11102" w:rsidRPr="00B11102" w:rsidRDefault="00B11102">
            <w:pPr>
              <w:pStyle w:val="TableTextRightBold"/>
              <w:ind w:left="-57" w:right="-57"/>
              <w:cnfStyle w:val="000000000000" w:firstRow="0" w:lastRow="0" w:firstColumn="0" w:lastColumn="0" w:oddVBand="0" w:evenVBand="0" w:oddHBand="0" w:evenHBand="0" w:firstRowFirstColumn="0" w:firstRowLastColumn="0" w:lastRowFirstColumn="0" w:lastRowLastColumn="0"/>
              <w:rPr>
                <w:b w:val="0"/>
                <w:i/>
              </w:rPr>
            </w:pPr>
            <w:r w:rsidRPr="00B11102">
              <w:rPr>
                <w:b w:val="0"/>
                <w:i/>
              </w:rPr>
              <w:t>-131,800</w:t>
            </w:r>
          </w:p>
        </w:tc>
        <w:tc>
          <w:tcPr>
            <w:tcW w:w="351" w:type="pct"/>
            <w:vAlign w:val="center"/>
          </w:tcPr>
          <w:p w:rsid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D2C43">
              <w:t>-50,630</w:t>
            </w:r>
          </w:p>
        </w:tc>
        <w:tc>
          <w:tcPr>
            <w:tcW w:w="351" w:type="pct"/>
            <w:vAlign w:val="center"/>
          </w:tcPr>
          <w:p w:rsid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D2C43">
              <w:t>-53,490</w:t>
            </w:r>
          </w:p>
        </w:tc>
        <w:tc>
          <w:tcPr>
            <w:tcW w:w="351" w:type="pct"/>
            <w:vAlign w:val="center"/>
          </w:tcPr>
          <w:p w:rsid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D2C43">
              <w:t>-56,400</w:t>
            </w:r>
          </w:p>
        </w:tc>
        <w:tc>
          <w:tcPr>
            <w:tcW w:w="351" w:type="pct"/>
            <w:vAlign w:val="center"/>
          </w:tcPr>
          <w:p w:rsid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D2C43">
              <w:t>-59,350</w:t>
            </w:r>
          </w:p>
        </w:tc>
        <w:tc>
          <w:tcPr>
            <w:tcW w:w="351" w:type="pct"/>
            <w:vAlign w:val="center"/>
          </w:tcPr>
          <w:p w:rsid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D2C43">
              <w:t>-62,960</w:t>
            </w:r>
          </w:p>
        </w:tc>
        <w:tc>
          <w:tcPr>
            <w:tcW w:w="351" w:type="pct"/>
            <w:vAlign w:val="center"/>
          </w:tcPr>
          <w:p w:rsid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D2C43">
              <w:t>-65,710</w:t>
            </w:r>
          </w:p>
        </w:tc>
        <w:tc>
          <w:tcPr>
            <w:tcW w:w="351" w:type="pct"/>
            <w:vAlign w:val="center"/>
          </w:tcPr>
          <w:p w:rsid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D2C43">
              <w:t>-69,090</w:t>
            </w:r>
          </w:p>
        </w:tc>
        <w:tc>
          <w:tcPr>
            <w:tcW w:w="351" w:type="pct"/>
            <w:vAlign w:val="center"/>
          </w:tcPr>
          <w:p w:rsidR="00B11102" w:rsidRPr="00B11102" w:rsidRDefault="00B11102">
            <w:pPr>
              <w:pStyle w:val="TableTextRightBold"/>
              <w:ind w:left="-57" w:right="-57"/>
              <w:cnfStyle w:val="000000000000" w:firstRow="0" w:lastRow="0" w:firstColumn="0" w:lastColumn="0" w:oddVBand="0" w:evenVBand="0" w:oddHBand="0" w:evenHBand="0" w:firstRowFirstColumn="0" w:firstRowLastColumn="0" w:lastRowFirstColumn="0" w:lastRowLastColumn="0"/>
              <w:rPr>
                <w:i/>
              </w:rPr>
            </w:pPr>
            <w:r w:rsidRPr="00B11102">
              <w:rPr>
                <w:i/>
              </w:rPr>
              <w:t>-549,420</w:t>
            </w:r>
          </w:p>
        </w:tc>
      </w:tr>
      <w:tr w:rsidR="00B11102" w:rsidRPr="008D77AF" w:rsidTr="00D17A0B">
        <w:tc>
          <w:tcPr>
            <w:cnfStyle w:val="001000000000" w:firstRow="0" w:lastRow="0" w:firstColumn="1" w:lastColumn="0" w:oddVBand="0" w:evenVBand="0" w:oddHBand="0" w:evenHBand="0" w:firstRowFirstColumn="0" w:firstRowLastColumn="0" w:lastRowFirstColumn="0" w:lastRowLastColumn="0"/>
            <w:tcW w:w="786" w:type="pct"/>
            <w:vAlign w:val="center"/>
          </w:tcPr>
          <w:p w:rsidR="00B11102" w:rsidRDefault="00B11102" w:rsidP="00B11102">
            <w:pPr>
              <w:pStyle w:val="TableText"/>
              <w:keepNext/>
              <w:keepLines/>
              <w:ind w:left="113"/>
              <w:rPr>
                <w:b w:val="0"/>
              </w:rPr>
            </w:pPr>
            <w:r w:rsidRPr="002547A5">
              <w:rPr>
                <w:b w:val="0"/>
                <w:color w:val="000000"/>
                <w:szCs w:val="20"/>
              </w:rPr>
              <w:t>GST</w:t>
            </w:r>
          </w:p>
        </w:tc>
        <w:tc>
          <w:tcPr>
            <w:tcW w:w="351" w:type="pct"/>
            <w:vAlign w:val="center"/>
          </w:tcPr>
          <w:p w:rsid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D2C43">
              <w:t>16,800</w:t>
            </w:r>
          </w:p>
        </w:tc>
        <w:tc>
          <w:tcPr>
            <w:tcW w:w="351" w:type="pct"/>
            <w:vAlign w:val="center"/>
          </w:tcPr>
          <w:p w:rsid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D2C43">
              <w:t>20,400</w:t>
            </w:r>
          </w:p>
        </w:tc>
        <w:tc>
          <w:tcPr>
            <w:tcW w:w="351" w:type="pct"/>
            <w:vAlign w:val="center"/>
          </w:tcPr>
          <w:p w:rsid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D2C43">
              <w:t>21,750</w:t>
            </w:r>
          </w:p>
        </w:tc>
        <w:tc>
          <w:tcPr>
            <w:tcW w:w="351" w:type="pct"/>
            <w:vAlign w:val="center"/>
          </w:tcPr>
          <w:p w:rsidR="00B11102" w:rsidRPr="00B11102" w:rsidRDefault="00B11102">
            <w:pPr>
              <w:pStyle w:val="TableTextRightBold"/>
              <w:ind w:left="-57" w:right="-57"/>
              <w:cnfStyle w:val="000000000000" w:firstRow="0" w:lastRow="0" w:firstColumn="0" w:lastColumn="0" w:oddVBand="0" w:evenVBand="0" w:oddHBand="0" w:evenHBand="0" w:firstRowFirstColumn="0" w:firstRowLastColumn="0" w:lastRowFirstColumn="0" w:lastRowLastColumn="0"/>
              <w:rPr>
                <w:b w:val="0"/>
                <w:i/>
              </w:rPr>
            </w:pPr>
            <w:r w:rsidRPr="00B11102">
              <w:rPr>
                <w:b w:val="0"/>
                <w:i/>
              </w:rPr>
              <w:t>58,950</w:t>
            </w:r>
          </w:p>
        </w:tc>
        <w:tc>
          <w:tcPr>
            <w:tcW w:w="351" w:type="pct"/>
            <w:vAlign w:val="center"/>
          </w:tcPr>
          <w:p w:rsid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D2C43">
              <w:t>23,250</w:t>
            </w:r>
          </w:p>
        </w:tc>
        <w:tc>
          <w:tcPr>
            <w:tcW w:w="351" w:type="pct"/>
            <w:vAlign w:val="center"/>
          </w:tcPr>
          <w:p w:rsid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D2C43">
              <w:t>24,850</w:t>
            </w:r>
          </w:p>
        </w:tc>
        <w:tc>
          <w:tcPr>
            <w:tcW w:w="351" w:type="pct"/>
            <w:vAlign w:val="center"/>
          </w:tcPr>
          <w:p w:rsid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D2C43">
              <w:t>26,550</w:t>
            </w:r>
          </w:p>
        </w:tc>
        <w:tc>
          <w:tcPr>
            <w:tcW w:w="351" w:type="pct"/>
            <w:vAlign w:val="center"/>
          </w:tcPr>
          <w:p w:rsid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D2C43">
              <w:t>28,400</w:t>
            </w:r>
          </w:p>
        </w:tc>
        <w:tc>
          <w:tcPr>
            <w:tcW w:w="351" w:type="pct"/>
            <w:vAlign w:val="center"/>
          </w:tcPr>
          <w:p w:rsid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D2C43">
              <w:t>30,350</w:t>
            </w:r>
          </w:p>
        </w:tc>
        <w:tc>
          <w:tcPr>
            <w:tcW w:w="351" w:type="pct"/>
            <w:vAlign w:val="center"/>
          </w:tcPr>
          <w:p w:rsid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D2C43">
              <w:t>32,500</w:t>
            </w:r>
          </w:p>
        </w:tc>
        <w:tc>
          <w:tcPr>
            <w:tcW w:w="351" w:type="pct"/>
            <w:vAlign w:val="center"/>
          </w:tcPr>
          <w:p w:rsid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D2C43">
              <w:t>34,700</w:t>
            </w:r>
          </w:p>
        </w:tc>
        <w:tc>
          <w:tcPr>
            <w:tcW w:w="351" w:type="pct"/>
            <w:vAlign w:val="center"/>
          </w:tcPr>
          <w:p w:rsidR="00B11102" w:rsidRPr="00B11102" w:rsidRDefault="00B11102">
            <w:pPr>
              <w:pStyle w:val="TableTextRightBold"/>
              <w:ind w:left="-57" w:right="-57"/>
              <w:cnfStyle w:val="000000000000" w:firstRow="0" w:lastRow="0" w:firstColumn="0" w:lastColumn="0" w:oddVBand="0" w:evenVBand="0" w:oddHBand="0" w:evenHBand="0" w:firstRowFirstColumn="0" w:firstRowLastColumn="0" w:lastRowFirstColumn="0" w:lastRowLastColumn="0"/>
              <w:rPr>
                <w:i/>
              </w:rPr>
            </w:pPr>
            <w:r w:rsidRPr="00B11102">
              <w:rPr>
                <w:i/>
              </w:rPr>
              <w:t>259,550</w:t>
            </w:r>
          </w:p>
        </w:tc>
      </w:tr>
      <w:tr w:rsidR="00B11102" w:rsidRPr="008D77AF" w:rsidTr="00D17A0B">
        <w:tc>
          <w:tcPr>
            <w:cnfStyle w:val="001000000000" w:firstRow="0" w:lastRow="0" w:firstColumn="1" w:lastColumn="0" w:oddVBand="0" w:evenVBand="0" w:oddHBand="0" w:evenHBand="0" w:firstRowFirstColumn="0" w:firstRowLastColumn="0" w:lastRowFirstColumn="0" w:lastRowLastColumn="0"/>
            <w:tcW w:w="786" w:type="pct"/>
            <w:vAlign w:val="center"/>
          </w:tcPr>
          <w:p w:rsidR="00B11102" w:rsidRPr="00A25ACE" w:rsidRDefault="00B11102" w:rsidP="00386BB5">
            <w:pPr>
              <w:pStyle w:val="TableText"/>
              <w:keepNext/>
              <w:keepLines/>
              <w:ind w:left="0"/>
              <w:rPr>
                <w:b w:val="0"/>
              </w:rPr>
            </w:pPr>
            <w:r w:rsidRPr="002547A5">
              <w:rPr>
                <w:b w:val="0"/>
                <w:color w:val="000000"/>
                <w:szCs w:val="20"/>
              </w:rPr>
              <w:t>Payments</w:t>
            </w:r>
          </w:p>
        </w:tc>
        <w:tc>
          <w:tcPr>
            <w:tcW w:w="351" w:type="pct"/>
            <w:vAlign w:val="center"/>
          </w:tcPr>
          <w:p w:rsidR="00B11102" w:rsidRP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B11102">
              <w:rPr>
                <w:b/>
                <w:i w:val="0"/>
              </w:rPr>
              <w:t>9,042</w:t>
            </w:r>
          </w:p>
        </w:tc>
        <w:tc>
          <w:tcPr>
            <w:tcW w:w="351" w:type="pct"/>
            <w:vAlign w:val="center"/>
          </w:tcPr>
          <w:p w:rsidR="00B11102" w:rsidRP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B11102">
              <w:rPr>
                <w:b/>
                <w:i w:val="0"/>
              </w:rPr>
              <w:t>10,160</w:t>
            </w:r>
          </w:p>
        </w:tc>
        <w:tc>
          <w:tcPr>
            <w:tcW w:w="351" w:type="pct"/>
            <w:vAlign w:val="center"/>
          </w:tcPr>
          <w:p w:rsidR="00B11102" w:rsidRP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B11102">
              <w:rPr>
                <w:b/>
                <w:i w:val="0"/>
              </w:rPr>
              <w:t>10,760</w:t>
            </w:r>
          </w:p>
        </w:tc>
        <w:tc>
          <w:tcPr>
            <w:tcW w:w="351" w:type="pct"/>
            <w:vAlign w:val="center"/>
          </w:tcPr>
          <w:p w:rsidR="00B11102" w:rsidRPr="00B11102" w:rsidRDefault="00B11102">
            <w:pPr>
              <w:pStyle w:val="TableTextRightBold"/>
              <w:ind w:left="-57" w:right="-57"/>
              <w:cnfStyle w:val="000000000000" w:firstRow="0" w:lastRow="0" w:firstColumn="0" w:lastColumn="0" w:oddVBand="0" w:evenVBand="0" w:oddHBand="0" w:evenHBand="0" w:firstRowFirstColumn="0" w:firstRowLastColumn="0" w:lastRowFirstColumn="0" w:lastRowLastColumn="0"/>
            </w:pPr>
            <w:r w:rsidRPr="00B11102">
              <w:t>29,987</w:t>
            </w:r>
          </w:p>
        </w:tc>
        <w:tc>
          <w:tcPr>
            <w:tcW w:w="351" w:type="pct"/>
            <w:vAlign w:val="center"/>
          </w:tcPr>
          <w:p w:rsidR="00B11102" w:rsidRP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B11102">
              <w:rPr>
                <w:b/>
                <w:i w:val="0"/>
              </w:rPr>
              <w:t>11,690</w:t>
            </w:r>
          </w:p>
        </w:tc>
        <w:tc>
          <w:tcPr>
            <w:tcW w:w="351" w:type="pct"/>
            <w:vAlign w:val="center"/>
          </w:tcPr>
          <w:p w:rsidR="00B11102" w:rsidRP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B11102">
              <w:rPr>
                <w:b/>
                <w:i w:val="0"/>
              </w:rPr>
              <w:t>12,580</w:t>
            </w:r>
          </w:p>
        </w:tc>
        <w:tc>
          <w:tcPr>
            <w:tcW w:w="351" w:type="pct"/>
            <w:vAlign w:val="center"/>
          </w:tcPr>
          <w:p w:rsidR="00B11102" w:rsidRP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B11102">
              <w:rPr>
                <w:b/>
                <w:i w:val="0"/>
              </w:rPr>
              <w:t>13,520</w:t>
            </w:r>
          </w:p>
        </w:tc>
        <w:tc>
          <w:tcPr>
            <w:tcW w:w="351" w:type="pct"/>
            <w:vAlign w:val="center"/>
          </w:tcPr>
          <w:p w:rsidR="00B11102" w:rsidRP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B11102">
              <w:rPr>
                <w:b/>
                <w:i w:val="0"/>
              </w:rPr>
              <w:t>14,460</w:t>
            </w:r>
          </w:p>
        </w:tc>
        <w:tc>
          <w:tcPr>
            <w:tcW w:w="351" w:type="pct"/>
            <w:vAlign w:val="center"/>
          </w:tcPr>
          <w:p w:rsidR="00B11102" w:rsidRP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B11102">
              <w:rPr>
                <w:b/>
                <w:i w:val="0"/>
              </w:rPr>
              <w:t>15,440</w:t>
            </w:r>
          </w:p>
        </w:tc>
        <w:tc>
          <w:tcPr>
            <w:tcW w:w="351" w:type="pct"/>
            <w:vAlign w:val="center"/>
          </w:tcPr>
          <w:p w:rsidR="00B11102" w:rsidRP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B11102">
              <w:rPr>
                <w:b/>
                <w:i w:val="0"/>
              </w:rPr>
              <w:t>16,480</w:t>
            </w:r>
          </w:p>
        </w:tc>
        <w:tc>
          <w:tcPr>
            <w:tcW w:w="351" w:type="pct"/>
            <w:vAlign w:val="center"/>
          </w:tcPr>
          <w:p w:rsidR="00B11102" w:rsidRP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rPr>
                <w:b/>
                <w:i w:val="0"/>
              </w:rPr>
            </w:pPr>
            <w:r w:rsidRPr="00B11102">
              <w:rPr>
                <w:b/>
                <w:i w:val="0"/>
              </w:rPr>
              <w:t>17,560</w:t>
            </w:r>
          </w:p>
        </w:tc>
        <w:tc>
          <w:tcPr>
            <w:tcW w:w="351" w:type="pct"/>
            <w:vAlign w:val="center"/>
          </w:tcPr>
          <w:p w:rsidR="00B11102" w:rsidRPr="00B11102" w:rsidRDefault="00B11102">
            <w:pPr>
              <w:pStyle w:val="TableTextRightBold"/>
              <w:ind w:left="-57" w:right="-57"/>
              <w:cnfStyle w:val="000000000000" w:firstRow="0" w:lastRow="0" w:firstColumn="0" w:lastColumn="0" w:oddVBand="0" w:evenVBand="0" w:oddHBand="0" w:evenHBand="0" w:firstRowFirstColumn="0" w:firstRowLastColumn="0" w:lastRowFirstColumn="0" w:lastRowLastColumn="0"/>
            </w:pPr>
            <w:r w:rsidRPr="00B11102">
              <w:t>131,722</w:t>
            </w:r>
          </w:p>
        </w:tc>
      </w:tr>
      <w:tr w:rsidR="00B11102" w:rsidRPr="008D77AF" w:rsidTr="00D17A0B">
        <w:tc>
          <w:tcPr>
            <w:cnfStyle w:val="001000000000" w:firstRow="0" w:lastRow="0" w:firstColumn="1" w:lastColumn="0" w:oddVBand="0" w:evenVBand="0" w:oddHBand="0" w:evenHBand="0" w:firstRowFirstColumn="0" w:firstRowLastColumn="0" w:lastRowFirstColumn="0" w:lastRowLastColumn="0"/>
            <w:tcW w:w="786" w:type="pct"/>
            <w:vAlign w:val="center"/>
          </w:tcPr>
          <w:p w:rsidR="00B11102" w:rsidRPr="00A25ACE" w:rsidRDefault="00B11102" w:rsidP="00B11102">
            <w:pPr>
              <w:pStyle w:val="TableText"/>
              <w:keepNext/>
              <w:keepLines/>
              <w:ind w:left="113"/>
              <w:rPr>
                <w:b w:val="0"/>
              </w:rPr>
            </w:pPr>
            <w:r w:rsidRPr="002547A5">
              <w:rPr>
                <w:b w:val="0"/>
                <w:color w:val="000000"/>
                <w:szCs w:val="20"/>
              </w:rPr>
              <w:t xml:space="preserve">Personal income tax </w:t>
            </w:r>
            <w:r w:rsidR="00A801B0">
              <w:rPr>
                <w:b w:val="0"/>
                <w:color w:val="000000"/>
                <w:szCs w:val="20"/>
              </w:rPr>
              <w:t>- departmental</w:t>
            </w:r>
          </w:p>
        </w:tc>
        <w:tc>
          <w:tcPr>
            <w:tcW w:w="351" w:type="pct"/>
            <w:vAlign w:val="center"/>
          </w:tcPr>
          <w:p w:rsid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D2C43">
              <w:t>-8</w:t>
            </w:r>
          </w:p>
        </w:tc>
        <w:tc>
          <w:tcPr>
            <w:tcW w:w="351" w:type="pct"/>
            <w:vAlign w:val="center"/>
          </w:tcPr>
          <w:p w:rsidR="00B11102" w:rsidRDefault="00671216">
            <w:pPr>
              <w:pStyle w:val="TableTextRightItalic"/>
              <w:ind w:left="-57" w:right="-57"/>
              <w:cnfStyle w:val="000000000000" w:firstRow="0" w:lastRow="0" w:firstColumn="0" w:lastColumn="0" w:oddVBand="0" w:evenVBand="0" w:oddHBand="0" w:evenHBand="0" w:firstRowFirstColumn="0" w:firstRowLastColumn="0" w:lastRowFirstColumn="0" w:lastRowLastColumn="0"/>
            </w:pPr>
            <w:r>
              <w:t>-</w:t>
            </w:r>
          </w:p>
        </w:tc>
        <w:tc>
          <w:tcPr>
            <w:tcW w:w="351" w:type="pct"/>
            <w:vAlign w:val="center"/>
          </w:tcPr>
          <w:p w:rsidR="00B11102" w:rsidRDefault="00671216">
            <w:pPr>
              <w:pStyle w:val="TableTextRightItalic"/>
              <w:ind w:left="-57" w:right="-57"/>
              <w:cnfStyle w:val="000000000000" w:firstRow="0" w:lastRow="0" w:firstColumn="0" w:lastColumn="0" w:oddVBand="0" w:evenVBand="0" w:oddHBand="0" w:evenHBand="0" w:firstRowFirstColumn="0" w:firstRowLastColumn="0" w:lastRowFirstColumn="0" w:lastRowLastColumn="0"/>
            </w:pPr>
            <w:r>
              <w:t>-</w:t>
            </w:r>
          </w:p>
        </w:tc>
        <w:tc>
          <w:tcPr>
            <w:tcW w:w="351" w:type="pct"/>
            <w:vAlign w:val="center"/>
          </w:tcPr>
          <w:p w:rsidR="00B11102" w:rsidRPr="00B11102" w:rsidRDefault="00B11102">
            <w:pPr>
              <w:pStyle w:val="TableTextRightBold"/>
              <w:ind w:left="-57" w:right="-57"/>
              <w:cnfStyle w:val="000000000000" w:firstRow="0" w:lastRow="0" w:firstColumn="0" w:lastColumn="0" w:oddVBand="0" w:evenVBand="0" w:oddHBand="0" w:evenHBand="0" w:firstRowFirstColumn="0" w:firstRowLastColumn="0" w:lastRowFirstColumn="0" w:lastRowLastColumn="0"/>
              <w:rPr>
                <w:b w:val="0"/>
                <w:i/>
              </w:rPr>
            </w:pPr>
            <w:r w:rsidRPr="00B11102">
              <w:rPr>
                <w:b w:val="0"/>
                <w:i/>
              </w:rPr>
              <w:t>-8</w:t>
            </w:r>
          </w:p>
        </w:tc>
        <w:tc>
          <w:tcPr>
            <w:tcW w:w="351" w:type="pct"/>
            <w:vAlign w:val="center"/>
          </w:tcPr>
          <w:p w:rsidR="00B11102" w:rsidRDefault="00671216">
            <w:pPr>
              <w:pStyle w:val="TableTextRightItalic"/>
              <w:ind w:left="-57" w:right="-57"/>
              <w:cnfStyle w:val="000000000000" w:firstRow="0" w:lastRow="0" w:firstColumn="0" w:lastColumn="0" w:oddVBand="0" w:evenVBand="0" w:oddHBand="0" w:evenHBand="0" w:firstRowFirstColumn="0" w:firstRowLastColumn="0" w:lastRowFirstColumn="0" w:lastRowLastColumn="0"/>
            </w:pPr>
            <w:r>
              <w:t>-</w:t>
            </w:r>
          </w:p>
        </w:tc>
        <w:tc>
          <w:tcPr>
            <w:tcW w:w="351" w:type="pct"/>
            <w:vAlign w:val="center"/>
          </w:tcPr>
          <w:p w:rsidR="00B11102" w:rsidRDefault="00671216">
            <w:pPr>
              <w:pStyle w:val="TableTextRightItalic"/>
              <w:ind w:left="-57" w:right="-57"/>
              <w:cnfStyle w:val="000000000000" w:firstRow="0" w:lastRow="0" w:firstColumn="0" w:lastColumn="0" w:oddVBand="0" w:evenVBand="0" w:oddHBand="0" w:evenHBand="0" w:firstRowFirstColumn="0" w:firstRowLastColumn="0" w:lastRowFirstColumn="0" w:lastRowLastColumn="0"/>
            </w:pPr>
            <w:r>
              <w:t>-</w:t>
            </w:r>
          </w:p>
        </w:tc>
        <w:tc>
          <w:tcPr>
            <w:tcW w:w="351" w:type="pct"/>
            <w:vAlign w:val="center"/>
          </w:tcPr>
          <w:p w:rsidR="00B11102" w:rsidRDefault="00671216">
            <w:pPr>
              <w:pStyle w:val="TableTextRightItalic"/>
              <w:ind w:left="-57" w:right="-57"/>
              <w:cnfStyle w:val="000000000000" w:firstRow="0" w:lastRow="0" w:firstColumn="0" w:lastColumn="0" w:oddVBand="0" w:evenVBand="0" w:oddHBand="0" w:evenHBand="0" w:firstRowFirstColumn="0" w:firstRowLastColumn="0" w:lastRowFirstColumn="0" w:lastRowLastColumn="0"/>
            </w:pPr>
            <w:r>
              <w:t>-</w:t>
            </w:r>
          </w:p>
        </w:tc>
        <w:tc>
          <w:tcPr>
            <w:tcW w:w="351" w:type="pct"/>
            <w:vAlign w:val="center"/>
          </w:tcPr>
          <w:p w:rsidR="00B11102" w:rsidRDefault="00671216">
            <w:pPr>
              <w:pStyle w:val="TableTextRightItalic"/>
              <w:ind w:left="-57" w:right="-57"/>
              <w:cnfStyle w:val="000000000000" w:firstRow="0" w:lastRow="0" w:firstColumn="0" w:lastColumn="0" w:oddVBand="0" w:evenVBand="0" w:oddHBand="0" w:evenHBand="0" w:firstRowFirstColumn="0" w:firstRowLastColumn="0" w:lastRowFirstColumn="0" w:lastRowLastColumn="0"/>
            </w:pPr>
            <w:r>
              <w:t>-</w:t>
            </w:r>
          </w:p>
        </w:tc>
        <w:tc>
          <w:tcPr>
            <w:tcW w:w="351" w:type="pct"/>
            <w:vAlign w:val="center"/>
          </w:tcPr>
          <w:p w:rsidR="00B11102" w:rsidRDefault="00671216">
            <w:pPr>
              <w:pStyle w:val="TableTextRightItalic"/>
              <w:ind w:left="-57" w:right="-57"/>
              <w:cnfStyle w:val="000000000000" w:firstRow="0" w:lastRow="0" w:firstColumn="0" w:lastColumn="0" w:oddVBand="0" w:evenVBand="0" w:oddHBand="0" w:evenHBand="0" w:firstRowFirstColumn="0" w:firstRowLastColumn="0" w:lastRowFirstColumn="0" w:lastRowLastColumn="0"/>
            </w:pPr>
            <w:r>
              <w:t>-</w:t>
            </w:r>
          </w:p>
        </w:tc>
        <w:tc>
          <w:tcPr>
            <w:tcW w:w="351" w:type="pct"/>
            <w:vAlign w:val="center"/>
          </w:tcPr>
          <w:p w:rsidR="00B11102" w:rsidRDefault="00671216">
            <w:pPr>
              <w:pStyle w:val="TableTextRightItalic"/>
              <w:ind w:left="-57" w:right="-57"/>
              <w:cnfStyle w:val="000000000000" w:firstRow="0" w:lastRow="0" w:firstColumn="0" w:lastColumn="0" w:oddVBand="0" w:evenVBand="0" w:oddHBand="0" w:evenHBand="0" w:firstRowFirstColumn="0" w:firstRowLastColumn="0" w:lastRowFirstColumn="0" w:lastRowLastColumn="0"/>
            </w:pPr>
            <w:r>
              <w:t>-</w:t>
            </w:r>
          </w:p>
        </w:tc>
        <w:tc>
          <w:tcPr>
            <w:tcW w:w="351" w:type="pct"/>
            <w:vAlign w:val="center"/>
          </w:tcPr>
          <w:p w:rsidR="00B11102" w:rsidRDefault="00671216">
            <w:pPr>
              <w:pStyle w:val="TableTextRightItalic"/>
              <w:ind w:left="-57" w:right="-57"/>
              <w:cnfStyle w:val="000000000000" w:firstRow="0" w:lastRow="0" w:firstColumn="0" w:lastColumn="0" w:oddVBand="0" w:evenVBand="0" w:oddHBand="0" w:evenHBand="0" w:firstRowFirstColumn="0" w:firstRowLastColumn="0" w:lastRowFirstColumn="0" w:lastRowLastColumn="0"/>
            </w:pPr>
            <w:r>
              <w:t>-</w:t>
            </w:r>
          </w:p>
        </w:tc>
        <w:tc>
          <w:tcPr>
            <w:tcW w:w="351" w:type="pct"/>
            <w:vAlign w:val="center"/>
          </w:tcPr>
          <w:p w:rsidR="00B11102" w:rsidRPr="00B11102" w:rsidRDefault="00B11102">
            <w:pPr>
              <w:pStyle w:val="TableTextRightBold"/>
              <w:ind w:left="-57" w:right="-57"/>
              <w:cnfStyle w:val="000000000000" w:firstRow="0" w:lastRow="0" w:firstColumn="0" w:lastColumn="0" w:oddVBand="0" w:evenVBand="0" w:oddHBand="0" w:evenHBand="0" w:firstRowFirstColumn="0" w:firstRowLastColumn="0" w:lastRowFirstColumn="0" w:lastRowLastColumn="0"/>
              <w:rPr>
                <w:i/>
              </w:rPr>
            </w:pPr>
            <w:r w:rsidRPr="00B11102">
              <w:rPr>
                <w:i/>
              </w:rPr>
              <w:t>-8</w:t>
            </w:r>
          </w:p>
        </w:tc>
      </w:tr>
      <w:tr w:rsidR="00DB55D3" w:rsidRPr="008D77AF" w:rsidTr="00D17A0B">
        <w:tc>
          <w:tcPr>
            <w:cnfStyle w:val="001000000000" w:firstRow="0" w:lastRow="0" w:firstColumn="1" w:lastColumn="0" w:oddVBand="0" w:evenVBand="0" w:oddHBand="0" w:evenHBand="0" w:firstRowFirstColumn="0" w:firstRowLastColumn="0" w:lastRowFirstColumn="0" w:lastRowLastColumn="0"/>
            <w:tcW w:w="786" w:type="pct"/>
            <w:vAlign w:val="center"/>
          </w:tcPr>
          <w:p w:rsidR="00DB55D3" w:rsidRPr="002547A5" w:rsidRDefault="00DB55D3" w:rsidP="00B11102">
            <w:pPr>
              <w:pStyle w:val="TableText"/>
              <w:keepNext/>
              <w:keepLines/>
              <w:ind w:left="113"/>
              <w:rPr>
                <w:b w:val="0"/>
                <w:color w:val="000000"/>
                <w:szCs w:val="20"/>
              </w:rPr>
            </w:pPr>
            <w:r w:rsidRPr="00BE3B56">
              <w:rPr>
                <w:b w:val="0"/>
                <w:color w:val="000000"/>
                <w:szCs w:val="20"/>
              </w:rPr>
              <w:t>Excise and import duties - administered</w:t>
            </w:r>
          </w:p>
        </w:tc>
        <w:tc>
          <w:tcPr>
            <w:tcW w:w="351" w:type="pct"/>
            <w:vAlign w:val="center"/>
          </w:tcPr>
          <w:p w:rsidR="00DB55D3" w:rsidRPr="000410DC" w:rsidRDefault="00DB55D3">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0410DC">
              <w:t>9,090</w:t>
            </w:r>
          </w:p>
        </w:tc>
        <w:tc>
          <w:tcPr>
            <w:tcW w:w="351" w:type="pct"/>
            <w:vAlign w:val="center"/>
          </w:tcPr>
          <w:p w:rsidR="00DB55D3" w:rsidRPr="000410DC" w:rsidRDefault="00DB55D3">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0410DC">
              <w:t>10,090</w:t>
            </w:r>
          </w:p>
        </w:tc>
        <w:tc>
          <w:tcPr>
            <w:tcW w:w="351" w:type="pct"/>
            <w:vAlign w:val="center"/>
          </w:tcPr>
          <w:p w:rsidR="00DB55D3" w:rsidRPr="000410DC" w:rsidRDefault="00DB55D3">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0410DC">
              <w:t>10,670</w:t>
            </w:r>
          </w:p>
        </w:tc>
        <w:tc>
          <w:tcPr>
            <w:tcW w:w="351" w:type="pct"/>
            <w:vAlign w:val="center"/>
          </w:tcPr>
          <w:p w:rsidR="00DB55D3" w:rsidRPr="000410DC" w:rsidRDefault="00DB55D3">
            <w:pPr>
              <w:pStyle w:val="TableTextRightBold"/>
              <w:ind w:left="-57" w:right="-57"/>
              <w:cnfStyle w:val="000000000000" w:firstRow="0" w:lastRow="0" w:firstColumn="0" w:lastColumn="0" w:oddVBand="0" w:evenVBand="0" w:oddHBand="0" w:evenHBand="0" w:firstRowFirstColumn="0" w:firstRowLastColumn="0" w:lastRowFirstColumn="0" w:lastRowLastColumn="0"/>
              <w:rPr>
                <w:b w:val="0"/>
                <w:i/>
              </w:rPr>
            </w:pPr>
            <w:r w:rsidRPr="006B4078">
              <w:rPr>
                <w:b w:val="0"/>
                <w:i/>
              </w:rPr>
              <w:t>29,870</w:t>
            </w:r>
          </w:p>
        </w:tc>
        <w:tc>
          <w:tcPr>
            <w:tcW w:w="351" w:type="pct"/>
            <w:vAlign w:val="center"/>
          </w:tcPr>
          <w:p w:rsidR="00DB55D3" w:rsidRPr="000410DC" w:rsidRDefault="00DB55D3">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0410DC">
              <w:t>11,600</w:t>
            </w:r>
          </w:p>
        </w:tc>
        <w:tc>
          <w:tcPr>
            <w:tcW w:w="351" w:type="pct"/>
            <w:vAlign w:val="center"/>
          </w:tcPr>
          <w:p w:rsidR="00DB55D3" w:rsidRPr="000410DC" w:rsidRDefault="00DB55D3">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0410DC">
              <w:t>12,490</w:t>
            </w:r>
          </w:p>
        </w:tc>
        <w:tc>
          <w:tcPr>
            <w:tcW w:w="351" w:type="pct"/>
            <w:vAlign w:val="center"/>
          </w:tcPr>
          <w:p w:rsidR="00DB55D3" w:rsidRPr="000410DC" w:rsidRDefault="00DB55D3">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0410DC">
              <w:t>13,420</w:t>
            </w:r>
          </w:p>
        </w:tc>
        <w:tc>
          <w:tcPr>
            <w:tcW w:w="351" w:type="pct"/>
            <w:vAlign w:val="center"/>
          </w:tcPr>
          <w:p w:rsidR="00DB55D3" w:rsidRPr="000410DC" w:rsidRDefault="00DB55D3">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0410DC">
              <w:t>14,360</w:t>
            </w:r>
          </w:p>
        </w:tc>
        <w:tc>
          <w:tcPr>
            <w:tcW w:w="351" w:type="pct"/>
            <w:vAlign w:val="center"/>
          </w:tcPr>
          <w:p w:rsidR="00DB55D3" w:rsidRPr="000410DC" w:rsidRDefault="00DB55D3">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0410DC">
              <w:t>15,340</w:t>
            </w:r>
          </w:p>
        </w:tc>
        <w:tc>
          <w:tcPr>
            <w:tcW w:w="351" w:type="pct"/>
            <w:vAlign w:val="center"/>
          </w:tcPr>
          <w:p w:rsidR="00DB55D3" w:rsidRPr="000410DC" w:rsidRDefault="00DB55D3">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0410DC">
              <w:t>16,380</w:t>
            </w:r>
          </w:p>
        </w:tc>
        <w:tc>
          <w:tcPr>
            <w:tcW w:w="351" w:type="pct"/>
            <w:vAlign w:val="center"/>
          </w:tcPr>
          <w:p w:rsidR="00DB55D3" w:rsidRPr="000410DC" w:rsidRDefault="00DB55D3">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0410DC">
              <w:t>17,460</w:t>
            </w:r>
          </w:p>
        </w:tc>
        <w:tc>
          <w:tcPr>
            <w:tcW w:w="351" w:type="pct"/>
            <w:vAlign w:val="center"/>
          </w:tcPr>
          <w:p w:rsidR="00DB55D3" w:rsidRPr="000410DC" w:rsidRDefault="00DB55D3">
            <w:pPr>
              <w:pStyle w:val="TableTextRightBold"/>
              <w:ind w:left="-57" w:right="-57"/>
              <w:cnfStyle w:val="000000000000" w:firstRow="0" w:lastRow="0" w:firstColumn="0" w:lastColumn="0" w:oddVBand="0" w:evenVBand="0" w:oddHBand="0" w:evenHBand="0" w:firstRowFirstColumn="0" w:firstRowLastColumn="0" w:lastRowFirstColumn="0" w:lastRowLastColumn="0"/>
              <w:rPr>
                <w:i/>
              </w:rPr>
            </w:pPr>
            <w:r w:rsidRPr="006B4078">
              <w:rPr>
                <w:i/>
              </w:rPr>
              <w:t>130,910</w:t>
            </w:r>
          </w:p>
        </w:tc>
      </w:tr>
      <w:tr w:rsidR="00DB55D3" w:rsidRPr="008D77AF" w:rsidTr="00D17A0B">
        <w:tc>
          <w:tcPr>
            <w:cnfStyle w:val="001000000000" w:firstRow="0" w:lastRow="0" w:firstColumn="1" w:lastColumn="0" w:oddVBand="0" w:evenVBand="0" w:oddHBand="0" w:evenHBand="0" w:firstRowFirstColumn="0" w:firstRowLastColumn="0" w:lastRowFirstColumn="0" w:lastRowLastColumn="0"/>
            <w:tcW w:w="786" w:type="pct"/>
            <w:vAlign w:val="center"/>
          </w:tcPr>
          <w:p w:rsidR="00DB55D3" w:rsidRPr="00A25ACE" w:rsidRDefault="00DB55D3" w:rsidP="00B11102">
            <w:pPr>
              <w:pStyle w:val="TableText"/>
              <w:keepNext/>
              <w:keepLines/>
              <w:ind w:left="113"/>
              <w:rPr>
                <w:b w:val="0"/>
              </w:rPr>
            </w:pPr>
            <w:r w:rsidRPr="00BE3B56">
              <w:rPr>
                <w:b w:val="0"/>
                <w:color w:val="000000"/>
                <w:szCs w:val="20"/>
              </w:rPr>
              <w:t>Excise and import duties - departmental</w:t>
            </w:r>
          </w:p>
        </w:tc>
        <w:tc>
          <w:tcPr>
            <w:tcW w:w="351" w:type="pct"/>
            <w:vAlign w:val="center"/>
          </w:tcPr>
          <w:p w:rsidR="00DB55D3" w:rsidRPr="000410DC" w:rsidRDefault="00DB55D3">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0410DC">
              <w:t>20</w:t>
            </w:r>
          </w:p>
        </w:tc>
        <w:tc>
          <w:tcPr>
            <w:tcW w:w="351" w:type="pct"/>
            <w:vAlign w:val="center"/>
          </w:tcPr>
          <w:p w:rsidR="00DB55D3" w:rsidRPr="000410DC" w:rsidRDefault="00DB55D3">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0410DC">
              <w:t>110</w:t>
            </w:r>
          </w:p>
        </w:tc>
        <w:tc>
          <w:tcPr>
            <w:tcW w:w="351" w:type="pct"/>
            <w:vAlign w:val="center"/>
          </w:tcPr>
          <w:p w:rsidR="00DB55D3" w:rsidRPr="000410DC" w:rsidRDefault="00DB55D3">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0410DC">
              <w:t>110</w:t>
            </w:r>
          </w:p>
        </w:tc>
        <w:tc>
          <w:tcPr>
            <w:tcW w:w="351" w:type="pct"/>
            <w:vAlign w:val="center"/>
          </w:tcPr>
          <w:p w:rsidR="00DB55D3" w:rsidRPr="000410DC" w:rsidRDefault="00DB55D3">
            <w:pPr>
              <w:pStyle w:val="TableTextRightBold"/>
              <w:ind w:left="-57" w:right="-57"/>
              <w:cnfStyle w:val="000000000000" w:firstRow="0" w:lastRow="0" w:firstColumn="0" w:lastColumn="0" w:oddVBand="0" w:evenVBand="0" w:oddHBand="0" w:evenHBand="0" w:firstRowFirstColumn="0" w:firstRowLastColumn="0" w:lastRowFirstColumn="0" w:lastRowLastColumn="0"/>
              <w:rPr>
                <w:b w:val="0"/>
                <w:i/>
              </w:rPr>
            </w:pPr>
            <w:r w:rsidRPr="006B4078">
              <w:rPr>
                <w:b w:val="0"/>
                <w:i/>
              </w:rPr>
              <w:t>245</w:t>
            </w:r>
          </w:p>
        </w:tc>
        <w:tc>
          <w:tcPr>
            <w:tcW w:w="351" w:type="pct"/>
            <w:vAlign w:val="center"/>
          </w:tcPr>
          <w:p w:rsidR="00DB55D3" w:rsidRPr="000410DC" w:rsidRDefault="00DB55D3">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0410DC">
              <w:t>110</w:t>
            </w:r>
          </w:p>
        </w:tc>
        <w:tc>
          <w:tcPr>
            <w:tcW w:w="351" w:type="pct"/>
            <w:vAlign w:val="center"/>
          </w:tcPr>
          <w:p w:rsidR="00DB55D3" w:rsidRPr="000410DC" w:rsidRDefault="00DB55D3">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0410DC">
              <w:t>110</w:t>
            </w:r>
          </w:p>
        </w:tc>
        <w:tc>
          <w:tcPr>
            <w:tcW w:w="351" w:type="pct"/>
            <w:vAlign w:val="center"/>
          </w:tcPr>
          <w:p w:rsidR="00DB55D3" w:rsidRPr="000410DC" w:rsidRDefault="00DB55D3">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0410DC">
              <w:t>110</w:t>
            </w:r>
          </w:p>
        </w:tc>
        <w:tc>
          <w:tcPr>
            <w:tcW w:w="351" w:type="pct"/>
            <w:vAlign w:val="center"/>
          </w:tcPr>
          <w:p w:rsidR="00DB55D3" w:rsidRPr="000410DC" w:rsidRDefault="00DB55D3">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0410DC">
              <w:t>110</w:t>
            </w:r>
          </w:p>
        </w:tc>
        <w:tc>
          <w:tcPr>
            <w:tcW w:w="351" w:type="pct"/>
            <w:vAlign w:val="center"/>
          </w:tcPr>
          <w:p w:rsidR="00DB55D3" w:rsidRPr="000410DC" w:rsidRDefault="00DB55D3">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0410DC">
              <w:t>110</w:t>
            </w:r>
          </w:p>
        </w:tc>
        <w:tc>
          <w:tcPr>
            <w:tcW w:w="351" w:type="pct"/>
            <w:vAlign w:val="center"/>
          </w:tcPr>
          <w:p w:rsidR="00DB55D3" w:rsidRPr="000410DC" w:rsidRDefault="00DB55D3">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0410DC">
              <w:t>110</w:t>
            </w:r>
          </w:p>
        </w:tc>
        <w:tc>
          <w:tcPr>
            <w:tcW w:w="351" w:type="pct"/>
            <w:vAlign w:val="center"/>
          </w:tcPr>
          <w:p w:rsidR="00DB55D3" w:rsidRPr="000410DC" w:rsidRDefault="00DB55D3">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0410DC">
              <w:t>110</w:t>
            </w:r>
          </w:p>
        </w:tc>
        <w:tc>
          <w:tcPr>
            <w:tcW w:w="351" w:type="pct"/>
            <w:vAlign w:val="center"/>
          </w:tcPr>
          <w:p w:rsidR="00DB55D3" w:rsidRPr="000410DC" w:rsidRDefault="00DB55D3">
            <w:pPr>
              <w:pStyle w:val="TableTextRightBold"/>
              <w:ind w:left="-57" w:right="-57"/>
              <w:cnfStyle w:val="000000000000" w:firstRow="0" w:lastRow="0" w:firstColumn="0" w:lastColumn="0" w:oddVBand="0" w:evenVBand="0" w:oddHBand="0" w:evenHBand="0" w:firstRowFirstColumn="0" w:firstRowLastColumn="0" w:lastRowFirstColumn="0" w:lastRowLastColumn="0"/>
              <w:rPr>
                <w:i/>
              </w:rPr>
            </w:pPr>
            <w:r w:rsidRPr="006B4078">
              <w:rPr>
                <w:i/>
              </w:rPr>
              <w:t>1,030</w:t>
            </w:r>
          </w:p>
        </w:tc>
      </w:tr>
      <w:tr w:rsidR="00B11102" w:rsidRPr="008D77AF" w:rsidTr="00D17A0B">
        <w:tc>
          <w:tcPr>
            <w:cnfStyle w:val="001000000000" w:firstRow="0" w:lastRow="0" w:firstColumn="1" w:lastColumn="0" w:oddVBand="0" w:evenVBand="0" w:oddHBand="0" w:evenHBand="0" w:firstRowFirstColumn="0" w:firstRowLastColumn="0" w:lastRowFirstColumn="0" w:lastRowLastColumn="0"/>
            <w:tcW w:w="786" w:type="pct"/>
            <w:vAlign w:val="center"/>
          </w:tcPr>
          <w:p w:rsidR="00B11102" w:rsidRDefault="00B11102" w:rsidP="00067E5B">
            <w:pPr>
              <w:pStyle w:val="TableText"/>
              <w:keepNext/>
              <w:keepLines/>
              <w:ind w:left="113" w:right="0"/>
            </w:pPr>
            <w:r w:rsidRPr="002547A5">
              <w:rPr>
                <w:b w:val="0"/>
                <w:color w:val="000000"/>
                <w:szCs w:val="20"/>
              </w:rPr>
              <w:t>GST</w:t>
            </w:r>
            <w:r w:rsidR="00A801B0">
              <w:rPr>
                <w:b w:val="0"/>
                <w:color w:val="000000"/>
                <w:szCs w:val="20"/>
              </w:rPr>
              <w:t xml:space="preserve"> - departmenta</w:t>
            </w:r>
            <w:r w:rsidR="00A801B0" w:rsidRPr="00067E5B">
              <w:rPr>
                <w:b w:val="0"/>
                <w:color w:val="000000"/>
                <w:szCs w:val="20"/>
              </w:rPr>
              <w:t>l</w:t>
            </w:r>
          </w:p>
        </w:tc>
        <w:tc>
          <w:tcPr>
            <w:tcW w:w="351" w:type="pct"/>
            <w:vAlign w:val="center"/>
          </w:tcPr>
          <w:p w:rsid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D2C43">
              <w:t>-60</w:t>
            </w:r>
          </w:p>
        </w:tc>
        <w:tc>
          <w:tcPr>
            <w:tcW w:w="351" w:type="pct"/>
            <w:vAlign w:val="center"/>
          </w:tcPr>
          <w:p w:rsid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D2C43">
              <w:t>-40</w:t>
            </w:r>
          </w:p>
        </w:tc>
        <w:tc>
          <w:tcPr>
            <w:tcW w:w="351" w:type="pct"/>
            <w:vAlign w:val="center"/>
          </w:tcPr>
          <w:p w:rsid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D2C43">
              <w:t>-20</w:t>
            </w:r>
          </w:p>
        </w:tc>
        <w:tc>
          <w:tcPr>
            <w:tcW w:w="351" w:type="pct"/>
            <w:vAlign w:val="center"/>
          </w:tcPr>
          <w:p w:rsidR="00B11102" w:rsidRPr="00B11102" w:rsidRDefault="00B11102">
            <w:pPr>
              <w:pStyle w:val="TableTextRightBold"/>
              <w:ind w:left="-57" w:right="-57"/>
              <w:cnfStyle w:val="000000000000" w:firstRow="0" w:lastRow="0" w:firstColumn="0" w:lastColumn="0" w:oddVBand="0" w:evenVBand="0" w:oddHBand="0" w:evenHBand="0" w:firstRowFirstColumn="0" w:firstRowLastColumn="0" w:lastRowFirstColumn="0" w:lastRowLastColumn="0"/>
              <w:rPr>
                <w:b w:val="0"/>
                <w:i/>
              </w:rPr>
            </w:pPr>
            <w:r w:rsidRPr="00B11102">
              <w:rPr>
                <w:b w:val="0"/>
                <w:i/>
              </w:rPr>
              <w:t>-120</w:t>
            </w:r>
          </w:p>
        </w:tc>
        <w:tc>
          <w:tcPr>
            <w:tcW w:w="351" w:type="pct"/>
            <w:vAlign w:val="center"/>
          </w:tcPr>
          <w:p w:rsid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D2C43">
              <w:t>-20</w:t>
            </w:r>
          </w:p>
        </w:tc>
        <w:tc>
          <w:tcPr>
            <w:tcW w:w="351" w:type="pct"/>
            <w:vAlign w:val="center"/>
          </w:tcPr>
          <w:p w:rsid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D2C43">
              <w:t>-20</w:t>
            </w:r>
          </w:p>
        </w:tc>
        <w:tc>
          <w:tcPr>
            <w:tcW w:w="351" w:type="pct"/>
            <w:vAlign w:val="center"/>
          </w:tcPr>
          <w:p w:rsid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D2C43">
              <w:t>-10</w:t>
            </w:r>
          </w:p>
        </w:tc>
        <w:tc>
          <w:tcPr>
            <w:tcW w:w="351" w:type="pct"/>
            <w:vAlign w:val="center"/>
          </w:tcPr>
          <w:p w:rsid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D2C43">
              <w:t>-10</w:t>
            </w:r>
          </w:p>
        </w:tc>
        <w:tc>
          <w:tcPr>
            <w:tcW w:w="351" w:type="pct"/>
            <w:vAlign w:val="center"/>
          </w:tcPr>
          <w:p w:rsid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D2C43">
              <w:t>-10</w:t>
            </w:r>
          </w:p>
        </w:tc>
        <w:tc>
          <w:tcPr>
            <w:tcW w:w="351" w:type="pct"/>
            <w:vAlign w:val="center"/>
          </w:tcPr>
          <w:p w:rsid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D2C43">
              <w:t>-10</w:t>
            </w:r>
          </w:p>
        </w:tc>
        <w:tc>
          <w:tcPr>
            <w:tcW w:w="351" w:type="pct"/>
            <w:vAlign w:val="center"/>
          </w:tcPr>
          <w:p w:rsidR="00B11102" w:rsidRDefault="00B11102">
            <w:pPr>
              <w:pStyle w:val="TableTextRightItalic"/>
              <w:ind w:left="-57" w:right="-57"/>
              <w:cnfStyle w:val="000000000000" w:firstRow="0" w:lastRow="0" w:firstColumn="0" w:lastColumn="0" w:oddVBand="0" w:evenVBand="0" w:oddHBand="0" w:evenHBand="0" w:firstRowFirstColumn="0" w:firstRowLastColumn="0" w:lastRowFirstColumn="0" w:lastRowLastColumn="0"/>
            </w:pPr>
            <w:r w:rsidRPr="003D2C43">
              <w:t>-10</w:t>
            </w:r>
          </w:p>
        </w:tc>
        <w:tc>
          <w:tcPr>
            <w:tcW w:w="351" w:type="pct"/>
            <w:vAlign w:val="center"/>
          </w:tcPr>
          <w:p w:rsidR="00B11102" w:rsidRPr="00B11102" w:rsidRDefault="00B11102">
            <w:pPr>
              <w:pStyle w:val="TableTextRightBold"/>
              <w:ind w:left="-57" w:right="-57"/>
              <w:cnfStyle w:val="000000000000" w:firstRow="0" w:lastRow="0" w:firstColumn="0" w:lastColumn="0" w:oddVBand="0" w:evenVBand="0" w:oddHBand="0" w:evenHBand="0" w:firstRowFirstColumn="0" w:firstRowLastColumn="0" w:lastRowFirstColumn="0" w:lastRowLastColumn="0"/>
              <w:rPr>
                <w:i/>
              </w:rPr>
            </w:pPr>
            <w:r w:rsidRPr="00B11102">
              <w:rPr>
                <w:i/>
              </w:rPr>
              <w:t>-210</w:t>
            </w:r>
          </w:p>
        </w:tc>
      </w:tr>
      <w:tr w:rsidR="00080CED" w:rsidTr="00DB55D3">
        <w:tc>
          <w:tcPr>
            <w:cnfStyle w:val="001000000000" w:firstRow="0" w:lastRow="0" w:firstColumn="1" w:lastColumn="0" w:oddVBand="0" w:evenVBand="0" w:oddHBand="0" w:evenHBand="0" w:firstRowFirstColumn="0" w:firstRowLastColumn="0" w:lastRowFirstColumn="0" w:lastRowLastColumn="0"/>
            <w:tcW w:w="786" w:type="pct"/>
            <w:shd w:val="clear" w:color="auto" w:fill="D7DDE9" w:themeFill="accent3"/>
            <w:vAlign w:val="center"/>
          </w:tcPr>
          <w:p w:rsidR="00B11102" w:rsidRPr="008D77AF" w:rsidRDefault="00B11102" w:rsidP="00386BB5">
            <w:pPr>
              <w:pStyle w:val="TableText"/>
              <w:keepNext/>
              <w:keepLines/>
            </w:pPr>
            <w:r w:rsidRPr="008D77AF">
              <w:t>Total</w:t>
            </w:r>
          </w:p>
        </w:tc>
        <w:tc>
          <w:tcPr>
            <w:tcW w:w="351" w:type="pct"/>
            <w:shd w:val="clear" w:color="auto" w:fill="D7DDE9" w:themeFill="accent3"/>
          </w:tcPr>
          <w:p w:rsidR="00B11102" w:rsidRDefault="00B11102" w:rsidP="00E4487B">
            <w:pPr>
              <w:pStyle w:val="TableTextRightBold"/>
              <w:ind w:left="-57" w:right="-57"/>
              <w:cnfStyle w:val="000000000000" w:firstRow="0" w:lastRow="0" w:firstColumn="0" w:lastColumn="0" w:oddVBand="0" w:evenVBand="0" w:oddHBand="0" w:evenHBand="0" w:firstRowFirstColumn="0" w:firstRowLastColumn="0" w:lastRowFirstColumn="0" w:lastRowLastColumn="0"/>
            </w:pPr>
            <w:r w:rsidRPr="003D2C43">
              <w:t>-146,238</w:t>
            </w:r>
          </w:p>
        </w:tc>
        <w:tc>
          <w:tcPr>
            <w:tcW w:w="351" w:type="pct"/>
            <w:shd w:val="clear" w:color="auto" w:fill="D7DDE9" w:themeFill="accent3"/>
          </w:tcPr>
          <w:p w:rsidR="00B11102" w:rsidRDefault="00B11102" w:rsidP="00E4487B">
            <w:pPr>
              <w:pStyle w:val="TableTextRightBold"/>
              <w:ind w:left="-57" w:right="-57"/>
              <w:cnfStyle w:val="000000000000" w:firstRow="0" w:lastRow="0" w:firstColumn="0" w:lastColumn="0" w:oddVBand="0" w:evenVBand="0" w:oddHBand="0" w:evenHBand="0" w:firstRowFirstColumn="0" w:firstRowLastColumn="0" w:lastRowFirstColumn="0" w:lastRowLastColumn="0"/>
            </w:pPr>
            <w:r w:rsidRPr="003D2C43">
              <w:t>-166,620</w:t>
            </w:r>
          </w:p>
        </w:tc>
        <w:tc>
          <w:tcPr>
            <w:tcW w:w="351" w:type="pct"/>
            <w:shd w:val="clear" w:color="auto" w:fill="D7DDE9" w:themeFill="accent3"/>
          </w:tcPr>
          <w:p w:rsidR="00B11102" w:rsidRDefault="00B11102" w:rsidP="00E4487B">
            <w:pPr>
              <w:pStyle w:val="TableTextRightBold"/>
              <w:ind w:left="-57" w:right="-57"/>
              <w:cnfStyle w:val="000000000000" w:firstRow="0" w:lastRow="0" w:firstColumn="0" w:lastColumn="0" w:oddVBand="0" w:evenVBand="0" w:oddHBand="0" w:evenHBand="0" w:firstRowFirstColumn="0" w:firstRowLastColumn="0" w:lastRowFirstColumn="0" w:lastRowLastColumn="0"/>
            </w:pPr>
            <w:r w:rsidRPr="003D2C43">
              <w:t>-176,020</w:t>
            </w:r>
          </w:p>
        </w:tc>
        <w:tc>
          <w:tcPr>
            <w:tcW w:w="351" w:type="pct"/>
            <w:shd w:val="clear" w:color="auto" w:fill="D7DDE9" w:themeFill="accent3"/>
          </w:tcPr>
          <w:p w:rsidR="00B11102" w:rsidRDefault="00B11102" w:rsidP="00443963">
            <w:pPr>
              <w:pStyle w:val="TableTextRightBold"/>
              <w:ind w:left="-57" w:right="-57"/>
              <w:cnfStyle w:val="000000000000" w:firstRow="0" w:lastRow="0" w:firstColumn="0" w:lastColumn="0" w:oddVBand="0" w:evenVBand="0" w:oddHBand="0" w:evenHBand="0" w:firstRowFirstColumn="0" w:firstRowLastColumn="0" w:lastRowFirstColumn="0" w:lastRowLastColumn="0"/>
            </w:pPr>
            <w:r w:rsidRPr="003D2C43">
              <w:t>-488,878</w:t>
            </w:r>
          </w:p>
        </w:tc>
        <w:tc>
          <w:tcPr>
            <w:tcW w:w="351" w:type="pct"/>
            <w:shd w:val="clear" w:color="auto" w:fill="D7DDE9" w:themeFill="accent3"/>
          </w:tcPr>
          <w:p w:rsidR="00B11102" w:rsidRDefault="00B11102" w:rsidP="00E4487B">
            <w:pPr>
              <w:pStyle w:val="TableTextRightBold"/>
              <w:ind w:left="-57" w:right="-57"/>
              <w:cnfStyle w:val="000000000000" w:firstRow="0" w:lastRow="0" w:firstColumn="0" w:lastColumn="0" w:oddVBand="0" w:evenVBand="0" w:oddHBand="0" w:evenHBand="0" w:firstRowFirstColumn="0" w:firstRowLastColumn="0" w:lastRowFirstColumn="0" w:lastRowLastColumn="0"/>
            </w:pPr>
            <w:r w:rsidRPr="003D2C43">
              <w:t>-186,690</w:t>
            </w:r>
          </w:p>
        </w:tc>
        <w:tc>
          <w:tcPr>
            <w:tcW w:w="351" w:type="pct"/>
            <w:shd w:val="clear" w:color="auto" w:fill="D7DDE9" w:themeFill="accent3"/>
          </w:tcPr>
          <w:p w:rsidR="00B11102" w:rsidRDefault="00B11102" w:rsidP="00E4487B">
            <w:pPr>
              <w:pStyle w:val="TableTextRightBold"/>
              <w:ind w:left="-57" w:right="-57"/>
              <w:cnfStyle w:val="000000000000" w:firstRow="0" w:lastRow="0" w:firstColumn="0" w:lastColumn="0" w:oddVBand="0" w:evenVBand="0" w:oddHBand="0" w:evenHBand="0" w:firstRowFirstColumn="0" w:firstRowLastColumn="0" w:lastRowFirstColumn="0" w:lastRowLastColumn="0"/>
            </w:pPr>
            <w:r w:rsidRPr="003D2C43">
              <w:t>-195,060</w:t>
            </w:r>
          </w:p>
        </w:tc>
        <w:tc>
          <w:tcPr>
            <w:tcW w:w="351" w:type="pct"/>
            <w:shd w:val="clear" w:color="auto" w:fill="D7DDE9" w:themeFill="accent3"/>
          </w:tcPr>
          <w:p w:rsidR="00B11102" w:rsidRDefault="00B11102" w:rsidP="00E4487B">
            <w:pPr>
              <w:pStyle w:val="TableTextRightBold"/>
              <w:ind w:left="-57" w:right="-57"/>
              <w:cnfStyle w:val="000000000000" w:firstRow="0" w:lastRow="0" w:firstColumn="0" w:lastColumn="0" w:oddVBand="0" w:evenVBand="0" w:oddHBand="0" w:evenHBand="0" w:firstRowFirstColumn="0" w:firstRowLastColumn="0" w:lastRowFirstColumn="0" w:lastRowLastColumn="0"/>
            </w:pPr>
            <w:r w:rsidRPr="003D2C43">
              <w:t>-205,330</w:t>
            </w:r>
          </w:p>
        </w:tc>
        <w:tc>
          <w:tcPr>
            <w:tcW w:w="351" w:type="pct"/>
            <w:shd w:val="clear" w:color="auto" w:fill="D7DDE9" w:themeFill="accent3"/>
          </w:tcPr>
          <w:p w:rsidR="00B11102" w:rsidRDefault="00B11102" w:rsidP="00E4487B">
            <w:pPr>
              <w:pStyle w:val="TableTextRightBold"/>
              <w:ind w:left="-57" w:right="-57"/>
              <w:cnfStyle w:val="000000000000" w:firstRow="0" w:lastRow="0" w:firstColumn="0" w:lastColumn="0" w:oddVBand="0" w:evenVBand="0" w:oddHBand="0" w:evenHBand="0" w:firstRowFirstColumn="0" w:firstRowLastColumn="0" w:lastRowFirstColumn="0" w:lastRowLastColumn="0"/>
            </w:pPr>
            <w:r w:rsidRPr="003D2C43">
              <w:t>-213,490</w:t>
            </w:r>
          </w:p>
        </w:tc>
        <w:tc>
          <w:tcPr>
            <w:tcW w:w="351" w:type="pct"/>
            <w:shd w:val="clear" w:color="auto" w:fill="D7DDE9" w:themeFill="accent3"/>
          </w:tcPr>
          <w:p w:rsidR="00B11102" w:rsidRDefault="00B11102" w:rsidP="00E4487B">
            <w:pPr>
              <w:pStyle w:val="TableTextRightBold"/>
              <w:ind w:left="-57" w:right="-57"/>
              <w:cnfStyle w:val="000000000000" w:firstRow="0" w:lastRow="0" w:firstColumn="0" w:lastColumn="0" w:oddVBand="0" w:evenVBand="0" w:oddHBand="0" w:evenHBand="0" w:firstRowFirstColumn="0" w:firstRowLastColumn="0" w:lastRowFirstColumn="0" w:lastRowLastColumn="0"/>
            </w:pPr>
            <w:r w:rsidRPr="003D2C43">
              <w:t>-223,170</w:t>
            </w:r>
          </w:p>
        </w:tc>
        <w:tc>
          <w:tcPr>
            <w:tcW w:w="351" w:type="pct"/>
            <w:shd w:val="clear" w:color="auto" w:fill="D7DDE9" w:themeFill="accent3"/>
          </w:tcPr>
          <w:p w:rsidR="00B11102" w:rsidRDefault="00B11102" w:rsidP="00E4487B">
            <w:pPr>
              <w:pStyle w:val="TableTextRightBold"/>
              <w:ind w:left="-57" w:right="-57"/>
              <w:cnfStyle w:val="000000000000" w:firstRow="0" w:lastRow="0" w:firstColumn="0" w:lastColumn="0" w:oddVBand="0" w:evenVBand="0" w:oddHBand="0" w:evenHBand="0" w:firstRowFirstColumn="0" w:firstRowLastColumn="0" w:lastRowFirstColumn="0" w:lastRowLastColumn="0"/>
            </w:pPr>
            <w:r w:rsidRPr="003D2C43">
              <w:t>-231,730</w:t>
            </w:r>
          </w:p>
        </w:tc>
        <w:tc>
          <w:tcPr>
            <w:tcW w:w="351" w:type="pct"/>
            <w:shd w:val="clear" w:color="auto" w:fill="D7DDE9" w:themeFill="accent3"/>
          </w:tcPr>
          <w:p w:rsidR="00B11102" w:rsidRDefault="00B11102" w:rsidP="00E4487B">
            <w:pPr>
              <w:pStyle w:val="TableTextRightBold"/>
              <w:ind w:left="-57" w:right="-57"/>
              <w:cnfStyle w:val="000000000000" w:firstRow="0" w:lastRow="0" w:firstColumn="0" w:lastColumn="0" w:oddVBand="0" w:evenVBand="0" w:oddHBand="0" w:evenHBand="0" w:firstRowFirstColumn="0" w:firstRowLastColumn="0" w:lastRowFirstColumn="0" w:lastRowLastColumn="0"/>
            </w:pPr>
            <w:r w:rsidRPr="003D2C43">
              <w:t>-241,830</w:t>
            </w:r>
          </w:p>
        </w:tc>
        <w:tc>
          <w:tcPr>
            <w:tcW w:w="351" w:type="pct"/>
            <w:shd w:val="clear" w:color="auto" w:fill="D7DDE9" w:themeFill="accent3"/>
          </w:tcPr>
          <w:p w:rsidR="00B11102" w:rsidRDefault="00B11102" w:rsidP="00E4487B">
            <w:pPr>
              <w:pStyle w:val="TableTextRightBold"/>
              <w:ind w:left="-57" w:right="-57"/>
              <w:cnfStyle w:val="000000000000" w:firstRow="0" w:lastRow="0" w:firstColumn="0" w:lastColumn="0" w:oddVBand="0" w:evenVBand="0" w:oddHBand="0" w:evenHBand="0" w:firstRowFirstColumn="0" w:firstRowLastColumn="0" w:lastRowFirstColumn="0" w:lastRowLastColumn="0"/>
            </w:pPr>
            <w:r w:rsidRPr="003D2C43">
              <w:t>-1,986,178</w:t>
            </w:r>
          </w:p>
        </w:tc>
      </w:tr>
    </w:tbl>
    <w:p w:rsidR="005642B7" w:rsidRDefault="005642B7" w:rsidP="0089385B">
      <w:pPr>
        <w:pStyle w:val="TableFootnotes"/>
        <w:keepNext/>
        <w:numPr>
          <w:ilvl w:val="0"/>
          <w:numId w:val="32"/>
        </w:numPr>
        <w:ind w:left="284" w:hanging="284"/>
      </w:pPr>
      <w:r>
        <w:t>A positive number for the underlying cash balance indicates an increase in receipts or a decrease in outlays or net capital investment in cash terms.  A negative number for the underlying cash balance indicates a decrease in receipts or an increase in outlays or net capital investment in cash terms.</w:t>
      </w:r>
    </w:p>
    <w:p w:rsidR="000410DC" w:rsidRDefault="005642B7">
      <w:pPr>
        <w:pStyle w:val="TableFootnotes"/>
        <w:keepNext/>
      </w:pPr>
      <w:r>
        <w:t>Figures may not sum to totals due to rounding.</w:t>
      </w:r>
    </w:p>
    <w:p w:rsidR="00D233F7" w:rsidRDefault="00D233F7" w:rsidP="00D17A0B">
      <w:pPr>
        <w:pStyle w:val="TableFootnotes"/>
      </w:pPr>
      <w:r>
        <w:t>Component estimates are the financial impact of each component of the option costed.</w:t>
      </w:r>
    </w:p>
    <w:p w:rsidR="000410DC" w:rsidRDefault="00D74722" w:rsidP="00D17A0B">
      <w:pPr>
        <w:pStyle w:val="TableFootnotes"/>
        <w:numPr>
          <w:ilvl w:val="0"/>
          <w:numId w:val="11"/>
        </w:numPr>
        <w:ind w:left="284" w:hanging="284"/>
      </w:pPr>
      <w:r>
        <w:t>Indicates nil.</w:t>
      </w:r>
    </w:p>
    <w:sectPr w:rsidR="000410DC" w:rsidSect="00B8299B">
      <w:pgSz w:w="16839" w:h="11907" w:orient="landscape" w:code="9"/>
      <w:pgMar w:top="1797" w:right="1361" w:bottom="1797" w:left="1474" w:header="28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174" w:rsidRDefault="002F7174" w:rsidP="00A20802">
      <w:pPr>
        <w:spacing w:line="240" w:lineRule="auto"/>
      </w:pPr>
      <w:r>
        <w:separator/>
      </w:r>
    </w:p>
    <w:p w:rsidR="002F7174" w:rsidRDefault="002F7174"/>
  </w:endnote>
  <w:endnote w:type="continuationSeparator" w:id="0">
    <w:p w:rsidR="002F7174" w:rsidRDefault="002F7174" w:rsidP="00A20802">
      <w:pPr>
        <w:spacing w:line="240" w:lineRule="auto"/>
      </w:pPr>
      <w:r>
        <w:continuationSeparator/>
      </w:r>
    </w:p>
    <w:p w:rsidR="002F7174" w:rsidRDefault="002F71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9CD" w:rsidRDefault="001F29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E77" w:rsidRDefault="00982E77" w:rsidP="002C4DA6">
    <w:pPr>
      <w:pStyle w:val="Footer"/>
      <w:ind w:left="7286" w:hanging="3714"/>
      <w:jc w:val="right"/>
      <w:rPr>
        <w:rStyle w:val="FooterChar"/>
        <w:b/>
      </w:rPr>
    </w:pP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sidR="001F29CD">
      <w:rPr>
        <w:rStyle w:val="FooterChar"/>
        <w:b/>
        <w:noProof/>
      </w:rPr>
      <w:t>8</w:t>
    </w:r>
    <w:r w:rsidRPr="002C4DA6">
      <w:rPr>
        <w:rStyle w:val="FooterChar"/>
        <w:b/>
      </w:rPr>
      <w:fldChar w:fldCharType="end"/>
    </w:r>
    <w:r w:rsidRPr="002C4DA6">
      <w:rPr>
        <w:rStyle w:val="FooterChar"/>
        <w:b/>
      </w:rPr>
      <w:t xml:space="preserve"> of </w:t>
    </w:r>
    <w:r>
      <w:rPr>
        <w:rStyle w:val="FooterChar"/>
        <w:b/>
      </w:rPr>
      <w:t>15</w:t>
    </w:r>
  </w:p>
  <w:p w:rsidR="00982E77" w:rsidRPr="001F29CD" w:rsidRDefault="00982E77" w:rsidP="0000071C">
    <w:pPr>
      <w:pStyle w:val="Footer"/>
      <w:ind w:left="3714" w:hanging="3714"/>
      <w:jc w:val="center"/>
      <w:rPr>
        <w:rFonts w:ascii="Arial" w:hAnsi="Arial" w:cs="Arial"/>
        <w:strike/>
        <w:color w:val="FF0000"/>
        <w:sz w:val="24"/>
        <w:szCs w:val="24"/>
      </w:rPr>
    </w:pPr>
    <w:r w:rsidRPr="001F29CD">
      <w:rPr>
        <w:rStyle w:val="FooterChar"/>
        <w:rFonts w:ascii="Arial" w:hAnsi="Arial" w:cs="Arial"/>
        <w:b/>
        <w:strike/>
        <w:color w:val="FF0000"/>
        <w:sz w:val="24"/>
        <w:szCs w:val="24"/>
      </w:rPr>
      <w:t>S</w:t>
    </w:r>
    <w:bookmarkStart w:id="0" w:name="_GoBack"/>
    <w:bookmarkEnd w:id="0"/>
    <w:r w:rsidRPr="001F29CD">
      <w:rPr>
        <w:rStyle w:val="FooterChar"/>
        <w:rFonts w:ascii="Arial" w:hAnsi="Arial" w:cs="Arial"/>
        <w:b/>
        <w:strike/>
        <w:color w:val="FF0000"/>
        <w:sz w:val="24"/>
        <w:szCs w:val="24"/>
      </w:rPr>
      <w:t>ensitive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174" w:rsidRDefault="002F7174" w:rsidP="00476133">
    <w:pPr>
      <w:pStyle w:val="Footer"/>
      <w:ind w:left="7286" w:hanging="3714"/>
      <w:jc w:val="right"/>
      <w:rPr>
        <w:rStyle w:val="FooterChar"/>
        <w:b/>
      </w:rPr>
    </w:pP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sidR="001F29CD">
      <w:rPr>
        <w:rStyle w:val="FooterChar"/>
        <w:b/>
        <w:noProof/>
      </w:rPr>
      <w:t>1</w:t>
    </w:r>
    <w:r w:rsidRPr="002C4DA6">
      <w:rPr>
        <w:rStyle w:val="FooterChar"/>
        <w:b/>
      </w:rPr>
      <w:fldChar w:fldCharType="end"/>
    </w:r>
    <w:r w:rsidRPr="002C4DA6">
      <w:rPr>
        <w:rStyle w:val="FooterChar"/>
        <w:b/>
      </w:rPr>
      <w:t xml:space="preserve"> of </w:t>
    </w:r>
    <w:r w:rsidR="00D17A0B">
      <w:rPr>
        <w:rStyle w:val="FooterChar"/>
        <w:b/>
      </w:rPr>
      <w:t>15</w:t>
    </w:r>
  </w:p>
  <w:p w:rsidR="002F7174" w:rsidRPr="001F29CD" w:rsidRDefault="002F7174" w:rsidP="00EF0A00">
    <w:pPr>
      <w:pStyle w:val="Footer"/>
      <w:ind w:left="3714" w:hanging="3714"/>
      <w:jc w:val="center"/>
      <w:rPr>
        <w:rFonts w:ascii="Arial" w:hAnsi="Arial" w:cs="Arial"/>
        <w:strike/>
        <w:color w:val="FF0000"/>
        <w:sz w:val="24"/>
        <w:szCs w:val="24"/>
      </w:rPr>
    </w:pPr>
    <w:r w:rsidRPr="001F29CD">
      <w:rPr>
        <w:rStyle w:val="FooterChar"/>
        <w:rFonts w:ascii="Arial" w:hAnsi="Arial" w:cs="Arial"/>
        <w:b/>
        <w:strike/>
        <w:color w:val="FF0000"/>
        <w:sz w:val="24"/>
        <w:szCs w:val="24"/>
      </w:rPr>
      <w:t>Sensitive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174" w:rsidRPr="000557A7" w:rsidRDefault="002F7174" w:rsidP="008D5A11">
      <w:pPr>
        <w:pBdr>
          <w:top w:val="single" w:sz="4" w:space="1" w:color="auto"/>
        </w:pBdr>
        <w:spacing w:before="240" w:line="60" w:lineRule="exact"/>
        <w:rPr>
          <w:sz w:val="16"/>
          <w:szCs w:val="16"/>
        </w:rPr>
      </w:pPr>
    </w:p>
  </w:footnote>
  <w:footnote w:type="continuationSeparator" w:id="0">
    <w:p w:rsidR="002F7174" w:rsidRDefault="002F7174" w:rsidP="00A20802">
      <w:pPr>
        <w:spacing w:line="240" w:lineRule="auto"/>
      </w:pPr>
      <w:r>
        <w:continuationSeparator/>
      </w:r>
    </w:p>
    <w:p w:rsidR="002F7174" w:rsidRDefault="002F7174"/>
  </w:footnote>
  <w:footnote w:id="1">
    <w:p w:rsidR="002F7174" w:rsidRDefault="002F7174" w:rsidP="00AF0460">
      <w:pPr>
        <w:pStyle w:val="FootnoteText"/>
        <w:tabs>
          <w:tab w:val="clear" w:pos="425"/>
          <w:tab w:val="left" w:pos="0"/>
        </w:tabs>
        <w:ind w:left="0" w:firstLine="0"/>
      </w:pPr>
      <w:r>
        <w:rPr>
          <w:rStyle w:val="FootnoteReference"/>
        </w:rPr>
        <w:footnoteRef/>
      </w:r>
      <w:r>
        <w:t xml:space="preserve"> </w:t>
      </w:r>
      <w:proofErr w:type="gramStart"/>
      <w:r>
        <w:t>A taxable</w:t>
      </w:r>
      <w:proofErr w:type="gramEnd"/>
      <w:r>
        <w:t xml:space="preserve"> income elasticity is a measure of the responsiveness of taxable income to changes in after tax income.  A decrease in tax will result in an increase in after tax income.  An elasticity of 0.2 means that a 1 per cent increase in the net-of-tax rate (the proportion of each additional dollar kept as take-home income) results in a 0.2 per cent increase in taxable income. </w:t>
      </w:r>
    </w:p>
  </w:footnote>
  <w:footnote w:id="2">
    <w:p w:rsidR="002F7174" w:rsidRDefault="002F7174">
      <w:pPr>
        <w:pStyle w:val="FootnoteText"/>
      </w:pPr>
      <w:r>
        <w:rPr>
          <w:rStyle w:val="FootnoteReference"/>
        </w:rPr>
        <w:footnoteRef/>
      </w:r>
      <w:r>
        <w:t xml:space="preserve"> Price Incidence Simulation Model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9CD" w:rsidRDefault="001F29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E77" w:rsidRPr="001F29CD" w:rsidRDefault="00982E77" w:rsidP="002C4DA6">
    <w:pPr>
      <w:pStyle w:val="Header"/>
      <w:jc w:val="center"/>
      <w:rPr>
        <w:b/>
        <w:strike/>
        <w:color w:val="FF0000"/>
        <w:sz w:val="28"/>
        <w:szCs w:val="28"/>
      </w:rPr>
    </w:pPr>
    <w:r w:rsidRPr="001F29CD">
      <w:rPr>
        <w:b/>
        <w:strike/>
        <w:color w:val="FF0000"/>
        <w:sz w:val="28"/>
        <w:szCs w:val="28"/>
      </w:rPr>
      <w:t>Sensitive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174" w:rsidRPr="001F29CD" w:rsidRDefault="002F7174" w:rsidP="002C4DA6">
    <w:pPr>
      <w:pStyle w:val="Header"/>
      <w:jc w:val="center"/>
      <w:rPr>
        <w:b/>
        <w:strike/>
        <w:color w:val="FF0000"/>
        <w:sz w:val="28"/>
        <w:szCs w:val="28"/>
      </w:rPr>
    </w:pPr>
    <w:r w:rsidRPr="001F29CD">
      <w:rPr>
        <w:b/>
        <w:strike/>
        <w:color w:val="FF0000"/>
        <w:sz w:val="28"/>
        <w:szCs w:val="28"/>
      </w:rPr>
      <w:t>Sensitive</w:t>
    </w:r>
  </w:p>
  <w:p w:rsidR="002F7174" w:rsidRPr="0046444F" w:rsidRDefault="002F7174" w:rsidP="0046444F">
    <w:pPr>
      <w:pStyle w:val="Header"/>
    </w:pPr>
    <w:r>
      <w:rPr>
        <w:noProof/>
        <w:lang w:eastAsia="en-AU"/>
      </w:rPr>
      <w:drawing>
        <wp:inline distT="0" distB="0" distL="0" distR="0" wp14:anchorId="34C45F73" wp14:editId="6C8E928B">
          <wp:extent cx="2696845" cy="572135"/>
          <wp:effectExtent l="0" t="0" r="8255" b="0"/>
          <wp:docPr id="21" name="Picture 21" title="Parliamentary Budge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E30B580"/>
    <w:lvl w:ilvl="0">
      <w:start w:val="1"/>
      <w:numFmt w:val="bullet"/>
      <w:lvlText w:val=""/>
      <w:lvlJc w:val="left"/>
      <w:pPr>
        <w:tabs>
          <w:tab w:val="num" w:pos="643"/>
        </w:tabs>
        <w:ind w:left="643" w:hanging="360"/>
      </w:pPr>
      <w:rPr>
        <w:rFonts w:ascii="Symbol" w:hAnsi="Symbol" w:hint="default"/>
      </w:rPr>
    </w:lvl>
  </w:abstractNum>
  <w:abstractNum w:abstractNumId="1">
    <w:nsid w:val="068B37FE"/>
    <w:multiLevelType w:val="multilevel"/>
    <w:tmpl w:val="D1A2BED4"/>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
    <w:nsid w:val="0BE45CD9"/>
    <w:multiLevelType w:val="hybridMultilevel"/>
    <w:tmpl w:val="68669AE6"/>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3">
    <w:nsid w:val="0D745448"/>
    <w:multiLevelType w:val="multilevel"/>
    <w:tmpl w:val="CE3A3256"/>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4">
    <w:nsid w:val="0FB2573F"/>
    <w:multiLevelType w:val="multilevel"/>
    <w:tmpl w:val="E0A6CF32"/>
    <w:name w:val="TableFootnotes"/>
    <w:lvl w:ilvl="0">
      <w:start w:val="1"/>
      <w:numFmt w:val="lowerLetter"/>
      <w:pStyle w:val="TableFootnotes"/>
      <w:lvlText w:val="(%1)"/>
      <w:lvlJc w:val="left"/>
      <w:pPr>
        <w:ind w:left="360" w:hanging="360"/>
      </w:pPr>
      <w:rPr>
        <w:rFonts w:hint="default"/>
        <w:color w:val="auto"/>
        <w:spacing w:val="0"/>
        <w:sz w:val="20"/>
        <w:vertAlign w:val="baseline"/>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5">
    <w:nsid w:val="130C75C6"/>
    <w:multiLevelType w:val="hybridMultilevel"/>
    <w:tmpl w:val="111C9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7">
    <w:nsid w:val="1D975442"/>
    <w:multiLevelType w:val="hybridMultilevel"/>
    <w:tmpl w:val="7E50674C"/>
    <w:lvl w:ilvl="0" w:tplc="535C608E">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C72580B"/>
    <w:multiLevelType w:val="multilevel"/>
    <w:tmpl w:val="A1605A0E"/>
    <w:name w:val="PullOutNumbering"/>
    <w:lvl w:ilvl="0">
      <w:start w:val="1"/>
      <w:numFmt w:val="decimal"/>
      <w:pStyle w:val="PullOutBoxNumber"/>
      <w:lvlText w:val="%1"/>
      <w:lvlJc w:val="left"/>
      <w:pPr>
        <w:tabs>
          <w:tab w:val="num" w:pos="624"/>
        </w:tabs>
        <w:ind w:left="624" w:hanging="340"/>
      </w:pPr>
      <w:rPr>
        <w:rFonts w:hint="default"/>
      </w:rPr>
    </w:lvl>
    <w:lvl w:ilvl="1">
      <w:start w:val="1"/>
      <w:numFmt w:val="lowerLetter"/>
      <w:pStyle w:val="PullOutBoxNumber2"/>
      <w:lvlText w:val="%2"/>
      <w:lvlJc w:val="left"/>
      <w:pPr>
        <w:tabs>
          <w:tab w:val="num" w:pos="964"/>
        </w:tabs>
        <w:ind w:left="964" w:hanging="340"/>
      </w:pPr>
      <w:rPr>
        <w:rFonts w:hint="default"/>
        <w:color w:val="auto"/>
      </w:rPr>
    </w:lvl>
    <w:lvl w:ilvl="2">
      <w:start w:val="1"/>
      <w:numFmt w:val="lowerRoman"/>
      <w:pStyle w:val="PullOutBoxNumber3"/>
      <w:lvlText w:val="%3"/>
      <w:lvlJc w:val="left"/>
      <w:pPr>
        <w:tabs>
          <w:tab w:val="num" w:pos="1304"/>
        </w:tabs>
        <w:ind w:left="1304" w:hanging="340"/>
      </w:pPr>
      <w:rPr>
        <w:rFonts w:hint="default"/>
        <w:color w:val="auto"/>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nsid w:val="38723AD4"/>
    <w:multiLevelType w:val="multilevel"/>
    <w:tmpl w:val="CC2400A2"/>
    <w:lvl w:ilvl="0">
      <w:start w:val="1"/>
      <w:numFmt w:val="bullet"/>
      <w:pStyle w:val="PullOutBoxBullet"/>
      <w:lvlText w:val="•"/>
      <w:lvlJc w:val="left"/>
      <w:pPr>
        <w:tabs>
          <w:tab w:val="num" w:pos="624"/>
        </w:tabs>
        <w:ind w:left="624" w:hanging="340"/>
      </w:pPr>
      <w:rPr>
        <w:rFonts w:ascii="Calibri" w:hAnsi="Calibri" w:hint="default"/>
        <w:color w:val="auto"/>
        <w:sz w:val="22"/>
      </w:rPr>
    </w:lvl>
    <w:lvl w:ilvl="1">
      <w:start w:val="1"/>
      <w:numFmt w:val="bullet"/>
      <w:pStyle w:val="PullOutBoxBullet2"/>
      <w:lvlText w:val="–"/>
      <w:lvlJc w:val="left"/>
      <w:pPr>
        <w:tabs>
          <w:tab w:val="num" w:pos="964"/>
        </w:tabs>
        <w:ind w:left="964" w:hanging="340"/>
      </w:pPr>
      <w:rPr>
        <w:rFonts w:ascii="Calibri" w:hAnsi="Calibri" w:hint="default"/>
        <w:color w:val="auto"/>
        <w:sz w:val="22"/>
      </w:rPr>
    </w:lvl>
    <w:lvl w:ilvl="2">
      <w:start w:val="1"/>
      <w:numFmt w:val="bullet"/>
      <w:pStyle w:val="PullOutBoxBullet3"/>
      <w:lvlText w:val=""/>
      <w:lvlJc w:val="left"/>
      <w:pPr>
        <w:tabs>
          <w:tab w:val="num" w:pos="1304"/>
        </w:tabs>
        <w:ind w:left="1304" w:hanging="340"/>
      </w:pPr>
      <w:rPr>
        <w:rFonts w:ascii="Wingdings" w:hAnsi="Wingdings" w:hint="default"/>
        <w:color w:val="auto"/>
        <w:position w:val="0"/>
        <w:sz w:val="2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nsid w:val="4AB00C5E"/>
    <w:multiLevelType w:val="hybridMultilevel"/>
    <w:tmpl w:val="617416EC"/>
    <w:lvl w:ilvl="0" w:tplc="90FC76DC">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D0540A9"/>
    <w:multiLevelType w:val="multilevel"/>
    <w:tmpl w:val="E4D434E6"/>
    <w:name w:val="AppendicesNumbering"/>
    <w:lvl w:ilvl="0">
      <w:start w:val="1"/>
      <w:numFmt w:val="upperLetter"/>
      <w:lvlRestart w:val="0"/>
      <w:pStyle w:val="Heading8"/>
      <w:suff w:val="space"/>
      <w:lvlText w:val="Attachment %1"/>
      <w:lvlJc w:val="left"/>
      <w:pPr>
        <w:ind w:left="0" w:firstLine="0"/>
      </w:pPr>
      <w:rPr>
        <w:rFonts w:cs="Times New Roman"/>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9"/>
      <w:suff w:val="nothing"/>
      <w:lvlText w:val=""/>
      <w:lvlJc w:val="left"/>
      <w:pPr>
        <w:tabs>
          <w:tab w:val="num" w:pos="0"/>
        </w:tabs>
        <w:ind w:left="0" w:firstLine="0"/>
      </w:pPr>
      <w:rPr>
        <w:rFonts w:hint="default"/>
        <w:sz w:val="26"/>
      </w:rPr>
    </w:lvl>
    <w:lvl w:ilvl="2">
      <w:start w:val="1"/>
      <w:numFmt w:val="none"/>
      <w:pStyle w:val="AttachmentHeading2"/>
      <w:suff w:val="nothing"/>
      <w:lvlText w:val=""/>
      <w:lvlJc w:val="left"/>
      <w:pPr>
        <w:tabs>
          <w:tab w:val="num" w:pos="0"/>
        </w:tabs>
        <w:ind w:left="0" w:firstLine="0"/>
      </w:pPr>
      <w:rPr>
        <w:rFonts w:hint="default"/>
      </w:rPr>
    </w:lvl>
    <w:lvl w:ilvl="3">
      <w:start w:val="1"/>
      <w:numFmt w:val="none"/>
      <w:lvlRestart w:val="2"/>
      <w:pStyle w:val="AttachmentHeading3"/>
      <w:suff w:val="nothing"/>
      <w:lvlText w:val=""/>
      <w:lvlJc w:val="left"/>
      <w:pPr>
        <w:tabs>
          <w:tab w:val="num" w:pos="0"/>
        </w:tabs>
        <w:ind w:left="0" w:firstLine="0"/>
      </w:pPr>
      <w:rPr>
        <w:rFonts w:hint="default"/>
      </w:rPr>
    </w:lvl>
    <w:lvl w:ilvl="4">
      <w:start w:val="1"/>
      <w:numFmt w:val="decimal"/>
      <w:lvlText w:val="%1%2.%3.%4.%5"/>
      <w:lvlJc w:val="left"/>
      <w:pPr>
        <w:tabs>
          <w:tab w:val="num" w:pos="1134"/>
        </w:tabs>
        <w:ind w:left="765" w:hanging="765"/>
      </w:pPr>
      <w:rPr>
        <w:rFonts w:hint="default"/>
      </w:rPr>
    </w:lvl>
    <w:lvl w:ilvl="5">
      <w:start w:val="1"/>
      <w:numFmt w:val="none"/>
      <w:lvlText w:val=""/>
      <w:lvlJc w:val="righ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right"/>
      <w:pPr>
        <w:ind w:left="765" w:hanging="765"/>
      </w:pPr>
      <w:rPr>
        <w:rFonts w:hint="default"/>
      </w:rPr>
    </w:lvl>
  </w:abstractNum>
  <w:abstractNum w:abstractNumId="12">
    <w:nsid w:val="6D1D40AC"/>
    <w:multiLevelType w:val="multilevel"/>
    <w:tmpl w:val="D18C6390"/>
    <w:name w:val="TableNumbering"/>
    <w:lvl w:ilvl="0">
      <w:start w:val="1"/>
      <w:numFmt w:val="decimal"/>
      <w:pStyle w:val="TableTextNumber"/>
      <w:lvlText w:val="%1"/>
      <w:lvlJc w:val="left"/>
      <w:pPr>
        <w:tabs>
          <w:tab w:val="num" w:pos="397"/>
        </w:tabs>
        <w:ind w:left="397" w:hanging="284"/>
      </w:pPr>
      <w:rPr>
        <w:rFonts w:hint="default"/>
      </w:rPr>
    </w:lvl>
    <w:lvl w:ilvl="1">
      <w:start w:val="1"/>
      <w:numFmt w:val="lowerLetter"/>
      <w:pStyle w:val="TableTextNumber2"/>
      <w:lvlText w:val="%2"/>
      <w:lvlJc w:val="left"/>
      <w:pPr>
        <w:tabs>
          <w:tab w:val="num" w:pos="709"/>
        </w:tabs>
        <w:ind w:left="709" w:hanging="283"/>
      </w:pPr>
      <w:rPr>
        <w:rFonts w:hint="default"/>
      </w:rPr>
    </w:lvl>
    <w:lvl w:ilvl="2">
      <w:start w:val="1"/>
      <w:numFmt w:val="lowerRoman"/>
      <w:pStyle w:val="TableTextNumber3"/>
      <w:lvlText w:val="%3"/>
      <w:lvlJc w:val="left"/>
      <w:pPr>
        <w:tabs>
          <w:tab w:val="num" w:pos="964"/>
        </w:tabs>
        <w:ind w:left="964" w:hanging="28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nsid w:val="70250B03"/>
    <w:multiLevelType w:val="multilevel"/>
    <w:tmpl w:val="5796740A"/>
    <w:name w:val="QuoteBullets"/>
    <w:lvl w:ilvl="0">
      <w:start w:val="1"/>
      <w:numFmt w:val="bullet"/>
      <w:pStyle w:val="QuoteBullet"/>
      <w:lvlText w:val="•"/>
      <w:lvlJc w:val="left"/>
      <w:pPr>
        <w:tabs>
          <w:tab w:val="num" w:pos="567"/>
        </w:tabs>
        <w:ind w:left="567" w:hanging="283"/>
      </w:pPr>
      <w:rPr>
        <w:rFonts w:ascii="Arial" w:hAnsi="Arial" w:hint="default"/>
        <w:color w:val="auto"/>
        <w:sz w:val="18"/>
      </w:rPr>
    </w:lvl>
    <w:lvl w:ilvl="1">
      <w:start w:val="1"/>
      <w:numFmt w:val="bullet"/>
      <w:pStyle w:val="QuoteBullet2"/>
      <w:lvlText w:val="‒"/>
      <w:lvlJc w:val="left"/>
      <w:pPr>
        <w:tabs>
          <w:tab w:val="num" w:pos="851"/>
        </w:tabs>
        <w:ind w:left="851" w:hanging="284"/>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2B3B5F"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14">
    <w:nsid w:val="7839021E"/>
    <w:multiLevelType w:val="multilevel"/>
    <w:tmpl w:val="C186E662"/>
    <w:name w:val="ListNumbering"/>
    <w:lvl w:ilvl="0">
      <w:start w:val="1"/>
      <w:numFmt w:val="decimal"/>
      <w:pStyle w:val="ListNumber"/>
      <w:lvlText w:val="%1"/>
      <w:lvlJc w:val="left"/>
      <w:pPr>
        <w:tabs>
          <w:tab w:val="num" w:pos="454"/>
        </w:tabs>
        <w:ind w:left="454" w:hanging="454"/>
      </w:pPr>
      <w:rPr>
        <w:rFonts w:hint="default"/>
        <w:color w:val="auto"/>
        <w:spacing w:val="0"/>
        <w:sz w:val="22"/>
      </w:rPr>
    </w:lvl>
    <w:lvl w:ilvl="1">
      <w:start w:val="1"/>
      <w:numFmt w:val="lowerLetter"/>
      <w:pStyle w:val="ListNumber2"/>
      <w:lvlText w:val="%2"/>
      <w:lvlJc w:val="left"/>
      <w:pPr>
        <w:tabs>
          <w:tab w:val="num" w:pos="907"/>
        </w:tabs>
        <w:ind w:left="907" w:hanging="453"/>
      </w:pPr>
      <w:rPr>
        <w:rFonts w:hint="default"/>
        <w:color w:val="auto"/>
        <w:spacing w:val="0"/>
        <w:sz w:val="22"/>
      </w:rPr>
    </w:lvl>
    <w:lvl w:ilvl="2">
      <w:start w:val="1"/>
      <w:numFmt w:val="lowerRoman"/>
      <w:pStyle w:val="ListNumber3"/>
      <w:lvlText w:val="%3"/>
      <w:lvlJc w:val="left"/>
      <w:pPr>
        <w:tabs>
          <w:tab w:val="num" w:pos="1361"/>
        </w:tabs>
        <w:ind w:left="1361" w:hanging="454"/>
      </w:pPr>
      <w:rPr>
        <w:rFonts w:hint="default"/>
        <w:color w:val="auto"/>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abstractNumId w:val="11"/>
  </w:num>
  <w:num w:numId="2">
    <w:abstractNumId w:val="1"/>
  </w:num>
  <w:num w:numId="3">
    <w:abstractNumId w:val="14"/>
  </w:num>
  <w:num w:numId="4">
    <w:abstractNumId w:val="9"/>
  </w:num>
  <w:num w:numId="5">
    <w:abstractNumId w:val="8"/>
  </w:num>
  <w:num w:numId="6">
    <w:abstractNumId w:val="13"/>
  </w:num>
  <w:num w:numId="7">
    <w:abstractNumId w:val="4"/>
  </w:num>
  <w:num w:numId="8">
    <w:abstractNumId w:val="6"/>
  </w:num>
  <w:num w:numId="9">
    <w:abstractNumId w:val="12"/>
  </w:num>
  <w:num w:numId="10">
    <w:abstractNumId w:val="3"/>
  </w:num>
  <w:num w:numId="11">
    <w:abstractNumId w:val="7"/>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ces" w:val="True"/>
    <w:docVar w:name="AppendixName" w:val="Attachment"/>
    <w:docVar w:name="Disclaimer" w:val="False"/>
    <w:docVar w:name="Foreword" w:val="True"/>
    <w:docVar w:name="Heading1Numbered" w:val="False"/>
    <w:docVar w:name="Heading2Numbered" w:val="False"/>
    <w:docVar w:name="Heading3Numbered" w:val="False"/>
    <w:docVar w:name="IsWordingOverview" w:val="True"/>
    <w:docVar w:name="NumberedBodyText" w:val="False"/>
    <w:docVar w:name="optHeading1OddPage" w:val="False"/>
    <w:docVar w:name="Overview" w:val="False"/>
    <w:docVar w:name="PageSetup" w:val="Double"/>
    <w:docVar w:name="RibbonLabel" w:val="Appendix"/>
    <w:docVar w:name="TOC" w:val="True"/>
    <w:docVar w:name="TOCNew" w:val="True"/>
    <w:docVar w:name="Version" w:val="Version 1"/>
  </w:docVars>
  <w:rsids>
    <w:rsidRoot w:val="00F4597E"/>
    <w:rsid w:val="0000071C"/>
    <w:rsid w:val="00001696"/>
    <w:rsid w:val="0000322C"/>
    <w:rsid w:val="000034A1"/>
    <w:rsid w:val="00003CDD"/>
    <w:rsid w:val="00003FB2"/>
    <w:rsid w:val="00007221"/>
    <w:rsid w:val="00012622"/>
    <w:rsid w:val="0001406F"/>
    <w:rsid w:val="000141BB"/>
    <w:rsid w:val="00014247"/>
    <w:rsid w:val="00014E8C"/>
    <w:rsid w:val="000168A7"/>
    <w:rsid w:val="00016D53"/>
    <w:rsid w:val="00023A03"/>
    <w:rsid w:val="00025079"/>
    <w:rsid w:val="00026486"/>
    <w:rsid w:val="00026F24"/>
    <w:rsid w:val="00027846"/>
    <w:rsid w:val="000278D0"/>
    <w:rsid w:val="00027E62"/>
    <w:rsid w:val="000307C8"/>
    <w:rsid w:val="00030F73"/>
    <w:rsid w:val="000319EC"/>
    <w:rsid w:val="00035ADE"/>
    <w:rsid w:val="00035FD6"/>
    <w:rsid w:val="000410DC"/>
    <w:rsid w:val="0004224B"/>
    <w:rsid w:val="000436E6"/>
    <w:rsid w:val="00043CA4"/>
    <w:rsid w:val="00044329"/>
    <w:rsid w:val="00044749"/>
    <w:rsid w:val="00045AC8"/>
    <w:rsid w:val="00046226"/>
    <w:rsid w:val="0005330D"/>
    <w:rsid w:val="000557A7"/>
    <w:rsid w:val="00055805"/>
    <w:rsid w:val="00056CB3"/>
    <w:rsid w:val="00061BF9"/>
    <w:rsid w:val="000631E1"/>
    <w:rsid w:val="00063A59"/>
    <w:rsid w:val="00063EC2"/>
    <w:rsid w:val="00066D54"/>
    <w:rsid w:val="00067A28"/>
    <w:rsid w:val="00067E5B"/>
    <w:rsid w:val="0007260F"/>
    <w:rsid w:val="00073062"/>
    <w:rsid w:val="0007314C"/>
    <w:rsid w:val="000805D5"/>
    <w:rsid w:val="00080841"/>
    <w:rsid w:val="00080CED"/>
    <w:rsid w:val="0008103B"/>
    <w:rsid w:val="00085F97"/>
    <w:rsid w:val="00086A0B"/>
    <w:rsid w:val="00092A33"/>
    <w:rsid w:val="00095F37"/>
    <w:rsid w:val="000973F9"/>
    <w:rsid w:val="000A03EF"/>
    <w:rsid w:val="000A1CA7"/>
    <w:rsid w:val="000A2FEC"/>
    <w:rsid w:val="000A348F"/>
    <w:rsid w:val="000B6942"/>
    <w:rsid w:val="000C00F6"/>
    <w:rsid w:val="000C09FA"/>
    <w:rsid w:val="000C114C"/>
    <w:rsid w:val="000C2A31"/>
    <w:rsid w:val="000C37A9"/>
    <w:rsid w:val="000C40C1"/>
    <w:rsid w:val="000C6728"/>
    <w:rsid w:val="000C702E"/>
    <w:rsid w:val="000C71C6"/>
    <w:rsid w:val="000D15E9"/>
    <w:rsid w:val="000D3182"/>
    <w:rsid w:val="000D45C4"/>
    <w:rsid w:val="000E0950"/>
    <w:rsid w:val="000E1834"/>
    <w:rsid w:val="000E18F3"/>
    <w:rsid w:val="000E266E"/>
    <w:rsid w:val="000E6533"/>
    <w:rsid w:val="000E77AB"/>
    <w:rsid w:val="000F1515"/>
    <w:rsid w:val="000F16B5"/>
    <w:rsid w:val="000F1D74"/>
    <w:rsid w:val="000F2075"/>
    <w:rsid w:val="000F271C"/>
    <w:rsid w:val="000F2802"/>
    <w:rsid w:val="000F3FDC"/>
    <w:rsid w:val="000F5B0E"/>
    <w:rsid w:val="000F616E"/>
    <w:rsid w:val="000F7756"/>
    <w:rsid w:val="000F7C4F"/>
    <w:rsid w:val="0010158C"/>
    <w:rsid w:val="00102747"/>
    <w:rsid w:val="00107219"/>
    <w:rsid w:val="00110395"/>
    <w:rsid w:val="00110D43"/>
    <w:rsid w:val="001135FD"/>
    <w:rsid w:val="001159EA"/>
    <w:rsid w:val="00115BB0"/>
    <w:rsid w:val="00120A75"/>
    <w:rsid w:val="00125410"/>
    <w:rsid w:val="00130858"/>
    <w:rsid w:val="00136C26"/>
    <w:rsid w:val="0014059F"/>
    <w:rsid w:val="00141551"/>
    <w:rsid w:val="001417CE"/>
    <w:rsid w:val="0014479F"/>
    <w:rsid w:val="00144DB4"/>
    <w:rsid w:val="00146EAD"/>
    <w:rsid w:val="00152324"/>
    <w:rsid w:val="00154C93"/>
    <w:rsid w:val="00154DC5"/>
    <w:rsid w:val="00156FBE"/>
    <w:rsid w:val="00160C8D"/>
    <w:rsid w:val="001629C0"/>
    <w:rsid w:val="00164F36"/>
    <w:rsid w:val="00165122"/>
    <w:rsid w:val="001657A2"/>
    <w:rsid w:val="00165854"/>
    <w:rsid w:val="00171F7C"/>
    <w:rsid w:val="00172F27"/>
    <w:rsid w:val="001738DB"/>
    <w:rsid w:val="00173DFD"/>
    <w:rsid w:val="00180FF9"/>
    <w:rsid w:val="00193649"/>
    <w:rsid w:val="00195228"/>
    <w:rsid w:val="00195696"/>
    <w:rsid w:val="00196532"/>
    <w:rsid w:val="00196772"/>
    <w:rsid w:val="001A1EFC"/>
    <w:rsid w:val="001A48EF"/>
    <w:rsid w:val="001A49CC"/>
    <w:rsid w:val="001A5553"/>
    <w:rsid w:val="001A716E"/>
    <w:rsid w:val="001B055B"/>
    <w:rsid w:val="001B2B0B"/>
    <w:rsid w:val="001B2C65"/>
    <w:rsid w:val="001B4149"/>
    <w:rsid w:val="001B4255"/>
    <w:rsid w:val="001B429F"/>
    <w:rsid w:val="001B6E79"/>
    <w:rsid w:val="001B7058"/>
    <w:rsid w:val="001C2A64"/>
    <w:rsid w:val="001C3A4F"/>
    <w:rsid w:val="001C4121"/>
    <w:rsid w:val="001C48DE"/>
    <w:rsid w:val="001D30C1"/>
    <w:rsid w:val="001D420F"/>
    <w:rsid w:val="001D52E3"/>
    <w:rsid w:val="001D576F"/>
    <w:rsid w:val="001D7C29"/>
    <w:rsid w:val="001E0475"/>
    <w:rsid w:val="001E0AD4"/>
    <w:rsid w:val="001E0AE8"/>
    <w:rsid w:val="001E1E21"/>
    <w:rsid w:val="001E33C2"/>
    <w:rsid w:val="001E5C16"/>
    <w:rsid w:val="001F1747"/>
    <w:rsid w:val="001F29CD"/>
    <w:rsid w:val="001F5C90"/>
    <w:rsid w:val="001F6707"/>
    <w:rsid w:val="001F714A"/>
    <w:rsid w:val="001F767C"/>
    <w:rsid w:val="00203581"/>
    <w:rsid w:val="00210FCF"/>
    <w:rsid w:val="002137EC"/>
    <w:rsid w:val="00215C89"/>
    <w:rsid w:val="00217A70"/>
    <w:rsid w:val="00222EFF"/>
    <w:rsid w:val="002240D5"/>
    <w:rsid w:val="002261A7"/>
    <w:rsid w:val="00226AEC"/>
    <w:rsid w:val="00240A13"/>
    <w:rsid w:val="00244FF5"/>
    <w:rsid w:val="00247713"/>
    <w:rsid w:val="00252795"/>
    <w:rsid w:val="002545F3"/>
    <w:rsid w:val="002547A5"/>
    <w:rsid w:val="00256CD7"/>
    <w:rsid w:val="002614A6"/>
    <w:rsid w:val="0026344F"/>
    <w:rsid w:val="00264894"/>
    <w:rsid w:val="00266A17"/>
    <w:rsid w:val="002700F3"/>
    <w:rsid w:val="00270372"/>
    <w:rsid w:val="002711A8"/>
    <w:rsid w:val="002720FC"/>
    <w:rsid w:val="00273A5A"/>
    <w:rsid w:val="00275534"/>
    <w:rsid w:val="00277075"/>
    <w:rsid w:val="002775D2"/>
    <w:rsid w:val="00280763"/>
    <w:rsid w:val="00281ADD"/>
    <w:rsid w:val="00282F5E"/>
    <w:rsid w:val="002847C2"/>
    <w:rsid w:val="00285597"/>
    <w:rsid w:val="0028563E"/>
    <w:rsid w:val="00291F64"/>
    <w:rsid w:val="00292070"/>
    <w:rsid w:val="00292997"/>
    <w:rsid w:val="00293E0D"/>
    <w:rsid w:val="00293E80"/>
    <w:rsid w:val="0029470C"/>
    <w:rsid w:val="002973B0"/>
    <w:rsid w:val="00297C14"/>
    <w:rsid w:val="002A220F"/>
    <w:rsid w:val="002A24F1"/>
    <w:rsid w:val="002A5778"/>
    <w:rsid w:val="002A6E3B"/>
    <w:rsid w:val="002B07AC"/>
    <w:rsid w:val="002B1E84"/>
    <w:rsid w:val="002B2085"/>
    <w:rsid w:val="002B3EC4"/>
    <w:rsid w:val="002B5DE6"/>
    <w:rsid w:val="002C00DD"/>
    <w:rsid w:val="002C2858"/>
    <w:rsid w:val="002C37D5"/>
    <w:rsid w:val="002C4DA6"/>
    <w:rsid w:val="002D04D0"/>
    <w:rsid w:val="002D239A"/>
    <w:rsid w:val="002D34DB"/>
    <w:rsid w:val="002D4B11"/>
    <w:rsid w:val="002E1CDF"/>
    <w:rsid w:val="002E5633"/>
    <w:rsid w:val="002F0DAE"/>
    <w:rsid w:val="002F1963"/>
    <w:rsid w:val="002F1DDC"/>
    <w:rsid w:val="002F3877"/>
    <w:rsid w:val="002F5882"/>
    <w:rsid w:val="002F5B6E"/>
    <w:rsid w:val="002F61B5"/>
    <w:rsid w:val="002F6DAA"/>
    <w:rsid w:val="002F7174"/>
    <w:rsid w:val="00300066"/>
    <w:rsid w:val="0030209B"/>
    <w:rsid w:val="00307788"/>
    <w:rsid w:val="003127E4"/>
    <w:rsid w:val="00312E3B"/>
    <w:rsid w:val="00313215"/>
    <w:rsid w:val="0031730B"/>
    <w:rsid w:val="003174C3"/>
    <w:rsid w:val="00317589"/>
    <w:rsid w:val="0032047F"/>
    <w:rsid w:val="00321E3A"/>
    <w:rsid w:val="0032557A"/>
    <w:rsid w:val="00330E64"/>
    <w:rsid w:val="003329E3"/>
    <w:rsid w:val="00340778"/>
    <w:rsid w:val="003428D5"/>
    <w:rsid w:val="00343191"/>
    <w:rsid w:val="00344D2C"/>
    <w:rsid w:val="00344F51"/>
    <w:rsid w:val="003458CE"/>
    <w:rsid w:val="00345A57"/>
    <w:rsid w:val="00346D90"/>
    <w:rsid w:val="00351F62"/>
    <w:rsid w:val="003601F4"/>
    <w:rsid w:val="00361AE7"/>
    <w:rsid w:val="00362788"/>
    <w:rsid w:val="00365478"/>
    <w:rsid w:val="0036717C"/>
    <w:rsid w:val="003671E2"/>
    <w:rsid w:val="00370032"/>
    <w:rsid w:val="003721D9"/>
    <w:rsid w:val="00372AE6"/>
    <w:rsid w:val="00376C3A"/>
    <w:rsid w:val="0037742C"/>
    <w:rsid w:val="003837E1"/>
    <w:rsid w:val="0038584D"/>
    <w:rsid w:val="00386BB5"/>
    <w:rsid w:val="0039257F"/>
    <w:rsid w:val="003931DE"/>
    <w:rsid w:val="003948B2"/>
    <w:rsid w:val="00395CF2"/>
    <w:rsid w:val="00397D1A"/>
    <w:rsid w:val="003A0A2E"/>
    <w:rsid w:val="003A163C"/>
    <w:rsid w:val="003A16EA"/>
    <w:rsid w:val="003A2B4E"/>
    <w:rsid w:val="003A2FBB"/>
    <w:rsid w:val="003A3799"/>
    <w:rsid w:val="003A4913"/>
    <w:rsid w:val="003A54A9"/>
    <w:rsid w:val="003A7083"/>
    <w:rsid w:val="003A7448"/>
    <w:rsid w:val="003A7D1A"/>
    <w:rsid w:val="003B0EB2"/>
    <w:rsid w:val="003B3103"/>
    <w:rsid w:val="003B38B3"/>
    <w:rsid w:val="003B3A97"/>
    <w:rsid w:val="003B3D44"/>
    <w:rsid w:val="003B47BC"/>
    <w:rsid w:val="003B4CEB"/>
    <w:rsid w:val="003B4FEA"/>
    <w:rsid w:val="003B6628"/>
    <w:rsid w:val="003B732D"/>
    <w:rsid w:val="003C06FA"/>
    <w:rsid w:val="003C2DE2"/>
    <w:rsid w:val="003C57A4"/>
    <w:rsid w:val="003C6BB5"/>
    <w:rsid w:val="003C7CC2"/>
    <w:rsid w:val="003D268A"/>
    <w:rsid w:val="003D50B6"/>
    <w:rsid w:val="003D6A6E"/>
    <w:rsid w:val="003E05DF"/>
    <w:rsid w:val="003E1562"/>
    <w:rsid w:val="003E306E"/>
    <w:rsid w:val="003E6085"/>
    <w:rsid w:val="003E6A44"/>
    <w:rsid w:val="003E6CA3"/>
    <w:rsid w:val="003E7EBB"/>
    <w:rsid w:val="003F4C96"/>
    <w:rsid w:val="003F7FC7"/>
    <w:rsid w:val="0040152F"/>
    <w:rsid w:val="00401C49"/>
    <w:rsid w:val="00401E13"/>
    <w:rsid w:val="00402769"/>
    <w:rsid w:val="004038F3"/>
    <w:rsid w:val="00404770"/>
    <w:rsid w:val="0040494A"/>
    <w:rsid w:val="00406002"/>
    <w:rsid w:val="00406AD3"/>
    <w:rsid w:val="00412E42"/>
    <w:rsid w:val="00416DA2"/>
    <w:rsid w:val="0042097C"/>
    <w:rsid w:val="00420CF6"/>
    <w:rsid w:val="00422507"/>
    <w:rsid w:val="004243CC"/>
    <w:rsid w:val="00425C05"/>
    <w:rsid w:val="00426356"/>
    <w:rsid w:val="00426929"/>
    <w:rsid w:val="0043460F"/>
    <w:rsid w:val="00435DBD"/>
    <w:rsid w:val="00437CCB"/>
    <w:rsid w:val="00442C16"/>
    <w:rsid w:val="00443963"/>
    <w:rsid w:val="00443B66"/>
    <w:rsid w:val="00443EFD"/>
    <w:rsid w:val="00443F42"/>
    <w:rsid w:val="00445410"/>
    <w:rsid w:val="00446439"/>
    <w:rsid w:val="00450BDA"/>
    <w:rsid w:val="00453A3E"/>
    <w:rsid w:val="00453D92"/>
    <w:rsid w:val="0045452F"/>
    <w:rsid w:val="004550F8"/>
    <w:rsid w:val="00455FB1"/>
    <w:rsid w:val="00456AEA"/>
    <w:rsid w:val="00456F63"/>
    <w:rsid w:val="00457247"/>
    <w:rsid w:val="0045766B"/>
    <w:rsid w:val="0046444F"/>
    <w:rsid w:val="00470057"/>
    <w:rsid w:val="004709BB"/>
    <w:rsid w:val="00471C7B"/>
    <w:rsid w:val="00472AF7"/>
    <w:rsid w:val="004731BF"/>
    <w:rsid w:val="00474BB7"/>
    <w:rsid w:val="00475A44"/>
    <w:rsid w:val="00476133"/>
    <w:rsid w:val="004777EF"/>
    <w:rsid w:val="00480AC5"/>
    <w:rsid w:val="004816D7"/>
    <w:rsid w:val="0048342E"/>
    <w:rsid w:val="004857A3"/>
    <w:rsid w:val="00487478"/>
    <w:rsid w:val="0048782D"/>
    <w:rsid w:val="00494DC1"/>
    <w:rsid w:val="004A37F6"/>
    <w:rsid w:val="004A3F56"/>
    <w:rsid w:val="004A4F55"/>
    <w:rsid w:val="004A5E21"/>
    <w:rsid w:val="004A666A"/>
    <w:rsid w:val="004B143F"/>
    <w:rsid w:val="004B3022"/>
    <w:rsid w:val="004B49A0"/>
    <w:rsid w:val="004B4E60"/>
    <w:rsid w:val="004C0C32"/>
    <w:rsid w:val="004C6306"/>
    <w:rsid w:val="004C6F5E"/>
    <w:rsid w:val="004C7E94"/>
    <w:rsid w:val="004D7CF8"/>
    <w:rsid w:val="004D7EDA"/>
    <w:rsid w:val="004E0E49"/>
    <w:rsid w:val="004E197A"/>
    <w:rsid w:val="004E2C4A"/>
    <w:rsid w:val="004E4AB6"/>
    <w:rsid w:val="004E5D52"/>
    <w:rsid w:val="004E7E8D"/>
    <w:rsid w:val="004F07D7"/>
    <w:rsid w:val="004F1297"/>
    <w:rsid w:val="004F16DB"/>
    <w:rsid w:val="004F3F43"/>
    <w:rsid w:val="004F4D7E"/>
    <w:rsid w:val="004F5B16"/>
    <w:rsid w:val="004F5D9D"/>
    <w:rsid w:val="004F68E5"/>
    <w:rsid w:val="004F7037"/>
    <w:rsid w:val="004F741B"/>
    <w:rsid w:val="00503253"/>
    <w:rsid w:val="00503BB0"/>
    <w:rsid w:val="00503E03"/>
    <w:rsid w:val="00512226"/>
    <w:rsid w:val="005147C6"/>
    <w:rsid w:val="005159B1"/>
    <w:rsid w:val="00515D5C"/>
    <w:rsid w:val="005213FE"/>
    <w:rsid w:val="00522502"/>
    <w:rsid w:val="005247F8"/>
    <w:rsid w:val="005255A1"/>
    <w:rsid w:val="00525825"/>
    <w:rsid w:val="0052641C"/>
    <w:rsid w:val="0053345B"/>
    <w:rsid w:val="0053795D"/>
    <w:rsid w:val="00541A74"/>
    <w:rsid w:val="00544522"/>
    <w:rsid w:val="005468AB"/>
    <w:rsid w:val="00546A1F"/>
    <w:rsid w:val="00547060"/>
    <w:rsid w:val="0054728A"/>
    <w:rsid w:val="005501A0"/>
    <w:rsid w:val="005506E8"/>
    <w:rsid w:val="00550831"/>
    <w:rsid w:val="00551805"/>
    <w:rsid w:val="00551F9B"/>
    <w:rsid w:val="0055299A"/>
    <w:rsid w:val="00554273"/>
    <w:rsid w:val="0056001A"/>
    <w:rsid w:val="005642B6"/>
    <w:rsid w:val="005642B7"/>
    <w:rsid w:val="00565735"/>
    <w:rsid w:val="00566B0A"/>
    <w:rsid w:val="0056747E"/>
    <w:rsid w:val="00571D5E"/>
    <w:rsid w:val="00572815"/>
    <w:rsid w:val="00572C05"/>
    <w:rsid w:val="00574951"/>
    <w:rsid w:val="005823D0"/>
    <w:rsid w:val="005835D5"/>
    <w:rsid w:val="005841C0"/>
    <w:rsid w:val="005921D2"/>
    <w:rsid w:val="00592F3B"/>
    <w:rsid w:val="005947C4"/>
    <w:rsid w:val="00594887"/>
    <w:rsid w:val="005969B9"/>
    <w:rsid w:val="005A166E"/>
    <w:rsid w:val="005A202F"/>
    <w:rsid w:val="005A2748"/>
    <w:rsid w:val="005A3381"/>
    <w:rsid w:val="005A42D1"/>
    <w:rsid w:val="005A443F"/>
    <w:rsid w:val="005A593E"/>
    <w:rsid w:val="005A7C26"/>
    <w:rsid w:val="005B0970"/>
    <w:rsid w:val="005B482F"/>
    <w:rsid w:val="005B58D4"/>
    <w:rsid w:val="005C07B3"/>
    <w:rsid w:val="005C1772"/>
    <w:rsid w:val="005C284E"/>
    <w:rsid w:val="005C47D4"/>
    <w:rsid w:val="005C761A"/>
    <w:rsid w:val="005D028C"/>
    <w:rsid w:val="005D1108"/>
    <w:rsid w:val="005D51D0"/>
    <w:rsid w:val="005D6F83"/>
    <w:rsid w:val="005D7877"/>
    <w:rsid w:val="005D7CCF"/>
    <w:rsid w:val="005E04CF"/>
    <w:rsid w:val="005E0D85"/>
    <w:rsid w:val="005E2A94"/>
    <w:rsid w:val="005E40A4"/>
    <w:rsid w:val="005E58C4"/>
    <w:rsid w:val="005E5D8F"/>
    <w:rsid w:val="005F55B1"/>
    <w:rsid w:val="005F5A5C"/>
    <w:rsid w:val="005F5CD9"/>
    <w:rsid w:val="00601BDD"/>
    <w:rsid w:val="006043CE"/>
    <w:rsid w:val="0060612C"/>
    <w:rsid w:val="00607EB6"/>
    <w:rsid w:val="0061135C"/>
    <w:rsid w:val="006136DD"/>
    <w:rsid w:val="006149F0"/>
    <w:rsid w:val="00615E23"/>
    <w:rsid w:val="00620306"/>
    <w:rsid w:val="006212E3"/>
    <w:rsid w:val="006220A5"/>
    <w:rsid w:val="00622D86"/>
    <w:rsid w:val="006245A7"/>
    <w:rsid w:val="00624AC8"/>
    <w:rsid w:val="00626800"/>
    <w:rsid w:val="00631458"/>
    <w:rsid w:val="006333E3"/>
    <w:rsid w:val="00633812"/>
    <w:rsid w:val="00633C60"/>
    <w:rsid w:val="0064126D"/>
    <w:rsid w:val="006451B8"/>
    <w:rsid w:val="00645722"/>
    <w:rsid w:val="00652432"/>
    <w:rsid w:val="006568A7"/>
    <w:rsid w:val="00657840"/>
    <w:rsid w:val="0066003C"/>
    <w:rsid w:val="0066041E"/>
    <w:rsid w:val="00660F8A"/>
    <w:rsid w:val="00662A63"/>
    <w:rsid w:val="00664075"/>
    <w:rsid w:val="00664450"/>
    <w:rsid w:val="00664628"/>
    <w:rsid w:val="006655A3"/>
    <w:rsid w:val="006670EB"/>
    <w:rsid w:val="00670E47"/>
    <w:rsid w:val="00671216"/>
    <w:rsid w:val="00672538"/>
    <w:rsid w:val="0067255D"/>
    <w:rsid w:val="00673CCC"/>
    <w:rsid w:val="00675C98"/>
    <w:rsid w:val="0067710B"/>
    <w:rsid w:val="00681C5B"/>
    <w:rsid w:val="00682A6F"/>
    <w:rsid w:val="00684ACD"/>
    <w:rsid w:val="00685521"/>
    <w:rsid w:val="006901F1"/>
    <w:rsid w:val="0069026B"/>
    <w:rsid w:val="006903DA"/>
    <w:rsid w:val="0069302B"/>
    <w:rsid w:val="006952CF"/>
    <w:rsid w:val="006956EA"/>
    <w:rsid w:val="00696FC9"/>
    <w:rsid w:val="0069781E"/>
    <w:rsid w:val="006A490C"/>
    <w:rsid w:val="006B36A0"/>
    <w:rsid w:val="006B4078"/>
    <w:rsid w:val="006B4F7D"/>
    <w:rsid w:val="006B5536"/>
    <w:rsid w:val="006B6B68"/>
    <w:rsid w:val="006C114C"/>
    <w:rsid w:val="006C19E2"/>
    <w:rsid w:val="006C3668"/>
    <w:rsid w:val="006C3864"/>
    <w:rsid w:val="006C5383"/>
    <w:rsid w:val="006C5E72"/>
    <w:rsid w:val="006D0DBA"/>
    <w:rsid w:val="006D14FA"/>
    <w:rsid w:val="006D2853"/>
    <w:rsid w:val="006D2AEC"/>
    <w:rsid w:val="006D452E"/>
    <w:rsid w:val="006D4C8E"/>
    <w:rsid w:val="006D668D"/>
    <w:rsid w:val="006D7595"/>
    <w:rsid w:val="006E089A"/>
    <w:rsid w:val="006E182F"/>
    <w:rsid w:val="006E19D1"/>
    <w:rsid w:val="006E1CBB"/>
    <w:rsid w:val="006E37BE"/>
    <w:rsid w:val="006F100B"/>
    <w:rsid w:val="006F1A5F"/>
    <w:rsid w:val="006F239A"/>
    <w:rsid w:val="006F2C9D"/>
    <w:rsid w:val="006F6B51"/>
    <w:rsid w:val="006F76CA"/>
    <w:rsid w:val="007004D9"/>
    <w:rsid w:val="007033BB"/>
    <w:rsid w:val="0070632C"/>
    <w:rsid w:val="0070637D"/>
    <w:rsid w:val="00707020"/>
    <w:rsid w:val="007071DD"/>
    <w:rsid w:val="0070771F"/>
    <w:rsid w:val="00712A14"/>
    <w:rsid w:val="00714414"/>
    <w:rsid w:val="007152A8"/>
    <w:rsid w:val="00716C04"/>
    <w:rsid w:val="00717180"/>
    <w:rsid w:val="007179D2"/>
    <w:rsid w:val="00720425"/>
    <w:rsid w:val="00720750"/>
    <w:rsid w:val="0072549C"/>
    <w:rsid w:val="00725A80"/>
    <w:rsid w:val="0072622F"/>
    <w:rsid w:val="00726998"/>
    <w:rsid w:val="00731C57"/>
    <w:rsid w:val="0073271C"/>
    <w:rsid w:val="007333C6"/>
    <w:rsid w:val="00733970"/>
    <w:rsid w:val="007353FD"/>
    <w:rsid w:val="00735FA4"/>
    <w:rsid w:val="00740C1B"/>
    <w:rsid w:val="00741D0B"/>
    <w:rsid w:val="007437CA"/>
    <w:rsid w:val="00746C66"/>
    <w:rsid w:val="00746D6B"/>
    <w:rsid w:val="00751197"/>
    <w:rsid w:val="00751758"/>
    <w:rsid w:val="00754C58"/>
    <w:rsid w:val="0075680F"/>
    <w:rsid w:val="00760818"/>
    <w:rsid w:val="00767806"/>
    <w:rsid w:val="007678D8"/>
    <w:rsid w:val="00770540"/>
    <w:rsid w:val="00772A7F"/>
    <w:rsid w:val="00776E78"/>
    <w:rsid w:val="00777BE0"/>
    <w:rsid w:val="007807E6"/>
    <w:rsid w:val="0078138A"/>
    <w:rsid w:val="0078160A"/>
    <w:rsid w:val="00783014"/>
    <w:rsid w:val="007834DC"/>
    <w:rsid w:val="00784163"/>
    <w:rsid w:val="00786DA8"/>
    <w:rsid w:val="007877A4"/>
    <w:rsid w:val="00792012"/>
    <w:rsid w:val="007958DF"/>
    <w:rsid w:val="007959D8"/>
    <w:rsid w:val="0079630F"/>
    <w:rsid w:val="007968E7"/>
    <w:rsid w:val="007A04C2"/>
    <w:rsid w:val="007A1E77"/>
    <w:rsid w:val="007A3EC7"/>
    <w:rsid w:val="007A63EC"/>
    <w:rsid w:val="007A74EB"/>
    <w:rsid w:val="007B146A"/>
    <w:rsid w:val="007B15A3"/>
    <w:rsid w:val="007B3259"/>
    <w:rsid w:val="007B57C9"/>
    <w:rsid w:val="007B6FB1"/>
    <w:rsid w:val="007C0E7C"/>
    <w:rsid w:val="007C0EAA"/>
    <w:rsid w:val="007C19C3"/>
    <w:rsid w:val="007C3047"/>
    <w:rsid w:val="007C44B2"/>
    <w:rsid w:val="007C6496"/>
    <w:rsid w:val="007C745E"/>
    <w:rsid w:val="007D0ABE"/>
    <w:rsid w:val="007D1C38"/>
    <w:rsid w:val="007D3373"/>
    <w:rsid w:val="007D3F77"/>
    <w:rsid w:val="007D4944"/>
    <w:rsid w:val="007E0CFB"/>
    <w:rsid w:val="007E107E"/>
    <w:rsid w:val="007E356F"/>
    <w:rsid w:val="007E3F8C"/>
    <w:rsid w:val="007E4B41"/>
    <w:rsid w:val="007E6D19"/>
    <w:rsid w:val="007F2058"/>
    <w:rsid w:val="007F5DAE"/>
    <w:rsid w:val="007F6BE8"/>
    <w:rsid w:val="007F7685"/>
    <w:rsid w:val="007F7C47"/>
    <w:rsid w:val="0080011D"/>
    <w:rsid w:val="00800397"/>
    <w:rsid w:val="00800EA5"/>
    <w:rsid w:val="00801C01"/>
    <w:rsid w:val="00804B6C"/>
    <w:rsid w:val="008112CC"/>
    <w:rsid w:val="008122AF"/>
    <w:rsid w:val="0081257E"/>
    <w:rsid w:val="008130BB"/>
    <w:rsid w:val="0081410C"/>
    <w:rsid w:val="00814C21"/>
    <w:rsid w:val="00817406"/>
    <w:rsid w:val="008178E0"/>
    <w:rsid w:val="008237FA"/>
    <w:rsid w:val="008238E4"/>
    <w:rsid w:val="00825D37"/>
    <w:rsid w:val="008314C4"/>
    <w:rsid w:val="008316D5"/>
    <w:rsid w:val="00831700"/>
    <w:rsid w:val="0083220C"/>
    <w:rsid w:val="00832BBD"/>
    <w:rsid w:val="00834D87"/>
    <w:rsid w:val="0083638E"/>
    <w:rsid w:val="008369B0"/>
    <w:rsid w:val="008372D1"/>
    <w:rsid w:val="00841366"/>
    <w:rsid w:val="0084178E"/>
    <w:rsid w:val="00843C94"/>
    <w:rsid w:val="00851444"/>
    <w:rsid w:val="008519CB"/>
    <w:rsid w:val="008553B8"/>
    <w:rsid w:val="0085732C"/>
    <w:rsid w:val="00860B45"/>
    <w:rsid w:val="00862877"/>
    <w:rsid w:val="00863860"/>
    <w:rsid w:val="008638B5"/>
    <w:rsid w:val="00865AD7"/>
    <w:rsid w:val="008734DB"/>
    <w:rsid w:val="0087390B"/>
    <w:rsid w:val="008745A1"/>
    <w:rsid w:val="008760F4"/>
    <w:rsid w:val="008768E9"/>
    <w:rsid w:val="0087751B"/>
    <w:rsid w:val="00890995"/>
    <w:rsid w:val="008914FB"/>
    <w:rsid w:val="0089385B"/>
    <w:rsid w:val="0089542D"/>
    <w:rsid w:val="0089737A"/>
    <w:rsid w:val="00897E99"/>
    <w:rsid w:val="008A058F"/>
    <w:rsid w:val="008A0966"/>
    <w:rsid w:val="008A17F8"/>
    <w:rsid w:val="008A3B0B"/>
    <w:rsid w:val="008A4829"/>
    <w:rsid w:val="008A7FA8"/>
    <w:rsid w:val="008B075E"/>
    <w:rsid w:val="008B0920"/>
    <w:rsid w:val="008B153B"/>
    <w:rsid w:val="008B2384"/>
    <w:rsid w:val="008B316E"/>
    <w:rsid w:val="008B38D6"/>
    <w:rsid w:val="008B3FD1"/>
    <w:rsid w:val="008B41F5"/>
    <w:rsid w:val="008B4307"/>
    <w:rsid w:val="008B4802"/>
    <w:rsid w:val="008B69E3"/>
    <w:rsid w:val="008C1FD1"/>
    <w:rsid w:val="008C24A8"/>
    <w:rsid w:val="008C35EF"/>
    <w:rsid w:val="008C5996"/>
    <w:rsid w:val="008D0014"/>
    <w:rsid w:val="008D5A11"/>
    <w:rsid w:val="008D5E23"/>
    <w:rsid w:val="008D77AF"/>
    <w:rsid w:val="008E1F9A"/>
    <w:rsid w:val="008E5833"/>
    <w:rsid w:val="008E6D59"/>
    <w:rsid w:val="008F030A"/>
    <w:rsid w:val="008F30C7"/>
    <w:rsid w:val="008F3481"/>
    <w:rsid w:val="008F536C"/>
    <w:rsid w:val="008F5D66"/>
    <w:rsid w:val="008F7923"/>
    <w:rsid w:val="009003CB"/>
    <w:rsid w:val="009026D7"/>
    <w:rsid w:val="009028AA"/>
    <w:rsid w:val="00903E3F"/>
    <w:rsid w:val="009049C3"/>
    <w:rsid w:val="009057D9"/>
    <w:rsid w:val="009061BD"/>
    <w:rsid w:val="009064A9"/>
    <w:rsid w:val="0090774A"/>
    <w:rsid w:val="00907DFB"/>
    <w:rsid w:val="0091066F"/>
    <w:rsid w:val="0091072E"/>
    <w:rsid w:val="00910D07"/>
    <w:rsid w:val="009140AB"/>
    <w:rsid w:val="00914B2F"/>
    <w:rsid w:val="009150E6"/>
    <w:rsid w:val="00917F89"/>
    <w:rsid w:val="00917FC0"/>
    <w:rsid w:val="009255EE"/>
    <w:rsid w:val="00925603"/>
    <w:rsid w:val="00925F76"/>
    <w:rsid w:val="00926B81"/>
    <w:rsid w:val="00930FED"/>
    <w:rsid w:val="00932E89"/>
    <w:rsid w:val="0093359D"/>
    <w:rsid w:val="00933F2B"/>
    <w:rsid w:val="00935523"/>
    <w:rsid w:val="009355B8"/>
    <w:rsid w:val="009364D8"/>
    <w:rsid w:val="00936D01"/>
    <w:rsid w:val="00942EEB"/>
    <w:rsid w:val="0094468E"/>
    <w:rsid w:val="00945261"/>
    <w:rsid w:val="00945C88"/>
    <w:rsid w:val="00946516"/>
    <w:rsid w:val="009506A5"/>
    <w:rsid w:val="0095296D"/>
    <w:rsid w:val="009531C7"/>
    <w:rsid w:val="009541CC"/>
    <w:rsid w:val="009562BA"/>
    <w:rsid w:val="00956564"/>
    <w:rsid w:val="009567A6"/>
    <w:rsid w:val="00956D5A"/>
    <w:rsid w:val="00957301"/>
    <w:rsid w:val="00961B2C"/>
    <w:rsid w:val="00961DBB"/>
    <w:rsid w:val="0096335B"/>
    <w:rsid w:val="009655B1"/>
    <w:rsid w:val="0096618E"/>
    <w:rsid w:val="00970F76"/>
    <w:rsid w:val="0097766D"/>
    <w:rsid w:val="009805D3"/>
    <w:rsid w:val="00981433"/>
    <w:rsid w:val="0098222F"/>
    <w:rsid w:val="00982E77"/>
    <w:rsid w:val="00983696"/>
    <w:rsid w:val="009838C7"/>
    <w:rsid w:val="00985C07"/>
    <w:rsid w:val="009877AC"/>
    <w:rsid w:val="00992E1C"/>
    <w:rsid w:val="00994E3A"/>
    <w:rsid w:val="00995B4F"/>
    <w:rsid w:val="00997582"/>
    <w:rsid w:val="009A1CE1"/>
    <w:rsid w:val="009A2C21"/>
    <w:rsid w:val="009A3755"/>
    <w:rsid w:val="009A3E58"/>
    <w:rsid w:val="009A58EC"/>
    <w:rsid w:val="009A5F02"/>
    <w:rsid w:val="009A6739"/>
    <w:rsid w:val="009A7AB1"/>
    <w:rsid w:val="009B06C2"/>
    <w:rsid w:val="009B0FF1"/>
    <w:rsid w:val="009B2481"/>
    <w:rsid w:val="009B534C"/>
    <w:rsid w:val="009B5C9F"/>
    <w:rsid w:val="009B602B"/>
    <w:rsid w:val="009C0D1C"/>
    <w:rsid w:val="009C2BC9"/>
    <w:rsid w:val="009C40CE"/>
    <w:rsid w:val="009C6DAA"/>
    <w:rsid w:val="009D0E74"/>
    <w:rsid w:val="009D1A96"/>
    <w:rsid w:val="009D2EFC"/>
    <w:rsid w:val="009D370B"/>
    <w:rsid w:val="009D40F4"/>
    <w:rsid w:val="009D654C"/>
    <w:rsid w:val="009E2087"/>
    <w:rsid w:val="009E252B"/>
    <w:rsid w:val="009E2F0E"/>
    <w:rsid w:val="009E3265"/>
    <w:rsid w:val="009E3353"/>
    <w:rsid w:val="009E446D"/>
    <w:rsid w:val="009E7C09"/>
    <w:rsid w:val="009F146D"/>
    <w:rsid w:val="009F4F1E"/>
    <w:rsid w:val="009F67E3"/>
    <w:rsid w:val="00A015E4"/>
    <w:rsid w:val="00A04D6D"/>
    <w:rsid w:val="00A075BC"/>
    <w:rsid w:val="00A11222"/>
    <w:rsid w:val="00A116A8"/>
    <w:rsid w:val="00A12C39"/>
    <w:rsid w:val="00A134FB"/>
    <w:rsid w:val="00A15E96"/>
    <w:rsid w:val="00A1712E"/>
    <w:rsid w:val="00A20802"/>
    <w:rsid w:val="00A25ACE"/>
    <w:rsid w:val="00A25B4F"/>
    <w:rsid w:val="00A25E2A"/>
    <w:rsid w:val="00A269DF"/>
    <w:rsid w:val="00A27E8B"/>
    <w:rsid w:val="00A30AC2"/>
    <w:rsid w:val="00A329ED"/>
    <w:rsid w:val="00A41AB4"/>
    <w:rsid w:val="00A442BF"/>
    <w:rsid w:val="00A517D0"/>
    <w:rsid w:val="00A53716"/>
    <w:rsid w:val="00A543E8"/>
    <w:rsid w:val="00A5629E"/>
    <w:rsid w:val="00A64832"/>
    <w:rsid w:val="00A71857"/>
    <w:rsid w:val="00A732DB"/>
    <w:rsid w:val="00A75B63"/>
    <w:rsid w:val="00A77A71"/>
    <w:rsid w:val="00A801B0"/>
    <w:rsid w:val="00A838D2"/>
    <w:rsid w:val="00A85651"/>
    <w:rsid w:val="00A86D80"/>
    <w:rsid w:val="00A86F04"/>
    <w:rsid w:val="00A92443"/>
    <w:rsid w:val="00A93AAC"/>
    <w:rsid w:val="00A946C4"/>
    <w:rsid w:val="00A94F7A"/>
    <w:rsid w:val="00AA02C6"/>
    <w:rsid w:val="00AA165C"/>
    <w:rsid w:val="00AA2DE6"/>
    <w:rsid w:val="00AA3B16"/>
    <w:rsid w:val="00AB6318"/>
    <w:rsid w:val="00AB6831"/>
    <w:rsid w:val="00AB6F06"/>
    <w:rsid w:val="00AC01F8"/>
    <w:rsid w:val="00AC059A"/>
    <w:rsid w:val="00AC0BAA"/>
    <w:rsid w:val="00AC3AF7"/>
    <w:rsid w:val="00AC41CF"/>
    <w:rsid w:val="00AC6A45"/>
    <w:rsid w:val="00AC6BAF"/>
    <w:rsid w:val="00AD0308"/>
    <w:rsid w:val="00AD07F5"/>
    <w:rsid w:val="00AD188F"/>
    <w:rsid w:val="00AD25E3"/>
    <w:rsid w:val="00AD377A"/>
    <w:rsid w:val="00AD6027"/>
    <w:rsid w:val="00AD67BB"/>
    <w:rsid w:val="00AE09C5"/>
    <w:rsid w:val="00AE1CC1"/>
    <w:rsid w:val="00AE37E8"/>
    <w:rsid w:val="00AE3EA4"/>
    <w:rsid w:val="00AE5CD3"/>
    <w:rsid w:val="00AE701B"/>
    <w:rsid w:val="00AF0460"/>
    <w:rsid w:val="00AF1115"/>
    <w:rsid w:val="00AF1B02"/>
    <w:rsid w:val="00AF41E4"/>
    <w:rsid w:val="00AF430E"/>
    <w:rsid w:val="00AF568A"/>
    <w:rsid w:val="00AF658E"/>
    <w:rsid w:val="00AF7244"/>
    <w:rsid w:val="00B0390D"/>
    <w:rsid w:val="00B03924"/>
    <w:rsid w:val="00B058E4"/>
    <w:rsid w:val="00B0600F"/>
    <w:rsid w:val="00B06A75"/>
    <w:rsid w:val="00B06BC3"/>
    <w:rsid w:val="00B07434"/>
    <w:rsid w:val="00B10FF1"/>
    <w:rsid w:val="00B11102"/>
    <w:rsid w:val="00B134E8"/>
    <w:rsid w:val="00B158F9"/>
    <w:rsid w:val="00B15A0F"/>
    <w:rsid w:val="00B20236"/>
    <w:rsid w:val="00B20937"/>
    <w:rsid w:val="00B220A0"/>
    <w:rsid w:val="00B22B64"/>
    <w:rsid w:val="00B22FEA"/>
    <w:rsid w:val="00B24321"/>
    <w:rsid w:val="00B27420"/>
    <w:rsid w:val="00B27D0C"/>
    <w:rsid w:val="00B30FEB"/>
    <w:rsid w:val="00B311BA"/>
    <w:rsid w:val="00B32AC4"/>
    <w:rsid w:val="00B32E06"/>
    <w:rsid w:val="00B35B47"/>
    <w:rsid w:val="00B37008"/>
    <w:rsid w:val="00B40AA3"/>
    <w:rsid w:val="00B41BD4"/>
    <w:rsid w:val="00B425C8"/>
    <w:rsid w:val="00B42A79"/>
    <w:rsid w:val="00B44478"/>
    <w:rsid w:val="00B4552E"/>
    <w:rsid w:val="00B45690"/>
    <w:rsid w:val="00B4609C"/>
    <w:rsid w:val="00B46660"/>
    <w:rsid w:val="00B5249D"/>
    <w:rsid w:val="00B55D48"/>
    <w:rsid w:val="00B5798A"/>
    <w:rsid w:val="00B57EAC"/>
    <w:rsid w:val="00B6002C"/>
    <w:rsid w:val="00B620EE"/>
    <w:rsid w:val="00B629BE"/>
    <w:rsid w:val="00B655AD"/>
    <w:rsid w:val="00B674E9"/>
    <w:rsid w:val="00B74A80"/>
    <w:rsid w:val="00B77FD8"/>
    <w:rsid w:val="00B81309"/>
    <w:rsid w:val="00B82490"/>
    <w:rsid w:val="00B825CD"/>
    <w:rsid w:val="00B8299B"/>
    <w:rsid w:val="00B85366"/>
    <w:rsid w:val="00B87A01"/>
    <w:rsid w:val="00B87F60"/>
    <w:rsid w:val="00B93D3D"/>
    <w:rsid w:val="00B95D1E"/>
    <w:rsid w:val="00B97806"/>
    <w:rsid w:val="00BA0DC7"/>
    <w:rsid w:val="00BA2E6F"/>
    <w:rsid w:val="00BA471F"/>
    <w:rsid w:val="00BB1CCB"/>
    <w:rsid w:val="00BB5013"/>
    <w:rsid w:val="00BB528E"/>
    <w:rsid w:val="00BB5894"/>
    <w:rsid w:val="00BB615A"/>
    <w:rsid w:val="00BC2541"/>
    <w:rsid w:val="00BC2600"/>
    <w:rsid w:val="00BC355D"/>
    <w:rsid w:val="00BC36F0"/>
    <w:rsid w:val="00BC3E99"/>
    <w:rsid w:val="00BC4FA7"/>
    <w:rsid w:val="00BC5E30"/>
    <w:rsid w:val="00BC5FC7"/>
    <w:rsid w:val="00BD02C5"/>
    <w:rsid w:val="00BD068D"/>
    <w:rsid w:val="00BD162F"/>
    <w:rsid w:val="00BD1F5A"/>
    <w:rsid w:val="00BD606E"/>
    <w:rsid w:val="00BE0D9A"/>
    <w:rsid w:val="00BE1A50"/>
    <w:rsid w:val="00BE2F0D"/>
    <w:rsid w:val="00BE46C7"/>
    <w:rsid w:val="00BF0BD5"/>
    <w:rsid w:val="00BF1520"/>
    <w:rsid w:val="00BF1DE5"/>
    <w:rsid w:val="00BF3052"/>
    <w:rsid w:val="00BF55F8"/>
    <w:rsid w:val="00C02280"/>
    <w:rsid w:val="00C051FD"/>
    <w:rsid w:val="00C05617"/>
    <w:rsid w:val="00C1033C"/>
    <w:rsid w:val="00C10756"/>
    <w:rsid w:val="00C11634"/>
    <w:rsid w:val="00C156F8"/>
    <w:rsid w:val="00C20C7D"/>
    <w:rsid w:val="00C20DEF"/>
    <w:rsid w:val="00C245B3"/>
    <w:rsid w:val="00C24ACD"/>
    <w:rsid w:val="00C24B25"/>
    <w:rsid w:val="00C24E89"/>
    <w:rsid w:val="00C25DD9"/>
    <w:rsid w:val="00C32C2F"/>
    <w:rsid w:val="00C333CD"/>
    <w:rsid w:val="00C33DDB"/>
    <w:rsid w:val="00C3738A"/>
    <w:rsid w:val="00C41396"/>
    <w:rsid w:val="00C42EB1"/>
    <w:rsid w:val="00C42FC3"/>
    <w:rsid w:val="00C4315A"/>
    <w:rsid w:val="00C43F5E"/>
    <w:rsid w:val="00C44074"/>
    <w:rsid w:val="00C44F75"/>
    <w:rsid w:val="00C4651F"/>
    <w:rsid w:val="00C50276"/>
    <w:rsid w:val="00C51D0B"/>
    <w:rsid w:val="00C52207"/>
    <w:rsid w:val="00C52A50"/>
    <w:rsid w:val="00C5623B"/>
    <w:rsid w:val="00C60CBF"/>
    <w:rsid w:val="00C642D4"/>
    <w:rsid w:val="00C7058E"/>
    <w:rsid w:val="00C71001"/>
    <w:rsid w:val="00C730F4"/>
    <w:rsid w:val="00C73F12"/>
    <w:rsid w:val="00C73FB2"/>
    <w:rsid w:val="00C77735"/>
    <w:rsid w:val="00C80200"/>
    <w:rsid w:val="00C80E0A"/>
    <w:rsid w:val="00C8270B"/>
    <w:rsid w:val="00C83B4E"/>
    <w:rsid w:val="00C841A9"/>
    <w:rsid w:val="00C842AC"/>
    <w:rsid w:val="00C84B76"/>
    <w:rsid w:val="00C8728F"/>
    <w:rsid w:val="00C93B14"/>
    <w:rsid w:val="00C97A85"/>
    <w:rsid w:val="00C97FBC"/>
    <w:rsid w:val="00CA06C8"/>
    <w:rsid w:val="00CA07BA"/>
    <w:rsid w:val="00CA0B7E"/>
    <w:rsid w:val="00CA253F"/>
    <w:rsid w:val="00CA4545"/>
    <w:rsid w:val="00CA4C28"/>
    <w:rsid w:val="00CA5598"/>
    <w:rsid w:val="00CA57BC"/>
    <w:rsid w:val="00CA5EF8"/>
    <w:rsid w:val="00CB1157"/>
    <w:rsid w:val="00CB22E3"/>
    <w:rsid w:val="00CB26A5"/>
    <w:rsid w:val="00CB28A3"/>
    <w:rsid w:val="00CB3F67"/>
    <w:rsid w:val="00CB784B"/>
    <w:rsid w:val="00CC00A0"/>
    <w:rsid w:val="00CC0FED"/>
    <w:rsid w:val="00CC2512"/>
    <w:rsid w:val="00CC3C34"/>
    <w:rsid w:val="00CC48DB"/>
    <w:rsid w:val="00CC5455"/>
    <w:rsid w:val="00CC6C06"/>
    <w:rsid w:val="00CD1526"/>
    <w:rsid w:val="00CD5509"/>
    <w:rsid w:val="00CD6774"/>
    <w:rsid w:val="00CD76CA"/>
    <w:rsid w:val="00CE107F"/>
    <w:rsid w:val="00CE1E37"/>
    <w:rsid w:val="00CE1EB0"/>
    <w:rsid w:val="00CE2F5C"/>
    <w:rsid w:val="00CE37FE"/>
    <w:rsid w:val="00CE3DF2"/>
    <w:rsid w:val="00CE5024"/>
    <w:rsid w:val="00CF0C0F"/>
    <w:rsid w:val="00CF135C"/>
    <w:rsid w:val="00CF1690"/>
    <w:rsid w:val="00CF1F2A"/>
    <w:rsid w:val="00CF3C53"/>
    <w:rsid w:val="00CF48B2"/>
    <w:rsid w:val="00CF5CE3"/>
    <w:rsid w:val="00CF7412"/>
    <w:rsid w:val="00D012D5"/>
    <w:rsid w:val="00D022B5"/>
    <w:rsid w:val="00D030F8"/>
    <w:rsid w:val="00D04C07"/>
    <w:rsid w:val="00D069C5"/>
    <w:rsid w:val="00D077B7"/>
    <w:rsid w:val="00D079F8"/>
    <w:rsid w:val="00D105C6"/>
    <w:rsid w:val="00D17A0B"/>
    <w:rsid w:val="00D20297"/>
    <w:rsid w:val="00D21E6B"/>
    <w:rsid w:val="00D2336A"/>
    <w:rsid w:val="00D233F7"/>
    <w:rsid w:val="00D23634"/>
    <w:rsid w:val="00D26652"/>
    <w:rsid w:val="00D30B46"/>
    <w:rsid w:val="00D34528"/>
    <w:rsid w:val="00D34551"/>
    <w:rsid w:val="00D411F5"/>
    <w:rsid w:val="00D457D6"/>
    <w:rsid w:val="00D461F2"/>
    <w:rsid w:val="00D4764C"/>
    <w:rsid w:val="00D51BA7"/>
    <w:rsid w:val="00D51F21"/>
    <w:rsid w:val="00D52734"/>
    <w:rsid w:val="00D56731"/>
    <w:rsid w:val="00D64CE2"/>
    <w:rsid w:val="00D66006"/>
    <w:rsid w:val="00D667F6"/>
    <w:rsid w:val="00D70285"/>
    <w:rsid w:val="00D70BC4"/>
    <w:rsid w:val="00D715FF"/>
    <w:rsid w:val="00D72CD3"/>
    <w:rsid w:val="00D74722"/>
    <w:rsid w:val="00D76FF9"/>
    <w:rsid w:val="00D7751B"/>
    <w:rsid w:val="00D815DC"/>
    <w:rsid w:val="00D822B5"/>
    <w:rsid w:val="00D82E6B"/>
    <w:rsid w:val="00D83D3C"/>
    <w:rsid w:val="00D84A87"/>
    <w:rsid w:val="00D860CE"/>
    <w:rsid w:val="00D867AE"/>
    <w:rsid w:val="00D86A2B"/>
    <w:rsid w:val="00D87BBB"/>
    <w:rsid w:val="00D87C87"/>
    <w:rsid w:val="00D921C4"/>
    <w:rsid w:val="00D92520"/>
    <w:rsid w:val="00D9296A"/>
    <w:rsid w:val="00D93C23"/>
    <w:rsid w:val="00D95158"/>
    <w:rsid w:val="00D95638"/>
    <w:rsid w:val="00D9584C"/>
    <w:rsid w:val="00DA0EE1"/>
    <w:rsid w:val="00DA14D9"/>
    <w:rsid w:val="00DA6152"/>
    <w:rsid w:val="00DB03CB"/>
    <w:rsid w:val="00DB13AD"/>
    <w:rsid w:val="00DB23F9"/>
    <w:rsid w:val="00DB55D3"/>
    <w:rsid w:val="00DB58BE"/>
    <w:rsid w:val="00DB6176"/>
    <w:rsid w:val="00DB6AA0"/>
    <w:rsid w:val="00DB7C3A"/>
    <w:rsid w:val="00DC082A"/>
    <w:rsid w:val="00DC5B41"/>
    <w:rsid w:val="00DC6130"/>
    <w:rsid w:val="00DC7457"/>
    <w:rsid w:val="00DD32AB"/>
    <w:rsid w:val="00DD5BF6"/>
    <w:rsid w:val="00DD7620"/>
    <w:rsid w:val="00DE0FB3"/>
    <w:rsid w:val="00DE1865"/>
    <w:rsid w:val="00DE5E7B"/>
    <w:rsid w:val="00DE6CEF"/>
    <w:rsid w:val="00DF11C2"/>
    <w:rsid w:val="00DF2134"/>
    <w:rsid w:val="00DF4593"/>
    <w:rsid w:val="00DF4C0E"/>
    <w:rsid w:val="00DF715D"/>
    <w:rsid w:val="00E00855"/>
    <w:rsid w:val="00E07E8B"/>
    <w:rsid w:val="00E10D05"/>
    <w:rsid w:val="00E12396"/>
    <w:rsid w:val="00E12700"/>
    <w:rsid w:val="00E13E96"/>
    <w:rsid w:val="00E14577"/>
    <w:rsid w:val="00E17FAB"/>
    <w:rsid w:val="00E20626"/>
    <w:rsid w:val="00E2223E"/>
    <w:rsid w:val="00E22977"/>
    <w:rsid w:val="00E22D98"/>
    <w:rsid w:val="00E22FCF"/>
    <w:rsid w:val="00E24623"/>
    <w:rsid w:val="00E252E3"/>
    <w:rsid w:val="00E2534A"/>
    <w:rsid w:val="00E30B94"/>
    <w:rsid w:val="00E3194A"/>
    <w:rsid w:val="00E3493F"/>
    <w:rsid w:val="00E3688A"/>
    <w:rsid w:val="00E40505"/>
    <w:rsid w:val="00E42A41"/>
    <w:rsid w:val="00E4487B"/>
    <w:rsid w:val="00E44A38"/>
    <w:rsid w:val="00E45766"/>
    <w:rsid w:val="00E461C4"/>
    <w:rsid w:val="00E4693E"/>
    <w:rsid w:val="00E51D5A"/>
    <w:rsid w:val="00E567E5"/>
    <w:rsid w:val="00E56BC8"/>
    <w:rsid w:val="00E62515"/>
    <w:rsid w:val="00E626A5"/>
    <w:rsid w:val="00E62D01"/>
    <w:rsid w:val="00E64480"/>
    <w:rsid w:val="00E6500D"/>
    <w:rsid w:val="00E65219"/>
    <w:rsid w:val="00E6708B"/>
    <w:rsid w:val="00E73A8C"/>
    <w:rsid w:val="00E75050"/>
    <w:rsid w:val="00E769A8"/>
    <w:rsid w:val="00E76F42"/>
    <w:rsid w:val="00E77D6D"/>
    <w:rsid w:val="00E82B43"/>
    <w:rsid w:val="00E839AA"/>
    <w:rsid w:val="00E868D8"/>
    <w:rsid w:val="00E915E6"/>
    <w:rsid w:val="00E94254"/>
    <w:rsid w:val="00E960F3"/>
    <w:rsid w:val="00EA3E11"/>
    <w:rsid w:val="00EA6EB3"/>
    <w:rsid w:val="00EB4A8E"/>
    <w:rsid w:val="00EB5EF3"/>
    <w:rsid w:val="00EB695D"/>
    <w:rsid w:val="00EC120F"/>
    <w:rsid w:val="00EC2878"/>
    <w:rsid w:val="00EC38F3"/>
    <w:rsid w:val="00EC3BC1"/>
    <w:rsid w:val="00EC4E40"/>
    <w:rsid w:val="00EC5BCA"/>
    <w:rsid w:val="00EC6B7D"/>
    <w:rsid w:val="00ED133D"/>
    <w:rsid w:val="00ED30E6"/>
    <w:rsid w:val="00ED39CE"/>
    <w:rsid w:val="00ED4134"/>
    <w:rsid w:val="00ED6BEC"/>
    <w:rsid w:val="00ED7B22"/>
    <w:rsid w:val="00ED7E63"/>
    <w:rsid w:val="00EE05F1"/>
    <w:rsid w:val="00EE2FF4"/>
    <w:rsid w:val="00EE471A"/>
    <w:rsid w:val="00EE48F1"/>
    <w:rsid w:val="00EE5492"/>
    <w:rsid w:val="00EE56F0"/>
    <w:rsid w:val="00EF0A00"/>
    <w:rsid w:val="00EF24B4"/>
    <w:rsid w:val="00EF3C7B"/>
    <w:rsid w:val="00EF43F3"/>
    <w:rsid w:val="00F004CF"/>
    <w:rsid w:val="00F055B7"/>
    <w:rsid w:val="00F05E0D"/>
    <w:rsid w:val="00F07BD5"/>
    <w:rsid w:val="00F122D6"/>
    <w:rsid w:val="00F12F83"/>
    <w:rsid w:val="00F13B9F"/>
    <w:rsid w:val="00F15BF4"/>
    <w:rsid w:val="00F16AE6"/>
    <w:rsid w:val="00F17940"/>
    <w:rsid w:val="00F17DC0"/>
    <w:rsid w:val="00F2046C"/>
    <w:rsid w:val="00F20647"/>
    <w:rsid w:val="00F20E0F"/>
    <w:rsid w:val="00F23252"/>
    <w:rsid w:val="00F27128"/>
    <w:rsid w:val="00F2731A"/>
    <w:rsid w:val="00F30167"/>
    <w:rsid w:val="00F30D3C"/>
    <w:rsid w:val="00F31392"/>
    <w:rsid w:val="00F332FD"/>
    <w:rsid w:val="00F33AD4"/>
    <w:rsid w:val="00F348B5"/>
    <w:rsid w:val="00F3652B"/>
    <w:rsid w:val="00F36BAE"/>
    <w:rsid w:val="00F377B9"/>
    <w:rsid w:val="00F378FD"/>
    <w:rsid w:val="00F448DE"/>
    <w:rsid w:val="00F45442"/>
    <w:rsid w:val="00F4597E"/>
    <w:rsid w:val="00F5145E"/>
    <w:rsid w:val="00F53115"/>
    <w:rsid w:val="00F558EA"/>
    <w:rsid w:val="00F613CB"/>
    <w:rsid w:val="00F6195E"/>
    <w:rsid w:val="00F61F79"/>
    <w:rsid w:val="00F628CC"/>
    <w:rsid w:val="00F64BA4"/>
    <w:rsid w:val="00F656A4"/>
    <w:rsid w:val="00F6665E"/>
    <w:rsid w:val="00F671B4"/>
    <w:rsid w:val="00F7075F"/>
    <w:rsid w:val="00F70CF4"/>
    <w:rsid w:val="00F71D76"/>
    <w:rsid w:val="00F7285A"/>
    <w:rsid w:val="00F756B4"/>
    <w:rsid w:val="00F76053"/>
    <w:rsid w:val="00F81436"/>
    <w:rsid w:val="00F8349F"/>
    <w:rsid w:val="00F83FB7"/>
    <w:rsid w:val="00F84634"/>
    <w:rsid w:val="00F85935"/>
    <w:rsid w:val="00F85D29"/>
    <w:rsid w:val="00F877C8"/>
    <w:rsid w:val="00F90D6C"/>
    <w:rsid w:val="00F912D1"/>
    <w:rsid w:val="00F969D3"/>
    <w:rsid w:val="00F96C1C"/>
    <w:rsid w:val="00FA190E"/>
    <w:rsid w:val="00FA5141"/>
    <w:rsid w:val="00FA54D8"/>
    <w:rsid w:val="00FA59B1"/>
    <w:rsid w:val="00FB07B4"/>
    <w:rsid w:val="00FB4D78"/>
    <w:rsid w:val="00FB70BE"/>
    <w:rsid w:val="00FC3269"/>
    <w:rsid w:val="00FC4FB7"/>
    <w:rsid w:val="00FC51CA"/>
    <w:rsid w:val="00FC6770"/>
    <w:rsid w:val="00FD0742"/>
    <w:rsid w:val="00FD1EE0"/>
    <w:rsid w:val="00FD1FC1"/>
    <w:rsid w:val="00FD225E"/>
    <w:rsid w:val="00FD3032"/>
    <w:rsid w:val="00FD357B"/>
    <w:rsid w:val="00FD38FC"/>
    <w:rsid w:val="00FD6119"/>
    <w:rsid w:val="00FD688E"/>
    <w:rsid w:val="00FD68E2"/>
    <w:rsid w:val="00FD7C0C"/>
    <w:rsid w:val="00FE045C"/>
    <w:rsid w:val="00FE0C52"/>
    <w:rsid w:val="00FE1692"/>
    <w:rsid w:val="00FE3B13"/>
    <w:rsid w:val="00FE40D5"/>
    <w:rsid w:val="00FE773E"/>
    <w:rsid w:val="00FE7E17"/>
    <w:rsid w:val="00FF02AF"/>
    <w:rsid w:val="00FF0566"/>
    <w:rsid w:val="00FF0AE7"/>
    <w:rsid w:val="00FF2DD7"/>
    <w:rsid w:val="00FF3B9B"/>
    <w:rsid w:val="00FF62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iPriority="39" w:unhideWhenUsed="0"/>
    <w:lsdException w:name="heading 1" w:semiHidden="0" w:uiPriority="9" w:unhideWhenUsed="0" w:qFormat="1"/>
    <w:lsdException w:name="heading 2" w:uiPriority="2" w:qFormat="1"/>
    <w:lsdException w:name="heading 3" w:qFormat="1"/>
    <w:lsdException w:name="heading 4"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caption" w:uiPriority="13" w:qFormat="1"/>
    <w:lsdException w:name="table of figures" w:semiHidden="0" w:uiPriority="99" w:unhideWhenUsed="0"/>
    <w:lsdException w:name="List Bullet" w:uiPriority="7" w:qFormat="1"/>
    <w:lsdException w:name="List Number" w:qFormat="1"/>
    <w:lsdException w:name="List Bullet 2" w:uiPriority="8" w:qFormat="1"/>
    <w:lsdException w:name="List Bullet 3" w:uiPriority="9"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9" w:unhideWhenUsed="0"/>
    <w:lsdException w:name="Quote" w:semiHidden="0"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uiPriority w:val="39"/>
    <w:rsid w:val="007437CA"/>
  </w:style>
  <w:style w:type="paragraph" w:styleId="Heading1">
    <w:name w:val="heading 1"/>
    <w:basedOn w:val="Normal"/>
    <w:next w:val="BodyText"/>
    <w:link w:val="Heading1Char"/>
    <w:uiPriority w:val="1"/>
    <w:qFormat/>
    <w:rsid w:val="0046444F"/>
    <w:pPr>
      <w:keepNext/>
      <w:keepLines/>
      <w:numPr>
        <w:numId w:val="10"/>
      </w:numPr>
      <w:tabs>
        <w:tab w:val="right" w:pos="1418"/>
        <w:tab w:val="right" w:pos="1701"/>
        <w:tab w:val="right" w:pos="1985"/>
      </w:tabs>
      <w:spacing w:before="470" w:after="228"/>
      <w:outlineLvl w:val="0"/>
    </w:pPr>
    <w:rPr>
      <w:rFonts w:asciiTheme="majorHAnsi" w:hAnsiTheme="majorHAnsi"/>
      <w:bCs/>
      <w:color w:val="2B3B5F" w:themeColor="text2"/>
      <w:spacing w:val="-6"/>
      <w:kern w:val="32"/>
      <w:sz w:val="32"/>
      <w:szCs w:val="32"/>
    </w:rPr>
  </w:style>
  <w:style w:type="paragraph" w:styleId="Heading2">
    <w:name w:val="heading 2"/>
    <w:basedOn w:val="Normal"/>
    <w:next w:val="BodyText"/>
    <w:link w:val="Heading2Char"/>
    <w:uiPriority w:val="2"/>
    <w:qFormat/>
    <w:rsid w:val="00CA06C8"/>
    <w:pPr>
      <w:keepNext/>
      <w:keepLines/>
      <w:numPr>
        <w:ilvl w:val="1"/>
        <w:numId w:val="10"/>
      </w:numPr>
      <w:tabs>
        <w:tab w:val="left" w:pos="1418"/>
        <w:tab w:val="left" w:pos="1701"/>
        <w:tab w:val="left" w:pos="1985"/>
      </w:tabs>
      <w:spacing w:before="470" w:after="227"/>
      <w:outlineLvl w:val="1"/>
    </w:pPr>
    <w:rPr>
      <w:rFonts w:ascii="Calibri" w:hAnsi="Calibri"/>
      <w:b/>
      <w:bCs/>
      <w:iCs/>
      <w:color w:val="2B3B5F" w:themeColor="text2"/>
      <w:kern w:val="20"/>
      <w:sz w:val="24"/>
      <w:szCs w:val="28"/>
    </w:rPr>
  </w:style>
  <w:style w:type="paragraph" w:styleId="Heading3">
    <w:name w:val="heading 3"/>
    <w:basedOn w:val="Normal"/>
    <w:next w:val="BodyText"/>
    <w:link w:val="Heading3Char"/>
    <w:uiPriority w:val="3"/>
    <w:qFormat/>
    <w:rsid w:val="00CA06C8"/>
    <w:pPr>
      <w:keepNext/>
      <w:keepLines/>
      <w:numPr>
        <w:ilvl w:val="2"/>
        <w:numId w:val="10"/>
      </w:numPr>
      <w:tabs>
        <w:tab w:val="left" w:pos="1418"/>
        <w:tab w:val="left" w:pos="1701"/>
        <w:tab w:val="left" w:pos="1985"/>
      </w:tabs>
      <w:spacing w:before="470" w:after="227"/>
      <w:outlineLvl w:val="2"/>
    </w:pPr>
    <w:rPr>
      <w:i/>
      <w:color w:val="2B3B5F" w:themeColor="text2"/>
      <w:sz w:val="24"/>
    </w:rPr>
  </w:style>
  <w:style w:type="paragraph" w:styleId="Heading4">
    <w:name w:val="heading 4"/>
    <w:basedOn w:val="Normal"/>
    <w:next w:val="BodyText"/>
    <w:link w:val="Heading4Char"/>
    <w:uiPriority w:val="4"/>
    <w:qFormat/>
    <w:rsid w:val="00CA06C8"/>
    <w:pPr>
      <w:keepNext/>
      <w:keepLines/>
      <w:tabs>
        <w:tab w:val="left" w:pos="1418"/>
        <w:tab w:val="left" w:pos="1701"/>
        <w:tab w:val="left" w:pos="1985"/>
      </w:tabs>
      <w:spacing w:before="227" w:after="113"/>
      <w:outlineLvl w:val="3"/>
    </w:pPr>
    <w:rPr>
      <w:rFonts w:eastAsiaTheme="majorEastAsia" w:cstheme="majorBidi"/>
      <w:bCs/>
      <w:i/>
      <w:iCs/>
      <w:color w:val="788184" w:themeColor="background2"/>
      <w:sz w:val="24"/>
    </w:rPr>
  </w:style>
  <w:style w:type="paragraph" w:styleId="Heading5">
    <w:name w:val="heading 5"/>
    <w:basedOn w:val="Normal"/>
    <w:next w:val="BodyText"/>
    <w:link w:val="Heading5Char"/>
    <w:uiPriority w:val="39"/>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uiPriority w:val="39"/>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ttachment Title"/>
    <w:basedOn w:val="Normal"/>
    <w:next w:val="BodyText"/>
    <w:link w:val="Heading8Char"/>
    <w:uiPriority w:val="31"/>
    <w:qFormat/>
    <w:rsid w:val="002D239A"/>
    <w:pPr>
      <w:keepNext/>
      <w:keepLines/>
      <w:numPr>
        <w:numId w:val="1"/>
      </w:numPr>
      <w:tabs>
        <w:tab w:val="left" w:pos="4536"/>
      </w:tabs>
      <w:spacing w:before="480" w:after="340"/>
      <w:outlineLvl w:val="7"/>
    </w:pPr>
    <w:rPr>
      <w:rFonts w:asciiTheme="majorHAnsi" w:eastAsiaTheme="majorEastAsia" w:hAnsiTheme="majorHAnsi" w:cstheme="majorBidi"/>
      <w:color w:val="2B3B5F" w:themeColor="text2"/>
      <w:sz w:val="32"/>
    </w:rPr>
  </w:style>
  <w:style w:type="paragraph" w:styleId="Heading9">
    <w:name w:val="heading 9"/>
    <w:aliases w:val="Attachment Heading 1"/>
    <w:basedOn w:val="Normal"/>
    <w:next w:val="BodyText"/>
    <w:link w:val="Heading9Char"/>
    <w:uiPriority w:val="32"/>
    <w:qFormat/>
    <w:rsid w:val="002D239A"/>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13"/>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uiPriority w:val="13"/>
    <w:rsid w:val="0089737A"/>
    <w:rPr>
      <w:kern w:val="16"/>
      <w:sz w:val="18"/>
    </w:rPr>
  </w:style>
  <w:style w:type="character" w:styleId="FootnoteReference">
    <w:name w:val="footnote reference"/>
    <w:basedOn w:val="DefaultParagraphFont"/>
    <w:uiPriority w:val="39"/>
    <w:rsid w:val="00961DBB"/>
    <w:rPr>
      <w:rFonts w:asciiTheme="minorHAnsi" w:hAnsiTheme="minorHAnsi"/>
      <w:color w:val="auto"/>
      <w:vertAlign w:val="superscript"/>
    </w:rPr>
  </w:style>
  <w:style w:type="paragraph" w:styleId="BodyText">
    <w:name w:val="Body Text"/>
    <w:basedOn w:val="Normal"/>
    <w:link w:val="BodyTextChar"/>
    <w:uiPriority w:val="5"/>
    <w:qFormat/>
    <w:rsid w:val="007C19C3"/>
    <w:pPr>
      <w:spacing w:before="113" w:after="113"/>
    </w:pPr>
    <w:rPr>
      <w:rFonts w:cs="Times New Roman"/>
      <w:spacing w:val="-1"/>
    </w:rPr>
  </w:style>
  <w:style w:type="character" w:customStyle="1" w:styleId="BodyTextChar">
    <w:name w:val="Body Text Char"/>
    <w:basedOn w:val="DefaultParagraphFont"/>
    <w:link w:val="BodyText"/>
    <w:uiPriority w:val="5"/>
    <w:rsid w:val="00AC41CF"/>
    <w:rPr>
      <w:rFonts w:cs="Times New Roman"/>
      <w:spacing w:val="-1"/>
    </w:rPr>
  </w:style>
  <w:style w:type="paragraph" w:customStyle="1" w:styleId="BodyText17ptAbove">
    <w:name w:val="Body Text 17pt Above"/>
    <w:basedOn w:val="BodyText"/>
    <w:next w:val="BodyText"/>
    <w:uiPriority w:val="6"/>
    <w:qFormat/>
    <w:rsid w:val="00CA4C28"/>
    <w:pPr>
      <w:spacing w:before="340"/>
    </w:pPr>
  </w:style>
  <w:style w:type="character" w:customStyle="1" w:styleId="Heading1Char">
    <w:name w:val="Heading 1 Char"/>
    <w:basedOn w:val="DefaultParagraphFont"/>
    <w:link w:val="Heading1"/>
    <w:uiPriority w:val="1"/>
    <w:rsid w:val="00AC41CF"/>
    <w:rPr>
      <w:rFonts w:asciiTheme="majorHAnsi" w:hAnsiTheme="majorHAnsi"/>
      <w:bCs/>
      <w:color w:val="2B3B5F" w:themeColor="text2"/>
      <w:spacing w:val="-6"/>
      <w:kern w:val="32"/>
      <w:sz w:val="32"/>
      <w:szCs w:val="32"/>
    </w:rPr>
  </w:style>
  <w:style w:type="character" w:customStyle="1" w:styleId="Heading2Char">
    <w:name w:val="Heading 2 Char"/>
    <w:basedOn w:val="DefaultParagraphFont"/>
    <w:link w:val="Heading2"/>
    <w:uiPriority w:val="2"/>
    <w:rsid w:val="00AC41CF"/>
    <w:rPr>
      <w:rFonts w:ascii="Calibri" w:hAnsi="Calibri"/>
      <w:b/>
      <w:bCs/>
      <w:iCs/>
      <w:color w:val="2B3B5F" w:themeColor="text2"/>
      <w:kern w:val="20"/>
      <w:sz w:val="24"/>
      <w:szCs w:val="28"/>
    </w:rPr>
  </w:style>
  <w:style w:type="character" w:customStyle="1" w:styleId="Heading3Char">
    <w:name w:val="Heading 3 Char"/>
    <w:basedOn w:val="DefaultParagraphFont"/>
    <w:link w:val="Heading3"/>
    <w:uiPriority w:val="3"/>
    <w:rsid w:val="00AC41CF"/>
    <w:rPr>
      <w:i/>
      <w:color w:val="2B3B5F" w:themeColor="text2"/>
      <w:sz w:val="24"/>
    </w:rPr>
  </w:style>
  <w:style w:type="character" w:customStyle="1" w:styleId="Heading4Char">
    <w:name w:val="Heading 4 Char"/>
    <w:basedOn w:val="DefaultParagraphFont"/>
    <w:link w:val="Heading4"/>
    <w:uiPriority w:val="4"/>
    <w:rsid w:val="00AC41CF"/>
    <w:rPr>
      <w:rFonts w:eastAsiaTheme="majorEastAsia" w:cstheme="majorBidi"/>
      <w:bCs/>
      <w:i/>
      <w:iCs/>
      <w:color w:val="788184" w:themeColor="background2"/>
      <w:sz w:val="24"/>
    </w:rPr>
  </w:style>
  <w:style w:type="character" w:customStyle="1" w:styleId="Heading5Char">
    <w:name w:val="Heading 5 Char"/>
    <w:basedOn w:val="DefaultParagraphFont"/>
    <w:link w:val="Heading5"/>
    <w:uiPriority w:val="39"/>
    <w:rsid w:val="00AC41CF"/>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uiPriority w:val="39"/>
    <w:rsid w:val="00AC41CF"/>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ttachment Title Char"/>
    <w:basedOn w:val="DefaultParagraphFont"/>
    <w:link w:val="Heading8"/>
    <w:uiPriority w:val="31"/>
    <w:rsid w:val="0089737A"/>
    <w:rPr>
      <w:rFonts w:asciiTheme="majorHAnsi" w:eastAsiaTheme="majorEastAsia" w:hAnsiTheme="majorHAnsi" w:cstheme="majorBidi"/>
      <w:color w:val="2B3B5F" w:themeColor="text2"/>
      <w:sz w:val="32"/>
    </w:rPr>
  </w:style>
  <w:style w:type="character" w:customStyle="1" w:styleId="Heading9Char">
    <w:name w:val="Heading 9 Char"/>
    <w:aliases w:val="Attachment Heading 1 Char"/>
    <w:basedOn w:val="DefaultParagraphFont"/>
    <w:link w:val="Heading9"/>
    <w:uiPriority w:val="32"/>
    <w:rsid w:val="0089737A"/>
    <w:rPr>
      <w:rFonts w:asciiTheme="majorHAnsi" w:hAnsiTheme="majorHAnsi"/>
      <w:color w:val="2B3B5F" w:themeColor="text2"/>
      <w:sz w:val="28"/>
    </w:rPr>
  </w:style>
  <w:style w:type="paragraph" w:customStyle="1" w:styleId="AttachmentHeading2">
    <w:name w:val="Attachment Heading 2"/>
    <w:basedOn w:val="Normal"/>
    <w:next w:val="BodyText"/>
    <w:uiPriority w:val="33"/>
    <w:qFormat/>
    <w:rsid w:val="00CA5598"/>
    <w:pPr>
      <w:keepNext/>
      <w:keepLines/>
      <w:numPr>
        <w:ilvl w:val="2"/>
        <w:numId w:val="1"/>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ttachmentHeading3">
    <w:name w:val="Attachment Heading 3"/>
    <w:basedOn w:val="Normal"/>
    <w:next w:val="BodyText"/>
    <w:uiPriority w:val="34"/>
    <w:qFormat/>
    <w:rsid w:val="00CA5598"/>
    <w:pPr>
      <w:keepNext/>
      <w:keepLines/>
      <w:numPr>
        <w:ilvl w:val="3"/>
        <w:numId w:val="1"/>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uiPriority w:val="39"/>
    <w:rsid w:val="00961DBB"/>
    <w:rPr>
      <w:b/>
    </w:rPr>
  </w:style>
  <w:style w:type="character" w:customStyle="1" w:styleId="BoldAndItalics">
    <w:name w:val="Bold And Italics"/>
    <w:uiPriority w:val="39"/>
    <w:rsid w:val="00961DBB"/>
    <w:rPr>
      <w:b/>
      <w:i/>
    </w:rPr>
  </w:style>
  <w:style w:type="paragraph" w:styleId="Caption">
    <w:name w:val="caption"/>
    <w:basedOn w:val="Normal"/>
    <w:next w:val="BodyText"/>
    <w:uiPriority w:val="13"/>
    <w:qFormat/>
    <w:rsid w:val="00961DBB"/>
    <w:pPr>
      <w:keepNext/>
      <w:spacing w:before="340" w:after="114"/>
    </w:pPr>
    <w:rPr>
      <w:b/>
      <w:bCs/>
      <w:color w:val="2B3B5F" w:themeColor="text2"/>
      <w:spacing w:val="-4"/>
    </w:rPr>
  </w:style>
  <w:style w:type="paragraph" w:styleId="Footer">
    <w:name w:val="footer"/>
    <w:basedOn w:val="Normal"/>
    <w:link w:val="FooterChar"/>
    <w:uiPriority w:val="39"/>
    <w:rsid w:val="0046444F"/>
    <w:pPr>
      <w:spacing w:line="240" w:lineRule="auto"/>
    </w:pPr>
    <w:rPr>
      <w:b/>
    </w:rPr>
  </w:style>
  <w:style w:type="character" w:customStyle="1" w:styleId="FooterChar">
    <w:name w:val="Footer Char"/>
    <w:basedOn w:val="DefaultParagraphFont"/>
    <w:link w:val="Footer"/>
    <w:uiPriority w:val="39"/>
    <w:rsid w:val="00AC41CF"/>
    <w:rPr>
      <w:b/>
    </w:rPr>
  </w:style>
  <w:style w:type="paragraph" w:customStyle="1" w:styleId="FooterLeft">
    <w:name w:val="Footer Left"/>
    <w:basedOn w:val="Footer"/>
    <w:uiPriority w:val="39"/>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uiPriority w:val="39"/>
    <w:unhideWhenUsed/>
    <w:rsid w:val="00961DBB"/>
    <w:pPr>
      <w:framePr w:wrap="around" w:xAlign="right"/>
      <w:ind w:right="397"/>
      <w:jc w:val="right"/>
    </w:pPr>
  </w:style>
  <w:style w:type="paragraph" w:customStyle="1" w:styleId="FooterRightPageNumber">
    <w:name w:val="Footer Right Page Number"/>
    <w:basedOn w:val="Normal"/>
    <w:uiPriority w:val="39"/>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uiPriority w:val="39"/>
    <w:rsid w:val="00961DBB"/>
    <w:pPr>
      <w:framePr w:wrap="around" w:vAnchor="page" w:hAnchor="margin" w:yAlign="bottom"/>
      <w:spacing w:before="180" w:after="120"/>
      <w:ind w:right="57"/>
    </w:pPr>
  </w:style>
  <w:style w:type="paragraph" w:customStyle="1" w:styleId="FootnoteSeparator">
    <w:name w:val="Footnote Separator"/>
    <w:basedOn w:val="Normal"/>
    <w:uiPriority w:val="39"/>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uiPriority w:val="99"/>
    <w:rsid w:val="0046444F"/>
    <w:pPr>
      <w:spacing w:before="240" w:after="120" w:line="240" w:lineRule="auto"/>
    </w:pPr>
  </w:style>
  <w:style w:type="character" w:customStyle="1" w:styleId="HeaderChar">
    <w:name w:val="Header Char"/>
    <w:basedOn w:val="DefaultParagraphFont"/>
    <w:link w:val="Header"/>
    <w:uiPriority w:val="99"/>
    <w:rsid w:val="0046444F"/>
  </w:style>
  <w:style w:type="paragraph" w:customStyle="1" w:styleId="HighlightText">
    <w:name w:val="Highlight Text"/>
    <w:basedOn w:val="Normal"/>
    <w:uiPriority w:val="39"/>
    <w:rsid w:val="00961DBB"/>
    <w:pPr>
      <w:spacing w:before="120" w:after="420"/>
    </w:pPr>
    <w:rPr>
      <w:i/>
      <w:color w:val="2B3B5F" w:themeColor="text2"/>
      <w:spacing w:val="-1"/>
    </w:rPr>
  </w:style>
  <w:style w:type="paragraph" w:customStyle="1" w:styleId="Introduction">
    <w:name w:val="Introduction"/>
    <w:basedOn w:val="Normal"/>
    <w:next w:val="BodyText"/>
    <w:uiPriority w:val="39"/>
    <w:rsid w:val="00961DBB"/>
    <w:pPr>
      <w:spacing w:after="180" w:line="360" w:lineRule="atLeast"/>
    </w:pPr>
    <w:rPr>
      <w:color w:val="2B3B5F" w:themeColor="text2"/>
      <w:spacing w:val="-2"/>
      <w:sz w:val="30"/>
    </w:rPr>
  </w:style>
  <w:style w:type="character" w:customStyle="1" w:styleId="Italics">
    <w:name w:val="Italics"/>
    <w:uiPriority w:val="39"/>
    <w:rsid w:val="00961DBB"/>
    <w:rPr>
      <w:i/>
    </w:rPr>
  </w:style>
  <w:style w:type="paragraph" w:styleId="ListBullet">
    <w:name w:val="List Bullet"/>
    <w:basedOn w:val="Normal"/>
    <w:uiPriority w:val="7"/>
    <w:qFormat/>
    <w:rsid w:val="00476133"/>
    <w:pPr>
      <w:keepLines/>
      <w:numPr>
        <w:numId w:val="2"/>
      </w:numPr>
      <w:spacing w:after="120"/>
    </w:pPr>
    <w:rPr>
      <w:spacing w:val="-1"/>
    </w:rPr>
  </w:style>
  <w:style w:type="paragraph" w:styleId="ListBullet2">
    <w:name w:val="List Bullet 2"/>
    <w:basedOn w:val="ListBullet"/>
    <w:uiPriority w:val="8"/>
    <w:qFormat/>
    <w:rsid w:val="00476133"/>
    <w:pPr>
      <w:numPr>
        <w:ilvl w:val="1"/>
      </w:numPr>
      <w:ind w:left="908" w:hanging="454"/>
    </w:pPr>
  </w:style>
  <w:style w:type="paragraph" w:styleId="ListBullet3">
    <w:name w:val="List Bullet 3"/>
    <w:basedOn w:val="ListBullet2"/>
    <w:uiPriority w:val="9"/>
    <w:qFormat/>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uiPriority w:val="10"/>
    <w:qFormat/>
    <w:rsid w:val="00476133"/>
    <w:pPr>
      <w:numPr>
        <w:numId w:val="3"/>
      </w:numPr>
      <w:spacing w:before="120" w:after="120"/>
    </w:pPr>
    <w:rPr>
      <w:spacing w:val="-1"/>
    </w:rPr>
  </w:style>
  <w:style w:type="paragraph" w:styleId="ListNumber2">
    <w:name w:val="List Number 2"/>
    <w:basedOn w:val="Normal"/>
    <w:uiPriority w:val="11"/>
    <w:qFormat/>
    <w:rsid w:val="00476133"/>
    <w:pPr>
      <w:numPr>
        <w:ilvl w:val="1"/>
        <w:numId w:val="3"/>
      </w:numPr>
      <w:spacing w:before="120" w:after="120"/>
      <w:ind w:left="908" w:hanging="454"/>
    </w:pPr>
    <w:rPr>
      <w:spacing w:val="-1"/>
    </w:rPr>
  </w:style>
  <w:style w:type="paragraph" w:styleId="ListNumber3">
    <w:name w:val="List Number 3"/>
    <w:basedOn w:val="Normal"/>
    <w:uiPriority w:val="12"/>
    <w:qFormat/>
    <w:rsid w:val="00476133"/>
    <w:pPr>
      <w:numPr>
        <w:ilvl w:val="2"/>
        <w:numId w:val="3"/>
      </w:numPr>
      <w:spacing w:before="120" w:after="120"/>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uiPriority w:val="39"/>
    <w:rsid w:val="00961DBB"/>
    <w:pPr>
      <w:spacing w:line="240" w:lineRule="auto"/>
    </w:pPr>
    <w:rPr>
      <w:rFonts w:eastAsia="Times New Roman" w:cs="Arial"/>
      <w:lang w:eastAsia="en-AU"/>
    </w:rPr>
  </w:style>
  <w:style w:type="paragraph" w:customStyle="1" w:styleId="OverviewBodyText">
    <w:name w:val="Overview Body Text"/>
    <w:basedOn w:val="Normal"/>
    <w:uiPriority w:val="39"/>
    <w:rsid w:val="00512226"/>
    <w:pPr>
      <w:spacing w:after="113"/>
    </w:pPr>
  </w:style>
  <w:style w:type="paragraph" w:customStyle="1" w:styleId="OverviewHeading2">
    <w:name w:val="Overview Heading 2"/>
    <w:basedOn w:val="Normal"/>
    <w:next w:val="OverviewBodyText"/>
    <w:uiPriority w:val="39"/>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uiPriority w:val="39"/>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uiPriority w:val="39"/>
    <w:rsid w:val="00961DBB"/>
    <w:rPr>
      <w:color w:val="808080"/>
    </w:rPr>
  </w:style>
  <w:style w:type="paragraph" w:customStyle="1" w:styleId="PullOutBoxBodyText">
    <w:name w:val="Pull Out Box Body Text"/>
    <w:basedOn w:val="Normal"/>
    <w:uiPriority w:val="24"/>
    <w:qFormat/>
    <w:rsid w:val="00476133"/>
    <w:pPr>
      <w:spacing w:before="120" w:after="120"/>
      <w:ind w:left="57" w:right="57"/>
    </w:pPr>
    <w:rPr>
      <w:spacing w:val="-1"/>
    </w:rPr>
  </w:style>
  <w:style w:type="paragraph" w:customStyle="1" w:styleId="PullOutBoxBullet">
    <w:name w:val="Pull Out Box Bullet"/>
    <w:basedOn w:val="PullOutBoxBodyText"/>
    <w:uiPriority w:val="25"/>
    <w:qFormat/>
    <w:rsid w:val="009B06C2"/>
    <w:pPr>
      <w:numPr>
        <w:numId w:val="4"/>
      </w:numPr>
      <w:ind w:left="397"/>
    </w:pPr>
  </w:style>
  <w:style w:type="paragraph" w:customStyle="1" w:styleId="PullOutBoxBullet2">
    <w:name w:val="Pull Out Box Bullet 2"/>
    <w:basedOn w:val="PullOutBoxBodyText"/>
    <w:uiPriority w:val="26"/>
    <w:qFormat/>
    <w:rsid w:val="009B06C2"/>
    <w:pPr>
      <w:numPr>
        <w:ilvl w:val="1"/>
        <w:numId w:val="4"/>
      </w:numPr>
      <w:ind w:left="737"/>
    </w:pPr>
  </w:style>
  <w:style w:type="paragraph" w:customStyle="1" w:styleId="PullOutBoxBullet3">
    <w:name w:val="Pull Out Box Bullet 3"/>
    <w:basedOn w:val="PullOutBoxBodyText"/>
    <w:uiPriority w:val="27"/>
    <w:qFormat/>
    <w:rsid w:val="00476133"/>
    <w:pPr>
      <w:numPr>
        <w:ilvl w:val="2"/>
        <w:numId w:val="4"/>
      </w:numPr>
    </w:pPr>
  </w:style>
  <w:style w:type="paragraph" w:customStyle="1" w:styleId="PullOutBoxHeading">
    <w:name w:val="Pull Out Box Heading"/>
    <w:basedOn w:val="PullOutBoxBodyText"/>
    <w:uiPriority w:val="23"/>
    <w:qFormat/>
    <w:rsid w:val="00476133"/>
    <w:pPr>
      <w:keepNext/>
      <w:keepLines/>
    </w:pPr>
    <w:rPr>
      <w:b/>
    </w:rPr>
  </w:style>
  <w:style w:type="paragraph" w:customStyle="1" w:styleId="PullOutBoxNumber">
    <w:name w:val="Pull Out Box Number"/>
    <w:basedOn w:val="PullOutBoxBodyText"/>
    <w:uiPriority w:val="28"/>
    <w:qFormat/>
    <w:rsid w:val="00476133"/>
    <w:pPr>
      <w:numPr>
        <w:numId w:val="5"/>
      </w:numPr>
      <w:ind w:left="397"/>
    </w:pPr>
  </w:style>
  <w:style w:type="paragraph" w:customStyle="1" w:styleId="PullOutBoxNumber2">
    <w:name w:val="Pull Out Box Number 2"/>
    <w:basedOn w:val="PullOutBoxBodyText"/>
    <w:uiPriority w:val="29"/>
    <w:qFormat/>
    <w:rsid w:val="008112CC"/>
    <w:pPr>
      <w:numPr>
        <w:ilvl w:val="1"/>
        <w:numId w:val="5"/>
      </w:numPr>
      <w:ind w:left="737"/>
    </w:pPr>
  </w:style>
  <w:style w:type="paragraph" w:customStyle="1" w:styleId="PullOutBoxNumber3">
    <w:name w:val="Pull Out Box Number 3"/>
    <w:basedOn w:val="PullOutBoxBodyText"/>
    <w:uiPriority w:val="30"/>
    <w:qFormat/>
    <w:rsid w:val="008112CC"/>
    <w:pPr>
      <w:numPr>
        <w:ilvl w:val="2"/>
        <w:numId w:val="5"/>
      </w:numPr>
      <w:ind w:left="1077"/>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uiPriority w:val="39"/>
    <w:rsid w:val="00961DBB"/>
    <w:pPr>
      <w:tabs>
        <w:tab w:val="left" w:pos="1134"/>
      </w:tabs>
      <w:spacing w:before="240" w:after="240"/>
      <w:ind w:left="284"/>
    </w:pPr>
    <w:rPr>
      <w:i/>
      <w:iCs/>
    </w:rPr>
  </w:style>
  <w:style w:type="character" w:customStyle="1" w:styleId="QuoteChar">
    <w:name w:val="Quote Char"/>
    <w:basedOn w:val="DefaultParagraphFont"/>
    <w:link w:val="Quote"/>
    <w:uiPriority w:val="39"/>
    <w:rsid w:val="00AC41CF"/>
    <w:rPr>
      <w:i/>
      <w:iCs/>
    </w:rPr>
  </w:style>
  <w:style w:type="paragraph" w:customStyle="1" w:styleId="QuoteBullet">
    <w:name w:val="Quote Bullet"/>
    <w:basedOn w:val="Quote"/>
    <w:uiPriority w:val="39"/>
    <w:rsid w:val="00961DBB"/>
    <w:pPr>
      <w:numPr>
        <w:numId w:val="6"/>
      </w:numPr>
    </w:pPr>
  </w:style>
  <w:style w:type="paragraph" w:customStyle="1" w:styleId="QuoteBullet2">
    <w:name w:val="Quote Bullet 2"/>
    <w:basedOn w:val="Quote"/>
    <w:uiPriority w:val="39"/>
    <w:rsid w:val="00961DBB"/>
    <w:pPr>
      <w:numPr>
        <w:ilvl w:val="1"/>
        <w:numId w:val="6"/>
      </w:numPr>
      <w:tabs>
        <w:tab w:val="clear" w:pos="1134"/>
      </w:tabs>
    </w:pPr>
  </w:style>
  <w:style w:type="paragraph" w:customStyle="1" w:styleId="SectionHeading">
    <w:name w:val="Section Heading"/>
    <w:basedOn w:val="Normal"/>
    <w:next w:val="BodyText"/>
    <w:uiPriority w:val="39"/>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uiPriority w:val="39"/>
    <w:rsid w:val="00E45766"/>
    <w:rPr>
      <w:color w:val="751D71" w:themeColor="accent4"/>
      <w:sz w:val="40"/>
    </w:rPr>
  </w:style>
  <w:style w:type="paragraph" w:styleId="Subtitle">
    <w:name w:val="Subtitle"/>
    <w:basedOn w:val="Normal"/>
    <w:next w:val="Normal"/>
    <w:link w:val="SubtitleChar"/>
    <w:uiPriority w:val="39"/>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uiPriority w:val="39"/>
    <w:rsid w:val="00AC41CF"/>
    <w:rPr>
      <w:rFonts w:asciiTheme="majorHAnsi" w:eastAsiaTheme="majorEastAsia" w:hAnsiTheme="majorHAnsi" w:cstheme="majorBidi"/>
      <w:iCs/>
      <w:spacing w:val="15"/>
    </w:rPr>
  </w:style>
  <w:style w:type="character" w:customStyle="1" w:styleId="Superscript">
    <w:name w:val="Superscript"/>
    <w:uiPriority w:val="39"/>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uiPriority w:val="22"/>
    <w:qFormat/>
    <w:rsid w:val="0056001A"/>
    <w:pPr>
      <w:keepLines/>
      <w:numPr>
        <w:numId w:val="7"/>
      </w:numPr>
      <w:spacing w:after="50" w:line="260" w:lineRule="atLeast"/>
      <w:ind w:left="284" w:hanging="284"/>
      <w:contextualSpacing/>
    </w:pPr>
    <w:rPr>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uiPriority w:val="14"/>
    <w:qFormat/>
    <w:rsid w:val="00476133"/>
    <w:pPr>
      <w:keepNext/>
      <w:keepLines/>
      <w:spacing w:before="70" w:after="70" w:line="260" w:lineRule="atLeast"/>
      <w:ind w:left="57" w:right="57"/>
    </w:pPr>
    <w:rPr>
      <w:rFonts w:ascii="Calibri" w:hAnsi="Calibri" w:cs="Times New Roman"/>
      <w:b/>
      <w:sz w:val="20"/>
    </w:rPr>
  </w:style>
  <w:style w:type="paragraph" w:customStyle="1" w:styleId="TableHeadingCentred">
    <w:name w:val="Table Heading Centred"/>
    <w:basedOn w:val="TableHeading"/>
    <w:uiPriority w:val="15"/>
    <w:qFormat/>
    <w:rsid w:val="005B0970"/>
    <w:pPr>
      <w:jc w:val="center"/>
    </w:pPr>
  </w:style>
  <w:style w:type="paragraph" w:customStyle="1" w:styleId="TableHeadingRight">
    <w:name w:val="Table Heading Right"/>
    <w:basedOn w:val="TableHeading"/>
    <w:uiPriority w:val="16"/>
    <w:qFormat/>
    <w:rsid w:val="00956D5A"/>
    <w:pPr>
      <w:jc w:val="right"/>
    </w:pPr>
  </w:style>
  <w:style w:type="paragraph" w:customStyle="1" w:styleId="Source">
    <w:name w:val="Source"/>
    <w:basedOn w:val="Normal"/>
    <w:next w:val="BodyText17ptAbove"/>
    <w:uiPriority w:val="39"/>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uiPriority w:val="17"/>
    <w:qFormat/>
    <w:rsid w:val="005B0970"/>
    <w:pPr>
      <w:spacing w:before="70" w:after="70" w:line="260" w:lineRule="atLeast"/>
      <w:ind w:left="57" w:right="57"/>
    </w:pPr>
    <w:rPr>
      <w:rFonts w:ascii="Calibri" w:hAnsi="Calibri"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uiPriority w:val="39"/>
    <w:rsid w:val="00961DBB"/>
    <w:pPr>
      <w:numPr>
        <w:numId w:val="8"/>
      </w:numPr>
    </w:pPr>
  </w:style>
  <w:style w:type="paragraph" w:customStyle="1" w:styleId="TableTextBullet2">
    <w:name w:val="Table Text Bullet 2"/>
    <w:basedOn w:val="TableTextBullet"/>
    <w:uiPriority w:val="39"/>
    <w:rsid w:val="00961DBB"/>
    <w:pPr>
      <w:numPr>
        <w:ilvl w:val="1"/>
      </w:numPr>
    </w:pPr>
    <w:rPr>
      <w:bCs/>
    </w:rPr>
  </w:style>
  <w:style w:type="paragraph" w:customStyle="1" w:styleId="TableTextBullet3">
    <w:name w:val="Table Text Bullet 3"/>
    <w:basedOn w:val="TableTextBullet2"/>
    <w:uiPriority w:val="39"/>
    <w:rsid w:val="00961DBB"/>
    <w:pPr>
      <w:numPr>
        <w:ilvl w:val="2"/>
      </w:numPr>
    </w:pPr>
    <w:rPr>
      <w:bCs w:val="0"/>
    </w:rPr>
  </w:style>
  <w:style w:type="paragraph" w:customStyle="1" w:styleId="TableTextNumber">
    <w:name w:val="Table Text Number"/>
    <w:basedOn w:val="TableText"/>
    <w:uiPriority w:val="39"/>
    <w:rsid w:val="00961DBB"/>
    <w:pPr>
      <w:numPr>
        <w:numId w:val="9"/>
      </w:numPr>
    </w:pPr>
  </w:style>
  <w:style w:type="paragraph" w:customStyle="1" w:styleId="TableTextNumber2">
    <w:name w:val="Table Text Number 2"/>
    <w:basedOn w:val="TableTextNumber"/>
    <w:uiPriority w:val="39"/>
    <w:rsid w:val="00961DBB"/>
    <w:pPr>
      <w:numPr>
        <w:ilvl w:val="1"/>
      </w:numPr>
      <w:tabs>
        <w:tab w:val="clear" w:pos="709"/>
        <w:tab w:val="num" w:pos="680"/>
      </w:tabs>
      <w:ind w:left="680"/>
    </w:pPr>
  </w:style>
  <w:style w:type="paragraph" w:customStyle="1" w:styleId="TableTextNumber3">
    <w:name w:val="Table Text Number 3"/>
    <w:basedOn w:val="TableTextNumber2"/>
    <w:uiPriority w:val="39"/>
    <w:rsid w:val="00961DBB"/>
    <w:pPr>
      <w:numPr>
        <w:ilvl w:val="2"/>
      </w:numPr>
    </w:pPr>
  </w:style>
  <w:style w:type="paragraph" w:customStyle="1" w:styleId="TableTextRight">
    <w:name w:val="Table Text Right"/>
    <w:basedOn w:val="TableText"/>
    <w:uiPriority w:val="19"/>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uiPriority w:val="39"/>
    <w:rsid w:val="00817406"/>
    <w:pPr>
      <w:spacing w:before="480" w:after="340" w:line="240" w:lineRule="auto"/>
    </w:pPr>
    <w:rPr>
      <w:rFonts w:asciiTheme="majorHAnsi" w:eastAsiaTheme="majorEastAsia" w:hAnsiTheme="majorHAnsi" w:cstheme="majorBidi"/>
      <w:color w:val="2B3B5F" w:themeColor="text2"/>
      <w:spacing w:val="-2"/>
      <w:sz w:val="32"/>
      <w:szCs w:val="50"/>
    </w:rPr>
  </w:style>
  <w:style w:type="character" w:customStyle="1" w:styleId="TitleChar">
    <w:name w:val="Title Char"/>
    <w:basedOn w:val="DefaultParagraphFont"/>
    <w:link w:val="Title"/>
    <w:uiPriority w:val="39"/>
    <w:rsid w:val="00AC41CF"/>
    <w:rPr>
      <w:rFonts w:asciiTheme="majorHAnsi" w:eastAsiaTheme="majorEastAsia" w:hAnsiTheme="majorHAnsi" w:cstheme="majorBidi"/>
      <w:color w:val="2B3B5F" w:themeColor="text2"/>
      <w:spacing w:val="-2"/>
      <w:sz w:val="32"/>
      <w:szCs w:val="50"/>
    </w:rPr>
  </w:style>
  <w:style w:type="paragraph" w:customStyle="1" w:styleId="Title2">
    <w:name w:val="Title 2"/>
    <w:basedOn w:val="Normal"/>
    <w:link w:val="Title2Char"/>
    <w:uiPriority w:val="39"/>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uiPriority w:val="39"/>
    <w:rsid w:val="00AC41CF"/>
    <w:rPr>
      <w:rFonts w:asciiTheme="majorHAnsi" w:hAnsiTheme="majorHAnsi"/>
      <w:color w:val="FFFFFF"/>
      <w:spacing w:val="-2"/>
      <w:sz w:val="32"/>
    </w:rPr>
  </w:style>
  <w:style w:type="paragraph" w:customStyle="1" w:styleId="Title3">
    <w:name w:val="Title 3"/>
    <w:basedOn w:val="Title2"/>
    <w:uiPriority w:val="39"/>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right" w:leader="underscore" w:pos="8164"/>
      </w:tabs>
      <w:spacing w:after="227"/>
      <w:ind w:right="851"/>
    </w:pPr>
    <w:rPr>
      <w:b/>
      <w:noProof/>
      <w:color w:val="2B3B5F" w:themeColor="text2"/>
    </w:rPr>
  </w:style>
  <w:style w:type="paragraph" w:styleId="TOC2">
    <w:name w:val="toc 2"/>
    <w:basedOn w:val="Normal"/>
    <w:next w:val="Normal"/>
    <w:uiPriority w:val="39"/>
    <w:rsid w:val="001B2C65"/>
    <w:pPr>
      <w:tabs>
        <w:tab w:val="right" w:leader="underscore" w:pos="8164"/>
      </w:tabs>
      <w:spacing w:after="227"/>
      <w:ind w:left="454" w:right="851"/>
    </w:pPr>
    <w:rPr>
      <w:noProof/>
      <w:szCs w:val="28"/>
    </w:rPr>
  </w:style>
  <w:style w:type="paragraph" w:styleId="TOC3">
    <w:name w:val="toc 3"/>
    <w:basedOn w:val="Normal"/>
    <w:next w:val="Normal"/>
    <w:uiPriority w:val="39"/>
    <w:rsid w:val="001B2C65"/>
    <w:pPr>
      <w:tabs>
        <w:tab w:val="right" w:leader="underscore" w:pos="8164"/>
      </w:tabs>
      <w:spacing w:after="227"/>
      <w:ind w:left="907" w:right="851"/>
    </w:pPr>
    <w:rPr>
      <w:rFonts w:eastAsiaTheme="minorEastAsia"/>
      <w:noProof/>
    </w:rPr>
  </w:style>
  <w:style w:type="paragraph" w:styleId="TOC4">
    <w:name w:val="toc 4"/>
    <w:basedOn w:val="Normal"/>
    <w:uiPriority w:val="39"/>
    <w:rsid w:val="006C5E72"/>
    <w:pPr>
      <w:tabs>
        <w:tab w:val="right" w:leader="underscore" w:pos="8165"/>
      </w:tabs>
      <w:spacing w:after="80"/>
      <w:ind w:right="851"/>
    </w:pPr>
    <w:rPr>
      <w:noProof/>
    </w:rPr>
  </w:style>
  <w:style w:type="paragraph" w:styleId="TOC5">
    <w:name w:val="toc 5"/>
    <w:basedOn w:val="Normal"/>
    <w:next w:val="Normal"/>
    <w:autoRedefine/>
    <w:uiPriority w:val="39"/>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uiPriority w:val="39"/>
    <w:rsid w:val="00961DBB"/>
    <w:pPr>
      <w:tabs>
        <w:tab w:val="right" w:leader="dot" w:pos="9582"/>
      </w:tabs>
      <w:spacing w:after="227"/>
      <w:ind w:right="907"/>
    </w:pPr>
    <w:rPr>
      <w:color w:val="2B3B5F" w:themeColor="text2"/>
    </w:rPr>
  </w:style>
  <w:style w:type="paragraph" w:styleId="TOCHeading">
    <w:name w:val="TOC Heading"/>
    <w:basedOn w:val="Normal"/>
    <w:uiPriority w:val="39"/>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uiPriority w:val="39"/>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uiPriority w:val="39"/>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uiPriority w:val="39"/>
    <w:rsid w:val="00AC41CF"/>
    <w:rPr>
      <w:b/>
    </w:rPr>
  </w:style>
  <w:style w:type="paragraph" w:customStyle="1" w:styleId="xDisclaimerText">
    <w:name w:val="xDisclaimer Text"/>
    <w:basedOn w:val="Normal"/>
    <w:uiPriority w:val="39"/>
    <w:rsid w:val="00961DBB"/>
    <w:pPr>
      <w:spacing w:after="57" w:line="302" w:lineRule="atLeast"/>
    </w:pPr>
    <w:rPr>
      <w:rFonts w:cs="Times New Roman"/>
    </w:rPr>
  </w:style>
  <w:style w:type="paragraph" w:customStyle="1" w:styleId="xDisclaimerText2">
    <w:name w:val="xDisclaimer Text 2"/>
    <w:basedOn w:val="xDisclaimerHeading"/>
    <w:uiPriority w:val="39"/>
    <w:rsid w:val="00961DBB"/>
    <w:pPr>
      <w:framePr w:wrap="around"/>
      <w:spacing w:before="0" w:after="170" w:line="302" w:lineRule="atLeast"/>
    </w:pPr>
    <w:rPr>
      <w:b w:val="0"/>
    </w:rPr>
  </w:style>
  <w:style w:type="paragraph" w:customStyle="1" w:styleId="xDisclaimertext3">
    <w:name w:val="xDisclaimer text 3"/>
    <w:basedOn w:val="xDisclaimerText"/>
    <w:uiPriority w:val="39"/>
    <w:rsid w:val="00961DBB"/>
    <w:pPr>
      <w:spacing w:before="170" w:after="170"/>
    </w:pPr>
  </w:style>
  <w:style w:type="paragraph" w:customStyle="1" w:styleId="xInlineShape">
    <w:name w:val="xInlineShape"/>
    <w:basedOn w:val="Normal"/>
    <w:next w:val="BodyText"/>
    <w:uiPriority w:val="39"/>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uiPriority w:val="39"/>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uiPriority w:val="39"/>
    <w:rsid w:val="00AC41CF"/>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uiPriority w:val="39"/>
    <w:rsid w:val="00FD6119"/>
    <w:pPr>
      <w:spacing w:before="240"/>
    </w:pPr>
  </w:style>
  <w:style w:type="paragraph" w:customStyle="1" w:styleId="xBackPageWebAddress">
    <w:name w:val="xBack Page Web Address"/>
    <w:basedOn w:val="Normal"/>
    <w:uiPriority w:val="39"/>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uiPriority w:val="39"/>
    <w:rsid w:val="00A12C39"/>
    <w:pPr>
      <w:numPr>
        <w:numId w:val="0"/>
      </w:numPr>
    </w:pPr>
  </w:style>
  <w:style w:type="paragraph" w:styleId="TableofFigures">
    <w:name w:val="table of figures"/>
    <w:basedOn w:val="Normal"/>
    <w:next w:val="Normal"/>
    <w:uiPriority w:val="39"/>
    <w:rsid w:val="00D64CE2"/>
    <w:pPr>
      <w:tabs>
        <w:tab w:val="right" w:leader="underscore" w:pos="8165"/>
      </w:tabs>
      <w:spacing w:after="80"/>
      <w:ind w:right="851"/>
    </w:pPr>
  </w:style>
  <w:style w:type="paragraph" w:customStyle="1" w:styleId="SectionHeadingNoTOC">
    <w:name w:val="Section Heading No TOC"/>
    <w:basedOn w:val="SectionHeading"/>
    <w:uiPriority w:val="39"/>
    <w:rsid w:val="00E45766"/>
  </w:style>
  <w:style w:type="paragraph" w:customStyle="1" w:styleId="TableTextCentred">
    <w:name w:val="Table Text Centred"/>
    <w:basedOn w:val="TableText"/>
    <w:uiPriority w:val="18"/>
    <w:qFormat/>
    <w:rsid w:val="00AE1CC1"/>
    <w:pPr>
      <w:jc w:val="center"/>
    </w:pPr>
    <w:rPr>
      <w:rFonts w:eastAsia="Times New Roman"/>
      <w:lang w:eastAsia="en-AU"/>
    </w:rPr>
  </w:style>
  <w:style w:type="paragraph" w:customStyle="1" w:styleId="FooterRightPageNumberLS">
    <w:name w:val="Footer Right Page Number LS"/>
    <w:basedOn w:val="Normal"/>
    <w:uiPriority w:val="39"/>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customStyle="1" w:styleId="PBOheader">
    <w:name w:val="PBO header"/>
    <w:basedOn w:val="Header"/>
    <w:uiPriority w:val="39"/>
    <w:rsid w:val="0046444F"/>
    <w:pPr>
      <w:spacing w:before="1320" w:after="114"/>
      <w:ind w:left="6521"/>
    </w:pPr>
    <w:rPr>
      <w:rFonts w:ascii="Arial" w:hAnsi="Arial" w:cs="Arial"/>
      <w:b/>
      <w:sz w:val="18"/>
      <w:szCs w:val="18"/>
    </w:rPr>
  </w:style>
  <w:style w:type="paragraph" w:customStyle="1" w:styleId="Letterfooter">
    <w:name w:val="Letter footer"/>
    <w:basedOn w:val="Footer"/>
    <w:uiPriority w:val="39"/>
    <w:rsid w:val="0046444F"/>
    <w:pPr>
      <w:tabs>
        <w:tab w:val="center" w:pos="4513"/>
        <w:tab w:val="right" w:pos="9026"/>
      </w:tabs>
      <w:spacing w:after="113"/>
      <w:ind w:right="-618" w:hanging="709"/>
      <w:jc w:val="center"/>
    </w:pPr>
    <w:rPr>
      <w:rFonts w:ascii="Arial" w:hAnsi="Arial" w:cs="Arial"/>
      <w:b w:val="0"/>
      <w:sz w:val="17"/>
      <w:szCs w:val="17"/>
    </w:rPr>
  </w:style>
  <w:style w:type="table" w:styleId="LightGrid-Accent6">
    <w:name w:val="Light Grid Accent 6"/>
    <w:basedOn w:val="TableNormal"/>
    <w:uiPriority w:val="62"/>
    <w:rsid w:val="0046444F"/>
    <w:pPr>
      <w:spacing w:line="240" w:lineRule="auto"/>
    </w:pPr>
    <w:tblPr>
      <w:tblStyleRowBandSize w:val="1"/>
      <w:tblStyleColBandSize w:val="1"/>
      <w:tblBorders>
        <w:top w:val="single" w:sz="8" w:space="0" w:color="788184" w:themeColor="accent6"/>
        <w:left w:val="single" w:sz="8" w:space="0" w:color="788184" w:themeColor="accent6"/>
        <w:bottom w:val="single" w:sz="8" w:space="0" w:color="788184" w:themeColor="accent6"/>
        <w:right w:val="single" w:sz="8" w:space="0" w:color="788184" w:themeColor="accent6"/>
        <w:insideH w:val="single" w:sz="8" w:space="0" w:color="788184" w:themeColor="accent6"/>
        <w:insideV w:val="single" w:sz="8" w:space="0" w:color="78818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18" w:space="0" w:color="788184" w:themeColor="accent6"/>
          <w:right w:val="single" w:sz="8" w:space="0" w:color="788184" w:themeColor="accent6"/>
          <w:insideH w:val="nil"/>
          <w:insideV w:val="single" w:sz="8" w:space="0" w:color="78818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4" w:themeColor="accent6"/>
          <w:left w:val="single" w:sz="8" w:space="0" w:color="788184" w:themeColor="accent6"/>
          <w:bottom w:val="single" w:sz="8" w:space="0" w:color="788184" w:themeColor="accent6"/>
          <w:right w:val="single" w:sz="8" w:space="0" w:color="788184" w:themeColor="accent6"/>
          <w:insideH w:val="nil"/>
          <w:insideV w:val="single" w:sz="8" w:space="0" w:color="78818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tcPr>
    </w:tblStylePr>
    <w:tblStylePr w:type="band1Vert">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shd w:val="clear" w:color="auto" w:fill="DDDFE0" w:themeFill="accent6" w:themeFillTint="3F"/>
      </w:tcPr>
    </w:tblStylePr>
    <w:tblStylePr w:type="band1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shd w:val="clear" w:color="auto" w:fill="DDDFE0" w:themeFill="accent6" w:themeFillTint="3F"/>
      </w:tcPr>
    </w:tblStylePr>
    <w:tblStylePr w:type="band2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tcPr>
    </w:tblStylePr>
  </w:style>
  <w:style w:type="table" w:styleId="LightGrid-Accent3">
    <w:name w:val="Light Grid Accent 3"/>
    <w:basedOn w:val="TableNormal"/>
    <w:uiPriority w:val="62"/>
    <w:rsid w:val="008112CC"/>
    <w:pPr>
      <w:spacing w:line="240" w:lineRule="auto"/>
    </w:pPr>
    <w:tblPr>
      <w:tblStyleRowBandSize w:val="1"/>
      <w:tblStyleColBandSize w:val="1"/>
      <w:tblBorders>
        <w:top w:val="single" w:sz="8" w:space="0" w:color="D7DDE9" w:themeColor="accent3"/>
        <w:left w:val="single" w:sz="8" w:space="0" w:color="D7DDE9" w:themeColor="accent3"/>
        <w:bottom w:val="single" w:sz="8" w:space="0" w:color="D7DDE9" w:themeColor="accent3"/>
        <w:right w:val="single" w:sz="8" w:space="0" w:color="D7DDE9" w:themeColor="accent3"/>
        <w:insideH w:val="single" w:sz="8" w:space="0" w:color="D7DDE9" w:themeColor="accent3"/>
        <w:insideV w:val="single" w:sz="8" w:space="0" w:color="D7DDE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18" w:space="0" w:color="D7DDE9" w:themeColor="accent3"/>
          <w:right w:val="single" w:sz="8" w:space="0" w:color="D7DDE9" w:themeColor="accent3"/>
          <w:insideH w:val="nil"/>
          <w:insideV w:val="single" w:sz="8" w:space="0" w:color="D7DDE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DDE9" w:themeColor="accent3"/>
          <w:left w:val="single" w:sz="8" w:space="0" w:color="D7DDE9" w:themeColor="accent3"/>
          <w:bottom w:val="single" w:sz="8" w:space="0" w:color="D7DDE9" w:themeColor="accent3"/>
          <w:right w:val="single" w:sz="8" w:space="0" w:color="D7DDE9" w:themeColor="accent3"/>
          <w:insideH w:val="nil"/>
          <w:insideV w:val="single" w:sz="8" w:space="0" w:color="D7DDE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tcPr>
    </w:tblStylePr>
    <w:tblStylePr w:type="band1Vert">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shd w:val="clear" w:color="auto" w:fill="F5F6F9" w:themeFill="accent3" w:themeFillTint="3F"/>
      </w:tcPr>
    </w:tblStylePr>
    <w:tblStylePr w:type="band1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shd w:val="clear" w:color="auto" w:fill="F5F6F9" w:themeFill="accent3" w:themeFillTint="3F"/>
      </w:tcPr>
    </w:tblStylePr>
    <w:tblStylePr w:type="band2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tcPr>
    </w:tblStylePr>
  </w:style>
  <w:style w:type="paragraph" w:customStyle="1" w:styleId="Lettertext">
    <w:name w:val="Letter text"/>
    <w:basedOn w:val="BodyText"/>
    <w:qFormat/>
    <w:rsid w:val="00E64480"/>
    <w:pPr>
      <w:spacing w:before="240" w:after="0"/>
    </w:pPr>
    <w:rPr>
      <w:rFonts w:ascii="Times New Roman" w:hAnsi="Times New Roman"/>
      <w:spacing w:val="0"/>
      <w:sz w:val="24"/>
    </w:rPr>
  </w:style>
  <w:style w:type="paragraph" w:customStyle="1" w:styleId="TableTextRightItalic">
    <w:name w:val="Table Text Right Italic"/>
    <w:basedOn w:val="TableTextRight"/>
    <w:uiPriority w:val="21"/>
    <w:qFormat/>
    <w:rsid w:val="00120A75"/>
    <w:rPr>
      <w:i/>
    </w:rPr>
  </w:style>
  <w:style w:type="character" w:styleId="FollowedHyperlink">
    <w:name w:val="FollowedHyperlink"/>
    <w:basedOn w:val="DefaultParagraphFont"/>
    <w:semiHidden/>
    <w:unhideWhenUsed/>
    <w:rsid w:val="003B47BC"/>
    <w:rPr>
      <w:color w:val="000000" w:themeColor="followedHyperlink"/>
      <w:u w:val="single"/>
    </w:rPr>
  </w:style>
  <w:style w:type="paragraph" w:customStyle="1" w:styleId="TableTextRightBold">
    <w:name w:val="Table Text Right Bold"/>
    <w:basedOn w:val="TableTextRight"/>
    <w:uiPriority w:val="20"/>
    <w:qFormat/>
    <w:rsid w:val="00066D54"/>
    <w:rPr>
      <w:b/>
    </w:rPr>
  </w:style>
  <w:style w:type="paragraph" w:styleId="Bibliography">
    <w:name w:val="Bibliography"/>
    <w:basedOn w:val="Normal"/>
    <w:next w:val="Normal"/>
    <w:uiPriority w:val="39"/>
    <w:unhideWhenUsed/>
    <w:rsid w:val="00DF2134"/>
  </w:style>
  <w:style w:type="character" w:styleId="CommentReference">
    <w:name w:val="annotation reference"/>
    <w:basedOn w:val="DefaultParagraphFont"/>
    <w:semiHidden/>
    <w:unhideWhenUsed/>
    <w:rsid w:val="00CF3C53"/>
    <w:rPr>
      <w:sz w:val="16"/>
      <w:szCs w:val="16"/>
    </w:rPr>
  </w:style>
  <w:style w:type="paragraph" w:styleId="CommentText">
    <w:name w:val="annotation text"/>
    <w:basedOn w:val="Normal"/>
    <w:link w:val="CommentTextChar"/>
    <w:semiHidden/>
    <w:unhideWhenUsed/>
    <w:rsid w:val="00CF3C53"/>
    <w:pPr>
      <w:spacing w:line="240" w:lineRule="auto"/>
    </w:pPr>
    <w:rPr>
      <w:sz w:val="20"/>
      <w:szCs w:val="20"/>
    </w:rPr>
  </w:style>
  <w:style w:type="character" w:customStyle="1" w:styleId="CommentTextChar">
    <w:name w:val="Comment Text Char"/>
    <w:basedOn w:val="DefaultParagraphFont"/>
    <w:link w:val="CommentText"/>
    <w:semiHidden/>
    <w:rsid w:val="00CF3C53"/>
    <w:rPr>
      <w:sz w:val="20"/>
      <w:szCs w:val="20"/>
    </w:rPr>
  </w:style>
  <w:style w:type="paragraph" w:styleId="CommentSubject">
    <w:name w:val="annotation subject"/>
    <w:basedOn w:val="CommentText"/>
    <w:next w:val="CommentText"/>
    <w:link w:val="CommentSubjectChar"/>
    <w:semiHidden/>
    <w:unhideWhenUsed/>
    <w:rsid w:val="00CF3C53"/>
    <w:rPr>
      <w:b/>
      <w:bCs/>
    </w:rPr>
  </w:style>
  <w:style w:type="character" w:customStyle="1" w:styleId="CommentSubjectChar">
    <w:name w:val="Comment Subject Char"/>
    <w:basedOn w:val="CommentTextChar"/>
    <w:link w:val="CommentSubject"/>
    <w:semiHidden/>
    <w:rsid w:val="00CF3C53"/>
    <w:rPr>
      <w:b/>
      <w:bCs/>
      <w:sz w:val="20"/>
      <w:szCs w:val="20"/>
    </w:rPr>
  </w:style>
  <w:style w:type="paragraph" w:styleId="Revision">
    <w:name w:val="Revision"/>
    <w:hidden/>
    <w:uiPriority w:val="99"/>
    <w:semiHidden/>
    <w:rsid w:val="00AB6318"/>
    <w:pPr>
      <w:spacing w:line="240" w:lineRule="auto"/>
    </w:pPr>
  </w:style>
  <w:style w:type="paragraph" w:styleId="ListParagraph">
    <w:name w:val="List Paragraph"/>
    <w:basedOn w:val="Normal"/>
    <w:uiPriority w:val="39"/>
    <w:rsid w:val="000436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iPriority="39" w:unhideWhenUsed="0"/>
    <w:lsdException w:name="heading 1" w:semiHidden="0" w:uiPriority="9" w:unhideWhenUsed="0" w:qFormat="1"/>
    <w:lsdException w:name="heading 2" w:uiPriority="2" w:qFormat="1"/>
    <w:lsdException w:name="heading 3" w:qFormat="1"/>
    <w:lsdException w:name="heading 4"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caption" w:uiPriority="13" w:qFormat="1"/>
    <w:lsdException w:name="table of figures" w:semiHidden="0" w:uiPriority="99" w:unhideWhenUsed="0"/>
    <w:lsdException w:name="List Bullet" w:uiPriority="7" w:qFormat="1"/>
    <w:lsdException w:name="List Number" w:qFormat="1"/>
    <w:lsdException w:name="List Bullet 2" w:uiPriority="8" w:qFormat="1"/>
    <w:lsdException w:name="List Bullet 3" w:uiPriority="9"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9" w:unhideWhenUsed="0"/>
    <w:lsdException w:name="Quote" w:semiHidden="0"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uiPriority w:val="39"/>
    <w:rsid w:val="007437CA"/>
  </w:style>
  <w:style w:type="paragraph" w:styleId="Heading1">
    <w:name w:val="heading 1"/>
    <w:basedOn w:val="Normal"/>
    <w:next w:val="BodyText"/>
    <w:link w:val="Heading1Char"/>
    <w:uiPriority w:val="1"/>
    <w:qFormat/>
    <w:rsid w:val="0046444F"/>
    <w:pPr>
      <w:keepNext/>
      <w:keepLines/>
      <w:numPr>
        <w:numId w:val="10"/>
      </w:numPr>
      <w:tabs>
        <w:tab w:val="right" w:pos="1418"/>
        <w:tab w:val="right" w:pos="1701"/>
        <w:tab w:val="right" w:pos="1985"/>
      </w:tabs>
      <w:spacing w:before="470" w:after="228"/>
      <w:outlineLvl w:val="0"/>
    </w:pPr>
    <w:rPr>
      <w:rFonts w:asciiTheme="majorHAnsi" w:hAnsiTheme="majorHAnsi"/>
      <w:bCs/>
      <w:color w:val="2B3B5F" w:themeColor="text2"/>
      <w:spacing w:val="-6"/>
      <w:kern w:val="32"/>
      <w:sz w:val="32"/>
      <w:szCs w:val="32"/>
    </w:rPr>
  </w:style>
  <w:style w:type="paragraph" w:styleId="Heading2">
    <w:name w:val="heading 2"/>
    <w:basedOn w:val="Normal"/>
    <w:next w:val="BodyText"/>
    <w:link w:val="Heading2Char"/>
    <w:uiPriority w:val="2"/>
    <w:qFormat/>
    <w:rsid w:val="00CA06C8"/>
    <w:pPr>
      <w:keepNext/>
      <w:keepLines/>
      <w:numPr>
        <w:ilvl w:val="1"/>
        <w:numId w:val="10"/>
      </w:numPr>
      <w:tabs>
        <w:tab w:val="left" w:pos="1418"/>
        <w:tab w:val="left" w:pos="1701"/>
        <w:tab w:val="left" w:pos="1985"/>
      </w:tabs>
      <w:spacing w:before="470" w:after="227"/>
      <w:outlineLvl w:val="1"/>
    </w:pPr>
    <w:rPr>
      <w:rFonts w:ascii="Calibri" w:hAnsi="Calibri"/>
      <w:b/>
      <w:bCs/>
      <w:iCs/>
      <w:color w:val="2B3B5F" w:themeColor="text2"/>
      <w:kern w:val="20"/>
      <w:sz w:val="24"/>
      <w:szCs w:val="28"/>
    </w:rPr>
  </w:style>
  <w:style w:type="paragraph" w:styleId="Heading3">
    <w:name w:val="heading 3"/>
    <w:basedOn w:val="Normal"/>
    <w:next w:val="BodyText"/>
    <w:link w:val="Heading3Char"/>
    <w:uiPriority w:val="3"/>
    <w:qFormat/>
    <w:rsid w:val="00CA06C8"/>
    <w:pPr>
      <w:keepNext/>
      <w:keepLines/>
      <w:numPr>
        <w:ilvl w:val="2"/>
        <w:numId w:val="10"/>
      </w:numPr>
      <w:tabs>
        <w:tab w:val="left" w:pos="1418"/>
        <w:tab w:val="left" w:pos="1701"/>
        <w:tab w:val="left" w:pos="1985"/>
      </w:tabs>
      <w:spacing w:before="470" w:after="227"/>
      <w:outlineLvl w:val="2"/>
    </w:pPr>
    <w:rPr>
      <w:i/>
      <w:color w:val="2B3B5F" w:themeColor="text2"/>
      <w:sz w:val="24"/>
    </w:rPr>
  </w:style>
  <w:style w:type="paragraph" w:styleId="Heading4">
    <w:name w:val="heading 4"/>
    <w:basedOn w:val="Normal"/>
    <w:next w:val="BodyText"/>
    <w:link w:val="Heading4Char"/>
    <w:uiPriority w:val="4"/>
    <w:qFormat/>
    <w:rsid w:val="00CA06C8"/>
    <w:pPr>
      <w:keepNext/>
      <w:keepLines/>
      <w:tabs>
        <w:tab w:val="left" w:pos="1418"/>
        <w:tab w:val="left" w:pos="1701"/>
        <w:tab w:val="left" w:pos="1985"/>
      </w:tabs>
      <w:spacing w:before="227" w:after="113"/>
      <w:outlineLvl w:val="3"/>
    </w:pPr>
    <w:rPr>
      <w:rFonts w:eastAsiaTheme="majorEastAsia" w:cstheme="majorBidi"/>
      <w:bCs/>
      <w:i/>
      <w:iCs/>
      <w:color w:val="788184" w:themeColor="background2"/>
      <w:sz w:val="24"/>
    </w:rPr>
  </w:style>
  <w:style w:type="paragraph" w:styleId="Heading5">
    <w:name w:val="heading 5"/>
    <w:basedOn w:val="Normal"/>
    <w:next w:val="BodyText"/>
    <w:link w:val="Heading5Char"/>
    <w:uiPriority w:val="39"/>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uiPriority w:val="39"/>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ttachment Title"/>
    <w:basedOn w:val="Normal"/>
    <w:next w:val="BodyText"/>
    <w:link w:val="Heading8Char"/>
    <w:uiPriority w:val="31"/>
    <w:qFormat/>
    <w:rsid w:val="002D239A"/>
    <w:pPr>
      <w:keepNext/>
      <w:keepLines/>
      <w:numPr>
        <w:numId w:val="1"/>
      </w:numPr>
      <w:tabs>
        <w:tab w:val="left" w:pos="4536"/>
      </w:tabs>
      <w:spacing w:before="480" w:after="340"/>
      <w:outlineLvl w:val="7"/>
    </w:pPr>
    <w:rPr>
      <w:rFonts w:asciiTheme="majorHAnsi" w:eastAsiaTheme="majorEastAsia" w:hAnsiTheme="majorHAnsi" w:cstheme="majorBidi"/>
      <w:color w:val="2B3B5F" w:themeColor="text2"/>
      <w:sz w:val="32"/>
    </w:rPr>
  </w:style>
  <w:style w:type="paragraph" w:styleId="Heading9">
    <w:name w:val="heading 9"/>
    <w:aliases w:val="Attachment Heading 1"/>
    <w:basedOn w:val="Normal"/>
    <w:next w:val="BodyText"/>
    <w:link w:val="Heading9Char"/>
    <w:uiPriority w:val="32"/>
    <w:qFormat/>
    <w:rsid w:val="002D239A"/>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13"/>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uiPriority w:val="13"/>
    <w:rsid w:val="0089737A"/>
    <w:rPr>
      <w:kern w:val="16"/>
      <w:sz w:val="18"/>
    </w:rPr>
  </w:style>
  <w:style w:type="character" w:styleId="FootnoteReference">
    <w:name w:val="footnote reference"/>
    <w:basedOn w:val="DefaultParagraphFont"/>
    <w:uiPriority w:val="39"/>
    <w:rsid w:val="00961DBB"/>
    <w:rPr>
      <w:rFonts w:asciiTheme="minorHAnsi" w:hAnsiTheme="minorHAnsi"/>
      <w:color w:val="auto"/>
      <w:vertAlign w:val="superscript"/>
    </w:rPr>
  </w:style>
  <w:style w:type="paragraph" w:styleId="BodyText">
    <w:name w:val="Body Text"/>
    <w:basedOn w:val="Normal"/>
    <w:link w:val="BodyTextChar"/>
    <w:uiPriority w:val="5"/>
    <w:qFormat/>
    <w:rsid w:val="007C19C3"/>
    <w:pPr>
      <w:spacing w:before="113" w:after="113"/>
    </w:pPr>
    <w:rPr>
      <w:rFonts w:cs="Times New Roman"/>
      <w:spacing w:val="-1"/>
    </w:rPr>
  </w:style>
  <w:style w:type="character" w:customStyle="1" w:styleId="BodyTextChar">
    <w:name w:val="Body Text Char"/>
    <w:basedOn w:val="DefaultParagraphFont"/>
    <w:link w:val="BodyText"/>
    <w:uiPriority w:val="5"/>
    <w:rsid w:val="00AC41CF"/>
    <w:rPr>
      <w:rFonts w:cs="Times New Roman"/>
      <w:spacing w:val="-1"/>
    </w:rPr>
  </w:style>
  <w:style w:type="paragraph" w:customStyle="1" w:styleId="BodyText17ptAbove">
    <w:name w:val="Body Text 17pt Above"/>
    <w:basedOn w:val="BodyText"/>
    <w:next w:val="BodyText"/>
    <w:uiPriority w:val="6"/>
    <w:qFormat/>
    <w:rsid w:val="00CA4C28"/>
    <w:pPr>
      <w:spacing w:before="340"/>
    </w:pPr>
  </w:style>
  <w:style w:type="character" w:customStyle="1" w:styleId="Heading1Char">
    <w:name w:val="Heading 1 Char"/>
    <w:basedOn w:val="DefaultParagraphFont"/>
    <w:link w:val="Heading1"/>
    <w:uiPriority w:val="1"/>
    <w:rsid w:val="00AC41CF"/>
    <w:rPr>
      <w:rFonts w:asciiTheme="majorHAnsi" w:hAnsiTheme="majorHAnsi"/>
      <w:bCs/>
      <w:color w:val="2B3B5F" w:themeColor="text2"/>
      <w:spacing w:val="-6"/>
      <w:kern w:val="32"/>
      <w:sz w:val="32"/>
      <w:szCs w:val="32"/>
    </w:rPr>
  </w:style>
  <w:style w:type="character" w:customStyle="1" w:styleId="Heading2Char">
    <w:name w:val="Heading 2 Char"/>
    <w:basedOn w:val="DefaultParagraphFont"/>
    <w:link w:val="Heading2"/>
    <w:uiPriority w:val="2"/>
    <w:rsid w:val="00AC41CF"/>
    <w:rPr>
      <w:rFonts w:ascii="Calibri" w:hAnsi="Calibri"/>
      <w:b/>
      <w:bCs/>
      <w:iCs/>
      <w:color w:val="2B3B5F" w:themeColor="text2"/>
      <w:kern w:val="20"/>
      <w:sz w:val="24"/>
      <w:szCs w:val="28"/>
    </w:rPr>
  </w:style>
  <w:style w:type="character" w:customStyle="1" w:styleId="Heading3Char">
    <w:name w:val="Heading 3 Char"/>
    <w:basedOn w:val="DefaultParagraphFont"/>
    <w:link w:val="Heading3"/>
    <w:uiPriority w:val="3"/>
    <w:rsid w:val="00AC41CF"/>
    <w:rPr>
      <w:i/>
      <w:color w:val="2B3B5F" w:themeColor="text2"/>
      <w:sz w:val="24"/>
    </w:rPr>
  </w:style>
  <w:style w:type="character" w:customStyle="1" w:styleId="Heading4Char">
    <w:name w:val="Heading 4 Char"/>
    <w:basedOn w:val="DefaultParagraphFont"/>
    <w:link w:val="Heading4"/>
    <w:uiPriority w:val="4"/>
    <w:rsid w:val="00AC41CF"/>
    <w:rPr>
      <w:rFonts w:eastAsiaTheme="majorEastAsia" w:cstheme="majorBidi"/>
      <w:bCs/>
      <w:i/>
      <w:iCs/>
      <w:color w:val="788184" w:themeColor="background2"/>
      <w:sz w:val="24"/>
    </w:rPr>
  </w:style>
  <w:style w:type="character" w:customStyle="1" w:styleId="Heading5Char">
    <w:name w:val="Heading 5 Char"/>
    <w:basedOn w:val="DefaultParagraphFont"/>
    <w:link w:val="Heading5"/>
    <w:uiPriority w:val="39"/>
    <w:rsid w:val="00AC41CF"/>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uiPriority w:val="39"/>
    <w:rsid w:val="00AC41CF"/>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ttachment Title Char"/>
    <w:basedOn w:val="DefaultParagraphFont"/>
    <w:link w:val="Heading8"/>
    <w:uiPriority w:val="31"/>
    <w:rsid w:val="0089737A"/>
    <w:rPr>
      <w:rFonts w:asciiTheme="majorHAnsi" w:eastAsiaTheme="majorEastAsia" w:hAnsiTheme="majorHAnsi" w:cstheme="majorBidi"/>
      <w:color w:val="2B3B5F" w:themeColor="text2"/>
      <w:sz w:val="32"/>
    </w:rPr>
  </w:style>
  <w:style w:type="character" w:customStyle="1" w:styleId="Heading9Char">
    <w:name w:val="Heading 9 Char"/>
    <w:aliases w:val="Attachment Heading 1 Char"/>
    <w:basedOn w:val="DefaultParagraphFont"/>
    <w:link w:val="Heading9"/>
    <w:uiPriority w:val="32"/>
    <w:rsid w:val="0089737A"/>
    <w:rPr>
      <w:rFonts w:asciiTheme="majorHAnsi" w:hAnsiTheme="majorHAnsi"/>
      <w:color w:val="2B3B5F" w:themeColor="text2"/>
      <w:sz w:val="28"/>
    </w:rPr>
  </w:style>
  <w:style w:type="paragraph" w:customStyle="1" w:styleId="AttachmentHeading2">
    <w:name w:val="Attachment Heading 2"/>
    <w:basedOn w:val="Normal"/>
    <w:next w:val="BodyText"/>
    <w:uiPriority w:val="33"/>
    <w:qFormat/>
    <w:rsid w:val="00CA5598"/>
    <w:pPr>
      <w:keepNext/>
      <w:keepLines/>
      <w:numPr>
        <w:ilvl w:val="2"/>
        <w:numId w:val="1"/>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ttachmentHeading3">
    <w:name w:val="Attachment Heading 3"/>
    <w:basedOn w:val="Normal"/>
    <w:next w:val="BodyText"/>
    <w:uiPriority w:val="34"/>
    <w:qFormat/>
    <w:rsid w:val="00CA5598"/>
    <w:pPr>
      <w:keepNext/>
      <w:keepLines/>
      <w:numPr>
        <w:ilvl w:val="3"/>
        <w:numId w:val="1"/>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uiPriority w:val="39"/>
    <w:rsid w:val="00961DBB"/>
    <w:rPr>
      <w:b/>
    </w:rPr>
  </w:style>
  <w:style w:type="character" w:customStyle="1" w:styleId="BoldAndItalics">
    <w:name w:val="Bold And Italics"/>
    <w:uiPriority w:val="39"/>
    <w:rsid w:val="00961DBB"/>
    <w:rPr>
      <w:b/>
      <w:i/>
    </w:rPr>
  </w:style>
  <w:style w:type="paragraph" w:styleId="Caption">
    <w:name w:val="caption"/>
    <w:basedOn w:val="Normal"/>
    <w:next w:val="BodyText"/>
    <w:uiPriority w:val="13"/>
    <w:qFormat/>
    <w:rsid w:val="00961DBB"/>
    <w:pPr>
      <w:keepNext/>
      <w:spacing w:before="340" w:after="114"/>
    </w:pPr>
    <w:rPr>
      <w:b/>
      <w:bCs/>
      <w:color w:val="2B3B5F" w:themeColor="text2"/>
      <w:spacing w:val="-4"/>
    </w:rPr>
  </w:style>
  <w:style w:type="paragraph" w:styleId="Footer">
    <w:name w:val="footer"/>
    <w:basedOn w:val="Normal"/>
    <w:link w:val="FooterChar"/>
    <w:uiPriority w:val="39"/>
    <w:rsid w:val="0046444F"/>
    <w:pPr>
      <w:spacing w:line="240" w:lineRule="auto"/>
    </w:pPr>
    <w:rPr>
      <w:b/>
    </w:rPr>
  </w:style>
  <w:style w:type="character" w:customStyle="1" w:styleId="FooterChar">
    <w:name w:val="Footer Char"/>
    <w:basedOn w:val="DefaultParagraphFont"/>
    <w:link w:val="Footer"/>
    <w:uiPriority w:val="39"/>
    <w:rsid w:val="00AC41CF"/>
    <w:rPr>
      <w:b/>
    </w:rPr>
  </w:style>
  <w:style w:type="paragraph" w:customStyle="1" w:styleId="FooterLeft">
    <w:name w:val="Footer Left"/>
    <w:basedOn w:val="Footer"/>
    <w:uiPriority w:val="39"/>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uiPriority w:val="39"/>
    <w:unhideWhenUsed/>
    <w:rsid w:val="00961DBB"/>
    <w:pPr>
      <w:framePr w:wrap="around" w:xAlign="right"/>
      <w:ind w:right="397"/>
      <w:jc w:val="right"/>
    </w:pPr>
  </w:style>
  <w:style w:type="paragraph" w:customStyle="1" w:styleId="FooterRightPageNumber">
    <w:name w:val="Footer Right Page Number"/>
    <w:basedOn w:val="Normal"/>
    <w:uiPriority w:val="39"/>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uiPriority w:val="39"/>
    <w:rsid w:val="00961DBB"/>
    <w:pPr>
      <w:framePr w:wrap="around" w:vAnchor="page" w:hAnchor="margin" w:yAlign="bottom"/>
      <w:spacing w:before="180" w:after="120"/>
      <w:ind w:right="57"/>
    </w:pPr>
  </w:style>
  <w:style w:type="paragraph" w:customStyle="1" w:styleId="FootnoteSeparator">
    <w:name w:val="Footnote Separator"/>
    <w:basedOn w:val="Normal"/>
    <w:uiPriority w:val="39"/>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uiPriority w:val="99"/>
    <w:rsid w:val="0046444F"/>
    <w:pPr>
      <w:spacing w:before="240" w:after="120" w:line="240" w:lineRule="auto"/>
    </w:pPr>
  </w:style>
  <w:style w:type="character" w:customStyle="1" w:styleId="HeaderChar">
    <w:name w:val="Header Char"/>
    <w:basedOn w:val="DefaultParagraphFont"/>
    <w:link w:val="Header"/>
    <w:uiPriority w:val="99"/>
    <w:rsid w:val="0046444F"/>
  </w:style>
  <w:style w:type="paragraph" w:customStyle="1" w:styleId="HighlightText">
    <w:name w:val="Highlight Text"/>
    <w:basedOn w:val="Normal"/>
    <w:uiPriority w:val="39"/>
    <w:rsid w:val="00961DBB"/>
    <w:pPr>
      <w:spacing w:before="120" w:after="420"/>
    </w:pPr>
    <w:rPr>
      <w:i/>
      <w:color w:val="2B3B5F" w:themeColor="text2"/>
      <w:spacing w:val="-1"/>
    </w:rPr>
  </w:style>
  <w:style w:type="paragraph" w:customStyle="1" w:styleId="Introduction">
    <w:name w:val="Introduction"/>
    <w:basedOn w:val="Normal"/>
    <w:next w:val="BodyText"/>
    <w:uiPriority w:val="39"/>
    <w:rsid w:val="00961DBB"/>
    <w:pPr>
      <w:spacing w:after="180" w:line="360" w:lineRule="atLeast"/>
    </w:pPr>
    <w:rPr>
      <w:color w:val="2B3B5F" w:themeColor="text2"/>
      <w:spacing w:val="-2"/>
      <w:sz w:val="30"/>
    </w:rPr>
  </w:style>
  <w:style w:type="character" w:customStyle="1" w:styleId="Italics">
    <w:name w:val="Italics"/>
    <w:uiPriority w:val="39"/>
    <w:rsid w:val="00961DBB"/>
    <w:rPr>
      <w:i/>
    </w:rPr>
  </w:style>
  <w:style w:type="paragraph" w:styleId="ListBullet">
    <w:name w:val="List Bullet"/>
    <w:basedOn w:val="Normal"/>
    <w:uiPriority w:val="7"/>
    <w:qFormat/>
    <w:rsid w:val="00476133"/>
    <w:pPr>
      <w:keepLines/>
      <w:numPr>
        <w:numId w:val="2"/>
      </w:numPr>
      <w:spacing w:after="120"/>
    </w:pPr>
    <w:rPr>
      <w:spacing w:val="-1"/>
    </w:rPr>
  </w:style>
  <w:style w:type="paragraph" w:styleId="ListBullet2">
    <w:name w:val="List Bullet 2"/>
    <w:basedOn w:val="ListBullet"/>
    <w:uiPriority w:val="8"/>
    <w:qFormat/>
    <w:rsid w:val="00476133"/>
    <w:pPr>
      <w:numPr>
        <w:ilvl w:val="1"/>
      </w:numPr>
      <w:ind w:left="908" w:hanging="454"/>
    </w:pPr>
  </w:style>
  <w:style w:type="paragraph" w:styleId="ListBullet3">
    <w:name w:val="List Bullet 3"/>
    <w:basedOn w:val="ListBullet2"/>
    <w:uiPriority w:val="9"/>
    <w:qFormat/>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uiPriority w:val="10"/>
    <w:qFormat/>
    <w:rsid w:val="00476133"/>
    <w:pPr>
      <w:numPr>
        <w:numId w:val="3"/>
      </w:numPr>
      <w:spacing w:before="120" w:after="120"/>
    </w:pPr>
    <w:rPr>
      <w:spacing w:val="-1"/>
    </w:rPr>
  </w:style>
  <w:style w:type="paragraph" w:styleId="ListNumber2">
    <w:name w:val="List Number 2"/>
    <w:basedOn w:val="Normal"/>
    <w:uiPriority w:val="11"/>
    <w:qFormat/>
    <w:rsid w:val="00476133"/>
    <w:pPr>
      <w:numPr>
        <w:ilvl w:val="1"/>
        <w:numId w:val="3"/>
      </w:numPr>
      <w:spacing w:before="120" w:after="120"/>
      <w:ind w:left="908" w:hanging="454"/>
    </w:pPr>
    <w:rPr>
      <w:spacing w:val="-1"/>
    </w:rPr>
  </w:style>
  <w:style w:type="paragraph" w:styleId="ListNumber3">
    <w:name w:val="List Number 3"/>
    <w:basedOn w:val="Normal"/>
    <w:uiPriority w:val="12"/>
    <w:qFormat/>
    <w:rsid w:val="00476133"/>
    <w:pPr>
      <w:numPr>
        <w:ilvl w:val="2"/>
        <w:numId w:val="3"/>
      </w:numPr>
      <w:spacing w:before="120" w:after="120"/>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uiPriority w:val="39"/>
    <w:rsid w:val="00961DBB"/>
    <w:pPr>
      <w:spacing w:line="240" w:lineRule="auto"/>
    </w:pPr>
    <w:rPr>
      <w:rFonts w:eastAsia="Times New Roman" w:cs="Arial"/>
      <w:lang w:eastAsia="en-AU"/>
    </w:rPr>
  </w:style>
  <w:style w:type="paragraph" w:customStyle="1" w:styleId="OverviewBodyText">
    <w:name w:val="Overview Body Text"/>
    <w:basedOn w:val="Normal"/>
    <w:uiPriority w:val="39"/>
    <w:rsid w:val="00512226"/>
    <w:pPr>
      <w:spacing w:after="113"/>
    </w:pPr>
  </w:style>
  <w:style w:type="paragraph" w:customStyle="1" w:styleId="OverviewHeading2">
    <w:name w:val="Overview Heading 2"/>
    <w:basedOn w:val="Normal"/>
    <w:next w:val="OverviewBodyText"/>
    <w:uiPriority w:val="39"/>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uiPriority w:val="39"/>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uiPriority w:val="39"/>
    <w:rsid w:val="00961DBB"/>
    <w:rPr>
      <w:color w:val="808080"/>
    </w:rPr>
  </w:style>
  <w:style w:type="paragraph" w:customStyle="1" w:styleId="PullOutBoxBodyText">
    <w:name w:val="Pull Out Box Body Text"/>
    <w:basedOn w:val="Normal"/>
    <w:uiPriority w:val="24"/>
    <w:qFormat/>
    <w:rsid w:val="00476133"/>
    <w:pPr>
      <w:spacing w:before="120" w:after="120"/>
      <w:ind w:left="57" w:right="57"/>
    </w:pPr>
    <w:rPr>
      <w:spacing w:val="-1"/>
    </w:rPr>
  </w:style>
  <w:style w:type="paragraph" w:customStyle="1" w:styleId="PullOutBoxBullet">
    <w:name w:val="Pull Out Box Bullet"/>
    <w:basedOn w:val="PullOutBoxBodyText"/>
    <w:uiPriority w:val="25"/>
    <w:qFormat/>
    <w:rsid w:val="009B06C2"/>
    <w:pPr>
      <w:numPr>
        <w:numId w:val="4"/>
      </w:numPr>
      <w:ind w:left="397"/>
    </w:pPr>
  </w:style>
  <w:style w:type="paragraph" w:customStyle="1" w:styleId="PullOutBoxBullet2">
    <w:name w:val="Pull Out Box Bullet 2"/>
    <w:basedOn w:val="PullOutBoxBodyText"/>
    <w:uiPriority w:val="26"/>
    <w:qFormat/>
    <w:rsid w:val="009B06C2"/>
    <w:pPr>
      <w:numPr>
        <w:ilvl w:val="1"/>
        <w:numId w:val="4"/>
      </w:numPr>
      <w:ind w:left="737"/>
    </w:pPr>
  </w:style>
  <w:style w:type="paragraph" w:customStyle="1" w:styleId="PullOutBoxBullet3">
    <w:name w:val="Pull Out Box Bullet 3"/>
    <w:basedOn w:val="PullOutBoxBodyText"/>
    <w:uiPriority w:val="27"/>
    <w:qFormat/>
    <w:rsid w:val="00476133"/>
    <w:pPr>
      <w:numPr>
        <w:ilvl w:val="2"/>
        <w:numId w:val="4"/>
      </w:numPr>
    </w:pPr>
  </w:style>
  <w:style w:type="paragraph" w:customStyle="1" w:styleId="PullOutBoxHeading">
    <w:name w:val="Pull Out Box Heading"/>
    <w:basedOn w:val="PullOutBoxBodyText"/>
    <w:uiPriority w:val="23"/>
    <w:qFormat/>
    <w:rsid w:val="00476133"/>
    <w:pPr>
      <w:keepNext/>
      <w:keepLines/>
    </w:pPr>
    <w:rPr>
      <w:b/>
    </w:rPr>
  </w:style>
  <w:style w:type="paragraph" w:customStyle="1" w:styleId="PullOutBoxNumber">
    <w:name w:val="Pull Out Box Number"/>
    <w:basedOn w:val="PullOutBoxBodyText"/>
    <w:uiPriority w:val="28"/>
    <w:qFormat/>
    <w:rsid w:val="00476133"/>
    <w:pPr>
      <w:numPr>
        <w:numId w:val="5"/>
      </w:numPr>
      <w:ind w:left="397"/>
    </w:pPr>
  </w:style>
  <w:style w:type="paragraph" w:customStyle="1" w:styleId="PullOutBoxNumber2">
    <w:name w:val="Pull Out Box Number 2"/>
    <w:basedOn w:val="PullOutBoxBodyText"/>
    <w:uiPriority w:val="29"/>
    <w:qFormat/>
    <w:rsid w:val="008112CC"/>
    <w:pPr>
      <w:numPr>
        <w:ilvl w:val="1"/>
        <w:numId w:val="5"/>
      </w:numPr>
      <w:ind w:left="737"/>
    </w:pPr>
  </w:style>
  <w:style w:type="paragraph" w:customStyle="1" w:styleId="PullOutBoxNumber3">
    <w:name w:val="Pull Out Box Number 3"/>
    <w:basedOn w:val="PullOutBoxBodyText"/>
    <w:uiPriority w:val="30"/>
    <w:qFormat/>
    <w:rsid w:val="008112CC"/>
    <w:pPr>
      <w:numPr>
        <w:ilvl w:val="2"/>
        <w:numId w:val="5"/>
      </w:numPr>
      <w:ind w:left="1077"/>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uiPriority w:val="39"/>
    <w:rsid w:val="00961DBB"/>
    <w:pPr>
      <w:tabs>
        <w:tab w:val="left" w:pos="1134"/>
      </w:tabs>
      <w:spacing w:before="240" w:after="240"/>
      <w:ind w:left="284"/>
    </w:pPr>
    <w:rPr>
      <w:i/>
      <w:iCs/>
    </w:rPr>
  </w:style>
  <w:style w:type="character" w:customStyle="1" w:styleId="QuoteChar">
    <w:name w:val="Quote Char"/>
    <w:basedOn w:val="DefaultParagraphFont"/>
    <w:link w:val="Quote"/>
    <w:uiPriority w:val="39"/>
    <w:rsid w:val="00AC41CF"/>
    <w:rPr>
      <w:i/>
      <w:iCs/>
    </w:rPr>
  </w:style>
  <w:style w:type="paragraph" w:customStyle="1" w:styleId="QuoteBullet">
    <w:name w:val="Quote Bullet"/>
    <w:basedOn w:val="Quote"/>
    <w:uiPriority w:val="39"/>
    <w:rsid w:val="00961DBB"/>
    <w:pPr>
      <w:numPr>
        <w:numId w:val="6"/>
      </w:numPr>
    </w:pPr>
  </w:style>
  <w:style w:type="paragraph" w:customStyle="1" w:styleId="QuoteBullet2">
    <w:name w:val="Quote Bullet 2"/>
    <w:basedOn w:val="Quote"/>
    <w:uiPriority w:val="39"/>
    <w:rsid w:val="00961DBB"/>
    <w:pPr>
      <w:numPr>
        <w:ilvl w:val="1"/>
        <w:numId w:val="6"/>
      </w:numPr>
      <w:tabs>
        <w:tab w:val="clear" w:pos="1134"/>
      </w:tabs>
    </w:pPr>
  </w:style>
  <w:style w:type="paragraph" w:customStyle="1" w:styleId="SectionHeading">
    <w:name w:val="Section Heading"/>
    <w:basedOn w:val="Normal"/>
    <w:next w:val="BodyText"/>
    <w:uiPriority w:val="39"/>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uiPriority w:val="39"/>
    <w:rsid w:val="00E45766"/>
    <w:rPr>
      <w:color w:val="751D71" w:themeColor="accent4"/>
      <w:sz w:val="40"/>
    </w:rPr>
  </w:style>
  <w:style w:type="paragraph" w:styleId="Subtitle">
    <w:name w:val="Subtitle"/>
    <w:basedOn w:val="Normal"/>
    <w:next w:val="Normal"/>
    <w:link w:val="SubtitleChar"/>
    <w:uiPriority w:val="39"/>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uiPriority w:val="39"/>
    <w:rsid w:val="00AC41CF"/>
    <w:rPr>
      <w:rFonts w:asciiTheme="majorHAnsi" w:eastAsiaTheme="majorEastAsia" w:hAnsiTheme="majorHAnsi" w:cstheme="majorBidi"/>
      <w:iCs/>
      <w:spacing w:val="15"/>
    </w:rPr>
  </w:style>
  <w:style w:type="character" w:customStyle="1" w:styleId="Superscript">
    <w:name w:val="Superscript"/>
    <w:uiPriority w:val="39"/>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uiPriority w:val="22"/>
    <w:qFormat/>
    <w:rsid w:val="0056001A"/>
    <w:pPr>
      <w:keepLines/>
      <w:numPr>
        <w:numId w:val="7"/>
      </w:numPr>
      <w:spacing w:after="50" w:line="260" w:lineRule="atLeast"/>
      <w:ind w:left="284" w:hanging="284"/>
      <w:contextualSpacing/>
    </w:pPr>
    <w:rPr>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uiPriority w:val="14"/>
    <w:qFormat/>
    <w:rsid w:val="00476133"/>
    <w:pPr>
      <w:keepNext/>
      <w:keepLines/>
      <w:spacing w:before="70" w:after="70" w:line="260" w:lineRule="atLeast"/>
      <w:ind w:left="57" w:right="57"/>
    </w:pPr>
    <w:rPr>
      <w:rFonts w:ascii="Calibri" w:hAnsi="Calibri" w:cs="Times New Roman"/>
      <w:b/>
      <w:sz w:val="20"/>
    </w:rPr>
  </w:style>
  <w:style w:type="paragraph" w:customStyle="1" w:styleId="TableHeadingCentred">
    <w:name w:val="Table Heading Centred"/>
    <w:basedOn w:val="TableHeading"/>
    <w:uiPriority w:val="15"/>
    <w:qFormat/>
    <w:rsid w:val="005B0970"/>
    <w:pPr>
      <w:jc w:val="center"/>
    </w:pPr>
  </w:style>
  <w:style w:type="paragraph" w:customStyle="1" w:styleId="TableHeadingRight">
    <w:name w:val="Table Heading Right"/>
    <w:basedOn w:val="TableHeading"/>
    <w:uiPriority w:val="16"/>
    <w:qFormat/>
    <w:rsid w:val="00956D5A"/>
    <w:pPr>
      <w:jc w:val="right"/>
    </w:pPr>
  </w:style>
  <w:style w:type="paragraph" w:customStyle="1" w:styleId="Source">
    <w:name w:val="Source"/>
    <w:basedOn w:val="Normal"/>
    <w:next w:val="BodyText17ptAbove"/>
    <w:uiPriority w:val="39"/>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uiPriority w:val="17"/>
    <w:qFormat/>
    <w:rsid w:val="005B0970"/>
    <w:pPr>
      <w:spacing w:before="70" w:after="70" w:line="260" w:lineRule="atLeast"/>
      <w:ind w:left="57" w:right="57"/>
    </w:pPr>
    <w:rPr>
      <w:rFonts w:ascii="Calibri" w:hAnsi="Calibri"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uiPriority w:val="39"/>
    <w:rsid w:val="00961DBB"/>
    <w:pPr>
      <w:numPr>
        <w:numId w:val="8"/>
      </w:numPr>
    </w:pPr>
  </w:style>
  <w:style w:type="paragraph" w:customStyle="1" w:styleId="TableTextBullet2">
    <w:name w:val="Table Text Bullet 2"/>
    <w:basedOn w:val="TableTextBullet"/>
    <w:uiPriority w:val="39"/>
    <w:rsid w:val="00961DBB"/>
    <w:pPr>
      <w:numPr>
        <w:ilvl w:val="1"/>
      </w:numPr>
    </w:pPr>
    <w:rPr>
      <w:bCs/>
    </w:rPr>
  </w:style>
  <w:style w:type="paragraph" w:customStyle="1" w:styleId="TableTextBullet3">
    <w:name w:val="Table Text Bullet 3"/>
    <w:basedOn w:val="TableTextBullet2"/>
    <w:uiPriority w:val="39"/>
    <w:rsid w:val="00961DBB"/>
    <w:pPr>
      <w:numPr>
        <w:ilvl w:val="2"/>
      </w:numPr>
    </w:pPr>
    <w:rPr>
      <w:bCs w:val="0"/>
    </w:rPr>
  </w:style>
  <w:style w:type="paragraph" w:customStyle="1" w:styleId="TableTextNumber">
    <w:name w:val="Table Text Number"/>
    <w:basedOn w:val="TableText"/>
    <w:uiPriority w:val="39"/>
    <w:rsid w:val="00961DBB"/>
    <w:pPr>
      <w:numPr>
        <w:numId w:val="9"/>
      </w:numPr>
    </w:pPr>
  </w:style>
  <w:style w:type="paragraph" w:customStyle="1" w:styleId="TableTextNumber2">
    <w:name w:val="Table Text Number 2"/>
    <w:basedOn w:val="TableTextNumber"/>
    <w:uiPriority w:val="39"/>
    <w:rsid w:val="00961DBB"/>
    <w:pPr>
      <w:numPr>
        <w:ilvl w:val="1"/>
      </w:numPr>
      <w:tabs>
        <w:tab w:val="clear" w:pos="709"/>
        <w:tab w:val="num" w:pos="680"/>
      </w:tabs>
      <w:ind w:left="680"/>
    </w:pPr>
  </w:style>
  <w:style w:type="paragraph" w:customStyle="1" w:styleId="TableTextNumber3">
    <w:name w:val="Table Text Number 3"/>
    <w:basedOn w:val="TableTextNumber2"/>
    <w:uiPriority w:val="39"/>
    <w:rsid w:val="00961DBB"/>
    <w:pPr>
      <w:numPr>
        <w:ilvl w:val="2"/>
      </w:numPr>
    </w:pPr>
  </w:style>
  <w:style w:type="paragraph" w:customStyle="1" w:styleId="TableTextRight">
    <w:name w:val="Table Text Right"/>
    <w:basedOn w:val="TableText"/>
    <w:uiPriority w:val="19"/>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uiPriority w:val="39"/>
    <w:rsid w:val="00817406"/>
    <w:pPr>
      <w:spacing w:before="480" w:after="340" w:line="240" w:lineRule="auto"/>
    </w:pPr>
    <w:rPr>
      <w:rFonts w:asciiTheme="majorHAnsi" w:eastAsiaTheme="majorEastAsia" w:hAnsiTheme="majorHAnsi" w:cstheme="majorBidi"/>
      <w:color w:val="2B3B5F" w:themeColor="text2"/>
      <w:spacing w:val="-2"/>
      <w:sz w:val="32"/>
      <w:szCs w:val="50"/>
    </w:rPr>
  </w:style>
  <w:style w:type="character" w:customStyle="1" w:styleId="TitleChar">
    <w:name w:val="Title Char"/>
    <w:basedOn w:val="DefaultParagraphFont"/>
    <w:link w:val="Title"/>
    <w:uiPriority w:val="39"/>
    <w:rsid w:val="00AC41CF"/>
    <w:rPr>
      <w:rFonts w:asciiTheme="majorHAnsi" w:eastAsiaTheme="majorEastAsia" w:hAnsiTheme="majorHAnsi" w:cstheme="majorBidi"/>
      <w:color w:val="2B3B5F" w:themeColor="text2"/>
      <w:spacing w:val="-2"/>
      <w:sz w:val="32"/>
      <w:szCs w:val="50"/>
    </w:rPr>
  </w:style>
  <w:style w:type="paragraph" w:customStyle="1" w:styleId="Title2">
    <w:name w:val="Title 2"/>
    <w:basedOn w:val="Normal"/>
    <w:link w:val="Title2Char"/>
    <w:uiPriority w:val="39"/>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uiPriority w:val="39"/>
    <w:rsid w:val="00AC41CF"/>
    <w:rPr>
      <w:rFonts w:asciiTheme="majorHAnsi" w:hAnsiTheme="majorHAnsi"/>
      <w:color w:val="FFFFFF"/>
      <w:spacing w:val="-2"/>
      <w:sz w:val="32"/>
    </w:rPr>
  </w:style>
  <w:style w:type="paragraph" w:customStyle="1" w:styleId="Title3">
    <w:name w:val="Title 3"/>
    <w:basedOn w:val="Title2"/>
    <w:uiPriority w:val="39"/>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right" w:leader="underscore" w:pos="8164"/>
      </w:tabs>
      <w:spacing w:after="227"/>
      <w:ind w:right="851"/>
    </w:pPr>
    <w:rPr>
      <w:b/>
      <w:noProof/>
      <w:color w:val="2B3B5F" w:themeColor="text2"/>
    </w:rPr>
  </w:style>
  <w:style w:type="paragraph" w:styleId="TOC2">
    <w:name w:val="toc 2"/>
    <w:basedOn w:val="Normal"/>
    <w:next w:val="Normal"/>
    <w:uiPriority w:val="39"/>
    <w:rsid w:val="001B2C65"/>
    <w:pPr>
      <w:tabs>
        <w:tab w:val="right" w:leader="underscore" w:pos="8164"/>
      </w:tabs>
      <w:spacing w:after="227"/>
      <w:ind w:left="454" w:right="851"/>
    </w:pPr>
    <w:rPr>
      <w:noProof/>
      <w:szCs w:val="28"/>
    </w:rPr>
  </w:style>
  <w:style w:type="paragraph" w:styleId="TOC3">
    <w:name w:val="toc 3"/>
    <w:basedOn w:val="Normal"/>
    <w:next w:val="Normal"/>
    <w:uiPriority w:val="39"/>
    <w:rsid w:val="001B2C65"/>
    <w:pPr>
      <w:tabs>
        <w:tab w:val="right" w:leader="underscore" w:pos="8164"/>
      </w:tabs>
      <w:spacing w:after="227"/>
      <w:ind w:left="907" w:right="851"/>
    </w:pPr>
    <w:rPr>
      <w:rFonts w:eastAsiaTheme="minorEastAsia"/>
      <w:noProof/>
    </w:rPr>
  </w:style>
  <w:style w:type="paragraph" w:styleId="TOC4">
    <w:name w:val="toc 4"/>
    <w:basedOn w:val="Normal"/>
    <w:uiPriority w:val="39"/>
    <w:rsid w:val="006C5E72"/>
    <w:pPr>
      <w:tabs>
        <w:tab w:val="right" w:leader="underscore" w:pos="8165"/>
      </w:tabs>
      <w:spacing w:after="80"/>
      <w:ind w:right="851"/>
    </w:pPr>
    <w:rPr>
      <w:noProof/>
    </w:rPr>
  </w:style>
  <w:style w:type="paragraph" w:styleId="TOC5">
    <w:name w:val="toc 5"/>
    <w:basedOn w:val="Normal"/>
    <w:next w:val="Normal"/>
    <w:autoRedefine/>
    <w:uiPriority w:val="39"/>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uiPriority w:val="39"/>
    <w:rsid w:val="00961DBB"/>
    <w:pPr>
      <w:tabs>
        <w:tab w:val="right" w:leader="dot" w:pos="9582"/>
      </w:tabs>
      <w:spacing w:after="227"/>
      <w:ind w:right="907"/>
    </w:pPr>
    <w:rPr>
      <w:color w:val="2B3B5F" w:themeColor="text2"/>
    </w:rPr>
  </w:style>
  <w:style w:type="paragraph" w:styleId="TOCHeading">
    <w:name w:val="TOC Heading"/>
    <w:basedOn w:val="Normal"/>
    <w:uiPriority w:val="39"/>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uiPriority w:val="39"/>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uiPriority w:val="39"/>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uiPriority w:val="39"/>
    <w:rsid w:val="00AC41CF"/>
    <w:rPr>
      <w:b/>
    </w:rPr>
  </w:style>
  <w:style w:type="paragraph" w:customStyle="1" w:styleId="xDisclaimerText">
    <w:name w:val="xDisclaimer Text"/>
    <w:basedOn w:val="Normal"/>
    <w:uiPriority w:val="39"/>
    <w:rsid w:val="00961DBB"/>
    <w:pPr>
      <w:spacing w:after="57" w:line="302" w:lineRule="atLeast"/>
    </w:pPr>
    <w:rPr>
      <w:rFonts w:cs="Times New Roman"/>
    </w:rPr>
  </w:style>
  <w:style w:type="paragraph" w:customStyle="1" w:styleId="xDisclaimerText2">
    <w:name w:val="xDisclaimer Text 2"/>
    <w:basedOn w:val="xDisclaimerHeading"/>
    <w:uiPriority w:val="39"/>
    <w:rsid w:val="00961DBB"/>
    <w:pPr>
      <w:framePr w:wrap="around"/>
      <w:spacing w:before="0" w:after="170" w:line="302" w:lineRule="atLeast"/>
    </w:pPr>
    <w:rPr>
      <w:b w:val="0"/>
    </w:rPr>
  </w:style>
  <w:style w:type="paragraph" w:customStyle="1" w:styleId="xDisclaimertext3">
    <w:name w:val="xDisclaimer text 3"/>
    <w:basedOn w:val="xDisclaimerText"/>
    <w:uiPriority w:val="39"/>
    <w:rsid w:val="00961DBB"/>
    <w:pPr>
      <w:spacing w:before="170" w:after="170"/>
    </w:pPr>
  </w:style>
  <w:style w:type="paragraph" w:customStyle="1" w:styleId="xInlineShape">
    <w:name w:val="xInlineShape"/>
    <w:basedOn w:val="Normal"/>
    <w:next w:val="BodyText"/>
    <w:uiPriority w:val="39"/>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uiPriority w:val="39"/>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uiPriority w:val="39"/>
    <w:rsid w:val="00AC41CF"/>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uiPriority w:val="39"/>
    <w:rsid w:val="00FD6119"/>
    <w:pPr>
      <w:spacing w:before="240"/>
    </w:pPr>
  </w:style>
  <w:style w:type="paragraph" w:customStyle="1" w:styleId="xBackPageWebAddress">
    <w:name w:val="xBack Page Web Address"/>
    <w:basedOn w:val="Normal"/>
    <w:uiPriority w:val="39"/>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uiPriority w:val="39"/>
    <w:rsid w:val="00A12C39"/>
    <w:pPr>
      <w:numPr>
        <w:numId w:val="0"/>
      </w:numPr>
    </w:pPr>
  </w:style>
  <w:style w:type="paragraph" w:styleId="TableofFigures">
    <w:name w:val="table of figures"/>
    <w:basedOn w:val="Normal"/>
    <w:next w:val="Normal"/>
    <w:uiPriority w:val="39"/>
    <w:rsid w:val="00D64CE2"/>
    <w:pPr>
      <w:tabs>
        <w:tab w:val="right" w:leader="underscore" w:pos="8165"/>
      </w:tabs>
      <w:spacing w:after="80"/>
      <w:ind w:right="851"/>
    </w:pPr>
  </w:style>
  <w:style w:type="paragraph" w:customStyle="1" w:styleId="SectionHeadingNoTOC">
    <w:name w:val="Section Heading No TOC"/>
    <w:basedOn w:val="SectionHeading"/>
    <w:uiPriority w:val="39"/>
    <w:rsid w:val="00E45766"/>
  </w:style>
  <w:style w:type="paragraph" w:customStyle="1" w:styleId="TableTextCentred">
    <w:name w:val="Table Text Centred"/>
    <w:basedOn w:val="TableText"/>
    <w:uiPriority w:val="18"/>
    <w:qFormat/>
    <w:rsid w:val="00AE1CC1"/>
    <w:pPr>
      <w:jc w:val="center"/>
    </w:pPr>
    <w:rPr>
      <w:rFonts w:eastAsia="Times New Roman"/>
      <w:lang w:eastAsia="en-AU"/>
    </w:rPr>
  </w:style>
  <w:style w:type="paragraph" w:customStyle="1" w:styleId="FooterRightPageNumberLS">
    <w:name w:val="Footer Right Page Number LS"/>
    <w:basedOn w:val="Normal"/>
    <w:uiPriority w:val="39"/>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customStyle="1" w:styleId="PBOheader">
    <w:name w:val="PBO header"/>
    <w:basedOn w:val="Header"/>
    <w:uiPriority w:val="39"/>
    <w:rsid w:val="0046444F"/>
    <w:pPr>
      <w:spacing w:before="1320" w:after="114"/>
      <w:ind w:left="6521"/>
    </w:pPr>
    <w:rPr>
      <w:rFonts w:ascii="Arial" w:hAnsi="Arial" w:cs="Arial"/>
      <w:b/>
      <w:sz w:val="18"/>
      <w:szCs w:val="18"/>
    </w:rPr>
  </w:style>
  <w:style w:type="paragraph" w:customStyle="1" w:styleId="Letterfooter">
    <w:name w:val="Letter footer"/>
    <w:basedOn w:val="Footer"/>
    <w:uiPriority w:val="39"/>
    <w:rsid w:val="0046444F"/>
    <w:pPr>
      <w:tabs>
        <w:tab w:val="center" w:pos="4513"/>
        <w:tab w:val="right" w:pos="9026"/>
      </w:tabs>
      <w:spacing w:after="113"/>
      <w:ind w:right="-618" w:hanging="709"/>
      <w:jc w:val="center"/>
    </w:pPr>
    <w:rPr>
      <w:rFonts w:ascii="Arial" w:hAnsi="Arial" w:cs="Arial"/>
      <w:b w:val="0"/>
      <w:sz w:val="17"/>
      <w:szCs w:val="17"/>
    </w:rPr>
  </w:style>
  <w:style w:type="table" w:styleId="LightGrid-Accent6">
    <w:name w:val="Light Grid Accent 6"/>
    <w:basedOn w:val="TableNormal"/>
    <w:uiPriority w:val="62"/>
    <w:rsid w:val="0046444F"/>
    <w:pPr>
      <w:spacing w:line="240" w:lineRule="auto"/>
    </w:pPr>
    <w:tblPr>
      <w:tblStyleRowBandSize w:val="1"/>
      <w:tblStyleColBandSize w:val="1"/>
      <w:tblBorders>
        <w:top w:val="single" w:sz="8" w:space="0" w:color="788184" w:themeColor="accent6"/>
        <w:left w:val="single" w:sz="8" w:space="0" w:color="788184" w:themeColor="accent6"/>
        <w:bottom w:val="single" w:sz="8" w:space="0" w:color="788184" w:themeColor="accent6"/>
        <w:right w:val="single" w:sz="8" w:space="0" w:color="788184" w:themeColor="accent6"/>
        <w:insideH w:val="single" w:sz="8" w:space="0" w:color="788184" w:themeColor="accent6"/>
        <w:insideV w:val="single" w:sz="8" w:space="0" w:color="78818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18" w:space="0" w:color="788184" w:themeColor="accent6"/>
          <w:right w:val="single" w:sz="8" w:space="0" w:color="788184" w:themeColor="accent6"/>
          <w:insideH w:val="nil"/>
          <w:insideV w:val="single" w:sz="8" w:space="0" w:color="78818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4" w:themeColor="accent6"/>
          <w:left w:val="single" w:sz="8" w:space="0" w:color="788184" w:themeColor="accent6"/>
          <w:bottom w:val="single" w:sz="8" w:space="0" w:color="788184" w:themeColor="accent6"/>
          <w:right w:val="single" w:sz="8" w:space="0" w:color="788184" w:themeColor="accent6"/>
          <w:insideH w:val="nil"/>
          <w:insideV w:val="single" w:sz="8" w:space="0" w:color="78818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tcPr>
    </w:tblStylePr>
    <w:tblStylePr w:type="band1Vert">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shd w:val="clear" w:color="auto" w:fill="DDDFE0" w:themeFill="accent6" w:themeFillTint="3F"/>
      </w:tcPr>
    </w:tblStylePr>
    <w:tblStylePr w:type="band1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shd w:val="clear" w:color="auto" w:fill="DDDFE0" w:themeFill="accent6" w:themeFillTint="3F"/>
      </w:tcPr>
    </w:tblStylePr>
    <w:tblStylePr w:type="band2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tcPr>
    </w:tblStylePr>
  </w:style>
  <w:style w:type="table" w:styleId="LightGrid-Accent3">
    <w:name w:val="Light Grid Accent 3"/>
    <w:basedOn w:val="TableNormal"/>
    <w:uiPriority w:val="62"/>
    <w:rsid w:val="008112CC"/>
    <w:pPr>
      <w:spacing w:line="240" w:lineRule="auto"/>
    </w:pPr>
    <w:tblPr>
      <w:tblStyleRowBandSize w:val="1"/>
      <w:tblStyleColBandSize w:val="1"/>
      <w:tblBorders>
        <w:top w:val="single" w:sz="8" w:space="0" w:color="D7DDE9" w:themeColor="accent3"/>
        <w:left w:val="single" w:sz="8" w:space="0" w:color="D7DDE9" w:themeColor="accent3"/>
        <w:bottom w:val="single" w:sz="8" w:space="0" w:color="D7DDE9" w:themeColor="accent3"/>
        <w:right w:val="single" w:sz="8" w:space="0" w:color="D7DDE9" w:themeColor="accent3"/>
        <w:insideH w:val="single" w:sz="8" w:space="0" w:color="D7DDE9" w:themeColor="accent3"/>
        <w:insideV w:val="single" w:sz="8" w:space="0" w:color="D7DDE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18" w:space="0" w:color="D7DDE9" w:themeColor="accent3"/>
          <w:right w:val="single" w:sz="8" w:space="0" w:color="D7DDE9" w:themeColor="accent3"/>
          <w:insideH w:val="nil"/>
          <w:insideV w:val="single" w:sz="8" w:space="0" w:color="D7DDE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DDE9" w:themeColor="accent3"/>
          <w:left w:val="single" w:sz="8" w:space="0" w:color="D7DDE9" w:themeColor="accent3"/>
          <w:bottom w:val="single" w:sz="8" w:space="0" w:color="D7DDE9" w:themeColor="accent3"/>
          <w:right w:val="single" w:sz="8" w:space="0" w:color="D7DDE9" w:themeColor="accent3"/>
          <w:insideH w:val="nil"/>
          <w:insideV w:val="single" w:sz="8" w:space="0" w:color="D7DDE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tcPr>
    </w:tblStylePr>
    <w:tblStylePr w:type="band1Vert">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shd w:val="clear" w:color="auto" w:fill="F5F6F9" w:themeFill="accent3" w:themeFillTint="3F"/>
      </w:tcPr>
    </w:tblStylePr>
    <w:tblStylePr w:type="band1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shd w:val="clear" w:color="auto" w:fill="F5F6F9" w:themeFill="accent3" w:themeFillTint="3F"/>
      </w:tcPr>
    </w:tblStylePr>
    <w:tblStylePr w:type="band2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tcPr>
    </w:tblStylePr>
  </w:style>
  <w:style w:type="paragraph" w:customStyle="1" w:styleId="Lettertext">
    <w:name w:val="Letter text"/>
    <w:basedOn w:val="BodyText"/>
    <w:qFormat/>
    <w:rsid w:val="00E64480"/>
    <w:pPr>
      <w:spacing w:before="240" w:after="0"/>
    </w:pPr>
    <w:rPr>
      <w:rFonts w:ascii="Times New Roman" w:hAnsi="Times New Roman"/>
      <w:spacing w:val="0"/>
      <w:sz w:val="24"/>
    </w:rPr>
  </w:style>
  <w:style w:type="paragraph" w:customStyle="1" w:styleId="TableTextRightItalic">
    <w:name w:val="Table Text Right Italic"/>
    <w:basedOn w:val="TableTextRight"/>
    <w:uiPriority w:val="21"/>
    <w:qFormat/>
    <w:rsid w:val="00120A75"/>
    <w:rPr>
      <w:i/>
    </w:rPr>
  </w:style>
  <w:style w:type="character" w:styleId="FollowedHyperlink">
    <w:name w:val="FollowedHyperlink"/>
    <w:basedOn w:val="DefaultParagraphFont"/>
    <w:semiHidden/>
    <w:unhideWhenUsed/>
    <w:rsid w:val="003B47BC"/>
    <w:rPr>
      <w:color w:val="000000" w:themeColor="followedHyperlink"/>
      <w:u w:val="single"/>
    </w:rPr>
  </w:style>
  <w:style w:type="paragraph" w:customStyle="1" w:styleId="TableTextRightBold">
    <w:name w:val="Table Text Right Bold"/>
    <w:basedOn w:val="TableTextRight"/>
    <w:uiPriority w:val="20"/>
    <w:qFormat/>
    <w:rsid w:val="00066D54"/>
    <w:rPr>
      <w:b/>
    </w:rPr>
  </w:style>
  <w:style w:type="paragraph" w:styleId="Bibliography">
    <w:name w:val="Bibliography"/>
    <w:basedOn w:val="Normal"/>
    <w:next w:val="Normal"/>
    <w:uiPriority w:val="39"/>
    <w:unhideWhenUsed/>
    <w:rsid w:val="00DF2134"/>
  </w:style>
  <w:style w:type="character" w:styleId="CommentReference">
    <w:name w:val="annotation reference"/>
    <w:basedOn w:val="DefaultParagraphFont"/>
    <w:semiHidden/>
    <w:unhideWhenUsed/>
    <w:rsid w:val="00CF3C53"/>
    <w:rPr>
      <w:sz w:val="16"/>
      <w:szCs w:val="16"/>
    </w:rPr>
  </w:style>
  <w:style w:type="paragraph" w:styleId="CommentText">
    <w:name w:val="annotation text"/>
    <w:basedOn w:val="Normal"/>
    <w:link w:val="CommentTextChar"/>
    <w:semiHidden/>
    <w:unhideWhenUsed/>
    <w:rsid w:val="00CF3C53"/>
    <w:pPr>
      <w:spacing w:line="240" w:lineRule="auto"/>
    </w:pPr>
    <w:rPr>
      <w:sz w:val="20"/>
      <w:szCs w:val="20"/>
    </w:rPr>
  </w:style>
  <w:style w:type="character" w:customStyle="1" w:styleId="CommentTextChar">
    <w:name w:val="Comment Text Char"/>
    <w:basedOn w:val="DefaultParagraphFont"/>
    <w:link w:val="CommentText"/>
    <w:semiHidden/>
    <w:rsid w:val="00CF3C53"/>
    <w:rPr>
      <w:sz w:val="20"/>
      <w:szCs w:val="20"/>
    </w:rPr>
  </w:style>
  <w:style w:type="paragraph" w:styleId="CommentSubject">
    <w:name w:val="annotation subject"/>
    <w:basedOn w:val="CommentText"/>
    <w:next w:val="CommentText"/>
    <w:link w:val="CommentSubjectChar"/>
    <w:semiHidden/>
    <w:unhideWhenUsed/>
    <w:rsid w:val="00CF3C53"/>
    <w:rPr>
      <w:b/>
      <w:bCs/>
    </w:rPr>
  </w:style>
  <w:style w:type="character" w:customStyle="1" w:styleId="CommentSubjectChar">
    <w:name w:val="Comment Subject Char"/>
    <w:basedOn w:val="CommentTextChar"/>
    <w:link w:val="CommentSubject"/>
    <w:semiHidden/>
    <w:rsid w:val="00CF3C53"/>
    <w:rPr>
      <w:b/>
      <w:bCs/>
      <w:sz w:val="20"/>
      <w:szCs w:val="20"/>
    </w:rPr>
  </w:style>
  <w:style w:type="paragraph" w:styleId="Revision">
    <w:name w:val="Revision"/>
    <w:hidden/>
    <w:uiPriority w:val="99"/>
    <w:semiHidden/>
    <w:rsid w:val="00AB6318"/>
    <w:pPr>
      <w:spacing w:line="240" w:lineRule="auto"/>
    </w:pPr>
  </w:style>
  <w:style w:type="paragraph" w:styleId="ListParagraph">
    <w:name w:val="List Paragraph"/>
    <w:basedOn w:val="Normal"/>
    <w:uiPriority w:val="39"/>
    <w:rsid w:val="000436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44893">
      <w:bodyDiv w:val="1"/>
      <w:marLeft w:val="0"/>
      <w:marRight w:val="0"/>
      <w:marTop w:val="0"/>
      <w:marBottom w:val="0"/>
      <w:divBdr>
        <w:top w:val="none" w:sz="0" w:space="0" w:color="auto"/>
        <w:left w:val="none" w:sz="0" w:space="0" w:color="auto"/>
        <w:bottom w:val="none" w:sz="0" w:space="0" w:color="auto"/>
        <w:right w:val="none" w:sz="0" w:space="0" w:color="auto"/>
      </w:divBdr>
    </w:div>
    <w:div w:id="139347501">
      <w:bodyDiv w:val="1"/>
      <w:marLeft w:val="0"/>
      <w:marRight w:val="0"/>
      <w:marTop w:val="0"/>
      <w:marBottom w:val="0"/>
      <w:divBdr>
        <w:top w:val="none" w:sz="0" w:space="0" w:color="auto"/>
        <w:left w:val="none" w:sz="0" w:space="0" w:color="auto"/>
        <w:bottom w:val="none" w:sz="0" w:space="0" w:color="auto"/>
        <w:right w:val="none" w:sz="0" w:space="0" w:color="auto"/>
      </w:divBdr>
    </w:div>
    <w:div w:id="230234839">
      <w:bodyDiv w:val="1"/>
      <w:marLeft w:val="0"/>
      <w:marRight w:val="0"/>
      <w:marTop w:val="0"/>
      <w:marBottom w:val="0"/>
      <w:divBdr>
        <w:top w:val="none" w:sz="0" w:space="0" w:color="auto"/>
        <w:left w:val="none" w:sz="0" w:space="0" w:color="auto"/>
        <w:bottom w:val="none" w:sz="0" w:space="0" w:color="auto"/>
        <w:right w:val="none" w:sz="0" w:space="0" w:color="auto"/>
      </w:divBdr>
    </w:div>
    <w:div w:id="711274529">
      <w:bodyDiv w:val="1"/>
      <w:marLeft w:val="0"/>
      <w:marRight w:val="0"/>
      <w:marTop w:val="0"/>
      <w:marBottom w:val="0"/>
      <w:divBdr>
        <w:top w:val="none" w:sz="0" w:space="0" w:color="auto"/>
        <w:left w:val="none" w:sz="0" w:space="0" w:color="auto"/>
        <w:bottom w:val="none" w:sz="0" w:space="0" w:color="auto"/>
        <w:right w:val="none" w:sz="0" w:space="0" w:color="auto"/>
      </w:divBdr>
    </w:div>
    <w:div w:id="1638605124">
      <w:bodyDiv w:val="1"/>
      <w:marLeft w:val="0"/>
      <w:marRight w:val="0"/>
      <w:marTop w:val="0"/>
      <w:marBottom w:val="0"/>
      <w:divBdr>
        <w:top w:val="none" w:sz="0" w:space="0" w:color="auto"/>
        <w:left w:val="none" w:sz="0" w:space="0" w:color="auto"/>
        <w:bottom w:val="none" w:sz="0" w:space="0" w:color="auto"/>
        <w:right w:val="none" w:sz="0" w:space="0" w:color="auto"/>
      </w:divBdr>
    </w:div>
    <w:div w:id="202644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PBO v1">
      <a:dk1>
        <a:srgbClr val="000000"/>
      </a:dk1>
      <a:lt1>
        <a:srgbClr val="FFFFFF"/>
      </a:lt1>
      <a:dk2>
        <a:srgbClr val="2B3B5F"/>
      </a:dk2>
      <a:lt2>
        <a:srgbClr val="788184"/>
      </a:lt2>
      <a:accent1>
        <a:srgbClr val="2B3B5F"/>
      </a:accent1>
      <a:accent2>
        <a:srgbClr val="95A4C6"/>
      </a:accent2>
      <a:accent3>
        <a:srgbClr val="D7DDE9"/>
      </a:accent3>
      <a:accent4>
        <a:srgbClr val="751D71"/>
      </a:accent4>
      <a:accent5>
        <a:srgbClr val="B267B3"/>
      </a:accent5>
      <a:accent6>
        <a:srgbClr val="788184"/>
      </a:accent6>
      <a:hlink>
        <a:srgbClr val="000000"/>
      </a:hlink>
      <a:folHlink>
        <a:srgbClr val="000000"/>
      </a:folHlink>
    </a:clrScheme>
    <a:fontScheme name="PBO v1">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Com16</b:Tag>
    <b:SourceType>Report</b:SourceType>
    <b:Guid>{5B4EC681-07DE-47A5-8D75-A81C9B5C55A0}</b:Guid>
    <b:Author>
      <b:Author>
        <b:Corporate>Commonwealth of Australia</b:Corporate>
      </b:Author>
    </b:Author>
    <b:Title>2016-17 Budget</b:Title>
    <b:Year>2016</b:Year>
    <b:Publisher>Commonwealth of Australia</b:Publisher>
    <b:City>Canberra</b:City>
    <b:RefOrder>1</b:RefOrder>
  </b:Source>
</b:Sources>
</file>

<file path=customXml/itemProps1.xml><?xml version="1.0" encoding="utf-8"?>
<ds:datastoreItem xmlns:ds="http://schemas.openxmlformats.org/officeDocument/2006/customXml" ds:itemID="{A46E3640-1687-4FE6-8969-417B9327D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4349</Words>
  <Characters>24793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29084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dc:title>
  <dc:creator>Parliamentary Budget Office</dc:creator>
  <cp:lastModifiedBy>Pratley, Lauren (PBO)</cp:lastModifiedBy>
  <cp:revision>4</cp:revision>
  <cp:lastPrinted>2016-12-05T03:31:00Z</cp:lastPrinted>
  <dcterms:created xsi:type="dcterms:W3CDTF">2017-08-25T01:20:00Z</dcterms:created>
  <dcterms:modified xsi:type="dcterms:W3CDTF">2017-09-01T05:52:00Z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Status">
    <vt:lpwstr/>
  </property>
  <property fmtid="{D5CDD505-2E9C-101B-9397-08002B2CF9AE}" pid="3" name="xTOCH2">
    <vt:lpwstr>Y</vt:lpwstr>
  </property>
  <property fmtid="{D5CDD505-2E9C-101B-9397-08002B2CF9AE}" pid="4" name="xTOCH3">
    <vt:lpwstr>N</vt:lpwstr>
  </property>
  <property fmtid="{D5CDD505-2E9C-101B-9397-08002B2CF9AE}" pid="5" name="xTOCTable">
    <vt:lpwstr>H</vt:lpwstr>
  </property>
  <property fmtid="{D5CDD505-2E9C-101B-9397-08002B2CF9AE}" pid="6" name="xTOCFigure">
    <vt:lpwstr>H</vt:lpwstr>
  </property>
  <property fmtid="{D5CDD505-2E9C-101B-9397-08002B2CF9AE}" pid="7" name="xTOCApp">
    <vt:lpwstr>H</vt:lpwstr>
  </property>
  <property fmtid="{D5CDD505-2E9C-101B-9397-08002B2CF9AE}" pid="8" name="xNumberedBodyText">
    <vt:lpwstr>False</vt:lpwstr>
  </property>
  <property fmtid="{D5CDD505-2E9C-101B-9397-08002B2CF9AE}" pid="9" name="xCR">
    <vt:lpwstr>Heading</vt:lpwstr>
  </property>
  <property fmtid="{D5CDD505-2E9C-101B-9397-08002B2CF9AE}" pid="10" name="xHeadingsNumbered">
    <vt:lpwstr>0</vt:lpwstr>
  </property>
  <property fmtid="{D5CDD505-2E9C-101B-9397-08002B2CF9AE}" pid="11" name="xAppendixName">
    <vt:lpwstr>Attachment</vt:lpwstr>
  </property>
  <property fmtid="{D5CDD505-2E9C-101B-9397-08002B2CF9AE}" pid="12" name="_MarkAsFinal">
    <vt:bool>true</vt:bool>
  </property>
</Properties>
</file>