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E0" w:rsidRPr="00A96E98" w:rsidRDefault="005D5EE0" w:rsidP="005F0AA6">
      <w:pPr>
        <w:pStyle w:val="Heading1spacebefore"/>
        <w:tabs>
          <w:tab w:val="left" w:pos="2694"/>
        </w:tabs>
        <w:spacing w:before="480" w:after="240"/>
        <w:rPr>
          <w:sz w:val="32"/>
        </w:rPr>
      </w:pPr>
      <w:bookmarkStart w:id="0" w:name="_GoBack"/>
      <w:bookmarkEnd w:id="0"/>
      <w:r w:rsidRPr="00A96E98">
        <w:rPr>
          <w:sz w:val="32"/>
        </w:rPr>
        <w:t xml:space="preserve">Request for </w:t>
      </w:r>
      <w:r w:rsidR="002E5FC5" w:rsidRPr="00A96E98">
        <w:rPr>
          <w:sz w:val="32"/>
        </w:rPr>
        <w:t>b</w:t>
      </w:r>
      <w:r w:rsidRPr="00A96E98">
        <w:rPr>
          <w:sz w:val="32"/>
        </w:rPr>
        <w:t xml:space="preserve">udget </w:t>
      </w:r>
      <w:r w:rsidR="002E5FC5" w:rsidRPr="00A96E98">
        <w:rPr>
          <w:sz w:val="32"/>
        </w:rPr>
        <w:t>a</w:t>
      </w:r>
      <w:r w:rsidRPr="00A96E98">
        <w:rPr>
          <w:sz w:val="32"/>
        </w:rPr>
        <w:t>nalysis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629"/>
        <w:gridCol w:w="2820"/>
        <w:gridCol w:w="2822"/>
      </w:tblGrid>
      <w:tr w:rsidR="00AA478E" w:rsidRPr="008D77AF" w:rsidTr="00993822">
        <w:tc>
          <w:tcPr>
            <w:tcW w:w="5000" w:type="pct"/>
            <w:gridSpan w:val="3"/>
            <w:shd w:val="clear" w:color="auto" w:fill="A7B2D4" w:themeFill="background2" w:themeFillTint="66"/>
          </w:tcPr>
          <w:p w:rsidR="00AA478E" w:rsidRPr="008D77AF" w:rsidRDefault="00FC71C5" w:rsidP="00013620">
            <w:pPr>
              <w:pStyle w:val="Nameofproposal"/>
            </w:pPr>
            <w:r w:rsidRPr="002D745C">
              <w:t>Personal Income Tax Plan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Person/party requesting the </w:t>
            </w:r>
            <w:r w:rsidR="005D5EE0" w:rsidRPr="004F1362">
              <w:t>analysis</w:t>
            </w:r>
            <w:r w:rsidRPr="004F1362">
              <w:t>:</w:t>
            </w:r>
          </w:p>
        </w:tc>
        <w:tc>
          <w:tcPr>
            <w:tcW w:w="3043" w:type="pct"/>
            <w:gridSpan w:val="2"/>
            <w:tcBorders>
              <w:bottom w:val="single" w:sz="8" w:space="0" w:color="788183" w:themeColor="accent6"/>
            </w:tcBorders>
          </w:tcPr>
          <w:p w:rsidR="00AA478E" w:rsidRPr="004F1362" w:rsidRDefault="00FC71C5" w:rsidP="004F1362">
            <w:pPr>
              <w:pStyle w:val="BodyText"/>
            </w:pPr>
            <w:r>
              <w:t>Senator Chris Ketter, Chair – Senate Economics References Committee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Date </w:t>
            </w:r>
            <w:r w:rsidR="005D5EE0" w:rsidRPr="004F1362">
              <w:t>analysis</w:t>
            </w:r>
            <w:r w:rsidRPr="004F1362">
              <w:t xml:space="preserve"> completed:</w:t>
            </w:r>
          </w:p>
        </w:tc>
        <w:tc>
          <w:tcPr>
            <w:tcW w:w="3043" w:type="pct"/>
            <w:gridSpan w:val="2"/>
          </w:tcPr>
          <w:p w:rsidR="00AA478E" w:rsidRPr="004F1362" w:rsidRDefault="00FA028F">
            <w:pPr>
              <w:pStyle w:val="BodyText"/>
            </w:pPr>
            <w:r w:rsidRPr="00EE3080">
              <w:t>2</w:t>
            </w:r>
            <w:r>
              <w:t>6</w:t>
            </w:r>
            <w:r w:rsidRPr="00EE3080">
              <w:t xml:space="preserve"> </w:t>
            </w:r>
            <w:r w:rsidR="00FC71C5" w:rsidRPr="00EE3080">
              <w:t>June 2019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Expiry date of the </w:t>
            </w:r>
            <w:r w:rsidR="005D5EE0" w:rsidRPr="004F1362">
              <w:t>analysis</w:t>
            </w:r>
            <w:r w:rsidRPr="004F1362">
              <w:t>:</w:t>
            </w:r>
          </w:p>
        </w:tc>
        <w:tc>
          <w:tcPr>
            <w:tcW w:w="3043" w:type="pct"/>
            <w:gridSpan w:val="2"/>
          </w:tcPr>
          <w:p w:rsidR="00AA478E" w:rsidRPr="004F1362" w:rsidRDefault="00AA478E" w:rsidP="002C45D1">
            <w:pPr>
              <w:pStyle w:val="BodyText"/>
            </w:pPr>
            <w:r w:rsidRPr="004F1362">
              <w:t>Release of the next economic and fiscal outlook report.</w:t>
            </w:r>
          </w:p>
        </w:tc>
      </w:tr>
      <w:tr w:rsidR="005D5EE0" w:rsidRPr="008D77AF" w:rsidTr="005D5EE0">
        <w:tc>
          <w:tcPr>
            <w:tcW w:w="1957" w:type="pct"/>
          </w:tcPr>
          <w:p w:rsidR="005D5EE0" w:rsidRPr="004F1362" w:rsidRDefault="005D5EE0" w:rsidP="004F1362">
            <w:pPr>
              <w:pStyle w:val="BodyText"/>
            </w:pPr>
            <w:r w:rsidRPr="004F1362">
              <w:t>Status at time of request:</w:t>
            </w:r>
          </w:p>
        </w:tc>
        <w:tc>
          <w:tcPr>
            <w:tcW w:w="1521" w:type="pct"/>
            <w:tcBorders>
              <w:right w:val="nil"/>
            </w:tcBorders>
          </w:tcPr>
          <w:p w:rsidR="005D5EE0" w:rsidRPr="004F1362" w:rsidRDefault="005C2504" w:rsidP="004F1362">
            <w:pPr>
              <w:pStyle w:val="BodyText"/>
            </w:pPr>
            <w:sdt>
              <w:sdtPr>
                <w:id w:val="1782758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5EE0" w:rsidRPr="004F1362">
              <w:t xml:space="preserve"> Confidential</w:t>
            </w:r>
          </w:p>
        </w:tc>
        <w:tc>
          <w:tcPr>
            <w:tcW w:w="1522" w:type="pct"/>
            <w:tcBorders>
              <w:left w:val="nil"/>
            </w:tcBorders>
          </w:tcPr>
          <w:p w:rsidR="005D5EE0" w:rsidRPr="004F1362" w:rsidRDefault="005C2504" w:rsidP="004F1362">
            <w:pPr>
              <w:pStyle w:val="BodyText"/>
            </w:pPr>
            <w:sdt>
              <w:sdtPr>
                <w:id w:val="-2196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EE0" w:rsidRPr="004F13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5EE0" w:rsidRPr="004F1362">
              <w:t xml:space="preserve"> Not confidential</w:t>
            </w:r>
          </w:p>
        </w:tc>
      </w:tr>
      <w:tr w:rsidR="00AA478E" w:rsidRPr="008D77AF" w:rsidTr="00013620">
        <w:tc>
          <w:tcPr>
            <w:tcW w:w="5000" w:type="pct"/>
            <w:gridSpan w:val="3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Summary of </w:t>
            </w:r>
            <w:r w:rsidR="001775EA">
              <w:t>request</w:t>
            </w:r>
            <w:r w:rsidRPr="004F1362">
              <w:t>:</w:t>
            </w:r>
          </w:p>
          <w:p w:rsidR="00FC71C5" w:rsidRDefault="00FC71C5" w:rsidP="00FC71C5">
            <w:pPr>
              <w:pStyle w:val="BodyText"/>
            </w:pPr>
            <w:r w:rsidRPr="00764D00">
              <w:t xml:space="preserve">The request sought the </w:t>
            </w:r>
            <w:r>
              <w:t xml:space="preserve">financial implications of </w:t>
            </w:r>
            <w:r w:rsidRPr="00764D00">
              <w:t xml:space="preserve">the 2018-19 Budget measure </w:t>
            </w:r>
            <w:r w:rsidRPr="00764D00">
              <w:rPr>
                <w:i/>
              </w:rPr>
              <w:t>Personal Income Tax Plan</w:t>
            </w:r>
            <w:r w:rsidRPr="00764D00">
              <w:t xml:space="preserve"> and the 2019-20 Budget measure </w:t>
            </w:r>
            <w:r w:rsidRPr="00764D00">
              <w:rPr>
                <w:i/>
              </w:rPr>
              <w:t>Lower taxes for hard</w:t>
            </w:r>
            <w:r w:rsidRPr="00764D00">
              <w:rPr>
                <w:i/>
              </w:rPr>
              <w:noBreakHyphen/>
              <w:t>working Australians: Building on the Personal Income Tax Plan</w:t>
            </w:r>
            <w:r w:rsidRPr="005E0CA0">
              <w:t>,</w:t>
            </w:r>
            <w:r>
              <w:t xml:space="preserve"> by component and start date</w:t>
            </w:r>
            <w:r w:rsidRPr="00764D00">
              <w:t xml:space="preserve">.  </w:t>
            </w:r>
          </w:p>
          <w:p w:rsidR="008E5535" w:rsidRDefault="008E5535" w:rsidP="008E5535">
            <w:pPr>
              <w:pStyle w:val="BodyText"/>
            </w:pPr>
            <w:r>
              <w:t>The components of the 2018-19 Budget measure are as follows:</w:t>
            </w:r>
          </w:p>
          <w:p w:rsidR="008E5535" w:rsidRDefault="008E5535">
            <w:pPr>
              <w:pStyle w:val="ListBullet"/>
            </w:pPr>
            <w:r>
              <w:t xml:space="preserve">Introduce the low and middle income tax offset (LMITO) of up to $530 for individuals with taxable incomes up to $125,333 for the 2018-19, 2019-20, 2020-21 and 2021-22 income years.  </w:t>
            </w:r>
          </w:p>
          <w:p w:rsidR="008E5535" w:rsidRDefault="008E5535" w:rsidP="008E5535">
            <w:pPr>
              <w:pStyle w:val="ListBullet"/>
            </w:pPr>
            <w:r>
              <w:t xml:space="preserve">Increase the upper threshold for the 32.5 per cent marginal tax rate from $87,000 to $90,000 from 1 July 2018. </w:t>
            </w:r>
          </w:p>
          <w:p w:rsidR="008E5535" w:rsidRDefault="008E5535" w:rsidP="008E5535">
            <w:pPr>
              <w:pStyle w:val="ListBullet"/>
            </w:pPr>
            <w:r>
              <w:t xml:space="preserve">Increase the upper threshold for the 32.5 per cent marginal tax rate from $90,000 to $120,000 from 1 July 2022. </w:t>
            </w:r>
          </w:p>
          <w:p w:rsidR="008E5535" w:rsidRDefault="008E5535" w:rsidP="008E5535">
            <w:pPr>
              <w:pStyle w:val="ListBullet"/>
            </w:pPr>
            <w:r>
              <w:t xml:space="preserve">Increase the upper threshold for the 19 per cent marginal tax rate from $37,000 to $41,000 from 1 July 2022.  </w:t>
            </w:r>
          </w:p>
          <w:p w:rsidR="008E5535" w:rsidRDefault="008E5535" w:rsidP="008E5535">
            <w:pPr>
              <w:pStyle w:val="ListBullet"/>
            </w:pPr>
            <w:r>
              <w:t xml:space="preserve">Increase the low income tax offset (LITO) from $445 to $645 for taxable incomes up to $66,667 from 1 July 2022. </w:t>
            </w:r>
          </w:p>
          <w:p w:rsidR="008E5535" w:rsidRDefault="008E5535">
            <w:pPr>
              <w:pStyle w:val="ListBullet"/>
            </w:pPr>
            <w:r>
              <w:t>Remove the 37 per cent marginal tax rate, and increase the lower threshold for the 45 per cent tax bracket from $180,000 to $200,000</w:t>
            </w:r>
            <w:r w:rsidRPr="001236CC">
              <w:t xml:space="preserve"> from 1 July 2024. </w:t>
            </w:r>
          </w:p>
          <w:p w:rsidR="00FC71C5" w:rsidRDefault="00FC71C5" w:rsidP="00FC71C5">
            <w:pPr>
              <w:pStyle w:val="BodyText"/>
            </w:pPr>
            <w:r>
              <w:t xml:space="preserve">The components of the 2019-20 Budget </w:t>
            </w:r>
            <w:r w:rsidR="004E6FAD">
              <w:t>measure</w:t>
            </w:r>
            <w:r>
              <w:t xml:space="preserve"> are as follows:</w:t>
            </w:r>
          </w:p>
          <w:p w:rsidR="008E5535" w:rsidRDefault="008E5535" w:rsidP="008B52AC">
            <w:pPr>
              <w:pStyle w:val="ListBullet"/>
            </w:pPr>
            <w:r>
              <w:t xml:space="preserve">Increase the LMITO maximum amount from $530 to $1,080 and increase the base amount from $200 to $255 per annum for the 2018-19, 2019-20, 2020-21 and 2021-22 income years. </w:t>
            </w:r>
          </w:p>
          <w:p w:rsidR="00FC71C5" w:rsidRDefault="00FC71C5" w:rsidP="00FC71C5">
            <w:pPr>
              <w:pStyle w:val="ListBullet"/>
            </w:pPr>
            <w:r>
              <w:t>Increase the upper threshold for the 19 per cent marginal tax rate from $41,000 to $45,000 from 1</w:t>
            </w:r>
            <w:r w:rsidR="008E5535">
              <w:t> </w:t>
            </w:r>
            <w:r>
              <w:t>July</w:t>
            </w:r>
            <w:r w:rsidR="008E5535">
              <w:t> </w:t>
            </w:r>
            <w:r>
              <w:t xml:space="preserve">2022. </w:t>
            </w:r>
          </w:p>
          <w:p w:rsidR="00FC71C5" w:rsidRDefault="00FC71C5" w:rsidP="00FC71C5">
            <w:pPr>
              <w:pStyle w:val="ListBullet"/>
            </w:pPr>
            <w:r>
              <w:t xml:space="preserve">Increase LITO from $645 to $700 from 1 July 2022. </w:t>
            </w:r>
          </w:p>
          <w:p w:rsidR="008E5535" w:rsidRDefault="008E5535">
            <w:pPr>
              <w:pStyle w:val="ListBullet"/>
            </w:pPr>
            <w:r>
              <w:t xml:space="preserve">Decrease the 32.5 per cent marginal tax rate to 30 per cent from 1 July 2024.  </w:t>
            </w:r>
          </w:p>
          <w:p w:rsidR="00FC71C5" w:rsidRPr="004F1362" w:rsidRDefault="00FC71C5" w:rsidP="009834FB">
            <w:pPr>
              <w:pStyle w:val="BodyText"/>
            </w:pPr>
            <w:r w:rsidRPr="002C6145">
              <w:t xml:space="preserve">The request also sought </w:t>
            </w:r>
            <w:r w:rsidR="002C6145" w:rsidRPr="002C6145">
              <w:t xml:space="preserve">the </w:t>
            </w:r>
            <w:r w:rsidR="00A07CCF">
              <w:t xml:space="preserve">annual </w:t>
            </w:r>
            <w:r w:rsidR="002C6145" w:rsidRPr="002C6145">
              <w:t>aggregate cost f</w:t>
            </w:r>
            <w:r w:rsidR="00A07CCF">
              <w:t>or</w:t>
            </w:r>
            <w:r w:rsidR="002C6145" w:rsidRPr="002C6145">
              <w:t xml:space="preserve"> </w:t>
            </w:r>
            <w:r w:rsidR="00A07CCF">
              <w:t>each Budget</w:t>
            </w:r>
            <w:r w:rsidR="00A07CCF" w:rsidRPr="002C6145">
              <w:t xml:space="preserve"> </w:t>
            </w:r>
            <w:r w:rsidR="002C6145" w:rsidRPr="002C6145">
              <w:t xml:space="preserve">measure </w:t>
            </w:r>
            <w:r w:rsidR="009834FB">
              <w:t xml:space="preserve">relating to </w:t>
            </w:r>
            <w:r w:rsidR="002C6145" w:rsidRPr="002C6145">
              <w:t>individuals with taxable incomes greater than $180,000</w:t>
            </w:r>
            <w:r w:rsidR="00A07CCF">
              <w:t xml:space="preserve"> in each year</w:t>
            </w:r>
            <w:r w:rsidR="002C6145" w:rsidRPr="002C6145">
              <w:t>.</w:t>
            </w:r>
            <w:r w:rsidR="002C6145">
              <w:t xml:space="preserve">  </w:t>
            </w:r>
          </w:p>
        </w:tc>
      </w:tr>
    </w:tbl>
    <w:p w:rsidR="00AA478E" w:rsidRPr="00A96E98" w:rsidRDefault="005D5EE0" w:rsidP="00AA478E">
      <w:pPr>
        <w:pStyle w:val="Heading1"/>
      </w:pPr>
      <w:r w:rsidRPr="00A96E98">
        <w:lastRenderedPageBreak/>
        <w:t>O</w:t>
      </w:r>
      <w:r w:rsidR="00AA478E" w:rsidRPr="00A96E98">
        <w:t>verview</w:t>
      </w:r>
    </w:p>
    <w:p w:rsidR="00FC71C5" w:rsidRDefault="00FC71C5" w:rsidP="009A35CF">
      <w:pPr>
        <w:pStyle w:val="BodyText"/>
        <w:keepLines/>
      </w:pPr>
      <w:r>
        <w:t xml:space="preserve">The </w:t>
      </w:r>
      <w:r w:rsidR="004E6FAD">
        <w:t xml:space="preserve">detailed </w:t>
      </w:r>
      <w:r>
        <w:t>financial implications of</w:t>
      </w:r>
      <w:r w:rsidR="004E6FAD">
        <w:t xml:space="preserve"> each component of</w:t>
      </w:r>
      <w:r>
        <w:t xml:space="preserve"> the 2018-19 Budget measure </w:t>
      </w:r>
      <w:r>
        <w:rPr>
          <w:i/>
        </w:rPr>
        <w:t>Personal Income Tax Plan</w:t>
      </w:r>
      <w:r>
        <w:t xml:space="preserve"> and the 2019</w:t>
      </w:r>
      <w:r>
        <w:noBreakHyphen/>
        <w:t xml:space="preserve">20 Budget </w:t>
      </w:r>
      <w:r w:rsidR="009834FB">
        <w:t xml:space="preserve">measure </w:t>
      </w:r>
      <w:r>
        <w:rPr>
          <w:i/>
        </w:rPr>
        <w:t>Lower taxes for hard-working Australians: Building on the Personal Income Tax Plan</w:t>
      </w:r>
      <w:r>
        <w:t xml:space="preserve"> are provided at </w:t>
      </w:r>
      <w:r>
        <w:rPr>
          <w:u w:val="single"/>
        </w:rPr>
        <w:t>Attachment A</w:t>
      </w:r>
      <w:r>
        <w:t xml:space="preserve">.  </w:t>
      </w:r>
      <w:r w:rsidR="00847174">
        <w:t>The 2019 </w:t>
      </w:r>
      <w:r w:rsidR="00847174" w:rsidRPr="006F4FE6">
        <w:t>Pre</w:t>
      </w:r>
      <w:r w:rsidR="00847174" w:rsidRPr="006F4FE6">
        <w:noBreakHyphen/>
        <w:t>elect</w:t>
      </w:r>
      <w:r w:rsidR="00847174">
        <w:t xml:space="preserve">ion Economic and Fiscal Outlook </w:t>
      </w:r>
      <w:r w:rsidR="00711825">
        <w:t xml:space="preserve">(PEFO) </w:t>
      </w:r>
      <w:r w:rsidR="00847174">
        <w:t>baseline assumes that t</w:t>
      </w:r>
      <w:r w:rsidR="00A30572">
        <w:t xml:space="preserve">he immediate relief to low- and middle-income earners component of the </w:t>
      </w:r>
      <w:r w:rsidR="00A30572" w:rsidRPr="00084B86">
        <w:rPr>
          <w:i/>
        </w:rPr>
        <w:t>Lower taxes for hard-working Australians: Building on the Personal Income Tax Plan</w:t>
      </w:r>
      <w:r w:rsidR="00A30572">
        <w:t xml:space="preserve"> measure </w:t>
      </w:r>
      <w:r w:rsidR="00847174">
        <w:t xml:space="preserve">can be </w:t>
      </w:r>
      <w:r w:rsidR="00A30572">
        <w:t>passed prior to 1 July 2019</w:t>
      </w:r>
      <w:r w:rsidR="00847174">
        <w:t xml:space="preserve">. </w:t>
      </w:r>
      <w:r w:rsidR="00A30572">
        <w:t xml:space="preserve"> </w:t>
      </w:r>
      <w:r w:rsidR="00847174">
        <w:t>T</w:t>
      </w:r>
      <w:r w:rsidR="00A30572">
        <w:t xml:space="preserve">he </w:t>
      </w:r>
      <w:r w:rsidR="00CC6EE4">
        <w:t>Parliamentary</w:t>
      </w:r>
      <w:r w:rsidR="00847174">
        <w:t xml:space="preserve"> Budget Office </w:t>
      </w:r>
      <w:r w:rsidR="009834FB">
        <w:t xml:space="preserve">(PBO) </w:t>
      </w:r>
      <w:r w:rsidR="00847174">
        <w:t xml:space="preserve">has not </w:t>
      </w:r>
      <w:r w:rsidR="00A30572">
        <w:t>reassessed</w:t>
      </w:r>
      <w:r w:rsidR="00847174">
        <w:t xml:space="preserve"> the cost for any delay</w:t>
      </w:r>
      <w:r w:rsidR="009834FB">
        <w:t>,</w:t>
      </w:r>
      <w:r w:rsidR="00711825">
        <w:t xml:space="preserve"> consistent with the PEFO baseline</w:t>
      </w:r>
      <w:r w:rsidR="00A30572">
        <w:t>.</w:t>
      </w:r>
    </w:p>
    <w:p w:rsidR="00FC71C5" w:rsidRPr="00AB72B6" w:rsidRDefault="002C6145" w:rsidP="00FC71C5">
      <w:pPr>
        <w:pStyle w:val="BodyText"/>
        <w:keepLines/>
      </w:pPr>
      <w:r>
        <w:t>The aggregate cost of the budget measure</w:t>
      </w:r>
      <w:r w:rsidR="009834FB">
        <w:t>s</w:t>
      </w:r>
      <w:r>
        <w:t xml:space="preserve"> </w:t>
      </w:r>
      <w:r w:rsidR="009834FB">
        <w:t xml:space="preserve">relating to </w:t>
      </w:r>
      <w:r>
        <w:t xml:space="preserve">individuals with taxable incomes greater than $180,000 </w:t>
      </w:r>
      <w:r w:rsidR="009834FB">
        <w:t xml:space="preserve">is </w:t>
      </w:r>
      <w:r>
        <w:t xml:space="preserve">provided at </w:t>
      </w:r>
      <w:r>
        <w:rPr>
          <w:u w:val="single"/>
        </w:rPr>
        <w:t>Attachment B</w:t>
      </w:r>
      <w:r>
        <w:t>.</w:t>
      </w:r>
    </w:p>
    <w:p w:rsidR="006F4DB8" w:rsidRDefault="00FC71C5" w:rsidP="00DC1346">
      <w:pPr>
        <w:pStyle w:val="BodyText"/>
      </w:pPr>
      <w:r>
        <w:t>The estimates are subject to uncertainties around income and population growth</w:t>
      </w:r>
      <w:r w:rsidRPr="008B7EF0">
        <w:t xml:space="preserve">.  </w:t>
      </w:r>
      <w:r w:rsidR="0057078F">
        <w:t xml:space="preserve">This is particularly the case for estimates of the budget impact </w:t>
      </w:r>
      <w:r w:rsidR="009834FB">
        <w:t xml:space="preserve">relating to </w:t>
      </w:r>
      <w:r w:rsidR="0057078F">
        <w:t xml:space="preserve">individuals with taxable incomes </w:t>
      </w:r>
      <w:r w:rsidR="004201DC">
        <w:t>above</w:t>
      </w:r>
      <w:r w:rsidR="0057078F">
        <w:t xml:space="preserve"> $180,000, as income growth </w:t>
      </w:r>
      <w:r w:rsidR="009834FB">
        <w:t xml:space="preserve">increases the </w:t>
      </w:r>
      <w:r w:rsidR="0057078F">
        <w:t xml:space="preserve">proportion of taxpayers earning </w:t>
      </w:r>
      <w:r w:rsidR="004201DC">
        <w:t>above</w:t>
      </w:r>
      <w:r w:rsidR="0057078F">
        <w:t xml:space="preserve"> $180,000 over time</w:t>
      </w:r>
      <w:r w:rsidR="00AB72B6">
        <w:t xml:space="preserve"> (this is shown in a memorandum item in </w:t>
      </w:r>
      <w:r w:rsidR="00AB72B6">
        <w:rPr>
          <w:u w:val="single"/>
        </w:rPr>
        <w:t>Attachment B</w:t>
      </w:r>
      <w:r w:rsidR="00AB72B6">
        <w:t>)</w:t>
      </w:r>
      <w:r w:rsidR="0057078F">
        <w:t>.</w:t>
      </w:r>
    </w:p>
    <w:p w:rsidR="008C788F" w:rsidRDefault="002A65EE" w:rsidP="008C788F">
      <w:pPr>
        <w:pStyle w:val="Heading1"/>
      </w:pPr>
      <w:r>
        <w:t>Key a</w:t>
      </w:r>
      <w:r w:rsidR="008C788F">
        <w:t>ssumptions</w:t>
      </w:r>
    </w:p>
    <w:p w:rsidR="008C788F" w:rsidRDefault="008C788F" w:rsidP="008C788F">
      <w:pPr>
        <w:pStyle w:val="BodyText"/>
      </w:pPr>
      <w:r>
        <w:t>The PBO has made the following assumptions in assessing the financial implications of the budget measures:</w:t>
      </w:r>
    </w:p>
    <w:p w:rsidR="008C788F" w:rsidRDefault="008C788F" w:rsidP="008C788F">
      <w:pPr>
        <w:pStyle w:val="ListBullet"/>
      </w:pPr>
      <w:r>
        <w:t>There would be no significant behavioural response associated with the measures, including to the supply of labour.</w:t>
      </w:r>
    </w:p>
    <w:p w:rsidR="008C788F" w:rsidRDefault="008C788F" w:rsidP="008C788F">
      <w:pPr>
        <w:pStyle w:val="ListBullet2"/>
      </w:pPr>
      <w:r>
        <w:t>High income earners can often adjust their taxable income in response to changes in the marginal tax rates.</w:t>
      </w:r>
      <w:r>
        <w:rPr>
          <w:rStyle w:val="FootnoteReference"/>
        </w:rPr>
        <w:footnoteReference w:id="1"/>
      </w:r>
      <w:r>
        <w:t xml:space="preserve">  The budget measure</w:t>
      </w:r>
      <w:r w:rsidR="009E4485">
        <w:t>s</w:t>
      </w:r>
      <w:r>
        <w:t xml:space="preserve"> do not change the marginal tax rate for those with a taxable income greater than $200,000, therefore suggesting that any adjustment to taxable income is likely to be small.</w:t>
      </w:r>
    </w:p>
    <w:p w:rsidR="008C788F" w:rsidRDefault="008C788F" w:rsidP="008C788F">
      <w:pPr>
        <w:pStyle w:val="ListBullet2"/>
      </w:pPr>
      <w:r>
        <w:t>Studies indicate that some people will choose to work more in response to a lower marginal tax rate, while others will work less.</w:t>
      </w:r>
      <w:r>
        <w:rPr>
          <w:rStyle w:val="FootnoteReference"/>
        </w:rPr>
        <w:footnoteReference w:id="2"/>
      </w:r>
      <w:r>
        <w:t xml:space="preserve">  There is considerable uncertainty regarding the direction, magnitude and timing of the effect this proposal would have on labour supply.</w:t>
      </w:r>
    </w:p>
    <w:p w:rsidR="008C788F" w:rsidRDefault="008C788F" w:rsidP="008C788F">
      <w:pPr>
        <w:pStyle w:val="ListBullet"/>
      </w:pPr>
      <w:r>
        <w:t xml:space="preserve">Income from salary and wages, dividends, gross interest, net capital gains and other forms of income would grow in line with the 2019 </w:t>
      </w:r>
      <w:r w:rsidRPr="006F4FE6">
        <w:t>Pre</w:t>
      </w:r>
      <w:r w:rsidRPr="006F4FE6">
        <w:noBreakHyphen/>
        <w:t>elect</w:t>
      </w:r>
      <w:r>
        <w:t xml:space="preserve">ion Economic and Fiscal Outlook (PEFO) parameters.   </w:t>
      </w:r>
    </w:p>
    <w:p w:rsidR="008C788F" w:rsidRPr="001D0C45" w:rsidRDefault="008C788F" w:rsidP="008C788F">
      <w:pPr>
        <w:pStyle w:val="ListBullet2"/>
      </w:pPr>
      <w:r>
        <w:t>Wages and salaries would grow at the same rate across the income distribution.</w:t>
      </w:r>
    </w:p>
    <w:p w:rsidR="005467E2" w:rsidRDefault="00FE3B13" w:rsidP="004F1362">
      <w:pPr>
        <w:pStyle w:val="Heading1"/>
      </w:pPr>
      <w:r>
        <w:t>Methodology</w:t>
      </w:r>
    </w:p>
    <w:p w:rsidR="005E6E10" w:rsidRDefault="00FC71C5" w:rsidP="00FC71C5">
      <w:pPr>
        <w:pStyle w:val="ListBullet"/>
      </w:pPr>
      <w:r>
        <w:t xml:space="preserve">The financial implications, by component, of the 2019-20 Budget measure </w:t>
      </w:r>
      <w:r>
        <w:rPr>
          <w:i/>
        </w:rPr>
        <w:t>Lower taxes for hard</w:t>
      </w:r>
      <w:r w:rsidR="00EB5EEC">
        <w:rPr>
          <w:i/>
        </w:rPr>
        <w:noBreakHyphen/>
      </w:r>
      <w:r>
        <w:rPr>
          <w:i/>
        </w:rPr>
        <w:t>working Australians: Building on the Personal Income Tax Plan</w:t>
      </w:r>
      <w:r>
        <w:t xml:space="preserve"> and the 2018-19 Budget measure </w:t>
      </w:r>
      <w:r>
        <w:rPr>
          <w:i/>
        </w:rPr>
        <w:t>Personal Income Tax Plan</w:t>
      </w:r>
      <w:r>
        <w:t xml:space="preserve"> were estimated using a 16 per cent sample of de-identified personal income tax and superannuation data for 2016-17 provided by the Aus</w:t>
      </w:r>
      <w:r w:rsidR="005E6E10">
        <w:t>tralian Taxation Office (ATO).</w:t>
      </w:r>
    </w:p>
    <w:p w:rsidR="005E6E10" w:rsidRDefault="005E6E10" w:rsidP="002050DE">
      <w:pPr>
        <w:pStyle w:val="ListBullet2"/>
        <w:spacing w:before="100" w:after="100"/>
      </w:pPr>
      <w:r>
        <w:lastRenderedPageBreak/>
        <w:t xml:space="preserve">The 16 per cent sample was used to estimate the number of individuals and their respective taxable incomes over the </w:t>
      </w:r>
      <w:r w:rsidR="00DB003D">
        <w:t xml:space="preserve">2019-20 Budget </w:t>
      </w:r>
      <w:r>
        <w:t xml:space="preserve">forward estimates period and </w:t>
      </w:r>
      <w:r w:rsidR="00DB003D">
        <w:t>the period to 2029</w:t>
      </w:r>
      <w:r w:rsidR="00DB003D">
        <w:noBreakHyphen/>
        <w:t>30</w:t>
      </w:r>
      <w:r>
        <w:t>.</w:t>
      </w:r>
      <w:r w:rsidR="00C60B9C">
        <w:rPr>
          <w:rStyle w:val="FootnoteReference"/>
        </w:rPr>
        <w:footnoteReference w:id="3"/>
      </w:r>
      <w:r>
        <w:t xml:space="preserve"> </w:t>
      </w:r>
    </w:p>
    <w:p w:rsidR="00FC71C5" w:rsidRDefault="00A356BC" w:rsidP="002050DE">
      <w:pPr>
        <w:pStyle w:val="ListBullet2"/>
        <w:spacing w:before="100" w:after="100"/>
      </w:pPr>
      <w:r>
        <w:t xml:space="preserve">The sample is benchmarked to </w:t>
      </w:r>
      <w:r w:rsidR="006958AD">
        <w:t xml:space="preserve">PEFO </w:t>
      </w:r>
      <w:r>
        <w:t xml:space="preserve">projections of </w:t>
      </w:r>
      <w:r w:rsidR="001D542E">
        <w:t xml:space="preserve">the number of </w:t>
      </w:r>
      <w:r>
        <w:t xml:space="preserve">personal income tax filers over the </w:t>
      </w:r>
      <w:r w:rsidR="008C788F">
        <w:t xml:space="preserve">2019-20 Budget </w:t>
      </w:r>
      <w:r>
        <w:t xml:space="preserve">forward estimates period and </w:t>
      </w:r>
      <w:r w:rsidR="008C788F">
        <w:t xml:space="preserve">the </w:t>
      </w:r>
      <w:r>
        <w:t>medium</w:t>
      </w:r>
      <w:r w:rsidR="008C788F">
        <w:t xml:space="preserve"> </w:t>
      </w:r>
      <w:r>
        <w:t xml:space="preserve">term. </w:t>
      </w:r>
    </w:p>
    <w:p w:rsidR="00260951" w:rsidRDefault="00260951" w:rsidP="002050DE">
      <w:pPr>
        <w:pStyle w:val="ListBullet2"/>
        <w:spacing w:before="100" w:after="100"/>
      </w:pPr>
      <w:r>
        <w:t xml:space="preserve">These data were used to estimate the change in tax payable for each component.  </w:t>
      </w:r>
    </w:p>
    <w:p w:rsidR="00DC1346" w:rsidRDefault="00A356BC" w:rsidP="002050DE">
      <w:pPr>
        <w:pStyle w:val="ListBullet"/>
        <w:spacing w:before="100" w:after="100"/>
      </w:pPr>
      <w:r>
        <w:t>The estimate of the financial implications by taxable income above $180,000,</w:t>
      </w:r>
      <w:r w:rsidR="001D542E">
        <w:t xml:space="preserve"> presented in </w:t>
      </w:r>
      <w:r w:rsidR="001D542E">
        <w:rPr>
          <w:u w:val="single"/>
        </w:rPr>
        <w:t>Attachment B</w:t>
      </w:r>
      <w:r w:rsidR="00DB003D" w:rsidRPr="00330795">
        <w:t>,</w:t>
      </w:r>
      <w:r>
        <w:t xml:space="preserve"> is based on the distribution underpinning the analysis of the financial implications of the budget measure</w:t>
      </w:r>
      <w:r w:rsidR="009E4485">
        <w:t>s</w:t>
      </w:r>
      <w:r w:rsidR="00D216A7">
        <w:t xml:space="preserve"> in </w:t>
      </w:r>
      <w:r w:rsidR="00D216A7">
        <w:rPr>
          <w:u w:val="single"/>
        </w:rPr>
        <w:t>Attachment A</w:t>
      </w:r>
      <w:r>
        <w:t xml:space="preserve">.  </w:t>
      </w:r>
    </w:p>
    <w:p w:rsidR="00A356BC" w:rsidRDefault="00DC1346" w:rsidP="002050DE">
      <w:pPr>
        <w:pStyle w:val="ListBullet2"/>
        <w:spacing w:before="100" w:after="100"/>
      </w:pPr>
      <w:r>
        <w:t xml:space="preserve">The taxable income range </w:t>
      </w:r>
      <w:r w:rsidR="003A2750">
        <w:t xml:space="preserve">up to </w:t>
      </w:r>
      <w:r>
        <w:t xml:space="preserve">and </w:t>
      </w:r>
      <w:r w:rsidR="003A2750">
        <w:t xml:space="preserve">above </w:t>
      </w:r>
      <w:r>
        <w:t>$180,000 has been expressed in nominal terms</w:t>
      </w:r>
      <w:r w:rsidR="003A2750">
        <w:t xml:space="preserve"> each year</w:t>
      </w:r>
      <w:r w:rsidR="00DB003D">
        <w:t>.  A</w:t>
      </w:r>
      <w:r>
        <w:t>s nominal income increases</w:t>
      </w:r>
      <w:r w:rsidR="00DB003D">
        <w:t xml:space="preserve"> over time</w:t>
      </w:r>
      <w:r>
        <w:t xml:space="preserve">, more individuals </w:t>
      </w:r>
      <w:r w:rsidR="00DB003D">
        <w:t xml:space="preserve">would be expected </w:t>
      </w:r>
      <w:r>
        <w:t xml:space="preserve">to </w:t>
      </w:r>
      <w:r w:rsidR="00DB003D">
        <w:t>have a taxable income above $180,000, increasing the proportion of the budgetary cost going to those with taxable incomes greater than $180,000</w:t>
      </w:r>
      <w:r>
        <w:t>.</w:t>
      </w:r>
      <w:r w:rsidR="004201DC">
        <w:rPr>
          <w:rStyle w:val="FootnoteReference"/>
        </w:rPr>
        <w:footnoteReference w:id="4"/>
      </w:r>
      <w:r>
        <w:t xml:space="preserve">  </w:t>
      </w:r>
    </w:p>
    <w:p w:rsidR="00FC71C5" w:rsidRDefault="00FC71C5" w:rsidP="002050DE">
      <w:pPr>
        <w:pStyle w:val="ListBullet"/>
        <w:spacing w:before="100" w:after="100"/>
      </w:pPr>
      <w:r>
        <w:t xml:space="preserve">The 2019-20 Budget estimates of the </w:t>
      </w:r>
      <w:r>
        <w:rPr>
          <w:i/>
        </w:rPr>
        <w:t>Lower taxes for hard-working Australians: Building on the Personal Income Tax Plan</w:t>
      </w:r>
      <w:r>
        <w:t xml:space="preserve"> measure included a provision for the impact of a decision taken in the 2018</w:t>
      </w:r>
      <w:r>
        <w:noBreakHyphen/>
        <w:t>19 Mid</w:t>
      </w:r>
      <w:r>
        <w:noBreakHyphen/>
      </w:r>
      <w:r w:rsidRPr="003066AC">
        <w:t>Year Economic and Fiscal Outlook</w:t>
      </w:r>
      <w:r w:rsidR="00D216A7">
        <w:t xml:space="preserve"> (MYEFO)</w:t>
      </w:r>
      <w:r>
        <w:t>, which has the effect of reducing the budget cost by $13.8 billion over the 2019</w:t>
      </w:r>
      <w:r>
        <w:noBreakHyphen/>
        <w:t>20 Budget forward estimates period.</w:t>
      </w:r>
      <w:r w:rsidR="00D216A7">
        <w:rPr>
          <w:rStyle w:val="FootnoteReference"/>
        </w:rPr>
        <w:footnoteReference w:id="5"/>
      </w:r>
      <w:r>
        <w:t xml:space="preserve">  The estimates presented in </w:t>
      </w:r>
      <w:r>
        <w:rPr>
          <w:u w:val="single"/>
        </w:rPr>
        <w:t>Attachment A</w:t>
      </w:r>
      <w:r w:rsidRPr="00891842">
        <w:t xml:space="preserve"> </w:t>
      </w:r>
      <w:r>
        <w:t xml:space="preserve">represent the </w:t>
      </w:r>
      <w:r w:rsidR="008C788F">
        <w:t>PBO’s</w:t>
      </w:r>
      <w:r>
        <w:t xml:space="preserve"> estimate</w:t>
      </w:r>
      <w:r w:rsidR="00DB003D">
        <w:t>s</w:t>
      </w:r>
      <w:r>
        <w:t xml:space="preserve"> of the total cost of implementing this commitment and hence include the 2019-20 Budget measure and the 2018</w:t>
      </w:r>
      <w:r w:rsidR="00DB003D">
        <w:noBreakHyphen/>
      </w:r>
      <w:r>
        <w:t xml:space="preserve">19 </w:t>
      </w:r>
      <w:r w:rsidR="00D216A7">
        <w:t>MYEFO</w:t>
      </w:r>
      <w:r>
        <w:t xml:space="preserve"> provision.   </w:t>
      </w:r>
    </w:p>
    <w:p w:rsidR="00FC71C5" w:rsidRPr="00FA028F" w:rsidRDefault="00FC71C5" w:rsidP="002050DE">
      <w:pPr>
        <w:pStyle w:val="ListBullet"/>
        <w:spacing w:before="100" w:after="100"/>
      </w:pPr>
      <w:r w:rsidRPr="00FA028F">
        <w:t xml:space="preserve">The modelling </w:t>
      </w:r>
      <w:r w:rsidR="0023253F" w:rsidRPr="00FA028F">
        <w:t xml:space="preserve">of the impact of the measures </w:t>
      </w:r>
      <w:r w:rsidRPr="00FA028F">
        <w:t xml:space="preserve">has taken account of the timing of tax collections.  </w:t>
      </w:r>
    </w:p>
    <w:p w:rsidR="005467E2" w:rsidRDefault="00FC71C5" w:rsidP="002050DE">
      <w:pPr>
        <w:pStyle w:val="ListBullet"/>
        <w:spacing w:before="100" w:after="100"/>
      </w:pPr>
      <w:r w:rsidRPr="00794CCF">
        <w:t xml:space="preserve">Estimates of the </w:t>
      </w:r>
      <w:r>
        <w:t>LMITO</w:t>
      </w:r>
      <w:r w:rsidRPr="00794CCF">
        <w:t xml:space="preserve"> have been rounded to the nearest $50 million.  Estimates of the </w:t>
      </w:r>
      <w:r>
        <w:t>LITO</w:t>
      </w:r>
      <w:r w:rsidRPr="00794CCF">
        <w:t xml:space="preserve"> </w:t>
      </w:r>
      <w:r w:rsidR="00DE513F">
        <w:t xml:space="preserve">and the breakdown of the financial implications for individuals with taxable incomes below and above $180,000 </w:t>
      </w:r>
      <w:r w:rsidRPr="00794CCF">
        <w:t xml:space="preserve">have been rounded to the nearest $10 million.  All other estimates have been rounded to the nearest $100 million.  </w:t>
      </w:r>
    </w:p>
    <w:p w:rsidR="00FE3B13" w:rsidRDefault="00FE3B13" w:rsidP="00DE513F">
      <w:pPr>
        <w:pStyle w:val="Heading1"/>
        <w:numPr>
          <w:ilvl w:val="0"/>
          <w:numId w:val="0"/>
        </w:numPr>
      </w:pPr>
      <w:r>
        <w:t>Data sources</w:t>
      </w:r>
    </w:p>
    <w:p w:rsidR="00FC71C5" w:rsidRPr="006F4FE6" w:rsidRDefault="00FC71C5" w:rsidP="002050DE">
      <w:pPr>
        <w:pStyle w:val="BodyText"/>
        <w:spacing w:before="100" w:after="100"/>
      </w:pPr>
      <w:r w:rsidRPr="006F4FE6">
        <w:t xml:space="preserve">The ATO provided a 16 per cent sample of de-identified personal income tax and superannuation returns for the 2016-17 year. </w:t>
      </w:r>
    </w:p>
    <w:p w:rsidR="00FC71C5" w:rsidRDefault="00FC71C5" w:rsidP="002050DE">
      <w:pPr>
        <w:pStyle w:val="BodyText"/>
        <w:spacing w:before="100" w:after="100"/>
      </w:pPr>
      <w:r w:rsidRPr="006F4FE6">
        <w:t>Treasury provided</w:t>
      </w:r>
      <w:r>
        <w:t>:</w:t>
      </w:r>
    </w:p>
    <w:p w:rsidR="00FC71C5" w:rsidRDefault="00FC71C5" w:rsidP="002050DE">
      <w:pPr>
        <w:pStyle w:val="ListBullet"/>
        <w:spacing w:before="100" w:after="100"/>
      </w:pPr>
      <w:r>
        <w:t xml:space="preserve">the model underpinning the 2018-19 Budget measure </w:t>
      </w:r>
      <w:r>
        <w:rPr>
          <w:i/>
        </w:rPr>
        <w:t>Personal Income Tax Plan</w:t>
      </w:r>
    </w:p>
    <w:p w:rsidR="00FC71C5" w:rsidRDefault="00FC71C5" w:rsidP="002050DE">
      <w:pPr>
        <w:pStyle w:val="ListBullet"/>
        <w:spacing w:before="100" w:after="100"/>
      </w:pPr>
      <w:r>
        <w:t xml:space="preserve">the model underpinning the 2019-20 Budget measure </w:t>
      </w:r>
      <w:r>
        <w:rPr>
          <w:i/>
        </w:rPr>
        <w:t>Lower taxes for hard-working Australians: Building on the Personal Income Tax Plan</w:t>
      </w:r>
    </w:p>
    <w:p w:rsidR="0046444F" w:rsidRDefault="00FC71C5" w:rsidP="002050DE">
      <w:pPr>
        <w:pStyle w:val="ListBullet"/>
        <w:spacing w:before="100" w:after="100"/>
      </w:pPr>
      <w:r w:rsidRPr="006F4FE6">
        <w:t>economic forecasts for personal income and su</w:t>
      </w:r>
      <w:r>
        <w:t>perannuation tax as at the 2019 </w:t>
      </w:r>
      <w:r w:rsidRPr="006F4FE6">
        <w:t>Pre</w:t>
      </w:r>
      <w:r w:rsidRPr="006F4FE6">
        <w:noBreakHyphen/>
        <w:t xml:space="preserve">election Economic and Fiscal Outlook. </w:t>
      </w:r>
    </w:p>
    <w:p w:rsidR="008C788F" w:rsidRPr="00BB6B31" w:rsidRDefault="008C788F" w:rsidP="002050DE">
      <w:pPr>
        <w:pStyle w:val="BodyText"/>
        <w:spacing w:before="100" w:after="100"/>
        <w:rPr>
          <w:u w:val="single"/>
        </w:rPr>
      </w:pPr>
      <w:r w:rsidRPr="00BB6B31">
        <w:t>HM Revenue and Customs, 2012.  The Exchequer effect of the 50 per cent additional rate of income tax, London: HM Revenue and Customs.</w:t>
      </w:r>
      <w:r w:rsidRPr="00BB6B31">
        <w:rPr>
          <w:u w:val="single"/>
        </w:rPr>
        <w:t xml:space="preserve"> </w:t>
      </w:r>
    </w:p>
    <w:p w:rsidR="008C788F" w:rsidRDefault="008C788F" w:rsidP="00B311BA">
      <w:pPr>
        <w:pStyle w:val="BodyText"/>
        <w:sectPr w:rsidR="008C788F" w:rsidSect="007A423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</w:p>
    <w:p w:rsidR="00016D53" w:rsidRDefault="00016D53" w:rsidP="00B538BA">
      <w:pPr>
        <w:pStyle w:val="Heading8"/>
        <w:spacing w:before="240" w:after="120"/>
      </w:pPr>
      <w:r w:rsidRPr="002D239A">
        <w:lastRenderedPageBreak/>
        <w:t xml:space="preserve">– </w:t>
      </w:r>
      <w:r w:rsidR="00FC71C5">
        <w:t>Personal Income Tax Plan</w:t>
      </w:r>
      <w:r w:rsidR="00326E3E">
        <w:t xml:space="preserve"> – </w:t>
      </w:r>
      <w:r w:rsidRPr="00482F63">
        <w:t>financial</w:t>
      </w:r>
      <w:r w:rsidRPr="002D239A">
        <w:t> implications</w:t>
      </w:r>
    </w:p>
    <w:p w:rsidR="00FC71C5" w:rsidRDefault="00FC71C5" w:rsidP="00FC71C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fldSimple w:instr=" STYLEREF 8 \s ">
        <w:r w:rsidR="007859C5">
          <w:rPr>
            <w:noProof/>
          </w:rPr>
          <w:t>A</w:t>
        </w:r>
      </w:fldSimple>
      <w:fldSimple w:instr=" SEQ AppendixTable\s 8 ">
        <w:r w:rsidR="007859C5">
          <w:rPr>
            <w:noProof/>
          </w:rPr>
          <w:t>1</w:t>
        </w:r>
      </w:fldSimple>
      <w:r w:rsidRPr="002D239A">
        <w:t xml:space="preserve">: </w:t>
      </w:r>
      <w:r>
        <w:t xml:space="preserve">Personal Income Tax Plan </w:t>
      </w:r>
      <w:r w:rsidRPr="003C2D25">
        <w:t>–</w:t>
      </w:r>
      <w:r>
        <w:t xml:space="preserve"> Fiscal and underlying cash balances ($m)</w:t>
      </w:r>
      <w:r w:rsidRPr="002D239A">
        <w:rPr>
          <w:vertAlign w:val="superscript"/>
        </w:rPr>
        <w:t>(a)(b)</w:t>
      </w:r>
    </w:p>
    <w:tbl>
      <w:tblPr>
        <w:tblStyle w:val="LightGrid-Accent6"/>
        <w:tblW w:w="4965" w:type="pct"/>
        <w:tblLayout w:type="fixed"/>
        <w:tblLook w:val="0680" w:firstRow="0" w:lastRow="0" w:firstColumn="1" w:lastColumn="0" w:noHBand="1" w:noVBand="1"/>
      </w:tblPr>
      <w:tblGrid>
        <w:gridCol w:w="2347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709"/>
        <w:gridCol w:w="699"/>
      </w:tblGrid>
      <w:tr w:rsidR="00EE3080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2029–</w:t>
            </w:r>
          </w:p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b w:val="0"/>
                <w:sz w:val="16"/>
                <w:szCs w:val="16"/>
              </w:rPr>
              <w:t>30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sz w:val="16"/>
                <w:szCs w:val="16"/>
              </w:rPr>
              <w:t>Total to 2022–23</w:t>
            </w:r>
          </w:p>
        </w:tc>
        <w:tc>
          <w:tcPr>
            <w:tcW w:w="347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891842">
              <w:rPr>
                <w:rFonts w:asciiTheme="minorHAnsi" w:hAnsiTheme="minorHAnsi"/>
                <w:sz w:val="16"/>
                <w:szCs w:val="16"/>
              </w:rPr>
              <w:t>Total to 2029–30</w:t>
            </w:r>
          </w:p>
        </w:tc>
      </w:tr>
      <w:tr w:rsidR="009A35CF" w:rsidRPr="00891842" w:rsidTr="009A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3D8E9" w:themeFill="background2" w:themeFillTint="33"/>
            <w:vAlign w:val="center"/>
          </w:tcPr>
          <w:p w:rsidR="009A35CF" w:rsidRPr="00891842" w:rsidRDefault="009A35CF" w:rsidP="00EE3080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i w:val="0"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/>
                <w:sz w:val="15"/>
                <w:szCs w:val="15"/>
              </w:rPr>
              <w:t>2018-19 Budget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>
              <w:rPr>
                <w:rFonts w:asciiTheme="minorHAnsi" w:hAnsiTheme="minorHAnsi"/>
                <w:b/>
                <w:sz w:val="15"/>
                <w:szCs w:val="15"/>
              </w:rPr>
              <w:t>–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>
              <w:rPr>
                <w:rFonts w:asciiTheme="minorHAnsi" w:hAnsiTheme="minorHAnsi"/>
                <w:b/>
                <w:sz w:val="15"/>
                <w:szCs w:val="15"/>
              </w:rPr>
              <w:t>Personal Income Tax Plan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Cs w:val="0"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Cs w:val="0"/>
                <w:noProof/>
                <w:sz w:val="15"/>
                <w:szCs w:val="15"/>
              </w:rPr>
              <w:t xml:space="preserve">1 July 2018 </w:t>
            </w:r>
            <w:r w:rsidRPr="00891842">
              <w:rPr>
                <w:rFonts w:asciiTheme="minorHAnsi" w:hAnsiTheme="minorHAnsi"/>
                <w:noProof/>
                <w:sz w:val="15"/>
                <w:szCs w:val="15"/>
              </w:rPr>
              <w:t>start date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  <w:vertAlign w:val="superscript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>Increase the tax threshold from $87,000 to $90,000</w:t>
            </w: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  <w:vertAlign w:val="superscript"/>
              </w:rPr>
              <w:t>(c)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-800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-800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-900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-2,400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-7,500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>Introduce LMITO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-4,000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-4,050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-4,100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-15,850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-16,050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5E0CA0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5E0CA0">
              <w:rPr>
                <w:rFonts w:asciiTheme="minorHAnsi" w:hAnsiTheme="minorHAnsi"/>
                <w:b/>
                <w:i/>
                <w:noProof/>
                <w:sz w:val="15"/>
                <w:szCs w:val="15"/>
              </w:rPr>
              <w:t>Total – 1 July 2018 start date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-4,250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-4,500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-4,550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-4,700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-800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-600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-700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-700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-800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-800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-900</w:t>
            </w:r>
          </w:p>
        </w:tc>
        <w:tc>
          <w:tcPr>
            <w:tcW w:w="352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-18,250</w:t>
            </w:r>
          </w:p>
        </w:tc>
        <w:tc>
          <w:tcPr>
            <w:tcW w:w="347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-23,550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Cs w:val="0"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Cs w:val="0"/>
                <w:noProof/>
                <w:sz w:val="15"/>
                <w:szCs w:val="15"/>
              </w:rPr>
              <w:t xml:space="preserve">1 July 2022 </w:t>
            </w:r>
            <w:r w:rsidRPr="00891842">
              <w:rPr>
                <w:rFonts w:asciiTheme="minorHAnsi" w:hAnsiTheme="minorHAnsi"/>
                <w:noProof/>
                <w:sz w:val="15"/>
                <w:szCs w:val="15"/>
              </w:rPr>
              <w:t>start date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Increase the tax threshold from $90,000 to $120,000 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-4,300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-5,000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-5,500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-6,000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-6,400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-6,800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-3,700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-42,400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Increase the tax threshold from $37,000 to $41,000 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-5,000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-5,500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-5,800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-5,900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-6,100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-6,300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-6,400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-6,600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-5,000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-47,600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>Increase LITO from $445 to $645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-90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-470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-470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-460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-440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-420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-400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-90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-3,200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5E0CA0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5E0CA0">
              <w:rPr>
                <w:rFonts w:asciiTheme="minorHAnsi" w:hAnsiTheme="minorHAnsi"/>
                <w:b/>
                <w:i/>
                <w:noProof/>
                <w:sz w:val="15"/>
                <w:szCs w:val="15"/>
              </w:rPr>
              <w:t>Total – 1 July 2022 start date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-8,790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-10,270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-10,970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-11,360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-12,050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-12,740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-13,220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-13,800</w:t>
            </w:r>
          </w:p>
        </w:tc>
        <w:tc>
          <w:tcPr>
            <w:tcW w:w="352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-8,790</w:t>
            </w:r>
          </w:p>
        </w:tc>
        <w:tc>
          <w:tcPr>
            <w:tcW w:w="347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-93,200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Cs w:val="0"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Cs w:val="0"/>
                <w:noProof/>
                <w:sz w:val="15"/>
                <w:szCs w:val="15"/>
              </w:rPr>
              <w:t xml:space="preserve">1 July 2024 </w:t>
            </w:r>
            <w:r w:rsidRPr="00891842">
              <w:rPr>
                <w:rFonts w:asciiTheme="minorHAnsi" w:hAnsiTheme="minorHAnsi"/>
                <w:noProof/>
                <w:sz w:val="15"/>
                <w:szCs w:val="15"/>
              </w:rPr>
              <w:t>start date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>Remove the 37 per cent tax bracket and increase the tax threshold from $180,000 to $200,000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-6,000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-7,000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-7,900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-8,800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-9,600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-10,600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-49,900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5E0CA0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5E0CA0">
              <w:rPr>
                <w:rFonts w:asciiTheme="minorHAnsi" w:hAnsiTheme="minorHAnsi"/>
                <w:b/>
                <w:i/>
                <w:noProof/>
                <w:sz w:val="15"/>
                <w:szCs w:val="15"/>
              </w:rPr>
              <w:t>Total – 1 July 2024 start date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-6,000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-7,000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-7,900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-8,800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-9,600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-10,600</w:t>
            </w:r>
          </w:p>
        </w:tc>
        <w:tc>
          <w:tcPr>
            <w:tcW w:w="352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47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-49,900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/>
                <w:noProof/>
                <w:sz w:val="15"/>
                <w:szCs w:val="15"/>
              </w:rPr>
              <w:t xml:space="preserve">Total – 2018-19 Budget 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-4,250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-4,500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-4,550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-13,490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-11,070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-17,570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-19,060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-20,650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-22,340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-23,620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-25,300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-27,040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-166,650</w:t>
            </w:r>
          </w:p>
        </w:tc>
      </w:tr>
      <w:tr w:rsidR="009A35CF" w:rsidRPr="00891842" w:rsidTr="009A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3D8E9" w:themeFill="background2" w:themeFillTint="33"/>
            <w:vAlign w:val="center"/>
          </w:tcPr>
          <w:p w:rsidR="009A35CF" w:rsidRPr="00891842" w:rsidRDefault="009A35CF" w:rsidP="00EE3080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i w:val="0"/>
                <w:sz w:val="15"/>
                <w:szCs w:val="15"/>
                <w:highlight w:val="yellow"/>
              </w:rPr>
            </w:pPr>
            <w:r w:rsidRPr="00891842">
              <w:rPr>
                <w:rFonts w:asciiTheme="minorHAnsi" w:hAnsiTheme="minorHAnsi"/>
                <w:b/>
                <w:sz w:val="15"/>
                <w:szCs w:val="15"/>
              </w:rPr>
              <w:t>2019-20 Budget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 w:rsidRPr="005B2F33">
              <w:rPr>
                <w:rFonts w:asciiTheme="minorHAnsi" w:hAnsiTheme="minorHAnsi"/>
                <w:b/>
                <w:sz w:val="15"/>
                <w:szCs w:val="15"/>
              </w:rPr>
              <w:t>–</w:t>
            </w:r>
            <w:r w:rsidRPr="005B2F33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 w:rsidRPr="005B2F33">
              <w:rPr>
                <w:rFonts w:asciiTheme="minorHAnsi" w:hAnsiTheme="minorHAnsi"/>
                <w:b/>
                <w:sz w:val="15"/>
                <w:szCs w:val="15"/>
              </w:rPr>
              <w:t>Lower taxes for hard-working Australians: Building on the Personal Income Tax Plan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Cs w:val="0"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Cs w:val="0"/>
                <w:noProof/>
                <w:sz w:val="15"/>
                <w:szCs w:val="15"/>
              </w:rPr>
              <w:t>1 July 2018 start date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Increase the LMITO maximum amount </w:t>
            </w:r>
            <w:r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from $530 </w:t>
            </w: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>to $1,080 and the base amount</w:t>
            </w:r>
            <w:r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 from $200</w:t>
            </w: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 to $255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-3,450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-3,800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-14,700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-14,900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5E0CA0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5E0CA0">
              <w:rPr>
                <w:rFonts w:asciiTheme="minorHAnsi" w:hAnsiTheme="minorHAnsi"/>
                <w:b/>
                <w:i/>
                <w:noProof/>
                <w:sz w:val="15"/>
                <w:szCs w:val="15"/>
              </w:rPr>
              <w:t>Total – 1 July 2018 start date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-3,450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-3,800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52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-14,700</w:t>
            </w:r>
          </w:p>
        </w:tc>
        <w:tc>
          <w:tcPr>
            <w:tcW w:w="347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-14,900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Cs w:val="0"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Cs w:val="0"/>
                <w:noProof/>
                <w:sz w:val="15"/>
                <w:szCs w:val="15"/>
              </w:rPr>
              <w:t>1 July 2022 start date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Increase the tax threshold from $41,000 to $45,000 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-4,800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-5,300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-5,600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-5,900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-6,100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-6,300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-6,500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-4,800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-46,200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i/>
                <w:noProof/>
                <w:sz w:val="15"/>
                <w:szCs w:val="15"/>
              </w:rPr>
              <w:t>Increase LITO from $645 to $700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-210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-210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-190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-190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-1,440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5E0CA0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5E0CA0">
              <w:rPr>
                <w:rFonts w:asciiTheme="minorHAnsi" w:hAnsiTheme="minorHAnsi"/>
                <w:b/>
                <w:i/>
                <w:noProof/>
                <w:sz w:val="15"/>
                <w:szCs w:val="15"/>
              </w:rPr>
              <w:t>Total – 1 July 2022 start date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-4,840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-5,510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-5,810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-5,900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-6,100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-6,300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-6,490</w:t>
            </w:r>
          </w:p>
        </w:tc>
        <w:tc>
          <w:tcPr>
            <w:tcW w:w="285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-6,690</w:t>
            </w:r>
          </w:p>
        </w:tc>
        <w:tc>
          <w:tcPr>
            <w:tcW w:w="352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-4,840</w:t>
            </w:r>
          </w:p>
        </w:tc>
        <w:tc>
          <w:tcPr>
            <w:tcW w:w="347" w:type="pct"/>
            <w:vAlign w:val="center"/>
          </w:tcPr>
          <w:p w:rsidR="00FC71C5" w:rsidRPr="005E0CA0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5E0CA0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-47,640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bCs w:val="0"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noProof/>
                <w:sz w:val="15"/>
                <w:szCs w:val="15"/>
              </w:rPr>
              <w:t>1 July 2024 start date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4C3363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>
              <w:rPr>
                <w:rFonts w:asciiTheme="minorHAnsi" w:hAnsiTheme="minorHAnsi"/>
                <w:i/>
                <w:noProof/>
                <w:sz w:val="15"/>
                <w:szCs w:val="15"/>
              </w:rPr>
              <w:t>Decrease the marginal tax rate from 32.5 per cent to 30 per cent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-12,500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-14,300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-15,400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-16,600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-17,700</w:t>
            </w:r>
          </w:p>
        </w:tc>
        <w:tc>
          <w:tcPr>
            <w:tcW w:w="285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-18,900</w:t>
            </w:r>
          </w:p>
        </w:tc>
        <w:tc>
          <w:tcPr>
            <w:tcW w:w="352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47" w:type="pct"/>
            <w:vAlign w:val="center"/>
          </w:tcPr>
          <w:p w:rsidR="00FC71C5" w:rsidRPr="008A24E9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8A24E9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-95,400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5E0CA0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5E0CA0">
              <w:rPr>
                <w:rFonts w:asciiTheme="minorHAnsi" w:hAnsiTheme="minorHAnsi"/>
                <w:b/>
                <w:i/>
                <w:noProof/>
                <w:sz w:val="15"/>
                <w:szCs w:val="15"/>
              </w:rPr>
              <w:t>Total – 1 July 2024 start date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-12,500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-14,300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-15,400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-16,600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-17,700</w:t>
            </w:r>
          </w:p>
        </w:tc>
        <w:tc>
          <w:tcPr>
            <w:tcW w:w="285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-18,900</w:t>
            </w:r>
          </w:p>
        </w:tc>
        <w:tc>
          <w:tcPr>
            <w:tcW w:w="352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47" w:type="pct"/>
            <w:vAlign w:val="center"/>
          </w:tcPr>
          <w:p w:rsidR="00FC71C5" w:rsidRPr="00EA2516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EA2516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-95,400</w:t>
            </w:r>
          </w:p>
        </w:tc>
      </w:tr>
      <w:tr w:rsidR="00FC71C5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/>
                <w:noProof/>
                <w:sz w:val="15"/>
                <w:szCs w:val="15"/>
              </w:rPr>
              <w:t>Total – 2019-20 Budget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-3,450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-8,640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-5,710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-18,310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-20,200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-21,500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-22,900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-24,190</w:t>
            </w:r>
          </w:p>
        </w:tc>
        <w:tc>
          <w:tcPr>
            <w:tcW w:w="285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-25,590</w:t>
            </w:r>
          </w:p>
        </w:tc>
        <w:tc>
          <w:tcPr>
            <w:tcW w:w="352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-19,540</w:t>
            </w:r>
          </w:p>
        </w:tc>
        <w:tc>
          <w:tcPr>
            <w:tcW w:w="347" w:type="pct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-157,940</w:t>
            </w:r>
          </w:p>
        </w:tc>
      </w:tr>
      <w:tr w:rsidR="00EE3080" w:rsidRPr="00891842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5"/>
                <w:szCs w:val="15"/>
              </w:rPr>
            </w:pPr>
            <w:r w:rsidRPr="00891842">
              <w:rPr>
                <w:rFonts w:asciiTheme="minorHAnsi" w:hAnsiTheme="minorHAnsi"/>
                <w:b/>
                <w:sz w:val="15"/>
                <w:szCs w:val="15"/>
              </w:rPr>
              <w:t xml:space="preserve">Total 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-7,700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-8,200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-8,300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-22,130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-16,780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-35,880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-39,260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-42,150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-45,240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-47,810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-50,890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-46,580</w:t>
            </w:r>
          </w:p>
        </w:tc>
        <w:tc>
          <w:tcPr>
            <w:tcW w:w="347" w:type="pct"/>
            <w:shd w:val="clear" w:color="auto" w:fill="A7B2D4" w:themeFill="background2" w:themeFillTint="66"/>
            <w:vAlign w:val="center"/>
          </w:tcPr>
          <w:p w:rsidR="00FC71C5" w:rsidRPr="00891842" w:rsidRDefault="00FC71C5" w:rsidP="002C614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89184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-324,590</w:t>
            </w:r>
          </w:p>
        </w:tc>
      </w:tr>
    </w:tbl>
    <w:p w:rsidR="00FC71C5" w:rsidRPr="00816E26" w:rsidRDefault="00FC71C5" w:rsidP="00FC71C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(a)</w:t>
      </w:r>
      <w:r w:rsidRPr="00816E26">
        <w:rPr>
          <w:spacing w:val="-1"/>
          <w:sz w:val="16"/>
          <w:szCs w:val="16"/>
        </w:rPr>
        <w:tab/>
        <w:t>A positive number for the fiscal balance indicates an increase in revenue or a decrease in expenses or net capital investment in accrual terms.  A</w:t>
      </w:r>
      <w:r>
        <w:rPr>
          <w:spacing w:val="-1"/>
          <w:sz w:val="16"/>
          <w:szCs w:val="16"/>
        </w:rPr>
        <w:t> </w:t>
      </w:r>
      <w:r w:rsidRPr="00816E26">
        <w:rPr>
          <w:spacing w:val="-1"/>
          <w:sz w:val="16"/>
          <w:szCs w:val="16"/>
        </w:rPr>
        <w:t>negative number for the fiscal balance indicates a decrease in revenue or an increase in expenses or net capital investment in accrual terms.  A</w:t>
      </w:r>
      <w:r>
        <w:rPr>
          <w:spacing w:val="-1"/>
          <w:sz w:val="16"/>
          <w:szCs w:val="16"/>
        </w:rPr>
        <w:t> </w:t>
      </w:r>
      <w:r w:rsidRPr="00816E26">
        <w:rPr>
          <w:spacing w:val="-1"/>
          <w:sz w:val="16"/>
          <w:szCs w:val="16"/>
        </w:rPr>
        <w:t xml:space="preserve">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FC71C5" w:rsidRDefault="00FC71C5" w:rsidP="00FC71C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FC71C5" w:rsidRDefault="00FC71C5" w:rsidP="00FC71C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>
        <w:rPr>
          <w:sz w:val="16"/>
          <w:szCs w:val="16"/>
        </w:rPr>
        <w:t>(c</w:t>
      </w:r>
      <w:r w:rsidRPr="009F2A5C">
        <w:rPr>
          <w:sz w:val="16"/>
          <w:szCs w:val="16"/>
        </w:rPr>
        <w:t>)</w:t>
      </w:r>
      <w:r w:rsidRPr="009F2A5C">
        <w:rPr>
          <w:sz w:val="16"/>
          <w:szCs w:val="16"/>
        </w:rPr>
        <w:tab/>
      </w:r>
      <w:r>
        <w:rPr>
          <w:sz w:val="16"/>
          <w:szCs w:val="16"/>
        </w:rPr>
        <w:t xml:space="preserve">This measure also includes a cost of $300 million in 2018-19 </w:t>
      </w:r>
      <w:r w:rsidR="006C0F16">
        <w:rPr>
          <w:sz w:val="16"/>
          <w:szCs w:val="16"/>
        </w:rPr>
        <w:t xml:space="preserve">which </w:t>
      </w:r>
      <w:r>
        <w:rPr>
          <w:sz w:val="16"/>
          <w:szCs w:val="16"/>
        </w:rPr>
        <w:t>is included in the total</w:t>
      </w:r>
      <w:r w:rsidR="00C60B9C">
        <w:rPr>
          <w:sz w:val="16"/>
          <w:szCs w:val="16"/>
        </w:rPr>
        <w:t>s</w:t>
      </w:r>
      <w:r>
        <w:rPr>
          <w:sz w:val="16"/>
          <w:szCs w:val="16"/>
        </w:rPr>
        <w:t xml:space="preserve"> to 2022-23 and 2029-30. </w:t>
      </w:r>
    </w:p>
    <w:p w:rsidR="00FC71C5" w:rsidRPr="00FC71C5" w:rsidRDefault="00FC71C5" w:rsidP="00FC71C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  <w:r w:rsidRPr="00FC71C5">
        <w:rPr>
          <w:sz w:val="16"/>
          <w:szCs w:val="16"/>
        </w:rPr>
        <w:br w:type="page"/>
      </w:r>
    </w:p>
    <w:p w:rsidR="00FC71C5" w:rsidRDefault="00FC71C5" w:rsidP="00FC71C5">
      <w:pPr>
        <w:pStyle w:val="Heading8"/>
        <w:spacing w:before="240" w:after="120"/>
      </w:pPr>
      <w:r w:rsidRPr="002D239A">
        <w:lastRenderedPageBreak/>
        <w:t xml:space="preserve">– </w:t>
      </w:r>
      <w:r>
        <w:t xml:space="preserve">Personal Income Tax Plan – </w:t>
      </w:r>
      <w:r w:rsidRPr="00FC71C5">
        <w:t>financial implications by</w:t>
      </w:r>
      <w:r>
        <w:t xml:space="preserve"> taxable income</w:t>
      </w:r>
    </w:p>
    <w:p w:rsidR="00FC71C5" w:rsidRDefault="00FC71C5" w:rsidP="00FC71C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r>
        <w:t>B</w:t>
      </w:r>
      <w:fldSimple w:instr=" SEQ AppendixTable\s 8 ">
        <w:r w:rsidR="007859C5">
          <w:rPr>
            <w:noProof/>
          </w:rPr>
          <w:t>1</w:t>
        </w:r>
      </w:fldSimple>
      <w:r w:rsidRPr="002D239A">
        <w:t xml:space="preserve">: </w:t>
      </w:r>
      <w:r w:rsidRPr="00FE053F">
        <w:t>Personal Income Tax Plan –</w:t>
      </w:r>
      <w:r>
        <w:t xml:space="preserve"> Fiscal and underlying cash balances ($m)</w:t>
      </w:r>
      <w:r w:rsidRPr="002D239A">
        <w:rPr>
          <w:vertAlign w:val="superscript"/>
        </w:rPr>
        <w:t>(a)(b)</w:t>
      </w:r>
    </w:p>
    <w:tbl>
      <w:tblPr>
        <w:tblStyle w:val="LightGrid-Accent6"/>
        <w:tblW w:w="4965" w:type="pct"/>
        <w:tblLayout w:type="fixed"/>
        <w:tblLook w:val="0680" w:firstRow="0" w:lastRow="0" w:firstColumn="1" w:lastColumn="0" w:noHBand="1" w:noVBand="1"/>
      </w:tblPr>
      <w:tblGrid>
        <w:gridCol w:w="2347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709"/>
        <w:gridCol w:w="699"/>
      </w:tblGrid>
      <w:tr w:rsidR="00EE3080" w:rsidRPr="009F2A5C" w:rsidTr="002C6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shd w:val="clear" w:color="auto" w:fill="A7B2D4" w:themeFill="background2" w:themeFillTint="66"/>
            <w:vAlign w:val="center"/>
          </w:tcPr>
          <w:p w:rsidR="00FC71C5" w:rsidRPr="00330795" w:rsidRDefault="006C0F16" w:rsidP="006C0F16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Cost of measures attributable to </w:t>
            </w:r>
            <w:r w:rsidR="002B4DE5">
              <w:rPr>
                <w:rFonts w:asciiTheme="minorHAnsi" w:hAnsiTheme="minorHAnsi"/>
                <w:sz w:val="16"/>
                <w:szCs w:val="16"/>
              </w:rPr>
              <w:t xml:space="preserve">individuals with </w:t>
            </w: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1F543B" w:rsidRPr="00330795">
              <w:rPr>
                <w:rFonts w:asciiTheme="minorHAnsi" w:hAnsiTheme="minorHAnsi"/>
                <w:sz w:val="16"/>
                <w:szCs w:val="16"/>
              </w:rPr>
              <w:t>ominal taxable income per annum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9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:rsidR="00FC71C5" w:rsidRPr="00ED0817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30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:rsidR="00FC71C5" w:rsidRPr="002C6145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2C6145">
              <w:rPr>
                <w:rFonts w:asciiTheme="minorHAnsi" w:hAnsiTheme="minorHAnsi"/>
                <w:sz w:val="16"/>
                <w:szCs w:val="16"/>
              </w:rPr>
              <w:t>Total to 2022–23</w:t>
            </w:r>
          </w:p>
        </w:tc>
        <w:tc>
          <w:tcPr>
            <w:tcW w:w="347" w:type="pct"/>
            <w:shd w:val="clear" w:color="auto" w:fill="A7B2D4" w:themeFill="background2" w:themeFillTint="66"/>
            <w:vAlign w:val="center"/>
          </w:tcPr>
          <w:p w:rsidR="00FC71C5" w:rsidRPr="002C6145" w:rsidRDefault="00FC71C5" w:rsidP="002C614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2C6145">
              <w:rPr>
                <w:rFonts w:asciiTheme="minorHAnsi" w:hAnsiTheme="minorHAnsi"/>
                <w:sz w:val="16"/>
                <w:szCs w:val="16"/>
              </w:rPr>
              <w:t>Total to 2029–30</w:t>
            </w:r>
          </w:p>
        </w:tc>
      </w:tr>
      <w:tr w:rsidR="009A35CF" w:rsidRPr="00FC71C5" w:rsidTr="009A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bottom w:val="single" w:sz="8" w:space="0" w:color="788183" w:themeColor="accent6"/>
            </w:tcBorders>
            <w:shd w:val="clear" w:color="auto" w:fill="D3D8E9" w:themeFill="background2" w:themeFillTint="33"/>
            <w:vAlign w:val="center"/>
          </w:tcPr>
          <w:p w:rsidR="009A35CF" w:rsidRPr="00FC71C5" w:rsidRDefault="009A35CF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i w:val="0"/>
                <w:sz w:val="15"/>
                <w:szCs w:val="15"/>
                <w:highlight w:val="yellow"/>
              </w:rPr>
            </w:pPr>
            <w:r w:rsidRPr="00012713">
              <w:rPr>
                <w:rFonts w:asciiTheme="minorHAnsi" w:hAnsiTheme="minorHAnsi"/>
                <w:b/>
                <w:sz w:val="15"/>
                <w:szCs w:val="15"/>
              </w:rPr>
              <w:t>2018-19 Budget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>
              <w:rPr>
                <w:rFonts w:asciiTheme="minorHAnsi" w:hAnsiTheme="minorHAnsi"/>
                <w:b/>
                <w:sz w:val="15"/>
                <w:szCs w:val="15"/>
              </w:rPr>
              <w:t>–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 w:rsidRPr="005B2F33">
              <w:rPr>
                <w:rFonts w:asciiTheme="minorHAnsi" w:hAnsiTheme="minorHAnsi"/>
                <w:b/>
                <w:sz w:val="15"/>
                <w:szCs w:val="15"/>
              </w:rPr>
              <w:t>Personal Income Tax Plan</w:t>
            </w:r>
          </w:p>
        </w:tc>
      </w:tr>
      <w:tr w:rsidR="00754BA5" w:rsidRPr="00FC71C5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Equal to or below $180,000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-4,160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-4,410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-4,450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-11,980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-9,270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-11,090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-11,630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-12,330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-13,010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-13,460</w:t>
            </w:r>
          </w:p>
        </w:tc>
        <w:tc>
          <w:tcPr>
            <w:tcW w:w="285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Cs/>
                <w:i/>
                <w:sz w:val="15"/>
                <w:szCs w:val="15"/>
              </w:rPr>
              <w:t>-14,140</w:t>
            </w:r>
          </w:p>
        </w:tc>
        <w:tc>
          <w:tcPr>
            <w:tcW w:w="352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bCs/>
                <w:i/>
                <w:sz w:val="15"/>
                <w:szCs w:val="15"/>
              </w:rPr>
              <w:t>-25,230</w:t>
            </w:r>
          </w:p>
        </w:tc>
        <w:tc>
          <w:tcPr>
            <w:tcW w:w="347" w:type="pct"/>
            <w:tcBorders>
              <w:top w:val="single" w:sz="8" w:space="0" w:color="788183" w:themeColor="accent6"/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bCs/>
                <w:i/>
                <w:sz w:val="15"/>
                <w:szCs w:val="15"/>
              </w:rPr>
              <w:t>-110,100</w:t>
            </w:r>
          </w:p>
        </w:tc>
      </w:tr>
      <w:tr w:rsidR="00754BA5" w:rsidRPr="00FC71C5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 xml:space="preserve">(percentage of </w:t>
            </w:r>
            <w:r w:rsidR="001F543B">
              <w:rPr>
                <w:rFonts w:asciiTheme="minorHAnsi" w:hAnsiTheme="minorHAnsi"/>
                <w:i/>
                <w:sz w:val="15"/>
                <w:szCs w:val="15"/>
              </w:rPr>
              <w:t>sub</w:t>
            </w: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total cost)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825606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9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7.9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825606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98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.0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825606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9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7.8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825606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8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8.8</w:t>
            </w:r>
            <w:r w:rsidR="00754BA5"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825606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8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3.7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63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.1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61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.0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59.7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58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.2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57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.0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5</w:t>
            </w:r>
            <w:r w:rsidR="00825606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5.9</w:t>
            </w:r>
            <w:r w:rsidR="00754BA5"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352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93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.3</w:t>
            </w:r>
            <w:r w:rsidR="00754BA5"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347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CC1804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754BA5"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66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.1</w:t>
            </w:r>
            <w:r w:rsidR="00754BA5"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%</w:t>
            </w:r>
            <w:r w:rsidRPr="00CC1804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</w:tr>
      <w:tr w:rsidR="00754BA5" w:rsidRPr="00FC71C5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bottom w:val="nil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Greater than $180,000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-90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-90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-1,510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-1,800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-6,480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-7,430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-8,320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-9,330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-10,160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-11,160</w:t>
            </w:r>
          </w:p>
        </w:tc>
        <w:tc>
          <w:tcPr>
            <w:tcW w:w="352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  <w:t>-1,810</w:t>
            </w: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  <w:t>-56,550</w:t>
            </w:r>
          </w:p>
        </w:tc>
      </w:tr>
      <w:tr w:rsidR="00754BA5" w:rsidRPr="00FC71C5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 xml:space="preserve">(percentage of </w:t>
            </w:r>
            <w:r w:rsidR="001F543B">
              <w:rPr>
                <w:rFonts w:asciiTheme="minorHAnsi" w:hAnsiTheme="minorHAnsi"/>
                <w:i/>
                <w:sz w:val="15"/>
                <w:szCs w:val="15"/>
              </w:rPr>
              <w:t>sub</w:t>
            </w: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total cost)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.1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.0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.2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11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.2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16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.3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3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6.9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39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.0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40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.3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4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1.8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43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.0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44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.1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352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6.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7%</w:t>
            </w: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347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3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3.9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</w:tr>
      <w:tr w:rsidR="00AB2FB5" w:rsidRPr="00FC71C5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AB2FB5" w:rsidRPr="00D80961" w:rsidRDefault="001F543B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i/>
                <w:sz w:val="15"/>
                <w:szCs w:val="15"/>
              </w:rPr>
            </w:pPr>
            <w:r w:rsidRPr="00D80961">
              <w:rPr>
                <w:rFonts w:asciiTheme="minorHAnsi" w:hAnsiTheme="minorHAnsi"/>
                <w:b/>
                <w:i/>
                <w:sz w:val="15"/>
                <w:szCs w:val="15"/>
              </w:rPr>
              <w:t>Subt</w:t>
            </w:r>
            <w:r w:rsidR="00AB2FB5" w:rsidRPr="00D80961">
              <w:rPr>
                <w:rFonts w:asciiTheme="minorHAnsi" w:hAnsiTheme="minorHAnsi"/>
                <w:b/>
                <w:i/>
                <w:sz w:val="15"/>
                <w:szCs w:val="15"/>
              </w:rPr>
              <w:t>otal – 2018-19 Budget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-4,250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-4,500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-4,550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-13,490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-11,070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-17,570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-19,060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-20,650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-22,340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-23,620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-25,300</w:t>
            </w:r>
          </w:p>
        </w:tc>
        <w:tc>
          <w:tcPr>
            <w:tcW w:w="352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-27,040</w:t>
            </w:r>
          </w:p>
        </w:tc>
        <w:tc>
          <w:tcPr>
            <w:tcW w:w="347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-166,650</w:t>
            </w:r>
          </w:p>
        </w:tc>
      </w:tr>
      <w:tr w:rsidR="009A35CF" w:rsidRPr="009F2A5C" w:rsidTr="009A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bottom w:val="single" w:sz="8" w:space="0" w:color="788183" w:themeColor="accent6"/>
            </w:tcBorders>
            <w:shd w:val="clear" w:color="auto" w:fill="D3D8E9" w:themeFill="background2" w:themeFillTint="33"/>
            <w:vAlign w:val="center"/>
          </w:tcPr>
          <w:p w:rsidR="009A35CF" w:rsidRPr="00233B8C" w:rsidRDefault="009A35CF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i w:val="0"/>
                <w:sz w:val="15"/>
                <w:szCs w:val="15"/>
              </w:rPr>
            </w:pPr>
            <w:r w:rsidRPr="00012713">
              <w:rPr>
                <w:rFonts w:asciiTheme="minorHAnsi" w:hAnsiTheme="minorHAnsi"/>
                <w:b/>
                <w:sz w:val="15"/>
                <w:szCs w:val="15"/>
              </w:rPr>
              <w:t>2019-20 Budget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>
              <w:rPr>
                <w:rFonts w:asciiTheme="minorHAnsi" w:hAnsiTheme="minorHAnsi"/>
                <w:b/>
                <w:sz w:val="15"/>
                <w:szCs w:val="15"/>
              </w:rPr>
              <w:t>–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5B2F33">
              <w:rPr>
                <w:rFonts w:asciiTheme="minorHAnsi" w:hAnsiTheme="minorHAnsi"/>
                <w:b/>
                <w:sz w:val="15"/>
                <w:szCs w:val="15"/>
              </w:rPr>
              <w:t>Lower taxes for hard-working Australians: Building on the Personal Income Tax Plan</w:t>
            </w:r>
          </w:p>
        </w:tc>
      </w:tr>
      <w:tr w:rsidR="00754BA5" w:rsidRPr="009F2A5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bottom w:val="nil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Equal to or below $180,000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-3,450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-3,700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-3,750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-8,240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-5,230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-14,210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-15,450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-16,200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-16,960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-17,640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-18,410</w:t>
            </w:r>
          </w:p>
        </w:tc>
        <w:tc>
          <w:tcPr>
            <w:tcW w:w="352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  <w:t>-19,140</w:t>
            </w: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  <w:t>-123,240</w:t>
            </w:r>
          </w:p>
        </w:tc>
      </w:tr>
      <w:tr w:rsidR="00754BA5" w:rsidRPr="009F2A5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 xml:space="preserve">(percentage of </w:t>
            </w:r>
            <w:r w:rsidR="001F543B">
              <w:rPr>
                <w:rFonts w:asciiTheme="minorHAnsi" w:hAnsiTheme="minorHAnsi"/>
                <w:i/>
                <w:sz w:val="15"/>
                <w:szCs w:val="15"/>
              </w:rPr>
              <w:t>sub</w:t>
            </w: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total cost)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100%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100%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100%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95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.4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9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1.6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7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7.6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7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6.5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75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.3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74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.1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7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2.9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7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1.9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352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98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.0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347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78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.0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</w:tr>
      <w:tr w:rsidR="00754BA5" w:rsidRPr="009F2A5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bottom w:val="nil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Greater than $180,000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CC1804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i/>
                <w:sz w:val="15"/>
                <w:szCs w:val="15"/>
              </w:rPr>
              <w:t>-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CC1804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i/>
                <w:sz w:val="15"/>
                <w:szCs w:val="15"/>
              </w:rPr>
              <w:t>-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CC1804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CC1804">
              <w:rPr>
                <w:rFonts w:asciiTheme="minorHAnsi" w:eastAsiaTheme="majorEastAsia" w:hAnsiTheme="minorHAnsi"/>
                <w:i/>
                <w:sz w:val="15"/>
                <w:szCs w:val="15"/>
              </w:rPr>
              <w:t>-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-400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-480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-4,100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-4,750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-5,300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-5,940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-6,550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i/>
                <w:sz w:val="15"/>
                <w:szCs w:val="15"/>
              </w:rPr>
              <w:t>-7,180</w:t>
            </w:r>
          </w:p>
        </w:tc>
        <w:tc>
          <w:tcPr>
            <w:tcW w:w="352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  <w:t>-400</w:t>
            </w: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754BA5" w:rsidRPr="00233B8C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</w:pPr>
            <w:r w:rsidRPr="00233B8C">
              <w:rPr>
                <w:rFonts w:asciiTheme="minorHAnsi" w:eastAsiaTheme="majorEastAsia" w:hAnsiTheme="minorHAnsi"/>
                <w:b/>
                <w:i/>
                <w:sz w:val="15"/>
                <w:szCs w:val="15"/>
              </w:rPr>
              <w:t>-34,700</w:t>
            </w:r>
          </w:p>
        </w:tc>
      </w:tr>
      <w:tr w:rsidR="00754BA5" w:rsidRPr="00233B8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</w:tcBorders>
            <w:vAlign w:val="center"/>
          </w:tcPr>
          <w:p w:rsidR="00754BA5" w:rsidRPr="00012713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5"/>
                <w:szCs w:val="15"/>
              </w:rPr>
            </w:pP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(percentage of</w:t>
            </w:r>
            <w:r w:rsidR="001F543B">
              <w:rPr>
                <w:rFonts w:asciiTheme="minorHAnsi" w:hAnsiTheme="minorHAnsi"/>
                <w:i/>
                <w:sz w:val="15"/>
                <w:szCs w:val="15"/>
              </w:rPr>
              <w:t xml:space="preserve"> sub</w:t>
            </w:r>
            <w:r w:rsidRPr="00012713">
              <w:rPr>
                <w:rFonts w:asciiTheme="minorHAnsi" w:hAnsiTheme="minorHAnsi"/>
                <w:i/>
                <w:sz w:val="15"/>
                <w:szCs w:val="15"/>
              </w:rPr>
              <w:t>total cost)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-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-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-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4.6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8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.4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22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.4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3.5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4.7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5.9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27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.1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28</w:t>
            </w:r>
            <w:r w:rsidR="00CC1804" w:rsidRPr="00330795">
              <w:rPr>
                <w:rFonts w:asciiTheme="minorHAnsi" w:eastAsiaTheme="majorEastAsia" w:hAnsiTheme="minorHAnsi"/>
                <w:bCs/>
                <w:sz w:val="15"/>
                <w:szCs w:val="15"/>
              </w:rPr>
              <w:t>.1</w:t>
            </w:r>
            <w:r w:rsidR="00754BA5"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Cs/>
                <w:sz w:val="15"/>
                <w:szCs w:val="15"/>
              </w:rPr>
              <w:t>)</w:t>
            </w:r>
          </w:p>
        </w:tc>
        <w:tc>
          <w:tcPr>
            <w:tcW w:w="352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2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.0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347" w:type="pct"/>
            <w:tcBorders>
              <w:top w:val="nil"/>
            </w:tcBorders>
            <w:vAlign w:val="center"/>
          </w:tcPr>
          <w:p w:rsidR="00754BA5" w:rsidRPr="00330795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(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22</w:t>
            </w:r>
            <w:r w:rsidR="00CC1804" w:rsidRPr="00330795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.0</w:t>
            </w:r>
            <w:r w:rsidR="00754BA5"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%</w:t>
            </w:r>
            <w:r w:rsidRPr="002A65EE">
              <w:rPr>
                <w:rFonts w:asciiTheme="minorHAnsi" w:eastAsiaTheme="majorEastAsia" w:hAnsiTheme="minorHAnsi"/>
                <w:b/>
                <w:bCs/>
                <w:sz w:val="15"/>
                <w:szCs w:val="15"/>
              </w:rPr>
              <w:t>)</w:t>
            </w:r>
          </w:p>
        </w:tc>
      </w:tr>
      <w:tr w:rsidR="00AB2FB5" w:rsidRPr="009F2A5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AB2FB5" w:rsidRPr="00D80961" w:rsidRDefault="001F543B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i/>
                <w:sz w:val="15"/>
                <w:szCs w:val="15"/>
              </w:rPr>
            </w:pPr>
            <w:r w:rsidRPr="00D80961">
              <w:rPr>
                <w:rFonts w:asciiTheme="minorHAnsi" w:hAnsiTheme="minorHAnsi"/>
                <w:b/>
                <w:i/>
                <w:sz w:val="15"/>
                <w:szCs w:val="15"/>
              </w:rPr>
              <w:t>Subt</w:t>
            </w:r>
            <w:r w:rsidR="00AB2FB5" w:rsidRPr="00D80961">
              <w:rPr>
                <w:rFonts w:asciiTheme="minorHAnsi" w:hAnsiTheme="minorHAnsi"/>
                <w:b/>
                <w:i/>
                <w:sz w:val="15"/>
                <w:szCs w:val="15"/>
              </w:rPr>
              <w:t>otal – 2019-20 Budget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-3,450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-8,640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-5,710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-18,310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-20,200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-21,500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-22,900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-24,190</w:t>
            </w:r>
          </w:p>
        </w:tc>
        <w:tc>
          <w:tcPr>
            <w:tcW w:w="285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-25,590</w:t>
            </w:r>
          </w:p>
        </w:tc>
        <w:tc>
          <w:tcPr>
            <w:tcW w:w="352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-19,540</w:t>
            </w:r>
          </w:p>
        </w:tc>
        <w:tc>
          <w:tcPr>
            <w:tcW w:w="347" w:type="pct"/>
            <w:vAlign w:val="center"/>
          </w:tcPr>
          <w:p w:rsidR="00AB2FB5" w:rsidRPr="00D80961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-157,940</w:t>
            </w:r>
          </w:p>
        </w:tc>
      </w:tr>
      <w:tr w:rsidR="004201DC" w:rsidRPr="00012713" w:rsidTr="00420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bottom w:val="single" w:sz="8" w:space="0" w:color="788183" w:themeColor="accent6"/>
            </w:tcBorders>
            <w:shd w:val="clear" w:color="auto" w:fill="D3D8E9" w:themeFill="background2" w:themeFillTint="33"/>
            <w:vAlign w:val="center"/>
          </w:tcPr>
          <w:p w:rsidR="004201DC" w:rsidRPr="00D80961" w:rsidRDefault="004201DC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bCs w:val="0"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hAnsiTheme="minorHAnsi"/>
                <w:b/>
                <w:i w:val="0"/>
                <w:sz w:val="15"/>
                <w:szCs w:val="15"/>
              </w:rPr>
              <w:t>Aggregate impact – 2018</w:t>
            </w:r>
            <w:r w:rsidRPr="00D80961">
              <w:rPr>
                <w:rFonts w:asciiTheme="minorHAnsi" w:hAnsiTheme="minorHAnsi"/>
                <w:b/>
                <w:i w:val="0"/>
                <w:sz w:val="15"/>
                <w:szCs w:val="15"/>
              </w:rPr>
              <w:noBreakHyphen/>
              <w:t>19 Budget and 2019</w:t>
            </w:r>
            <w:r w:rsidRPr="00D80961">
              <w:rPr>
                <w:rFonts w:asciiTheme="minorHAnsi" w:hAnsiTheme="minorHAnsi"/>
                <w:b/>
                <w:i w:val="0"/>
                <w:sz w:val="15"/>
                <w:szCs w:val="15"/>
              </w:rPr>
              <w:noBreakHyphen/>
              <w:t>20 Budget measures</w:t>
            </w:r>
          </w:p>
        </w:tc>
      </w:tr>
      <w:tr w:rsidR="00754BA5" w:rsidRPr="009F2A5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D80961">
              <w:rPr>
                <w:rFonts w:asciiTheme="minorHAnsi" w:hAnsiTheme="minorHAnsi"/>
                <w:sz w:val="15"/>
                <w:szCs w:val="15"/>
              </w:rPr>
              <w:t>Equal to or below $180,000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-7,610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-8,110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-8,200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-20,210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-14,500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-25,280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-27,050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-28,510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-29,940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-31,050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-32,510</w:t>
            </w:r>
          </w:p>
        </w:tc>
        <w:tc>
          <w:tcPr>
            <w:tcW w:w="352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sz w:val="15"/>
                <w:szCs w:val="15"/>
              </w:rPr>
              <w:t>-44,370</w:t>
            </w: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sz w:val="15"/>
                <w:szCs w:val="15"/>
              </w:rPr>
              <w:t>-233,</w:t>
            </w:r>
            <w:r w:rsidR="007F6835" w:rsidRPr="00D80961">
              <w:rPr>
                <w:rFonts w:asciiTheme="minorHAnsi" w:eastAsiaTheme="majorEastAsia" w:hAnsiTheme="minorHAnsi"/>
                <w:b/>
                <w:sz w:val="15"/>
                <w:szCs w:val="15"/>
              </w:rPr>
              <w:t>34</w:t>
            </w:r>
            <w:r w:rsidRPr="00D80961">
              <w:rPr>
                <w:rFonts w:asciiTheme="minorHAnsi" w:eastAsiaTheme="majorEastAsia" w:hAnsiTheme="minorHAnsi"/>
                <w:b/>
                <w:sz w:val="15"/>
                <w:szCs w:val="15"/>
              </w:rPr>
              <w:t>0</w:t>
            </w:r>
          </w:p>
        </w:tc>
      </w:tr>
      <w:tr w:rsidR="00754BA5" w:rsidRPr="009F2A5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D80961">
              <w:rPr>
                <w:rFonts w:asciiTheme="minorHAnsi" w:hAnsiTheme="minorHAnsi"/>
                <w:sz w:val="15"/>
                <w:szCs w:val="15"/>
              </w:rPr>
              <w:t>(percentage of total cost)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9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8.8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9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8.8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9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8.8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91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.3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8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6.4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70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.5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6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8.9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6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7.6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66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.2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6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4.9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6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3.9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352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95</w:t>
            </w:r>
            <w:r w:rsidR="00CC1804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.3</w:t>
            </w:r>
            <w:r w:rsidR="00754BA5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347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7</w:t>
            </w:r>
            <w:r w:rsidR="00CC1804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1.8</w:t>
            </w:r>
            <w:r w:rsidR="00754BA5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)</w:t>
            </w:r>
          </w:p>
        </w:tc>
      </w:tr>
      <w:tr w:rsidR="00754BA5" w:rsidRPr="009F2A5C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sz w:val="15"/>
                <w:szCs w:val="15"/>
              </w:rPr>
            </w:pPr>
            <w:r w:rsidRPr="00D80961">
              <w:rPr>
                <w:rFonts w:asciiTheme="minorHAnsi" w:hAnsiTheme="minorHAnsi"/>
                <w:sz w:val="15"/>
                <w:szCs w:val="15"/>
              </w:rPr>
              <w:t>Greater than $180,000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-90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-90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-1,920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-2,280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-10,600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-12,210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-13,640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-15,300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-16,760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sz w:val="15"/>
                <w:szCs w:val="15"/>
              </w:rPr>
              <w:t>-18,380</w:t>
            </w:r>
          </w:p>
        </w:tc>
        <w:tc>
          <w:tcPr>
            <w:tcW w:w="352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sz w:val="15"/>
                <w:szCs w:val="15"/>
              </w:rPr>
              <w:t>-2,210</w:t>
            </w: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sz w:val="15"/>
                <w:szCs w:val="15"/>
              </w:rPr>
              <w:t>-91,</w:t>
            </w:r>
            <w:r w:rsidR="007F6835" w:rsidRPr="00D80961">
              <w:rPr>
                <w:rFonts w:asciiTheme="minorHAnsi" w:eastAsiaTheme="majorEastAsia" w:hAnsiTheme="minorHAnsi"/>
                <w:b/>
                <w:sz w:val="15"/>
                <w:szCs w:val="15"/>
              </w:rPr>
              <w:t>250</w:t>
            </w:r>
          </w:p>
        </w:tc>
      </w:tr>
      <w:tr w:rsidR="00754BA5" w:rsidRPr="00AB72B6" w:rsidTr="0023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</w:tcBorders>
            <w:vAlign w:val="center"/>
          </w:tcPr>
          <w:p w:rsidR="00754BA5" w:rsidRPr="00D80961" w:rsidRDefault="00754BA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sz w:val="15"/>
                <w:szCs w:val="15"/>
              </w:rPr>
            </w:pPr>
            <w:r w:rsidRPr="00D80961">
              <w:rPr>
                <w:rFonts w:asciiTheme="minorHAnsi" w:hAnsiTheme="minorHAnsi"/>
                <w:sz w:val="15"/>
                <w:szCs w:val="15"/>
              </w:rPr>
              <w:t>(percentage of total cost)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1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.2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1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.1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1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.2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8.7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1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3.6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29.5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31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.1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32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.4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3.8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35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.1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36</w:t>
            </w:r>
            <w:r w:rsidR="00CC1804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.1</w:t>
            </w:r>
            <w:r w:rsidR="00754BA5"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352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(</w:t>
            </w:r>
            <w:r w:rsidR="00CC1804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4.7</w:t>
            </w:r>
            <w:r w:rsidR="00754BA5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)</w:t>
            </w:r>
          </w:p>
        </w:tc>
        <w:tc>
          <w:tcPr>
            <w:tcW w:w="347" w:type="pct"/>
            <w:tcBorders>
              <w:top w:val="nil"/>
            </w:tcBorders>
            <w:vAlign w:val="center"/>
          </w:tcPr>
          <w:p w:rsidR="00754BA5" w:rsidRPr="00D80961" w:rsidRDefault="00487CB8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(</w:t>
            </w:r>
            <w:r w:rsidR="00754BA5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28</w:t>
            </w:r>
            <w:r w:rsidR="00CC1804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.2</w:t>
            </w:r>
            <w:r w:rsidR="00754BA5"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%</w:t>
            </w:r>
            <w:r w:rsidRPr="00D80961">
              <w:rPr>
                <w:rFonts w:asciiTheme="minorHAnsi" w:eastAsiaTheme="majorEastAsia" w:hAnsiTheme="minorHAnsi"/>
                <w:b/>
                <w:bCs/>
                <w:i w:val="0"/>
                <w:sz w:val="15"/>
                <w:szCs w:val="15"/>
              </w:rPr>
              <w:t>)</w:t>
            </w:r>
          </w:p>
        </w:tc>
      </w:tr>
      <w:tr w:rsidR="00AB2FB5" w:rsidRPr="009F2A5C" w:rsidTr="00330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shd w:val="clear" w:color="auto" w:fill="A7B2D4" w:themeFill="background2" w:themeFillTint="66"/>
            <w:vAlign w:val="center"/>
          </w:tcPr>
          <w:p w:rsidR="00AB2FB5" w:rsidRPr="00012713" w:rsidRDefault="00AB2FB5" w:rsidP="002050D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5"/>
                <w:szCs w:val="15"/>
              </w:rPr>
            </w:pPr>
            <w:r w:rsidRPr="00012713">
              <w:rPr>
                <w:rFonts w:asciiTheme="minorHAnsi" w:hAnsiTheme="minorHAnsi"/>
                <w:b/>
                <w:sz w:val="15"/>
                <w:szCs w:val="15"/>
              </w:rPr>
              <w:t xml:space="preserve">Total 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AB2FB5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AB2FB5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-7,700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-8,200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-8,300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-22,130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-16,780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-35,880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-39,260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-42,150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-45,240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-47,810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AB2FB5" w:rsidRPr="00E108B9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E108B9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-50,890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:rsidR="00AB2FB5" w:rsidRPr="007F6835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7F6835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-46,580</w:t>
            </w:r>
          </w:p>
        </w:tc>
        <w:tc>
          <w:tcPr>
            <w:tcW w:w="347" w:type="pct"/>
            <w:shd w:val="clear" w:color="auto" w:fill="A7B2D4" w:themeFill="background2" w:themeFillTint="66"/>
            <w:vAlign w:val="center"/>
          </w:tcPr>
          <w:p w:rsidR="00AB2FB5" w:rsidRPr="007F6835" w:rsidRDefault="00AB2FB5" w:rsidP="002050D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7F6835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-324,590</w:t>
            </w:r>
          </w:p>
        </w:tc>
      </w:tr>
    </w:tbl>
    <w:p w:rsidR="00FC71C5" w:rsidRPr="00816E26" w:rsidRDefault="00FC71C5" w:rsidP="00FC71C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(a)</w:t>
      </w:r>
      <w:r w:rsidRPr="00816E26">
        <w:rPr>
          <w:spacing w:val="-1"/>
          <w:sz w:val="16"/>
          <w:szCs w:val="16"/>
        </w:rPr>
        <w:tab/>
        <w:t xml:space="preserve">A positive number for the fiscal balance indicates an increase in revenue or a decrease in expenses or net capital </w:t>
      </w:r>
      <w:r>
        <w:rPr>
          <w:spacing w:val="-1"/>
          <w:sz w:val="16"/>
          <w:szCs w:val="16"/>
        </w:rPr>
        <w:t>investment in accrual terms.  A </w:t>
      </w:r>
      <w:r w:rsidRPr="00816E26">
        <w:rPr>
          <w:spacing w:val="-1"/>
          <w:sz w:val="16"/>
          <w:szCs w:val="16"/>
        </w:rPr>
        <w:t xml:space="preserve">negative number for the fiscal balance indicates a decrease in revenue or an increase in expenses or net capital </w:t>
      </w:r>
      <w:r>
        <w:rPr>
          <w:spacing w:val="-1"/>
          <w:sz w:val="16"/>
          <w:szCs w:val="16"/>
        </w:rPr>
        <w:t>investment in accrual terms.  A </w:t>
      </w:r>
      <w:r w:rsidRPr="00816E26">
        <w:rPr>
          <w:spacing w:val="-1"/>
          <w:sz w:val="16"/>
          <w:szCs w:val="16"/>
        </w:rPr>
        <w:t xml:space="preserve">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FC71C5" w:rsidRDefault="00FC71C5" w:rsidP="00FC71C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FC71C5" w:rsidRPr="009F2A5C" w:rsidRDefault="00FC71C5" w:rsidP="00FC71C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C05B28" w:rsidRDefault="00C05B28" w:rsidP="00C05B28">
      <w:pPr>
        <w:pStyle w:val="Caption"/>
        <w:widowControl w:val="0"/>
        <w:tabs>
          <w:tab w:val="left" w:pos="9356"/>
        </w:tabs>
        <w:rPr>
          <w:vertAlign w:val="superscript"/>
        </w:rPr>
      </w:pPr>
      <w:r>
        <w:t>Memorandum item</w:t>
      </w:r>
      <w:r w:rsidRPr="002D239A">
        <w:t xml:space="preserve">: </w:t>
      </w:r>
      <w:r w:rsidRPr="00FE053F">
        <w:t>Personal Income Tax Plan –</w:t>
      </w:r>
      <w:r>
        <w:t xml:space="preserve"> Estimated </w:t>
      </w:r>
      <w:r w:rsidR="00FA028F">
        <w:t>proportion</w:t>
      </w:r>
      <w:r>
        <w:t xml:space="preserve"> of taxpayers</w:t>
      </w:r>
      <w:r>
        <w:rPr>
          <w:vertAlign w:val="superscript"/>
        </w:rPr>
        <w:t>(a)</w:t>
      </w:r>
      <w:r w:rsidR="00825606">
        <w:rPr>
          <w:vertAlign w:val="superscript"/>
        </w:rPr>
        <w:t>(</w:t>
      </w:r>
      <w:r w:rsidR="002B4DE5">
        <w:rPr>
          <w:vertAlign w:val="superscript"/>
        </w:rPr>
        <w:t>b</w:t>
      </w:r>
      <w:r w:rsidR="00825606">
        <w:rPr>
          <w:vertAlign w:val="superscript"/>
        </w:rPr>
        <w:t>)</w:t>
      </w:r>
    </w:p>
    <w:tbl>
      <w:tblPr>
        <w:tblStyle w:val="LightGrid-Accent6"/>
        <w:tblW w:w="494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80" w:firstRow="0" w:lastRow="0" w:firstColumn="1" w:lastColumn="0" w:noHBand="1" w:noVBand="1"/>
      </w:tblPr>
      <w:tblGrid>
        <w:gridCol w:w="2346"/>
        <w:gridCol w:w="699"/>
        <w:gridCol w:w="699"/>
        <w:gridCol w:w="699"/>
        <w:gridCol w:w="699"/>
        <w:gridCol w:w="699"/>
        <w:gridCol w:w="699"/>
        <w:gridCol w:w="698"/>
        <w:gridCol w:w="698"/>
        <w:gridCol w:w="698"/>
        <w:gridCol w:w="698"/>
        <w:gridCol w:w="700"/>
      </w:tblGrid>
      <w:tr w:rsidR="00330795" w:rsidRPr="009F2A5C" w:rsidTr="00330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  <w:shd w:val="clear" w:color="auto" w:fill="A7B2D4" w:themeFill="background2" w:themeFillTint="66"/>
            <w:vAlign w:val="center"/>
          </w:tcPr>
          <w:p w:rsidR="00C05B28" w:rsidRPr="00330795" w:rsidRDefault="006C0F16" w:rsidP="00825606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Individuals with n</w:t>
            </w:r>
            <w:r w:rsidR="00C05B28" w:rsidRPr="00330795">
              <w:rPr>
                <w:rFonts w:asciiTheme="minorHAnsi" w:hAnsiTheme="minorHAnsi"/>
                <w:sz w:val="16"/>
                <w:szCs w:val="16"/>
              </w:rPr>
              <w:t>ominal taxable income per annum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348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49" w:type="pct"/>
            <w:shd w:val="clear" w:color="auto" w:fill="A7B2D4" w:themeFill="background2" w:themeFillTint="66"/>
            <w:vAlign w:val="center"/>
          </w:tcPr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9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:rsidR="00C05B28" w:rsidRPr="00ED0817" w:rsidRDefault="00C05B28" w:rsidP="00825606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30</w:t>
            </w:r>
          </w:p>
        </w:tc>
      </w:tr>
      <w:tr w:rsidR="00C84EE9" w:rsidRPr="009F2A5C" w:rsidTr="00330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  <w:vAlign w:val="center"/>
          </w:tcPr>
          <w:p w:rsidR="00C84EE9" w:rsidRPr="00D80961" w:rsidRDefault="00FA028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D80961">
              <w:rPr>
                <w:rFonts w:asciiTheme="minorHAnsi" w:hAnsiTheme="minorHAnsi"/>
                <w:noProof/>
                <w:sz w:val="15"/>
                <w:szCs w:val="15"/>
              </w:rPr>
              <w:t>Equal to or below $180,000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</w:t>
            </w:r>
            <w:r w:rsidR="00FA028F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5</w:t>
            </w: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94%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</w:t>
            </w:r>
            <w:r w:rsidR="00FA028F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4</w:t>
            </w: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93%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93%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92%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92%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91%</w:t>
            </w:r>
          </w:p>
        </w:tc>
        <w:tc>
          <w:tcPr>
            <w:tcW w:w="348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90%</w:t>
            </w:r>
          </w:p>
        </w:tc>
        <w:tc>
          <w:tcPr>
            <w:tcW w:w="348" w:type="pct"/>
            <w:vAlign w:val="center"/>
          </w:tcPr>
          <w:p w:rsidR="00C84EE9" w:rsidRPr="00D80961" w:rsidRDefault="00FA028F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90</w:t>
            </w:r>
            <w:r w:rsidR="00C84EE9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9" w:type="pct"/>
            <w:vAlign w:val="center"/>
          </w:tcPr>
          <w:p w:rsidR="00C84EE9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89%</w:t>
            </w:r>
          </w:p>
        </w:tc>
      </w:tr>
      <w:tr w:rsidR="00825606" w:rsidRPr="009F2A5C" w:rsidTr="00330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  <w:vAlign w:val="center"/>
          </w:tcPr>
          <w:p w:rsidR="00825606" w:rsidRPr="00D80961" w:rsidRDefault="00FA028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sz w:val="15"/>
                <w:szCs w:val="15"/>
              </w:rPr>
            </w:pPr>
            <w:r w:rsidRPr="00D80961">
              <w:rPr>
                <w:rFonts w:asciiTheme="minorHAnsi" w:hAnsiTheme="minorHAnsi"/>
                <w:noProof/>
                <w:sz w:val="15"/>
                <w:szCs w:val="15"/>
              </w:rPr>
              <w:t>Greater than $180,000</w:t>
            </w:r>
          </w:p>
        </w:tc>
        <w:tc>
          <w:tcPr>
            <w:tcW w:w="348" w:type="pct"/>
            <w:vAlign w:val="center"/>
          </w:tcPr>
          <w:p w:rsidR="00825606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5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FA028F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6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6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FA028F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7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FA028F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7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FA028F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8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8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FA028F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9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FA028F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10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8" w:type="pct"/>
            <w:vAlign w:val="center"/>
          </w:tcPr>
          <w:p w:rsidR="00825606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10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  <w:tc>
          <w:tcPr>
            <w:tcW w:w="349" w:type="pct"/>
            <w:vAlign w:val="center"/>
          </w:tcPr>
          <w:p w:rsidR="00825606" w:rsidRPr="00D80961" w:rsidRDefault="00C84EE9" w:rsidP="0033079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11</w:t>
            </w:r>
            <w:r w:rsidR="00825606" w:rsidRPr="00D80961"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  <w:t>%</w:t>
            </w:r>
          </w:p>
        </w:tc>
      </w:tr>
    </w:tbl>
    <w:p w:rsidR="00C05B28" w:rsidRDefault="00C05B28" w:rsidP="00C05B28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>
        <w:rPr>
          <w:sz w:val="16"/>
          <w:szCs w:val="16"/>
        </w:rPr>
        <w:t>(a</w:t>
      </w:r>
      <w:r w:rsidRPr="009F2A5C">
        <w:rPr>
          <w:sz w:val="16"/>
          <w:szCs w:val="16"/>
        </w:rPr>
        <w:t>)</w:t>
      </w:r>
      <w:r w:rsidRPr="009F2A5C">
        <w:rPr>
          <w:sz w:val="16"/>
          <w:szCs w:val="16"/>
        </w:rPr>
        <w:tab/>
        <w:t>Figures may not sum to totals due to rounding.</w:t>
      </w:r>
    </w:p>
    <w:p w:rsidR="00FC71C5" w:rsidRPr="00FC71C5" w:rsidRDefault="00775BA1" w:rsidP="00330795">
      <w:pPr>
        <w:keepNext/>
        <w:widowControl w:val="0"/>
        <w:tabs>
          <w:tab w:val="left" w:pos="9356"/>
        </w:tabs>
        <w:spacing w:line="260" w:lineRule="atLeast"/>
        <w:ind w:left="284" w:hanging="284"/>
      </w:pPr>
      <w:r>
        <w:rPr>
          <w:sz w:val="16"/>
          <w:szCs w:val="16"/>
        </w:rPr>
        <w:t>(</w:t>
      </w:r>
      <w:r w:rsidR="002B4DE5">
        <w:rPr>
          <w:sz w:val="16"/>
          <w:szCs w:val="16"/>
        </w:rPr>
        <w:t>b</w:t>
      </w:r>
      <w:r w:rsidR="00825606" w:rsidRPr="009F2A5C">
        <w:rPr>
          <w:sz w:val="16"/>
          <w:szCs w:val="16"/>
        </w:rPr>
        <w:t>)</w:t>
      </w:r>
      <w:r w:rsidR="00825606" w:rsidRPr="009F2A5C">
        <w:rPr>
          <w:sz w:val="16"/>
          <w:szCs w:val="16"/>
        </w:rPr>
        <w:tab/>
      </w:r>
      <w:r w:rsidR="00825606">
        <w:rPr>
          <w:sz w:val="16"/>
          <w:szCs w:val="16"/>
        </w:rPr>
        <w:t>A</w:t>
      </w:r>
      <w:r w:rsidR="00CC1804">
        <w:rPr>
          <w:sz w:val="16"/>
          <w:szCs w:val="16"/>
        </w:rPr>
        <w:t xml:space="preserve"> taxpayer is an individual with a</w:t>
      </w:r>
      <w:r w:rsidR="006C0F16">
        <w:rPr>
          <w:sz w:val="16"/>
          <w:szCs w:val="16"/>
        </w:rPr>
        <w:t xml:space="preserve"> </w:t>
      </w:r>
      <w:r w:rsidR="00FA028F">
        <w:rPr>
          <w:sz w:val="16"/>
          <w:szCs w:val="16"/>
        </w:rPr>
        <w:t xml:space="preserve">positive </w:t>
      </w:r>
      <w:r w:rsidR="006C0F16">
        <w:rPr>
          <w:sz w:val="16"/>
          <w:szCs w:val="16"/>
        </w:rPr>
        <w:t>net</w:t>
      </w:r>
      <w:r w:rsidR="00CC1804">
        <w:rPr>
          <w:sz w:val="16"/>
          <w:szCs w:val="16"/>
        </w:rPr>
        <w:t xml:space="preserve"> tax liability </w:t>
      </w:r>
      <w:r>
        <w:rPr>
          <w:sz w:val="16"/>
          <w:szCs w:val="16"/>
        </w:rPr>
        <w:t>prior to the implementation of the Government’s Personal Income Tax Plan</w:t>
      </w:r>
      <w:r w:rsidR="00CC1804" w:rsidRPr="009F2A5C">
        <w:rPr>
          <w:sz w:val="16"/>
          <w:szCs w:val="16"/>
        </w:rPr>
        <w:t>.</w:t>
      </w:r>
    </w:p>
    <w:p w:rsidR="00054F9F" w:rsidRPr="00FC71C5" w:rsidRDefault="00054F9F" w:rsidP="00FC71C5">
      <w:pPr>
        <w:pStyle w:val="TableFootnotes"/>
        <w:keepLines w:val="0"/>
        <w:numPr>
          <w:ilvl w:val="0"/>
          <w:numId w:val="0"/>
        </w:numPr>
        <w:tabs>
          <w:tab w:val="left" w:pos="9356"/>
        </w:tabs>
        <w:ind w:left="360" w:hanging="360"/>
        <w:rPr>
          <w:sz w:val="16"/>
          <w:szCs w:val="16"/>
        </w:rPr>
      </w:pPr>
    </w:p>
    <w:sectPr w:rsidR="00054F9F" w:rsidRPr="00FC71C5" w:rsidSect="00054F9F">
      <w:footerReference w:type="default" r:id="rId13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EE" w:rsidRDefault="002A65EE" w:rsidP="00A20802">
      <w:pPr>
        <w:spacing w:line="240" w:lineRule="auto"/>
      </w:pPr>
      <w:r>
        <w:separator/>
      </w:r>
    </w:p>
    <w:p w:rsidR="002A65EE" w:rsidRDefault="002A65EE"/>
    <w:p w:rsidR="002A65EE" w:rsidRDefault="002A65EE"/>
  </w:endnote>
  <w:endnote w:type="continuationSeparator" w:id="0">
    <w:p w:rsidR="002A65EE" w:rsidRDefault="002A65EE" w:rsidP="00A20802">
      <w:pPr>
        <w:spacing w:line="240" w:lineRule="auto"/>
      </w:pPr>
      <w:r>
        <w:continuationSeparator/>
      </w:r>
    </w:p>
    <w:p w:rsidR="002A65EE" w:rsidRDefault="002A65EE"/>
    <w:p w:rsidR="002A65EE" w:rsidRDefault="002A6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EE" w:rsidRPr="00015E04" w:rsidRDefault="002A65EE" w:rsidP="002E5FC5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D859D4">
      <w:rPr>
        <w:rFonts w:ascii="Calibri" w:hAnsi="Calibri"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5C2504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D859D4">
      <w:rPr>
        <w:rStyle w:val="FooterChar"/>
        <w:b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EE" w:rsidRPr="007A47D0" w:rsidRDefault="002A65EE" w:rsidP="00015E0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 w:rsidRPr="00DD281D">
      <w:rPr>
        <w:rStyle w:val="FooterChar"/>
        <w:rFonts w:ascii="Calibri" w:hAnsi="Calibri" w:cs="Arial"/>
        <w:b/>
      </w:rPr>
      <w:t>PBO</w:t>
    </w:r>
    <w:r>
      <w:rPr>
        <w:rStyle w:val="FooterChar"/>
        <w:rFonts w:ascii="Calibri" w:hAnsi="Calibri" w:cs="Arial"/>
        <w:b/>
      </w:rPr>
      <w:t xml:space="preserve"> reference </w:t>
    </w:r>
    <w:r w:rsidRPr="003E41B2">
      <w:rPr>
        <w:rStyle w:val="FooterChar"/>
        <w:rFonts w:ascii="Calibri" w:hAnsi="Calibri" w:cs="Arial"/>
        <w:b/>
      </w:rPr>
      <w:t>PR1</w:t>
    </w:r>
    <w:r>
      <w:rPr>
        <w:rStyle w:val="FooterChar"/>
        <w:rFonts w:ascii="Calibri" w:hAnsi="Calibri" w:cs="Arial"/>
        <w:b/>
      </w:rPr>
      <w:t>9</w:t>
    </w:r>
    <w:r w:rsidRPr="003E41B2">
      <w:rPr>
        <w:rStyle w:val="FooterChar"/>
        <w:rFonts w:ascii="Calibri" w:hAnsi="Calibri" w:cs="Arial"/>
        <w:b/>
      </w:rPr>
      <w:t>/00</w:t>
    </w:r>
    <w:r>
      <w:rPr>
        <w:rStyle w:val="FooterChar"/>
        <w:rFonts w:ascii="Calibri" w:hAnsi="Calibri" w:cs="Arial"/>
        <w:b/>
      </w:rPr>
      <w:t>956</w:t>
    </w:r>
    <w:r>
      <w:rPr>
        <w:rStyle w:val="FooterChar"/>
        <w:rFonts w:ascii="Calibri" w:hAnsi="Calibri" w:cs="Arial"/>
        <w:b/>
      </w:rPr>
      <w:tab/>
    </w:r>
    <w:r w:rsidRPr="00D859D4">
      <w:rPr>
        <w:rFonts w:ascii="Calibri" w:hAnsi="Calibri"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5C2504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D859D4">
      <w:rPr>
        <w:rStyle w:val="FooterChar"/>
        <w:b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EE" w:rsidRPr="00015E04" w:rsidRDefault="002A65EE" w:rsidP="002E5FC5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D859D4">
      <w:rPr>
        <w:rFonts w:ascii="Calibri" w:hAnsi="Calibri"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5C2504">
      <w:rPr>
        <w:rStyle w:val="FooterChar"/>
        <w:b/>
        <w:noProof/>
      </w:rPr>
      <w:t>5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D859D4">
      <w:rPr>
        <w:rStyle w:val="FooterChar"/>
        <w:b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EE" w:rsidRPr="000557A7" w:rsidRDefault="002A65EE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:rsidR="002A65EE" w:rsidRDefault="002A65EE" w:rsidP="00A20802">
      <w:pPr>
        <w:spacing w:line="240" w:lineRule="auto"/>
      </w:pPr>
      <w:r>
        <w:continuationSeparator/>
      </w:r>
    </w:p>
    <w:p w:rsidR="002A65EE" w:rsidRDefault="002A65EE"/>
    <w:p w:rsidR="002A65EE" w:rsidRDefault="002A65EE"/>
  </w:footnote>
  <w:footnote w:id="1">
    <w:p w:rsidR="002A65EE" w:rsidRDefault="002A65EE" w:rsidP="008C788F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See for instance, HM Revenue and Customs, 2012.  </w:t>
      </w:r>
      <w:r>
        <w:rPr>
          <w:i/>
        </w:rPr>
        <w:t>The Exchequer effect of the 50 per cent additional rate of income tax</w:t>
      </w:r>
      <w:r>
        <w:t xml:space="preserve">, London: HM Revenue and Customs.  </w:t>
      </w:r>
    </w:p>
  </w:footnote>
  <w:footnote w:id="2">
    <w:p w:rsidR="002A65EE" w:rsidRDefault="002A65EE" w:rsidP="008C788F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  <w:footnote w:id="3">
    <w:p w:rsidR="002A65EE" w:rsidRDefault="002A65EE" w:rsidP="00C60B9C">
      <w:pPr>
        <w:pStyle w:val="FootnoteText"/>
        <w:tabs>
          <w:tab w:val="clear" w:pos="425"/>
          <w:tab w:val="left" w:pos="142"/>
        </w:tabs>
        <w:ind w:left="0" w:firstLine="1"/>
      </w:pPr>
      <w:r>
        <w:rPr>
          <w:rStyle w:val="FootnoteReference"/>
        </w:rPr>
        <w:footnoteRef/>
      </w:r>
      <w:r>
        <w:t xml:space="preserve"> While estimates have been presented over the 2019-20 Budget forward estimates period and the period to 2029-30, increasing the tax threshold from $87,000 to $90,000 has a cost of $300 million in 2018-19.  This impact is</w:t>
      </w:r>
      <w:r w:rsidRPr="00C60B9C">
        <w:t xml:space="preserve"> included in the totals to 2022-23 and 2029-30</w:t>
      </w:r>
      <w:r>
        <w:t>.</w:t>
      </w:r>
    </w:p>
  </w:footnote>
  <w:footnote w:id="4">
    <w:p w:rsidR="002A65EE" w:rsidRDefault="002A65EE" w:rsidP="00EE3080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4201DC">
        <w:t xml:space="preserve">For example, in the analysis, </w:t>
      </w:r>
      <w:r>
        <w:t>if a taxpayer had a taxable income of $180,000 in 2023</w:t>
      </w:r>
      <w:r>
        <w:noBreakHyphen/>
        <w:t>24 their tax cut would not count</w:t>
      </w:r>
      <w:r w:rsidRPr="004201DC">
        <w:t xml:space="preserve"> towards the aggregate cost of the Budget measures</w:t>
      </w:r>
      <w:r>
        <w:t xml:space="preserve"> for those with taxable incomes over $180,000</w:t>
      </w:r>
      <w:r w:rsidRPr="004201DC">
        <w:t>.</w:t>
      </w:r>
      <w:r>
        <w:t xml:space="preserve">  However, if the same taxpayer had a </w:t>
      </w:r>
      <w:r w:rsidRPr="004201DC">
        <w:t xml:space="preserve">taxable income of </w:t>
      </w:r>
      <w:r>
        <w:t>over $180</w:t>
      </w:r>
      <w:r w:rsidRPr="004201DC">
        <w:t xml:space="preserve">,000 </w:t>
      </w:r>
      <w:r>
        <w:t>in the next year (due a wage rise), the full value of the tax cut they receive in 2024</w:t>
      </w:r>
      <w:r>
        <w:noBreakHyphen/>
        <w:t xml:space="preserve">25 </w:t>
      </w:r>
      <w:r w:rsidRPr="004201DC">
        <w:t xml:space="preserve">would </w:t>
      </w:r>
      <w:r>
        <w:t>count</w:t>
      </w:r>
      <w:r w:rsidRPr="004201DC">
        <w:t xml:space="preserve"> towards the aggregate cost of the Budget measures</w:t>
      </w:r>
      <w:r>
        <w:t xml:space="preserve"> for those with taxable incomes over $180,000</w:t>
      </w:r>
      <w:r w:rsidRPr="004201DC">
        <w:t xml:space="preserve">.  </w:t>
      </w:r>
    </w:p>
  </w:footnote>
  <w:footnote w:id="5">
    <w:p w:rsidR="002A65EE" w:rsidRDefault="002A65EE">
      <w:pPr>
        <w:pStyle w:val="FootnoteText"/>
      </w:pPr>
      <w:r>
        <w:rPr>
          <w:rStyle w:val="FootnoteReference"/>
        </w:rPr>
        <w:footnoteRef/>
      </w:r>
      <w:r>
        <w:t xml:space="preserve"> Refer to the 2019-20 Budget, page 17.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D4" w:rsidRPr="00D859D4" w:rsidRDefault="00D859D4" w:rsidP="00D859D4">
    <w:pPr>
      <w:pStyle w:val="Header"/>
      <w:jc w:val="center"/>
      <w:rPr>
        <w:rFonts w:ascii="Calibri" w:hAnsi="Calibri"/>
        <w:b/>
        <w:strike/>
        <w:color w:val="FF0000"/>
        <w:sz w:val="36"/>
        <w:szCs w:val="36"/>
      </w:rPr>
    </w:pPr>
    <w:r w:rsidRPr="00D859D4">
      <w:rPr>
        <w:rFonts w:ascii="Calibri" w:hAnsi="Calibri"/>
        <w:b/>
        <w:strike/>
        <w:color w:val="FF0000"/>
        <w:sz w:val="36"/>
        <w:szCs w:val="36"/>
      </w:rPr>
      <w:t>OFFICIAL: 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EE" w:rsidRPr="00D859D4" w:rsidRDefault="002A65EE" w:rsidP="002C4DA6">
    <w:pPr>
      <w:pStyle w:val="Header"/>
      <w:jc w:val="center"/>
      <w:rPr>
        <w:rFonts w:ascii="Calibri" w:hAnsi="Calibri"/>
        <w:b/>
        <w:strike/>
        <w:color w:val="FF0000"/>
        <w:sz w:val="36"/>
        <w:szCs w:val="36"/>
      </w:rPr>
    </w:pPr>
    <w:r w:rsidRPr="00D859D4">
      <w:rPr>
        <w:rFonts w:ascii="Calibri" w:hAnsi="Calibri"/>
        <w:b/>
        <w:strike/>
        <w:color w:val="FF0000"/>
        <w:sz w:val="36"/>
        <w:szCs w:val="36"/>
      </w:rPr>
      <w:t>OFFICIAL: Sensitive</w:t>
    </w:r>
  </w:p>
  <w:p w:rsidR="002A65EE" w:rsidRPr="0046444F" w:rsidRDefault="002A65EE" w:rsidP="0046444F">
    <w:pPr>
      <w:pStyle w:val="Header"/>
    </w:pPr>
    <w:r>
      <w:rPr>
        <w:noProof/>
        <w:lang w:eastAsia="en-AU"/>
      </w:rPr>
      <w:drawing>
        <wp:inline distT="0" distB="0" distL="0" distR="0" wp14:anchorId="1D3136E7" wp14:editId="04140D72">
          <wp:extent cx="1880382" cy="5760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BO Logo In Line_Black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8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7FE"/>
    <w:multiLevelType w:val="multilevel"/>
    <w:tmpl w:val="B9B6093C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448"/>
    <w:multiLevelType w:val="multilevel"/>
    <w:tmpl w:val="34483270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3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9778B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9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1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30"/>
  </w:num>
  <w:num w:numId="4">
    <w:abstractNumId w:val="12"/>
  </w:num>
  <w:num w:numId="5">
    <w:abstractNumId w:val="10"/>
  </w:num>
  <w:num w:numId="6">
    <w:abstractNumId w:val="28"/>
  </w:num>
  <w:num w:numId="7">
    <w:abstractNumId w:val="4"/>
  </w:num>
  <w:num w:numId="8">
    <w:abstractNumId w:val="6"/>
  </w:num>
  <w:num w:numId="9">
    <w:abstractNumId w:val="27"/>
  </w:num>
  <w:num w:numId="10">
    <w:abstractNumId w:val="3"/>
  </w:num>
  <w:num w:numId="11">
    <w:abstractNumId w:val="8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9"/>
  </w:num>
  <w:num w:numId="18">
    <w:abstractNumId w:val="32"/>
  </w:num>
  <w:num w:numId="19">
    <w:abstractNumId w:val="0"/>
  </w:num>
  <w:num w:numId="20">
    <w:abstractNumId w:val="18"/>
  </w:num>
  <w:num w:numId="21">
    <w:abstractNumId w:val="20"/>
  </w:num>
  <w:num w:numId="22">
    <w:abstractNumId w:val="14"/>
  </w:num>
  <w:num w:numId="23">
    <w:abstractNumId w:val="15"/>
  </w:num>
  <w:num w:numId="24">
    <w:abstractNumId w:val="24"/>
  </w:num>
  <w:num w:numId="25">
    <w:abstractNumId w:val="13"/>
  </w:num>
  <w:num w:numId="26">
    <w:abstractNumId w:val="5"/>
  </w:num>
  <w:num w:numId="27">
    <w:abstractNumId w:val="23"/>
  </w:num>
  <w:num w:numId="28">
    <w:abstractNumId w:val="21"/>
  </w:num>
  <w:num w:numId="29">
    <w:abstractNumId w:val="25"/>
  </w:num>
  <w:num w:numId="30">
    <w:abstractNumId w:val="31"/>
  </w:num>
  <w:num w:numId="31">
    <w:abstractNumId w:val="19"/>
  </w:num>
  <w:num w:numId="32">
    <w:abstractNumId w:val="11"/>
  </w:num>
  <w:num w:numId="33">
    <w:abstractNumId w:val="16"/>
  </w:num>
  <w:num w:numId="34">
    <w:abstractNumId w:val="9"/>
  </w:num>
  <w:num w:numId="35">
    <w:abstractNumId w:val="3"/>
  </w:num>
  <w:num w:numId="36">
    <w:abstractNumId w:val="1"/>
  </w:num>
  <w:num w:numId="37">
    <w:abstractNumId w:val="7"/>
  </w:num>
  <w:num w:numId="38">
    <w:abstractNumId w:val="4"/>
  </w:num>
  <w:num w:numId="39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cumentProtection w:edit="forms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FC71C5"/>
    <w:rsid w:val="0000071C"/>
    <w:rsid w:val="0000322C"/>
    <w:rsid w:val="00003CDD"/>
    <w:rsid w:val="00013620"/>
    <w:rsid w:val="0001406F"/>
    <w:rsid w:val="00015E04"/>
    <w:rsid w:val="000168A7"/>
    <w:rsid w:val="00016D53"/>
    <w:rsid w:val="000278D0"/>
    <w:rsid w:val="00027E62"/>
    <w:rsid w:val="000307C8"/>
    <w:rsid w:val="00030F73"/>
    <w:rsid w:val="00031840"/>
    <w:rsid w:val="00033326"/>
    <w:rsid w:val="00035ADE"/>
    <w:rsid w:val="0004224B"/>
    <w:rsid w:val="00046226"/>
    <w:rsid w:val="000505FB"/>
    <w:rsid w:val="0005330D"/>
    <w:rsid w:val="00054F9F"/>
    <w:rsid w:val="000557A7"/>
    <w:rsid w:val="00055805"/>
    <w:rsid w:val="00056CB3"/>
    <w:rsid w:val="0005793B"/>
    <w:rsid w:val="00061758"/>
    <w:rsid w:val="00065125"/>
    <w:rsid w:val="00066D54"/>
    <w:rsid w:val="00067A28"/>
    <w:rsid w:val="0007260F"/>
    <w:rsid w:val="000739CB"/>
    <w:rsid w:val="00073C89"/>
    <w:rsid w:val="0007488E"/>
    <w:rsid w:val="000805D5"/>
    <w:rsid w:val="0008103B"/>
    <w:rsid w:val="00085F97"/>
    <w:rsid w:val="000879B1"/>
    <w:rsid w:val="00092A33"/>
    <w:rsid w:val="0009725D"/>
    <w:rsid w:val="000973F9"/>
    <w:rsid w:val="00097A23"/>
    <w:rsid w:val="000A0848"/>
    <w:rsid w:val="000A2FEC"/>
    <w:rsid w:val="000A348F"/>
    <w:rsid w:val="000B1B0C"/>
    <w:rsid w:val="000B4345"/>
    <w:rsid w:val="000B5900"/>
    <w:rsid w:val="000B60AE"/>
    <w:rsid w:val="000B6942"/>
    <w:rsid w:val="000B6D00"/>
    <w:rsid w:val="000C09FA"/>
    <w:rsid w:val="000C1AB0"/>
    <w:rsid w:val="000C37A9"/>
    <w:rsid w:val="000C6728"/>
    <w:rsid w:val="000C702E"/>
    <w:rsid w:val="000D15E9"/>
    <w:rsid w:val="000D3182"/>
    <w:rsid w:val="000D45C4"/>
    <w:rsid w:val="000D46B3"/>
    <w:rsid w:val="000E18F3"/>
    <w:rsid w:val="000E19AC"/>
    <w:rsid w:val="000E266E"/>
    <w:rsid w:val="000E4C7B"/>
    <w:rsid w:val="000F1515"/>
    <w:rsid w:val="000F16B5"/>
    <w:rsid w:val="000F616E"/>
    <w:rsid w:val="000F7D50"/>
    <w:rsid w:val="001014F0"/>
    <w:rsid w:val="00110D43"/>
    <w:rsid w:val="001159EA"/>
    <w:rsid w:val="00120A75"/>
    <w:rsid w:val="00125410"/>
    <w:rsid w:val="00130858"/>
    <w:rsid w:val="00136C26"/>
    <w:rsid w:val="0014059F"/>
    <w:rsid w:val="00141551"/>
    <w:rsid w:val="001417CE"/>
    <w:rsid w:val="0014479F"/>
    <w:rsid w:val="00146B30"/>
    <w:rsid w:val="00146EAD"/>
    <w:rsid w:val="001541BF"/>
    <w:rsid w:val="00154DC5"/>
    <w:rsid w:val="00160C8D"/>
    <w:rsid w:val="001629C0"/>
    <w:rsid w:val="00165122"/>
    <w:rsid w:val="00165854"/>
    <w:rsid w:val="00166078"/>
    <w:rsid w:val="00166A15"/>
    <w:rsid w:val="001711BC"/>
    <w:rsid w:val="001738DB"/>
    <w:rsid w:val="001738F5"/>
    <w:rsid w:val="00173DFD"/>
    <w:rsid w:val="00176FB9"/>
    <w:rsid w:val="001775EA"/>
    <w:rsid w:val="00180FF9"/>
    <w:rsid w:val="001846DF"/>
    <w:rsid w:val="0019204F"/>
    <w:rsid w:val="00195228"/>
    <w:rsid w:val="00195696"/>
    <w:rsid w:val="00196532"/>
    <w:rsid w:val="00197FD0"/>
    <w:rsid w:val="001A1EFC"/>
    <w:rsid w:val="001A48EF"/>
    <w:rsid w:val="001A49CC"/>
    <w:rsid w:val="001A5553"/>
    <w:rsid w:val="001A716E"/>
    <w:rsid w:val="001B18C6"/>
    <w:rsid w:val="001B2C65"/>
    <w:rsid w:val="001B4255"/>
    <w:rsid w:val="001B7058"/>
    <w:rsid w:val="001C3A4F"/>
    <w:rsid w:val="001C4121"/>
    <w:rsid w:val="001C48DE"/>
    <w:rsid w:val="001C7F8D"/>
    <w:rsid w:val="001D30C1"/>
    <w:rsid w:val="001D52E3"/>
    <w:rsid w:val="001D542E"/>
    <w:rsid w:val="001D576F"/>
    <w:rsid w:val="001D7C29"/>
    <w:rsid w:val="001E0475"/>
    <w:rsid w:val="001E33C2"/>
    <w:rsid w:val="001E708A"/>
    <w:rsid w:val="001F2AAD"/>
    <w:rsid w:val="001F543B"/>
    <w:rsid w:val="001F5C90"/>
    <w:rsid w:val="001F6552"/>
    <w:rsid w:val="001F767C"/>
    <w:rsid w:val="001F7B10"/>
    <w:rsid w:val="00203A7B"/>
    <w:rsid w:val="002050DE"/>
    <w:rsid w:val="002057EF"/>
    <w:rsid w:val="00205C6E"/>
    <w:rsid w:val="00210074"/>
    <w:rsid w:val="00210FCF"/>
    <w:rsid w:val="002179B6"/>
    <w:rsid w:val="00222EFF"/>
    <w:rsid w:val="002240D5"/>
    <w:rsid w:val="002261A7"/>
    <w:rsid w:val="00226AEC"/>
    <w:rsid w:val="0023253F"/>
    <w:rsid w:val="00233B8C"/>
    <w:rsid w:val="00235C95"/>
    <w:rsid w:val="002545F3"/>
    <w:rsid w:val="00260951"/>
    <w:rsid w:val="0026344F"/>
    <w:rsid w:val="00266A17"/>
    <w:rsid w:val="00270372"/>
    <w:rsid w:val="00275534"/>
    <w:rsid w:val="00277075"/>
    <w:rsid w:val="002775D2"/>
    <w:rsid w:val="00281ADD"/>
    <w:rsid w:val="0028563E"/>
    <w:rsid w:val="00287823"/>
    <w:rsid w:val="0028792D"/>
    <w:rsid w:val="00293E0D"/>
    <w:rsid w:val="00293E80"/>
    <w:rsid w:val="002973B0"/>
    <w:rsid w:val="00297C14"/>
    <w:rsid w:val="002A220F"/>
    <w:rsid w:val="002A24F1"/>
    <w:rsid w:val="002A43A0"/>
    <w:rsid w:val="002A5778"/>
    <w:rsid w:val="002A65EE"/>
    <w:rsid w:val="002A6E3B"/>
    <w:rsid w:val="002B1C24"/>
    <w:rsid w:val="002B1E84"/>
    <w:rsid w:val="002B2085"/>
    <w:rsid w:val="002B3EC4"/>
    <w:rsid w:val="002B4DE5"/>
    <w:rsid w:val="002C37D5"/>
    <w:rsid w:val="002C45D1"/>
    <w:rsid w:val="002C4DA6"/>
    <w:rsid w:val="002C60A0"/>
    <w:rsid w:val="002C6145"/>
    <w:rsid w:val="002D0BAB"/>
    <w:rsid w:val="002D18E1"/>
    <w:rsid w:val="002D239A"/>
    <w:rsid w:val="002D34DB"/>
    <w:rsid w:val="002D48BE"/>
    <w:rsid w:val="002D4B11"/>
    <w:rsid w:val="002E0468"/>
    <w:rsid w:val="002E5633"/>
    <w:rsid w:val="002E5FC5"/>
    <w:rsid w:val="002F1963"/>
    <w:rsid w:val="002F5B6E"/>
    <w:rsid w:val="002F61B5"/>
    <w:rsid w:val="00300066"/>
    <w:rsid w:val="0030209B"/>
    <w:rsid w:val="003116DE"/>
    <w:rsid w:val="00312494"/>
    <w:rsid w:val="003127E4"/>
    <w:rsid w:val="00312C42"/>
    <w:rsid w:val="00313215"/>
    <w:rsid w:val="00313DA1"/>
    <w:rsid w:val="003174C3"/>
    <w:rsid w:val="003230D5"/>
    <w:rsid w:val="0032557A"/>
    <w:rsid w:val="00326E3E"/>
    <w:rsid w:val="00330795"/>
    <w:rsid w:val="003318BA"/>
    <w:rsid w:val="003326F7"/>
    <w:rsid w:val="00340778"/>
    <w:rsid w:val="00343205"/>
    <w:rsid w:val="00344D2C"/>
    <w:rsid w:val="003458CE"/>
    <w:rsid w:val="00345A57"/>
    <w:rsid w:val="00346D90"/>
    <w:rsid w:val="00351F62"/>
    <w:rsid w:val="0035792C"/>
    <w:rsid w:val="003601F4"/>
    <w:rsid w:val="00361150"/>
    <w:rsid w:val="00363F26"/>
    <w:rsid w:val="003671E2"/>
    <w:rsid w:val="00370320"/>
    <w:rsid w:val="00372AE6"/>
    <w:rsid w:val="00376747"/>
    <w:rsid w:val="00376C3A"/>
    <w:rsid w:val="0038082C"/>
    <w:rsid w:val="003837E1"/>
    <w:rsid w:val="0038584D"/>
    <w:rsid w:val="0039257F"/>
    <w:rsid w:val="003931DE"/>
    <w:rsid w:val="00397D1A"/>
    <w:rsid w:val="003A163C"/>
    <w:rsid w:val="003A217C"/>
    <w:rsid w:val="003A2750"/>
    <w:rsid w:val="003A2B4E"/>
    <w:rsid w:val="003A2FBB"/>
    <w:rsid w:val="003A3799"/>
    <w:rsid w:val="003A4913"/>
    <w:rsid w:val="003A54A9"/>
    <w:rsid w:val="003A62A5"/>
    <w:rsid w:val="003A7083"/>
    <w:rsid w:val="003B1C79"/>
    <w:rsid w:val="003B2CF2"/>
    <w:rsid w:val="003B3103"/>
    <w:rsid w:val="003B38B3"/>
    <w:rsid w:val="003B3A97"/>
    <w:rsid w:val="003B3D44"/>
    <w:rsid w:val="003B47BC"/>
    <w:rsid w:val="003C2540"/>
    <w:rsid w:val="003C6BB5"/>
    <w:rsid w:val="003C795D"/>
    <w:rsid w:val="003C79BC"/>
    <w:rsid w:val="003C7CC2"/>
    <w:rsid w:val="003D3379"/>
    <w:rsid w:val="003D50B6"/>
    <w:rsid w:val="003E05DF"/>
    <w:rsid w:val="003E1562"/>
    <w:rsid w:val="003E6085"/>
    <w:rsid w:val="003E6CA3"/>
    <w:rsid w:val="003F4C96"/>
    <w:rsid w:val="00401C49"/>
    <w:rsid w:val="00404CFE"/>
    <w:rsid w:val="00406002"/>
    <w:rsid w:val="00406AD3"/>
    <w:rsid w:val="00410731"/>
    <w:rsid w:val="00412E42"/>
    <w:rsid w:val="00413EC1"/>
    <w:rsid w:val="00415776"/>
    <w:rsid w:val="004201DC"/>
    <w:rsid w:val="0042112A"/>
    <w:rsid w:val="00425534"/>
    <w:rsid w:val="00425C05"/>
    <w:rsid w:val="00426356"/>
    <w:rsid w:val="00426929"/>
    <w:rsid w:val="00433D11"/>
    <w:rsid w:val="00440108"/>
    <w:rsid w:val="00441A6D"/>
    <w:rsid w:val="00442C16"/>
    <w:rsid w:val="00445410"/>
    <w:rsid w:val="00446439"/>
    <w:rsid w:val="00450BDA"/>
    <w:rsid w:val="00453A3E"/>
    <w:rsid w:val="0045452F"/>
    <w:rsid w:val="0045766B"/>
    <w:rsid w:val="00457EA9"/>
    <w:rsid w:val="004618A2"/>
    <w:rsid w:val="0046444F"/>
    <w:rsid w:val="004716E3"/>
    <w:rsid w:val="00474BB7"/>
    <w:rsid w:val="00476133"/>
    <w:rsid w:val="00476800"/>
    <w:rsid w:val="004816D7"/>
    <w:rsid w:val="00482F63"/>
    <w:rsid w:val="0048342E"/>
    <w:rsid w:val="00487478"/>
    <w:rsid w:val="0048782D"/>
    <w:rsid w:val="00487CB8"/>
    <w:rsid w:val="00490873"/>
    <w:rsid w:val="00494DC1"/>
    <w:rsid w:val="004A3F56"/>
    <w:rsid w:val="004A4F1C"/>
    <w:rsid w:val="004A5E21"/>
    <w:rsid w:val="004A666A"/>
    <w:rsid w:val="004B143F"/>
    <w:rsid w:val="004B3022"/>
    <w:rsid w:val="004B49A0"/>
    <w:rsid w:val="004C6306"/>
    <w:rsid w:val="004C6F5E"/>
    <w:rsid w:val="004C7E94"/>
    <w:rsid w:val="004D4551"/>
    <w:rsid w:val="004D7CF8"/>
    <w:rsid w:val="004D7EDA"/>
    <w:rsid w:val="004E0E49"/>
    <w:rsid w:val="004E197A"/>
    <w:rsid w:val="004E5D52"/>
    <w:rsid w:val="004E6FAD"/>
    <w:rsid w:val="004F07D7"/>
    <w:rsid w:val="004F1297"/>
    <w:rsid w:val="004F1362"/>
    <w:rsid w:val="004F16DB"/>
    <w:rsid w:val="004F4D7E"/>
    <w:rsid w:val="004F5B16"/>
    <w:rsid w:val="004F5D9D"/>
    <w:rsid w:val="004F68E5"/>
    <w:rsid w:val="004F7037"/>
    <w:rsid w:val="004F741B"/>
    <w:rsid w:val="00500F08"/>
    <w:rsid w:val="00503253"/>
    <w:rsid w:val="00503BB0"/>
    <w:rsid w:val="00503E03"/>
    <w:rsid w:val="00511F0B"/>
    <w:rsid w:val="00512226"/>
    <w:rsid w:val="00512B31"/>
    <w:rsid w:val="005147C6"/>
    <w:rsid w:val="005159B1"/>
    <w:rsid w:val="00522502"/>
    <w:rsid w:val="00522530"/>
    <w:rsid w:val="005255A1"/>
    <w:rsid w:val="00525825"/>
    <w:rsid w:val="0052641C"/>
    <w:rsid w:val="005311C2"/>
    <w:rsid w:val="0053795D"/>
    <w:rsid w:val="00544522"/>
    <w:rsid w:val="00545D37"/>
    <w:rsid w:val="005467E2"/>
    <w:rsid w:val="005468AB"/>
    <w:rsid w:val="005501A0"/>
    <w:rsid w:val="00550831"/>
    <w:rsid w:val="005525B0"/>
    <w:rsid w:val="00554273"/>
    <w:rsid w:val="0056001A"/>
    <w:rsid w:val="005642B6"/>
    <w:rsid w:val="00566A97"/>
    <w:rsid w:val="0057078F"/>
    <w:rsid w:val="00571D5E"/>
    <w:rsid w:val="00575670"/>
    <w:rsid w:val="00580787"/>
    <w:rsid w:val="005814CA"/>
    <w:rsid w:val="005823D0"/>
    <w:rsid w:val="00582D54"/>
    <w:rsid w:val="00583AAF"/>
    <w:rsid w:val="00584743"/>
    <w:rsid w:val="00587AF9"/>
    <w:rsid w:val="005962D5"/>
    <w:rsid w:val="005979D8"/>
    <w:rsid w:val="005A17A9"/>
    <w:rsid w:val="005A2748"/>
    <w:rsid w:val="005A443F"/>
    <w:rsid w:val="005A5215"/>
    <w:rsid w:val="005A7C26"/>
    <w:rsid w:val="005B0970"/>
    <w:rsid w:val="005B0E43"/>
    <w:rsid w:val="005B2F33"/>
    <w:rsid w:val="005B54F9"/>
    <w:rsid w:val="005B58D4"/>
    <w:rsid w:val="005B5B58"/>
    <w:rsid w:val="005B7DC9"/>
    <w:rsid w:val="005C07B3"/>
    <w:rsid w:val="005C2504"/>
    <w:rsid w:val="005C284E"/>
    <w:rsid w:val="005C47D4"/>
    <w:rsid w:val="005D51D0"/>
    <w:rsid w:val="005D5EE0"/>
    <w:rsid w:val="005D6F83"/>
    <w:rsid w:val="005D7877"/>
    <w:rsid w:val="005D7CCF"/>
    <w:rsid w:val="005E04CF"/>
    <w:rsid w:val="005E58C4"/>
    <w:rsid w:val="005E5D8F"/>
    <w:rsid w:val="005E6E10"/>
    <w:rsid w:val="005F0AA6"/>
    <w:rsid w:val="005F5A5C"/>
    <w:rsid w:val="005F5CD9"/>
    <w:rsid w:val="00602664"/>
    <w:rsid w:val="00602D66"/>
    <w:rsid w:val="0061135C"/>
    <w:rsid w:val="006136DD"/>
    <w:rsid w:val="006149F0"/>
    <w:rsid w:val="0061604F"/>
    <w:rsid w:val="00620F98"/>
    <w:rsid w:val="006220A5"/>
    <w:rsid w:val="00622D86"/>
    <w:rsid w:val="00624AC8"/>
    <w:rsid w:val="00633812"/>
    <w:rsid w:val="00633C60"/>
    <w:rsid w:val="0064126D"/>
    <w:rsid w:val="006451B8"/>
    <w:rsid w:val="00645722"/>
    <w:rsid w:val="0064661E"/>
    <w:rsid w:val="006509C3"/>
    <w:rsid w:val="00652432"/>
    <w:rsid w:val="00657840"/>
    <w:rsid w:val="0066003C"/>
    <w:rsid w:val="0066041E"/>
    <w:rsid w:val="006619BB"/>
    <w:rsid w:val="00673CCC"/>
    <w:rsid w:val="00675C98"/>
    <w:rsid w:val="00680F3F"/>
    <w:rsid w:val="00686CD8"/>
    <w:rsid w:val="0069026B"/>
    <w:rsid w:val="006956EA"/>
    <w:rsid w:val="006958AD"/>
    <w:rsid w:val="006A0D82"/>
    <w:rsid w:val="006A490C"/>
    <w:rsid w:val="006A5881"/>
    <w:rsid w:val="006A766E"/>
    <w:rsid w:val="006B4F7D"/>
    <w:rsid w:val="006B63B1"/>
    <w:rsid w:val="006C0F16"/>
    <w:rsid w:val="006C114C"/>
    <w:rsid w:val="006C3668"/>
    <w:rsid w:val="006C3864"/>
    <w:rsid w:val="006C5383"/>
    <w:rsid w:val="006C5E72"/>
    <w:rsid w:val="006D2AEC"/>
    <w:rsid w:val="006D438F"/>
    <w:rsid w:val="006D4B1C"/>
    <w:rsid w:val="006D4C8E"/>
    <w:rsid w:val="006E19D1"/>
    <w:rsid w:val="006E1CBB"/>
    <w:rsid w:val="006E2DD8"/>
    <w:rsid w:val="006E4B27"/>
    <w:rsid w:val="006E5E7E"/>
    <w:rsid w:val="006F100B"/>
    <w:rsid w:val="006F239A"/>
    <w:rsid w:val="006F2C9D"/>
    <w:rsid w:val="006F4201"/>
    <w:rsid w:val="006F4DB8"/>
    <w:rsid w:val="006F65CD"/>
    <w:rsid w:val="006F6B51"/>
    <w:rsid w:val="007048DB"/>
    <w:rsid w:val="0070637D"/>
    <w:rsid w:val="007071DD"/>
    <w:rsid w:val="0070771F"/>
    <w:rsid w:val="00711825"/>
    <w:rsid w:val="00712A14"/>
    <w:rsid w:val="00713208"/>
    <w:rsid w:val="00716C04"/>
    <w:rsid w:val="00717085"/>
    <w:rsid w:val="00717180"/>
    <w:rsid w:val="007179D2"/>
    <w:rsid w:val="00720750"/>
    <w:rsid w:val="0072549C"/>
    <w:rsid w:val="00725A80"/>
    <w:rsid w:val="00726E61"/>
    <w:rsid w:val="0073102A"/>
    <w:rsid w:val="00733970"/>
    <w:rsid w:val="007375FE"/>
    <w:rsid w:val="00741D0B"/>
    <w:rsid w:val="00754BA5"/>
    <w:rsid w:val="00754C58"/>
    <w:rsid w:val="0077436E"/>
    <w:rsid w:val="00775BA1"/>
    <w:rsid w:val="00776A70"/>
    <w:rsid w:val="00776E78"/>
    <w:rsid w:val="0078138A"/>
    <w:rsid w:val="00783014"/>
    <w:rsid w:val="007834DC"/>
    <w:rsid w:val="007859C5"/>
    <w:rsid w:val="00787ECF"/>
    <w:rsid w:val="00790768"/>
    <w:rsid w:val="007959D8"/>
    <w:rsid w:val="0079630F"/>
    <w:rsid w:val="007A04C2"/>
    <w:rsid w:val="007A4238"/>
    <w:rsid w:val="007A47D0"/>
    <w:rsid w:val="007B146A"/>
    <w:rsid w:val="007B57C9"/>
    <w:rsid w:val="007C04F2"/>
    <w:rsid w:val="007C0E7C"/>
    <w:rsid w:val="007C0EAA"/>
    <w:rsid w:val="007C19C3"/>
    <w:rsid w:val="007C44B2"/>
    <w:rsid w:val="007C54EE"/>
    <w:rsid w:val="007C6496"/>
    <w:rsid w:val="007C745E"/>
    <w:rsid w:val="007D0ABE"/>
    <w:rsid w:val="007E0E53"/>
    <w:rsid w:val="007E2476"/>
    <w:rsid w:val="007E356F"/>
    <w:rsid w:val="007E3F8C"/>
    <w:rsid w:val="007E7B7A"/>
    <w:rsid w:val="007F2058"/>
    <w:rsid w:val="007F41A3"/>
    <w:rsid w:val="007F6835"/>
    <w:rsid w:val="007F7685"/>
    <w:rsid w:val="0080011D"/>
    <w:rsid w:val="00800EA5"/>
    <w:rsid w:val="00801C01"/>
    <w:rsid w:val="008023B1"/>
    <w:rsid w:val="00802737"/>
    <w:rsid w:val="008112CC"/>
    <w:rsid w:val="008130BB"/>
    <w:rsid w:val="00813D7D"/>
    <w:rsid w:val="008147C6"/>
    <w:rsid w:val="00817406"/>
    <w:rsid w:val="008208A7"/>
    <w:rsid w:val="008237FA"/>
    <w:rsid w:val="00825606"/>
    <w:rsid w:val="00825D37"/>
    <w:rsid w:val="008369B0"/>
    <w:rsid w:val="008372D1"/>
    <w:rsid w:val="00837540"/>
    <w:rsid w:val="00845C1E"/>
    <w:rsid w:val="00847174"/>
    <w:rsid w:val="0085079C"/>
    <w:rsid w:val="0085732C"/>
    <w:rsid w:val="00860B45"/>
    <w:rsid w:val="00861F68"/>
    <w:rsid w:val="00863860"/>
    <w:rsid w:val="008638B5"/>
    <w:rsid w:val="00866B47"/>
    <w:rsid w:val="008734DB"/>
    <w:rsid w:val="0087390B"/>
    <w:rsid w:val="008745A1"/>
    <w:rsid w:val="008768E9"/>
    <w:rsid w:val="0087751B"/>
    <w:rsid w:val="00887937"/>
    <w:rsid w:val="00890995"/>
    <w:rsid w:val="008914FB"/>
    <w:rsid w:val="00892516"/>
    <w:rsid w:val="0089737A"/>
    <w:rsid w:val="00897E99"/>
    <w:rsid w:val="00897F60"/>
    <w:rsid w:val="008A4829"/>
    <w:rsid w:val="008B2384"/>
    <w:rsid w:val="008B38D6"/>
    <w:rsid w:val="008B4802"/>
    <w:rsid w:val="008B52AC"/>
    <w:rsid w:val="008B69E3"/>
    <w:rsid w:val="008C1FD1"/>
    <w:rsid w:val="008C24A8"/>
    <w:rsid w:val="008C35EF"/>
    <w:rsid w:val="008C5996"/>
    <w:rsid w:val="008C788F"/>
    <w:rsid w:val="008D4FA9"/>
    <w:rsid w:val="008D5A11"/>
    <w:rsid w:val="008D5E23"/>
    <w:rsid w:val="008D77AF"/>
    <w:rsid w:val="008E5535"/>
    <w:rsid w:val="008E6D59"/>
    <w:rsid w:val="008F30C7"/>
    <w:rsid w:val="008F4527"/>
    <w:rsid w:val="008F5D66"/>
    <w:rsid w:val="009028AA"/>
    <w:rsid w:val="00903E3F"/>
    <w:rsid w:val="009049C3"/>
    <w:rsid w:val="00904AB8"/>
    <w:rsid w:val="009057D9"/>
    <w:rsid w:val="0090774A"/>
    <w:rsid w:val="00910D07"/>
    <w:rsid w:val="00914B2F"/>
    <w:rsid w:val="009150E6"/>
    <w:rsid w:val="00916290"/>
    <w:rsid w:val="00917F89"/>
    <w:rsid w:val="009223BE"/>
    <w:rsid w:val="0092499B"/>
    <w:rsid w:val="009255EE"/>
    <w:rsid w:val="00925603"/>
    <w:rsid w:val="00925F76"/>
    <w:rsid w:val="00925FCE"/>
    <w:rsid w:val="00932E89"/>
    <w:rsid w:val="0093359D"/>
    <w:rsid w:val="00933F2B"/>
    <w:rsid w:val="00942EEB"/>
    <w:rsid w:val="0094468E"/>
    <w:rsid w:val="00944B6E"/>
    <w:rsid w:val="00945261"/>
    <w:rsid w:val="00947377"/>
    <w:rsid w:val="009506A5"/>
    <w:rsid w:val="00951452"/>
    <w:rsid w:val="009541CC"/>
    <w:rsid w:val="00956564"/>
    <w:rsid w:val="009567A6"/>
    <w:rsid w:val="00956D5A"/>
    <w:rsid w:val="00961B2C"/>
    <w:rsid w:val="00961DBB"/>
    <w:rsid w:val="00963D2B"/>
    <w:rsid w:val="0096618E"/>
    <w:rsid w:val="00970040"/>
    <w:rsid w:val="009758AE"/>
    <w:rsid w:val="00975E08"/>
    <w:rsid w:val="00981433"/>
    <w:rsid w:val="0098222F"/>
    <w:rsid w:val="0098244F"/>
    <w:rsid w:val="00983122"/>
    <w:rsid w:val="009834FB"/>
    <w:rsid w:val="00985C07"/>
    <w:rsid w:val="009915A4"/>
    <w:rsid w:val="00993822"/>
    <w:rsid w:val="00995B4F"/>
    <w:rsid w:val="00995FA3"/>
    <w:rsid w:val="00997582"/>
    <w:rsid w:val="009A2C21"/>
    <w:rsid w:val="009A35CF"/>
    <w:rsid w:val="009A3E58"/>
    <w:rsid w:val="009A4F88"/>
    <w:rsid w:val="009A5F02"/>
    <w:rsid w:val="009A7AB1"/>
    <w:rsid w:val="009A7B9C"/>
    <w:rsid w:val="009B406E"/>
    <w:rsid w:val="009B70E6"/>
    <w:rsid w:val="009C6DAA"/>
    <w:rsid w:val="009D0E74"/>
    <w:rsid w:val="009D1A96"/>
    <w:rsid w:val="009D370B"/>
    <w:rsid w:val="009D7EE0"/>
    <w:rsid w:val="009E2087"/>
    <w:rsid w:val="009E252B"/>
    <w:rsid w:val="009E3265"/>
    <w:rsid w:val="009E3353"/>
    <w:rsid w:val="009E446D"/>
    <w:rsid w:val="009E4485"/>
    <w:rsid w:val="009E7C09"/>
    <w:rsid w:val="009F146D"/>
    <w:rsid w:val="009F4F1E"/>
    <w:rsid w:val="009F5D6A"/>
    <w:rsid w:val="00A015E4"/>
    <w:rsid w:val="00A075BC"/>
    <w:rsid w:val="00A07CCF"/>
    <w:rsid w:val="00A11222"/>
    <w:rsid w:val="00A12C39"/>
    <w:rsid w:val="00A134FB"/>
    <w:rsid w:val="00A162FE"/>
    <w:rsid w:val="00A20802"/>
    <w:rsid w:val="00A22FCB"/>
    <w:rsid w:val="00A25B4F"/>
    <w:rsid w:val="00A261B3"/>
    <w:rsid w:val="00A27E8B"/>
    <w:rsid w:val="00A30572"/>
    <w:rsid w:val="00A311CF"/>
    <w:rsid w:val="00A356BC"/>
    <w:rsid w:val="00A42756"/>
    <w:rsid w:val="00A442BF"/>
    <w:rsid w:val="00A44823"/>
    <w:rsid w:val="00A517D0"/>
    <w:rsid w:val="00A51B96"/>
    <w:rsid w:val="00A53716"/>
    <w:rsid w:val="00A5629E"/>
    <w:rsid w:val="00A577A2"/>
    <w:rsid w:val="00A64832"/>
    <w:rsid w:val="00A72F5D"/>
    <w:rsid w:val="00A732DB"/>
    <w:rsid w:val="00A75338"/>
    <w:rsid w:val="00A76A52"/>
    <w:rsid w:val="00A838D2"/>
    <w:rsid w:val="00A86F04"/>
    <w:rsid w:val="00A946C4"/>
    <w:rsid w:val="00A96E98"/>
    <w:rsid w:val="00AA478E"/>
    <w:rsid w:val="00AB137D"/>
    <w:rsid w:val="00AB2FB5"/>
    <w:rsid w:val="00AB72B6"/>
    <w:rsid w:val="00AC01F8"/>
    <w:rsid w:val="00AC059A"/>
    <w:rsid w:val="00AC3BE3"/>
    <w:rsid w:val="00AC41CF"/>
    <w:rsid w:val="00AD0308"/>
    <w:rsid w:val="00AD377A"/>
    <w:rsid w:val="00AD67BB"/>
    <w:rsid w:val="00AE1CC1"/>
    <w:rsid w:val="00AE3EA4"/>
    <w:rsid w:val="00AE51FE"/>
    <w:rsid w:val="00AF1B02"/>
    <w:rsid w:val="00AF2A03"/>
    <w:rsid w:val="00AF41E4"/>
    <w:rsid w:val="00AF568A"/>
    <w:rsid w:val="00B05262"/>
    <w:rsid w:val="00B06A75"/>
    <w:rsid w:val="00B06BC3"/>
    <w:rsid w:val="00B15A0F"/>
    <w:rsid w:val="00B168CE"/>
    <w:rsid w:val="00B17FB2"/>
    <w:rsid w:val="00B20236"/>
    <w:rsid w:val="00B20937"/>
    <w:rsid w:val="00B220A0"/>
    <w:rsid w:val="00B22B64"/>
    <w:rsid w:val="00B22D72"/>
    <w:rsid w:val="00B22FEA"/>
    <w:rsid w:val="00B24321"/>
    <w:rsid w:val="00B30FEB"/>
    <w:rsid w:val="00B311BA"/>
    <w:rsid w:val="00B35B47"/>
    <w:rsid w:val="00B40AA3"/>
    <w:rsid w:val="00B43AF9"/>
    <w:rsid w:val="00B44478"/>
    <w:rsid w:val="00B4609C"/>
    <w:rsid w:val="00B508DA"/>
    <w:rsid w:val="00B538BA"/>
    <w:rsid w:val="00B6002C"/>
    <w:rsid w:val="00B620EE"/>
    <w:rsid w:val="00B80FB4"/>
    <w:rsid w:val="00B85366"/>
    <w:rsid w:val="00B85F64"/>
    <w:rsid w:val="00B87F60"/>
    <w:rsid w:val="00B9079B"/>
    <w:rsid w:val="00B93B5E"/>
    <w:rsid w:val="00B93D3D"/>
    <w:rsid w:val="00B96341"/>
    <w:rsid w:val="00BA471F"/>
    <w:rsid w:val="00BB5013"/>
    <w:rsid w:val="00BB528E"/>
    <w:rsid w:val="00BB532D"/>
    <w:rsid w:val="00BB615A"/>
    <w:rsid w:val="00BB78CD"/>
    <w:rsid w:val="00BB7AA2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E0D9A"/>
    <w:rsid w:val="00BE1A50"/>
    <w:rsid w:val="00BE2F0D"/>
    <w:rsid w:val="00BE5E2E"/>
    <w:rsid w:val="00BF0BD5"/>
    <w:rsid w:val="00BF0D35"/>
    <w:rsid w:val="00BF55F8"/>
    <w:rsid w:val="00C051FD"/>
    <w:rsid w:val="00C05B28"/>
    <w:rsid w:val="00C1744F"/>
    <w:rsid w:val="00C20C7D"/>
    <w:rsid w:val="00C20DEF"/>
    <w:rsid w:val="00C24B25"/>
    <w:rsid w:val="00C24E89"/>
    <w:rsid w:val="00C32C2F"/>
    <w:rsid w:val="00C3738A"/>
    <w:rsid w:val="00C40859"/>
    <w:rsid w:val="00C4315A"/>
    <w:rsid w:val="00C43F5E"/>
    <w:rsid w:val="00C44074"/>
    <w:rsid w:val="00C4651F"/>
    <w:rsid w:val="00C51D0B"/>
    <w:rsid w:val="00C52207"/>
    <w:rsid w:val="00C52A50"/>
    <w:rsid w:val="00C60B9C"/>
    <w:rsid w:val="00C642D4"/>
    <w:rsid w:val="00C66AF6"/>
    <w:rsid w:val="00C730F4"/>
    <w:rsid w:val="00C74311"/>
    <w:rsid w:val="00C777DA"/>
    <w:rsid w:val="00C80200"/>
    <w:rsid w:val="00C80E0A"/>
    <w:rsid w:val="00C8270B"/>
    <w:rsid w:val="00C841A9"/>
    <w:rsid w:val="00C84EE9"/>
    <w:rsid w:val="00C8728F"/>
    <w:rsid w:val="00C91D48"/>
    <w:rsid w:val="00C97FBC"/>
    <w:rsid w:val="00CA06C8"/>
    <w:rsid w:val="00CA0B7E"/>
    <w:rsid w:val="00CA37B6"/>
    <w:rsid w:val="00CA4C28"/>
    <w:rsid w:val="00CA4E33"/>
    <w:rsid w:val="00CA5598"/>
    <w:rsid w:val="00CA5EF8"/>
    <w:rsid w:val="00CA6292"/>
    <w:rsid w:val="00CB28A3"/>
    <w:rsid w:val="00CB73EC"/>
    <w:rsid w:val="00CC00A0"/>
    <w:rsid w:val="00CC0FED"/>
    <w:rsid w:val="00CC1804"/>
    <w:rsid w:val="00CC3C34"/>
    <w:rsid w:val="00CC5455"/>
    <w:rsid w:val="00CC6C06"/>
    <w:rsid w:val="00CC6EE4"/>
    <w:rsid w:val="00CD1526"/>
    <w:rsid w:val="00CD1546"/>
    <w:rsid w:val="00CD2807"/>
    <w:rsid w:val="00CD5509"/>
    <w:rsid w:val="00CE0215"/>
    <w:rsid w:val="00CE1EB0"/>
    <w:rsid w:val="00CE3DF2"/>
    <w:rsid w:val="00CF04D5"/>
    <w:rsid w:val="00CF0C0F"/>
    <w:rsid w:val="00CF1690"/>
    <w:rsid w:val="00CF1F2A"/>
    <w:rsid w:val="00CF3A6B"/>
    <w:rsid w:val="00CF5CE3"/>
    <w:rsid w:val="00CF7412"/>
    <w:rsid w:val="00D030F8"/>
    <w:rsid w:val="00D077B7"/>
    <w:rsid w:val="00D20297"/>
    <w:rsid w:val="00D216A7"/>
    <w:rsid w:val="00D21AAD"/>
    <w:rsid w:val="00D21E6B"/>
    <w:rsid w:val="00D2336A"/>
    <w:rsid w:val="00D23634"/>
    <w:rsid w:val="00D34551"/>
    <w:rsid w:val="00D36D27"/>
    <w:rsid w:val="00D41664"/>
    <w:rsid w:val="00D4569D"/>
    <w:rsid w:val="00D457D6"/>
    <w:rsid w:val="00D6242A"/>
    <w:rsid w:val="00D64CE2"/>
    <w:rsid w:val="00D661D4"/>
    <w:rsid w:val="00D702E1"/>
    <w:rsid w:val="00D7174A"/>
    <w:rsid w:val="00D719B9"/>
    <w:rsid w:val="00D7270F"/>
    <w:rsid w:val="00D7596A"/>
    <w:rsid w:val="00D7751B"/>
    <w:rsid w:val="00D80961"/>
    <w:rsid w:val="00D815DC"/>
    <w:rsid w:val="00D822B5"/>
    <w:rsid w:val="00D83D3C"/>
    <w:rsid w:val="00D859D4"/>
    <w:rsid w:val="00D867AE"/>
    <w:rsid w:val="00D87BBB"/>
    <w:rsid w:val="00D87C87"/>
    <w:rsid w:val="00D921C4"/>
    <w:rsid w:val="00D9296A"/>
    <w:rsid w:val="00D93C23"/>
    <w:rsid w:val="00D95638"/>
    <w:rsid w:val="00D9584C"/>
    <w:rsid w:val="00D97180"/>
    <w:rsid w:val="00D97C79"/>
    <w:rsid w:val="00DA14D9"/>
    <w:rsid w:val="00DA4DB2"/>
    <w:rsid w:val="00DA6D98"/>
    <w:rsid w:val="00DB003D"/>
    <w:rsid w:val="00DB13AD"/>
    <w:rsid w:val="00DB23F9"/>
    <w:rsid w:val="00DB58BE"/>
    <w:rsid w:val="00DB602E"/>
    <w:rsid w:val="00DB6176"/>
    <w:rsid w:val="00DB6AA0"/>
    <w:rsid w:val="00DB7C3A"/>
    <w:rsid w:val="00DC0FC0"/>
    <w:rsid w:val="00DC1346"/>
    <w:rsid w:val="00DD14EE"/>
    <w:rsid w:val="00DD281D"/>
    <w:rsid w:val="00DD32AB"/>
    <w:rsid w:val="00DD5BF6"/>
    <w:rsid w:val="00DD64DC"/>
    <w:rsid w:val="00DE1865"/>
    <w:rsid w:val="00DE513F"/>
    <w:rsid w:val="00DE6CEF"/>
    <w:rsid w:val="00DF11C2"/>
    <w:rsid w:val="00DF2134"/>
    <w:rsid w:val="00DF4593"/>
    <w:rsid w:val="00DF5917"/>
    <w:rsid w:val="00DF64E0"/>
    <w:rsid w:val="00E10D05"/>
    <w:rsid w:val="00E2223E"/>
    <w:rsid w:val="00E22D98"/>
    <w:rsid w:val="00E23FA4"/>
    <w:rsid w:val="00E24623"/>
    <w:rsid w:val="00E252E3"/>
    <w:rsid w:val="00E25B1B"/>
    <w:rsid w:val="00E37EC9"/>
    <w:rsid w:val="00E40505"/>
    <w:rsid w:val="00E42A41"/>
    <w:rsid w:val="00E45766"/>
    <w:rsid w:val="00E45AC5"/>
    <w:rsid w:val="00E52C0C"/>
    <w:rsid w:val="00E532A4"/>
    <w:rsid w:val="00E563C5"/>
    <w:rsid w:val="00E567E5"/>
    <w:rsid w:val="00E64480"/>
    <w:rsid w:val="00E65807"/>
    <w:rsid w:val="00E66103"/>
    <w:rsid w:val="00E6708B"/>
    <w:rsid w:val="00E73A8C"/>
    <w:rsid w:val="00E75050"/>
    <w:rsid w:val="00E75D5E"/>
    <w:rsid w:val="00E76F42"/>
    <w:rsid w:val="00E77D6D"/>
    <w:rsid w:val="00E82145"/>
    <w:rsid w:val="00E915E6"/>
    <w:rsid w:val="00E95AC9"/>
    <w:rsid w:val="00EA1B43"/>
    <w:rsid w:val="00EA2516"/>
    <w:rsid w:val="00EA3E11"/>
    <w:rsid w:val="00EA6EB3"/>
    <w:rsid w:val="00EB4A8E"/>
    <w:rsid w:val="00EB5EEC"/>
    <w:rsid w:val="00EB5EF3"/>
    <w:rsid w:val="00EB62F7"/>
    <w:rsid w:val="00EB664D"/>
    <w:rsid w:val="00EB695D"/>
    <w:rsid w:val="00EB7C6D"/>
    <w:rsid w:val="00EC38F3"/>
    <w:rsid w:val="00EC4241"/>
    <w:rsid w:val="00ED0404"/>
    <w:rsid w:val="00ED1407"/>
    <w:rsid w:val="00ED39CE"/>
    <w:rsid w:val="00ED4134"/>
    <w:rsid w:val="00ED7A9F"/>
    <w:rsid w:val="00ED7C01"/>
    <w:rsid w:val="00EE05F1"/>
    <w:rsid w:val="00EE3080"/>
    <w:rsid w:val="00EE3226"/>
    <w:rsid w:val="00EE471A"/>
    <w:rsid w:val="00EE5492"/>
    <w:rsid w:val="00EE583A"/>
    <w:rsid w:val="00EF0A00"/>
    <w:rsid w:val="00EF7395"/>
    <w:rsid w:val="00F0183C"/>
    <w:rsid w:val="00F0379D"/>
    <w:rsid w:val="00F03C79"/>
    <w:rsid w:val="00F07BD5"/>
    <w:rsid w:val="00F122D6"/>
    <w:rsid w:val="00F15BF4"/>
    <w:rsid w:val="00F171E0"/>
    <w:rsid w:val="00F17940"/>
    <w:rsid w:val="00F17DC0"/>
    <w:rsid w:val="00F2046C"/>
    <w:rsid w:val="00F20647"/>
    <w:rsid w:val="00F207FC"/>
    <w:rsid w:val="00F274DB"/>
    <w:rsid w:val="00F31392"/>
    <w:rsid w:val="00F348B5"/>
    <w:rsid w:val="00F3652B"/>
    <w:rsid w:val="00F36D95"/>
    <w:rsid w:val="00F377B9"/>
    <w:rsid w:val="00F45442"/>
    <w:rsid w:val="00F5145E"/>
    <w:rsid w:val="00F558EA"/>
    <w:rsid w:val="00F5681C"/>
    <w:rsid w:val="00F6045D"/>
    <w:rsid w:val="00F613CB"/>
    <w:rsid w:val="00F61F79"/>
    <w:rsid w:val="00F651DD"/>
    <w:rsid w:val="00F656A4"/>
    <w:rsid w:val="00F6665E"/>
    <w:rsid w:val="00F7075F"/>
    <w:rsid w:val="00F71D76"/>
    <w:rsid w:val="00F81E1D"/>
    <w:rsid w:val="00F8349F"/>
    <w:rsid w:val="00F83FB7"/>
    <w:rsid w:val="00F85935"/>
    <w:rsid w:val="00F85D29"/>
    <w:rsid w:val="00F969D3"/>
    <w:rsid w:val="00F9789E"/>
    <w:rsid w:val="00FA028F"/>
    <w:rsid w:val="00FA190E"/>
    <w:rsid w:val="00FA54D8"/>
    <w:rsid w:val="00FB460E"/>
    <w:rsid w:val="00FC4FB7"/>
    <w:rsid w:val="00FC6998"/>
    <w:rsid w:val="00FC71C5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3069"/>
    <w:rsid w:val="00FE3B13"/>
    <w:rsid w:val="00FF0566"/>
    <w:rsid w:val="00FF15F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footnote text" w:uiPriority="13"/>
    <w:lsdException w:name="header" w:uiPriority="99"/>
    <w:lsdException w:name="caption" w:uiPriority="13" w:qFormat="1"/>
    <w:lsdException w:name="table of figures" w:semiHidden="0" w:uiPriority="99" w:unhideWhenUsed="0"/>
    <w:lsdException w:name="footnote reference" w:uiPriority="39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A96E98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96E9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A96E9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3D4D7D" w:themeColor="background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3D4D7D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A96E98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3D4D7D" w:themeColor="background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A96E98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color w:val="3D4D7D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96E98"/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96E98"/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96E98"/>
    <w:rPr>
      <w:i/>
      <w:color w:val="3D4D7D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3D4D7D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A96E98"/>
    <w:rPr>
      <w:rFonts w:ascii="Calibri" w:eastAsiaTheme="majorEastAsia" w:hAnsi="Calibri" w:cstheme="majorBidi"/>
      <w:color w:val="3D4D7D" w:themeColor="background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A96E98"/>
    <w:rPr>
      <w:color w:val="3D4D7D" w:themeColor="background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A96E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color w:val="3D4D7D" w:themeColor="background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A96E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3D4D7D" w:themeColor="background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A96E98"/>
    <w:pPr>
      <w:keepNext/>
      <w:spacing w:before="240" w:after="120"/>
    </w:pPr>
    <w:rPr>
      <w:b/>
      <w:bCs/>
      <w:color w:val="3D4D7D" w:themeColor="background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3D4D7D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9778B4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9778B4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6F4DB8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6F4DB8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9778B4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9778B4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1873D" w:themeColor="accent3"/>
        <w:insideV w:val="single" w:sz="4" w:space="0" w:color="F1873D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F1873D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9778B4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FCC648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78B4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873D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3D4D7D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9778B4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9778B4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9778B4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3D4D7D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3D4D7D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9778B4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">
    <w:name w:val="Footnote"/>
    <w:basedOn w:val="FootnoteText"/>
    <w:link w:val="FootnoteChar"/>
    <w:uiPriority w:val="39"/>
    <w:qFormat/>
    <w:rsid w:val="007E2476"/>
    <w:pPr>
      <w:ind w:left="11" w:hanging="11"/>
    </w:pPr>
  </w:style>
  <w:style w:type="character" w:customStyle="1" w:styleId="FootnoteChar">
    <w:name w:val="Footnote Char"/>
    <w:basedOn w:val="FootnoteTextChar"/>
    <w:link w:val="Footnote"/>
    <w:uiPriority w:val="39"/>
    <w:rsid w:val="007E2476"/>
    <w:rPr>
      <w:kern w:val="1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footnote text" w:uiPriority="13"/>
    <w:lsdException w:name="header" w:uiPriority="99"/>
    <w:lsdException w:name="caption" w:uiPriority="13" w:qFormat="1"/>
    <w:lsdException w:name="table of figures" w:semiHidden="0" w:uiPriority="99" w:unhideWhenUsed="0"/>
    <w:lsdException w:name="footnote reference" w:uiPriority="39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A96E98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96E9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A96E9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3D4D7D" w:themeColor="background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3D4D7D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A96E98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3D4D7D" w:themeColor="background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A96E98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color w:val="3D4D7D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96E98"/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96E98"/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96E98"/>
    <w:rPr>
      <w:i/>
      <w:color w:val="3D4D7D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3D4D7D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A96E98"/>
    <w:rPr>
      <w:rFonts w:ascii="Calibri" w:eastAsiaTheme="majorEastAsia" w:hAnsi="Calibri" w:cstheme="majorBidi"/>
      <w:color w:val="3D4D7D" w:themeColor="background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A96E98"/>
    <w:rPr>
      <w:color w:val="3D4D7D" w:themeColor="background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A96E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color w:val="3D4D7D" w:themeColor="background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A96E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3D4D7D" w:themeColor="background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A96E98"/>
    <w:pPr>
      <w:keepNext/>
      <w:spacing w:before="240" w:after="120"/>
    </w:pPr>
    <w:rPr>
      <w:b/>
      <w:bCs/>
      <w:color w:val="3D4D7D" w:themeColor="background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3D4D7D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9778B4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9778B4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6F4DB8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6F4DB8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9778B4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9778B4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1873D" w:themeColor="accent3"/>
        <w:insideV w:val="single" w:sz="4" w:space="0" w:color="F1873D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F1873D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9778B4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FCC648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78B4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873D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3D4D7D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9778B4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9778B4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9778B4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3D4D7D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3D4D7D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9778B4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">
    <w:name w:val="Footnote"/>
    <w:basedOn w:val="FootnoteText"/>
    <w:link w:val="FootnoteChar"/>
    <w:uiPriority w:val="39"/>
    <w:qFormat/>
    <w:rsid w:val="007E2476"/>
    <w:pPr>
      <w:ind w:left="11" w:hanging="11"/>
    </w:pPr>
  </w:style>
  <w:style w:type="character" w:customStyle="1" w:styleId="FootnoteChar">
    <w:name w:val="Footnote Char"/>
    <w:basedOn w:val="FootnoteTextChar"/>
    <w:link w:val="Footnote"/>
    <w:uiPriority w:val="39"/>
    <w:rsid w:val="007E2476"/>
    <w:rPr>
      <w:kern w:val="1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2FBA77F7-DE9C-405E-8AD2-C543F30F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2327</Words>
  <Characters>12072</Characters>
  <Application>Microsoft Office Word</Application>
  <DocSecurity>0</DocSecurity>
  <Lines>730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2019-06-28T03:55:00Z</dcterms:created>
  <dcterms:modified xsi:type="dcterms:W3CDTF">2019-06-28T03:55:00Z</dcterms:modified>
</cp:coreProperties>
</file>