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F88" w:rsidRPr="008D77AF" w:rsidRDefault="007E7935" w:rsidP="009A4F88">
      <w:pPr>
        <w:pStyle w:val="Lettertext"/>
        <w:tabs>
          <w:tab w:val="right" w:pos="8312"/>
        </w:tabs>
        <w:spacing w:before="1200"/>
      </w:pPr>
      <w:r>
        <w:t>Mr Mark Fitt</w:t>
      </w:r>
    </w:p>
    <w:p w:rsidR="005D5EE0" w:rsidRPr="008D77AF" w:rsidRDefault="007E7935" w:rsidP="005D5EE0">
      <w:pPr>
        <w:pStyle w:val="Lettertext"/>
        <w:contextualSpacing/>
      </w:pPr>
      <w:r>
        <w:t>Committee Secretary</w:t>
      </w:r>
    </w:p>
    <w:p w:rsidR="005D5EE0" w:rsidRPr="008D77AF" w:rsidRDefault="007E7935" w:rsidP="005D5EE0">
      <w:pPr>
        <w:pStyle w:val="Lettertext"/>
        <w:contextualSpacing/>
      </w:pPr>
      <w:r>
        <w:t>Senate Economics Legislation &amp; References Committees</w:t>
      </w:r>
    </w:p>
    <w:p w:rsidR="005D5EE0" w:rsidRPr="008D77AF" w:rsidRDefault="005D5EE0" w:rsidP="005D5EE0">
      <w:pPr>
        <w:pStyle w:val="Lettertext"/>
        <w:contextualSpacing/>
      </w:pPr>
      <w:r w:rsidRPr="008D77AF">
        <w:t>Parliament House</w:t>
      </w:r>
    </w:p>
    <w:p w:rsidR="005D5EE0" w:rsidRPr="008D77AF" w:rsidRDefault="005D5EE0" w:rsidP="005D5EE0">
      <w:pPr>
        <w:pStyle w:val="Lettertext"/>
        <w:contextualSpacing/>
      </w:pPr>
      <w:proofErr w:type="gramStart"/>
      <w:r w:rsidRPr="008D77AF">
        <w:t>CANBERRA  ACT</w:t>
      </w:r>
      <w:proofErr w:type="gramEnd"/>
      <w:r w:rsidRPr="008D77AF">
        <w:t xml:space="preserve">  2600</w:t>
      </w:r>
    </w:p>
    <w:p w:rsidR="005D5EE0" w:rsidRPr="008D77AF" w:rsidRDefault="005D5EE0" w:rsidP="005D5EE0">
      <w:pPr>
        <w:pStyle w:val="Lettertext"/>
        <w:spacing w:before="480"/>
      </w:pPr>
      <w:r w:rsidRPr="008D77AF">
        <w:t xml:space="preserve">Dear </w:t>
      </w:r>
      <w:r w:rsidR="007E7935">
        <w:t>Mr Fitt</w:t>
      </w:r>
    </w:p>
    <w:p w:rsidR="005D5EE0" w:rsidRDefault="005D5EE0" w:rsidP="005D5EE0">
      <w:pPr>
        <w:pStyle w:val="Lettertext"/>
      </w:pPr>
      <w:r w:rsidRPr="008D77AF">
        <w:t xml:space="preserve">Please find attached a </w:t>
      </w:r>
      <w:r w:rsidR="0042401D">
        <w:t xml:space="preserve">final </w:t>
      </w:r>
      <w:r w:rsidRPr="008D77AF">
        <w:t xml:space="preserve">response to </w:t>
      </w:r>
      <w:r w:rsidR="008D6789">
        <w:t>the</w:t>
      </w:r>
      <w:r w:rsidR="008D6789" w:rsidRPr="008D77AF">
        <w:t xml:space="preserve"> </w:t>
      </w:r>
      <w:r w:rsidRPr="008D77AF">
        <w:t>request</w:t>
      </w:r>
      <w:r>
        <w:t xml:space="preserve"> for budget analysis</w:t>
      </w:r>
      <w:r w:rsidRPr="008D77AF">
        <w:t xml:space="preserve">, </w:t>
      </w:r>
      <w:r w:rsidR="00054365">
        <w:rPr>
          <w:i/>
        </w:rPr>
        <w:t>Personal Income Tax Plan</w:t>
      </w:r>
      <w:r w:rsidRPr="008D77AF">
        <w:t xml:space="preserve"> (letter of </w:t>
      </w:r>
      <w:r w:rsidR="00054365">
        <w:t xml:space="preserve">1 June </w:t>
      </w:r>
      <w:bookmarkStart w:id="0" w:name="_GoBack"/>
      <w:bookmarkEnd w:id="0"/>
      <w:r w:rsidR="00054365">
        <w:t>2018</w:t>
      </w:r>
      <w:r w:rsidRPr="008D77AF">
        <w:t xml:space="preserve">, </w:t>
      </w:r>
      <w:r w:rsidR="00A22FCB">
        <w:t>PBO reference PR1</w:t>
      </w:r>
      <w:r w:rsidR="00837540">
        <w:t>8</w:t>
      </w:r>
      <w:r w:rsidR="00A22FCB">
        <w:t>/00</w:t>
      </w:r>
      <w:r w:rsidR="00054365">
        <w:t>280</w:t>
      </w:r>
      <w:r w:rsidR="00A22FCB" w:rsidRPr="008D77AF">
        <w:t>)</w:t>
      </w:r>
      <w:r w:rsidR="008D6789">
        <w:t xml:space="preserve"> from Senator Ketter</w:t>
      </w:r>
      <w:r w:rsidR="00A22FCB" w:rsidRPr="008D77AF">
        <w:t>.</w:t>
      </w:r>
      <w:r w:rsidR="00054365">
        <w:t xml:space="preserve">  This response addresses the </w:t>
      </w:r>
      <w:r w:rsidR="0042401D">
        <w:t xml:space="preserve">number of individuals affected by each stage of the </w:t>
      </w:r>
      <w:r w:rsidR="0042401D">
        <w:rPr>
          <w:i/>
        </w:rPr>
        <w:t>Personal Income Tax Plan</w:t>
      </w:r>
      <w:r w:rsidR="009D684B">
        <w:rPr>
          <w:i/>
        </w:rPr>
        <w:t>,</w:t>
      </w:r>
      <w:r w:rsidR="0042401D">
        <w:t xml:space="preserve"> disaggregated by taxable income and gender. </w:t>
      </w:r>
    </w:p>
    <w:p w:rsidR="0049415D" w:rsidRPr="0042401D" w:rsidRDefault="0049415D" w:rsidP="005D5EE0">
      <w:pPr>
        <w:pStyle w:val="Lettertext"/>
      </w:pPr>
      <w:r>
        <w:t xml:space="preserve">This response should be read in conjunction with </w:t>
      </w:r>
      <w:r w:rsidR="009D684B">
        <w:t>my</w:t>
      </w:r>
      <w:r>
        <w:t xml:space="preserve"> response of 5 June 2018.</w:t>
      </w:r>
    </w:p>
    <w:p w:rsidR="005D5EE0" w:rsidRPr="008D77AF" w:rsidRDefault="005D5EE0" w:rsidP="005D5EE0">
      <w:pPr>
        <w:pStyle w:val="Lettertext"/>
      </w:pPr>
      <w:r w:rsidRPr="00054365">
        <w:t>As requested, this response has not been prepared on a confidential basis and will therefore be posted on the PBO website (</w:t>
      </w:r>
      <w:hyperlink r:id="rId9" w:history="1">
        <w:r w:rsidRPr="00054365">
          <w:rPr>
            <w:rStyle w:val="Hyperlink"/>
            <w:color w:val="0000FF"/>
          </w:rPr>
          <w:t>www.pbo.gov.au</w:t>
        </w:r>
      </w:hyperlink>
      <w:r w:rsidRPr="00054365">
        <w:t>).</w:t>
      </w:r>
    </w:p>
    <w:p w:rsidR="005D5EE0" w:rsidRPr="008D77AF" w:rsidRDefault="005D5EE0" w:rsidP="005D5EE0">
      <w:pPr>
        <w:pStyle w:val="Lettertext"/>
      </w:pPr>
      <w:r w:rsidRPr="008D77AF">
        <w:t xml:space="preserve">If you have any queries about this </w:t>
      </w:r>
      <w:r>
        <w:t>response</w:t>
      </w:r>
      <w:r w:rsidRPr="008D77AF">
        <w:t xml:space="preserve">, please do not hesitate to contact </w:t>
      </w:r>
      <w:r w:rsidR="00054365">
        <w:t>David Tellis</w:t>
      </w:r>
      <w:r w:rsidR="009A4F88">
        <w:t>, Assistant</w:t>
      </w:r>
      <w:r w:rsidR="003A217C">
        <w:t> </w:t>
      </w:r>
      <w:r w:rsidR="009A4F88">
        <w:t xml:space="preserve">Parliamentary Budget Officer </w:t>
      </w:r>
      <w:r w:rsidRPr="008D77AF">
        <w:t xml:space="preserve">on </w:t>
      </w:r>
      <w:r w:rsidR="00A71AB6">
        <w:t xml:space="preserve">                </w:t>
      </w:r>
      <w:r w:rsidR="009A4F88">
        <w:t xml:space="preserve"> or </w:t>
      </w:r>
      <w:r w:rsidR="00054365">
        <w:t>Cameron Chisholm</w:t>
      </w:r>
      <w:r w:rsidR="009A4F88">
        <w:t xml:space="preserve">, Director </w:t>
      </w:r>
      <w:r w:rsidR="009A4F88" w:rsidRPr="008D77AF">
        <w:t xml:space="preserve">on </w:t>
      </w:r>
      <w:r w:rsidR="00A71AB6" w:rsidRPr="008D77AF">
        <w:t xml:space="preserve"> </w:t>
      </w:r>
      <w:r w:rsidR="00A71AB6">
        <w:t xml:space="preserve">                 </w:t>
      </w:r>
      <w:r w:rsidRPr="008D77AF">
        <w:t>.</w:t>
      </w:r>
    </w:p>
    <w:p w:rsidR="005D5EE0" w:rsidRPr="008D77AF" w:rsidRDefault="005D5EE0" w:rsidP="005D5EE0">
      <w:pPr>
        <w:pStyle w:val="Lettertext"/>
      </w:pPr>
      <w:r w:rsidRPr="008D77AF">
        <w:t>Yours sincerely</w:t>
      </w:r>
    </w:p>
    <w:p w:rsidR="005D5EE0" w:rsidRPr="008D77AF" w:rsidRDefault="005D5EE0" w:rsidP="005D5EE0">
      <w:pPr>
        <w:pStyle w:val="Lettertext"/>
        <w:spacing w:before="960"/>
      </w:pPr>
      <w:r w:rsidRPr="00B96341">
        <w:t>Jenny Wilkinson</w:t>
      </w:r>
    </w:p>
    <w:p w:rsidR="005D5EE0" w:rsidRPr="006D4B1C" w:rsidRDefault="00A71AB6" w:rsidP="00A71AB6">
      <w:pPr>
        <w:pStyle w:val="BodyText"/>
        <w:sectPr w:rsidR="005D5EE0" w:rsidRPr="006D4B1C" w:rsidSect="000739CB">
          <w:headerReference w:type="default" r:id="rId10"/>
          <w:footerReference w:type="default" r:id="rId11"/>
          <w:headerReference w:type="first" r:id="rId12"/>
          <w:footerReference w:type="first" r:id="rId13"/>
          <w:type w:val="continuous"/>
          <w:pgSz w:w="11906" w:h="16838" w:code="9"/>
          <w:pgMar w:top="1361" w:right="1418" w:bottom="1474" w:left="1418" w:header="284" w:footer="454" w:gutter="0"/>
          <w:cols w:space="708"/>
          <w:formProt w:val="0"/>
          <w:titlePg/>
          <w:docGrid w:linePitch="360"/>
        </w:sectPr>
      </w:pPr>
      <w:r>
        <w:t xml:space="preserve">13 </w:t>
      </w:r>
      <w:r w:rsidR="00054365">
        <w:t>June 2018</w:t>
      </w:r>
    </w:p>
    <w:p w:rsidR="005D5EE0" w:rsidRDefault="005D5EE0" w:rsidP="005D5EE0">
      <w:pPr>
        <w:pStyle w:val="Heading1spacebefore"/>
        <w:tabs>
          <w:tab w:val="left" w:pos="2694"/>
        </w:tabs>
        <w:spacing w:before="480" w:after="240"/>
        <w:rPr>
          <w:sz w:val="32"/>
        </w:rPr>
      </w:pPr>
      <w:r>
        <w:rPr>
          <w:sz w:val="32"/>
        </w:rPr>
        <w:lastRenderedPageBreak/>
        <w:t xml:space="preserve">Request for </w:t>
      </w:r>
      <w:r w:rsidR="002E5FC5">
        <w:rPr>
          <w:sz w:val="32"/>
        </w:rPr>
        <w:t>b</w:t>
      </w:r>
      <w:r>
        <w:rPr>
          <w:sz w:val="32"/>
        </w:rPr>
        <w:t xml:space="preserve">udget </w:t>
      </w:r>
      <w:r w:rsidR="002E5FC5">
        <w:rPr>
          <w:sz w:val="32"/>
        </w:rPr>
        <w:t>a</w:t>
      </w:r>
      <w:r>
        <w:rPr>
          <w:sz w:val="32"/>
        </w:rPr>
        <w:t>nalysis</w:t>
      </w:r>
    </w:p>
    <w:tbl>
      <w:tblPr>
        <w:tblStyle w:val="LightGrid-Accent6"/>
        <w:tblW w:w="4992" w:type="pct"/>
        <w:tblLook w:val="0600" w:firstRow="0" w:lastRow="0" w:firstColumn="0" w:lastColumn="0" w:noHBand="1" w:noVBand="1"/>
      </w:tblPr>
      <w:tblGrid>
        <w:gridCol w:w="3629"/>
        <w:gridCol w:w="2821"/>
        <w:gridCol w:w="2822"/>
      </w:tblGrid>
      <w:tr w:rsidR="00AA478E" w:rsidRPr="008D77AF" w:rsidTr="00013620">
        <w:tc>
          <w:tcPr>
            <w:tcW w:w="5000" w:type="pct"/>
            <w:gridSpan w:val="3"/>
            <w:shd w:val="clear" w:color="auto" w:fill="D7DDE9" w:themeFill="accent3"/>
          </w:tcPr>
          <w:p w:rsidR="00AA478E" w:rsidRPr="008D77AF" w:rsidRDefault="00054365" w:rsidP="00013620">
            <w:pPr>
              <w:pStyle w:val="Nameofproposal"/>
            </w:pPr>
            <w:r>
              <w:t>Personal Income Tax Plan</w:t>
            </w:r>
          </w:p>
        </w:tc>
      </w:tr>
      <w:tr w:rsidR="00AA478E" w:rsidRPr="008D77AF" w:rsidTr="00013620">
        <w:tc>
          <w:tcPr>
            <w:tcW w:w="1957" w:type="pct"/>
          </w:tcPr>
          <w:p w:rsidR="00AA478E" w:rsidRPr="004F1362" w:rsidRDefault="00AA478E" w:rsidP="004F1362">
            <w:pPr>
              <w:pStyle w:val="BodyText"/>
            </w:pPr>
            <w:r w:rsidRPr="004F1362">
              <w:t xml:space="preserve">Person/party requesting the </w:t>
            </w:r>
            <w:r w:rsidR="005D5EE0" w:rsidRPr="004F1362">
              <w:t>analysis</w:t>
            </w:r>
            <w:r w:rsidRPr="004F1362">
              <w:t>:</w:t>
            </w:r>
          </w:p>
        </w:tc>
        <w:tc>
          <w:tcPr>
            <w:tcW w:w="3043" w:type="pct"/>
            <w:gridSpan w:val="2"/>
            <w:tcBorders>
              <w:bottom w:val="single" w:sz="8" w:space="0" w:color="788184" w:themeColor="accent6"/>
            </w:tcBorders>
          </w:tcPr>
          <w:p w:rsidR="00AA478E" w:rsidRPr="004F1362" w:rsidRDefault="00054365" w:rsidP="004F1362">
            <w:pPr>
              <w:pStyle w:val="BodyText"/>
            </w:pPr>
            <w:r>
              <w:t>Senator Chris Ketter, Australian Labor Party</w:t>
            </w:r>
          </w:p>
        </w:tc>
      </w:tr>
      <w:tr w:rsidR="00AA478E" w:rsidRPr="008D77AF" w:rsidTr="00013620">
        <w:tc>
          <w:tcPr>
            <w:tcW w:w="1957" w:type="pct"/>
          </w:tcPr>
          <w:p w:rsidR="00AA478E" w:rsidRPr="004F1362" w:rsidRDefault="00AA478E" w:rsidP="004F1362">
            <w:pPr>
              <w:pStyle w:val="BodyText"/>
            </w:pPr>
            <w:r w:rsidRPr="004F1362">
              <w:t xml:space="preserve">Date </w:t>
            </w:r>
            <w:r w:rsidR="005D5EE0" w:rsidRPr="004F1362">
              <w:t>analysis</w:t>
            </w:r>
            <w:r w:rsidRPr="004F1362">
              <w:t xml:space="preserve"> completed:</w:t>
            </w:r>
          </w:p>
        </w:tc>
        <w:tc>
          <w:tcPr>
            <w:tcW w:w="3043" w:type="pct"/>
            <w:gridSpan w:val="2"/>
          </w:tcPr>
          <w:p w:rsidR="00AA478E" w:rsidRPr="004F1362" w:rsidRDefault="00DC54B3" w:rsidP="00DC54B3">
            <w:pPr>
              <w:pStyle w:val="BodyText"/>
            </w:pPr>
            <w:r>
              <w:t xml:space="preserve">13 </w:t>
            </w:r>
            <w:r w:rsidR="00054365">
              <w:t>June 2018</w:t>
            </w:r>
          </w:p>
        </w:tc>
      </w:tr>
      <w:tr w:rsidR="00AA478E" w:rsidRPr="008D77AF" w:rsidTr="00013620">
        <w:tc>
          <w:tcPr>
            <w:tcW w:w="1957" w:type="pct"/>
          </w:tcPr>
          <w:p w:rsidR="00AA478E" w:rsidRPr="004F1362" w:rsidRDefault="00AA478E" w:rsidP="004F1362">
            <w:pPr>
              <w:pStyle w:val="BodyText"/>
            </w:pPr>
            <w:r w:rsidRPr="004F1362">
              <w:t xml:space="preserve">Expiry date of the </w:t>
            </w:r>
            <w:r w:rsidR="005D5EE0" w:rsidRPr="004F1362">
              <w:t>analysis</w:t>
            </w:r>
            <w:r w:rsidRPr="004F1362">
              <w:t>:</w:t>
            </w:r>
          </w:p>
        </w:tc>
        <w:tc>
          <w:tcPr>
            <w:tcW w:w="3043" w:type="pct"/>
            <w:gridSpan w:val="2"/>
          </w:tcPr>
          <w:p w:rsidR="00AA478E" w:rsidRPr="004F1362" w:rsidRDefault="00AA478E" w:rsidP="004F1362">
            <w:pPr>
              <w:pStyle w:val="BodyText"/>
            </w:pPr>
            <w:r w:rsidRPr="004F1362">
              <w:t>Release of the next economic and fiscal outlook report.</w:t>
            </w:r>
          </w:p>
        </w:tc>
      </w:tr>
      <w:tr w:rsidR="005D5EE0" w:rsidRPr="008D77AF" w:rsidTr="005D5EE0">
        <w:tc>
          <w:tcPr>
            <w:tcW w:w="1957" w:type="pct"/>
          </w:tcPr>
          <w:p w:rsidR="005D5EE0" w:rsidRPr="004F1362" w:rsidRDefault="005D5EE0" w:rsidP="004F1362">
            <w:pPr>
              <w:pStyle w:val="BodyText"/>
            </w:pPr>
            <w:r w:rsidRPr="004F1362">
              <w:t>Status at time of request:</w:t>
            </w:r>
          </w:p>
        </w:tc>
        <w:tc>
          <w:tcPr>
            <w:tcW w:w="1521" w:type="pct"/>
            <w:tcBorders>
              <w:right w:val="nil"/>
            </w:tcBorders>
          </w:tcPr>
          <w:p w:rsidR="005D5EE0" w:rsidRPr="004F1362" w:rsidRDefault="00A80A26" w:rsidP="004F1362">
            <w:pPr>
              <w:pStyle w:val="BodyText"/>
            </w:pPr>
            <w:sdt>
              <w:sdtPr>
                <w:id w:val="1782758815"/>
                <w14:checkbox>
                  <w14:checked w14:val="0"/>
                  <w14:checkedState w14:val="2612" w14:font="MS Gothic"/>
                  <w14:uncheckedState w14:val="2610" w14:font="MS Gothic"/>
                </w14:checkbox>
              </w:sdtPr>
              <w:sdtEndPr/>
              <w:sdtContent>
                <w:r w:rsidR="005D5EE0" w:rsidRPr="004F1362">
                  <w:rPr>
                    <w:rFonts w:ascii="MS Gothic" w:eastAsia="MS Gothic" w:hAnsi="MS Gothic" w:cs="MS Gothic" w:hint="eastAsia"/>
                  </w:rPr>
                  <w:t>☐</w:t>
                </w:r>
              </w:sdtContent>
            </w:sdt>
            <w:r w:rsidR="005D5EE0" w:rsidRPr="004F1362">
              <w:t xml:space="preserve"> Confidential</w:t>
            </w:r>
          </w:p>
        </w:tc>
        <w:tc>
          <w:tcPr>
            <w:tcW w:w="1522" w:type="pct"/>
            <w:tcBorders>
              <w:left w:val="nil"/>
            </w:tcBorders>
          </w:tcPr>
          <w:p w:rsidR="005D5EE0" w:rsidRPr="004F1362" w:rsidRDefault="00A80A26" w:rsidP="004F1362">
            <w:pPr>
              <w:pStyle w:val="BodyText"/>
            </w:pPr>
            <w:sdt>
              <w:sdtPr>
                <w:id w:val="-219669282"/>
                <w14:checkbox>
                  <w14:checked w14:val="1"/>
                  <w14:checkedState w14:val="2612" w14:font="MS Gothic"/>
                  <w14:uncheckedState w14:val="2610" w14:font="MS Gothic"/>
                </w14:checkbox>
              </w:sdtPr>
              <w:sdtEndPr/>
              <w:sdtContent>
                <w:r w:rsidR="00054365">
                  <w:rPr>
                    <w:rFonts w:ascii="MS Gothic" w:eastAsia="MS Gothic" w:hAnsi="MS Gothic" w:hint="eastAsia"/>
                  </w:rPr>
                  <w:t>☒</w:t>
                </w:r>
              </w:sdtContent>
            </w:sdt>
            <w:r w:rsidR="005D5EE0" w:rsidRPr="004F1362">
              <w:t xml:space="preserve"> Not confidential</w:t>
            </w:r>
          </w:p>
        </w:tc>
      </w:tr>
      <w:tr w:rsidR="00AA478E" w:rsidRPr="008D77AF" w:rsidTr="00013620">
        <w:tc>
          <w:tcPr>
            <w:tcW w:w="5000" w:type="pct"/>
            <w:gridSpan w:val="3"/>
          </w:tcPr>
          <w:p w:rsidR="00AA478E" w:rsidRPr="004F1362" w:rsidRDefault="00AA478E" w:rsidP="004F1362">
            <w:pPr>
              <w:pStyle w:val="BodyText"/>
            </w:pPr>
            <w:r w:rsidRPr="004F1362">
              <w:t xml:space="preserve">Summary of </w:t>
            </w:r>
            <w:r w:rsidR="001775EA">
              <w:t>request</w:t>
            </w:r>
            <w:r w:rsidRPr="004F1362">
              <w:t>:</w:t>
            </w:r>
          </w:p>
          <w:p w:rsidR="00043B7E" w:rsidRDefault="00043B7E" w:rsidP="00043B7E">
            <w:pPr>
              <w:pStyle w:val="BodyText"/>
            </w:pPr>
            <w:r>
              <w:t xml:space="preserve">The request sought the </w:t>
            </w:r>
            <w:r w:rsidR="00ED00E4">
              <w:t xml:space="preserve">number of individuals affected by each stage and component of the </w:t>
            </w:r>
            <w:r>
              <w:t>2018</w:t>
            </w:r>
            <w:r w:rsidR="009D684B">
              <w:noBreakHyphen/>
            </w:r>
            <w:r>
              <w:t>19</w:t>
            </w:r>
            <w:r w:rsidR="009D684B">
              <w:t> </w:t>
            </w:r>
            <w:r>
              <w:t xml:space="preserve">Budget measure </w:t>
            </w:r>
            <w:r>
              <w:rPr>
                <w:i/>
              </w:rPr>
              <w:t>Personal Income Tax Plan</w:t>
            </w:r>
            <w:r>
              <w:t xml:space="preserve">.  </w:t>
            </w:r>
            <w:r w:rsidR="00F44DB4">
              <w:t xml:space="preserve">The </w:t>
            </w:r>
            <w:r w:rsidR="00CE1C45">
              <w:t xml:space="preserve">request also sought </w:t>
            </w:r>
            <w:r w:rsidR="00A80C8F">
              <w:t xml:space="preserve">a </w:t>
            </w:r>
            <w:r w:rsidR="009F66F5">
              <w:t xml:space="preserve">breakdown </w:t>
            </w:r>
            <w:r w:rsidR="00A80C8F">
              <w:t xml:space="preserve">of </w:t>
            </w:r>
            <w:r w:rsidR="009F66F5">
              <w:t xml:space="preserve">the number of individuals affected by </w:t>
            </w:r>
            <w:r w:rsidR="00184D6A">
              <w:t xml:space="preserve">component </w:t>
            </w:r>
            <w:r w:rsidR="009F66F5">
              <w:t xml:space="preserve">and </w:t>
            </w:r>
            <w:r w:rsidR="00F44DB4">
              <w:t>by gender.</w:t>
            </w:r>
            <w:r w:rsidR="00ED00E4">
              <w:t xml:space="preserve">  The components </w:t>
            </w:r>
            <w:r w:rsidR="009F66F5">
              <w:t xml:space="preserve">of the tax plan </w:t>
            </w:r>
            <w:r w:rsidR="00ED00E4">
              <w:t>are as follows:</w:t>
            </w:r>
          </w:p>
          <w:p w:rsidR="00043B7E" w:rsidRDefault="00043B7E" w:rsidP="00043B7E">
            <w:pPr>
              <w:pStyle w:val="BodyText"/>
            </w:pPr>
            <w:r>
              <w:t>Component 1 introduces the Low and Middle Income Tax Offset of up to $530 for individuals with taxable income up to $125,333 for the 2018-19, 2019-20, 2020-21 and 2021-22 financial years.</w:t>
            </w:r>
          </w:p>
          <w:p w:rsidR="00043B7E" w:rsidRDefault="00043B7E" w:rsidP="00043B7E">
            <w:pPr>
              <w:pStyle w:val="BodyText"/>
            </w:pPr>
            <w:r>
              <w:t>Component 2 increases the upper threshold for the 32.5 per cent marginal tax rate from $87,000 to $90,000 from 1 July 2018.</w:t>
            </w:r>
          </w:p>
          <w:p w:rsidR="00043B7E" w:rsidRDefault="00043B7E" w:rsidP="00043B7E">
            <w:pPr>
              <w:pStyle w:val="BodyText"/>
            </w:pPr>
            <w:r>
              <w:t>Component 3 increases the upper threshold for the 32.5 per cent marginal tax rate from $90,000 to $120,000 from 1 July 2022.</w:t>
            </w:r>
          </w:p>
          <w:p w:rsidR="00043B7E" w:rsidRDefault="00043B7E" w:rsidP="00043B7E">
            <w:pPr>
              <w:pStyle w:val="BodyText"/>
            </w:pPr>
            <w:r>
              <w:t>Component 4 increases the upper threshold for the 19 per cent marginal tax rate from $37,000 to $41,000 from 1 July 2022.</w:t>
            </w:r>
          </w:p>
          <w:p w:rsidR="00043B7E" w:rsidRDefault="00043B7E" w:rsidP="00043B7E">
            <w:pPr>
              <w:pStyle w:val="BodyText"/>
            </w:pPr>
            <w:r>
              <w:t>Component 5 increases the Low Income Tax Offset to up to $645 for taxable incomes up to $66,667 from 1</w:t>
            </w:r>
            <w:r w:rsidR="00755C33">
              <w:t> </w:t>
            </w:r>
            <w:r>
              <w:t>July</w:t>
            </w:r>
            <w:r w:rsidR="00755C33">
              <w:t> </w:t>
            </w:r>
            <w:r>
              <w:t>2022.</w:t>
            </w:r>
          </w:p>
          <w:p w:rsidR="00043B7E" w:rsidRDefault="00043B7E" w:rsidP="00043B7E">
            <w:pPr>
              <w:pStyle w:val="BodyText"/>
            </w:pPr>
            <w:r>
              <w:t xml:space="preserve">Component 6 increases the lower threshold for the 45 per cent marginal tax rate from $180,001 to $200,001 from 1 July 2024. </w:t>
            </w:r>
          </w:p>
          <w:p w:rsidR="00043B7E" w:rsidRPr="004F1362" w:rsidRDefault="00043B7E" w:rsidP="00043B7E">
            <w:pPr>
              <w:pStyle w:val="BodyText"/>
            </w:pPr>
            <w:r>
              <w:t>Component 7 removes the 37 per cent marginal tax rate, so that all income from $41,001 to $200,000 is taxed at a marginal rate of 32.5 per cent from 1 July 2024.</w:t>
            </w:r>
            <w:r w:rsidRPr="004F1362">
              <w:t xml:space="preserve"> </w:t>
            </w:r>
          </w:p>
        </w:tc>
      </w:tr>
    </w:tbl>
    <w:p w:rsidR="00AA478E" w:rsidRPr="008D77AF" w:rsidRDefault="005D5EE0" w:rsidP="00AA478E">
      <w:pPr>
        <w:pStyle w:val="Heading1"/>
      </w:pPr>
      <w:r>
        <w:t>O</w:t>
      </w:r>
      <w:r w:rsidR="00AA478E" w:rsidRPr="008D77AF">
        <w:t>verview</w:t>
      </w:r>
    </w:p>
    <w:p w:rsidR="00F04E5B" w:rsidRDefault="00F04E5B" w:rsidP="00F04E5B">
      <w:pPr>
        <w:pStyle w:val="BodyText"/>
      </w:pPr>
      <w:r>
        <w:t xml:space="preserve">The </w:t>
      </w:r>
      <w:r w:rsidR="003779CC">
        <w:t xml:space="preserve">Parliamentary Budget Office’s (PBO) estimates of the </w:t>
      </w:r>
      <w:r w:rsidR="00ED00E4">
        <w:t xml:space="preserve">number of individuals affected by each stage </w:t>
      </w:r>
      <w:r>
        <w:t>of the 2018</w:t>
      </w:r>
      <w:r>
        <w:noBreakHyphen/>
        <w:t xml:space="preserve">19 Budget measure </w:t>
      </w:r>
      <w:r>
        <w:rPr>
          <w:i/>
        </w:rPr>
        <w:t>Personal Income Tax Plan</w:t>
      </w:r>
      <w:r>
        <w:t xml:space="preserve"> </w:t>
      </w:r>
      <w:r w:rsidR="00ED00E4">
        <w:t xml:space="preserve">is </w:t>
      </w:r>
      <w:r>
        <w:t xml:space="preserve">provided at </w:t>
      </w:r>
      <w:r w:rsidRPr="0063771A">
        <w:rPr>
          <w:u w:val="single"/>
        </w:rPr>
        <w:t>Attachment A</w:t>
      </w:r>
      <w:r>
        <w:t xml:space="preserve">.  </w:t>
      </w:r>
    </w:p>
    <w:p w:rsidR="00B3108D" w:rsidRDefault="00D95291" w:rsidP="00F04E5B">
      <w:pPr>
        <w:pStyle w:val="BodyText"/>
      </w:pPr>
      <w:r>
        <w:lastRenderedPageBreak/>
        <w:t xml:space="preserve">The estimates </w:t>
      </w:r>
      <w:r w:rsidR="00B3108D">
        <w:t>are subject</w:t>
      </w:r>
      <w:r>
        <w:t xml:space="preserve"> to uncertainties surrounding income and population growth rates, </w:t>
      </w:r>
      <w:r w:rsidR="00B3108D">
        <w:t>as well as the distribution of such growth between genders and levels of taxable income.  There are also uncertainties around the behavioural responses of affected individuals to the measure.</w:t>
      </w:r>
      <w:r w:rsidR="008A1AC7">
        <w:rPr>
          <w:rStyle w:val="FootnoteReference"/>
        </w:rPr>
        <w:footnoteReference w:id="1"/>
      </w:r>
    </w:p>
    <w:p w:rsidR="00F04E5B" w:rsidRPr="00CA06C8" w:rsidRDefault="00F04E5B" w:rsidP="00F04E5B">
      <w:pPr>
        <w:pStyle w:val="Heading1"/>
      </w:pPr>
      <w:r w:rsidRPr="00CA06C8">
        <w:t>Key assumptions</w:t>
      </w:r>
    </w:p>
    <w:p w:rsidR="00F04E5B" w:rsidRDefault="00F04E5B" w:rsidP="00D1545E">
      <w:pPr>
        <w:pStyle w:val="ListBullet"/>
        <w:keepNext/>
        <w:numPr>
          <w:ilvl w:val="0"/>
          <w:numId w:val="0"/>
        </w:numPr>
      </w:pPr>
      <w:r w:rsidRPr="005F7D60">
        <w:t xml:space="preserve">The </w:t>
      </w:r>
      <w:r w:rsidR="00ED00E4">
        <w:t xml:space="preserve">analysis </w:t>
      </w:r>
      <w:r w:rsidR="009F66F5">
        <w:t xml:space="preserve">of the number of individuals affected </w:t>
      </w:r>
      <w:r w:rsidR="00ED00E4">
        <w:t xml:space="preserve">is based </w:t>
      </w:r>
      <w:r w:rsidR="009F66F5">
        <w:t>up</w:t>
      </w:r>
      <w:r w:rsidR="00ED00E4">
        <w:t xml:space="preserve">on </w:t>
      </w:r>
      <w:r>
        <w:t>PBO</w:t>
      </w:r>
      <w:r w:rsidRPr="005F7D60">
        <w:t xml:space="preserve"> </w:t>
      </w:r>
      <w:r w:rsidR="00ED00E4">
        <w:t xml:space="preserve">analysis of the financial implications </w:t>
      </w:r>
      <w:proofErr w:type="gramStart"/>
      <w:r w:rsidR="00ED00E4">
        <w:t xml:space="preserve">of the 2018-19 Budget Measure </w:t>
      </w:r>
      <w:r w:rsidR="00ED00E4">
        <w:rPr>
          <w:i/>
        </w:rPr>
        <w:t xml:space="preserve">Personal Income Tax </w:t>
      </w:r>
      <w:r w:rsidR="009D684B">
        <w:rPr>
          <w:i/>
        </w:rPr>
        <w:t>Plan</w:t>
      </w:r>
      <w:proofErr w:type="gramEnd"/>
      <w:r w:rsidR="00ED00E4">
        <w:t xml:space="preserve">.  The analysis uses a microsimulation model which allows for the </w:t>
      </w:r>
      <w:r w:rsidR="00BB7C1C">
        <w:t xml:space="preserve">estimation </w:t>
      </w:r>
      <w:r w:rsidR="00ED00E4">
        <w:t xml:space="preserve">of </w:t>
      </w:r>
      <w:r w:rsidR="007452D7">
        <w:t>the number of individuals affected by income and by gender.  The underlying analysis</w:t>
      </w:r>
      <w:r w:rsidR="00ED00E4">
        <w:t xml:space="preserve"> </w:t>
      </w:r>
      <w:r w:rsidRPr="00ED00E4">
        <w:t>has</w:t>
      </w:r>
      <w:r w:rsidR="007E40A9">
        <w:t xml:space="preserve"> made the following assumptions:</w:t>
      </w:r>
    </w:p>
    <w:p w:rsidR="00F04E5B" w:rsidRDefault="00F04E5B" w:rsidP="007E40A9">
      <w:pPr>
        <w:pStyle w:val="ListBullet"/>
      </w:pPr>
      <w:r>
        <w:t xml:space="preserve">The </w:t>
      </w:r>
      <w:r w:rsidR="009F66F5">
        <w:t xml:space="preserve">number of individuals affected </w:t>
      </w:r>
      <w:r w:rsidR="000A7AA8">
        <w:t xml:space="preserve">by each component </w:t>
      </w:r>
      <w:r w:rsidR="009F66F5">
        <w:t xml:space="preserve">is reported </w:t>
      </w:r>
      <w:r>
        <w:t xml:space="preserve">in the order presented.  </w:t>
      </w:r>
      <w:r w:rsidR="009F66F5">
        <w:t>Some individuals are affected by multiple components</w:t>
      </w:r>
      <w:r w:rsidR="000A7AA8">
        <w:t>, meaning that the total number affected by the package is less than the sum of the number affected across components.</w:t>
      </w:r>
    </w:p>
    <w:p w:rsidR="009B5057" w:rsidRDefault="009B5057" w:rsidP="007E40A9">
      <w:pPr>
        <w:pStyle w:val="ListBullet"/>
      </w:pPr>
      <w:r>
        <w:t>Growth in taxable incomes is not assumed to be different by gender.</w:t>
      </w:r>
    </w:p>
    <w:p w:rsidR="00F04E5B" w:rsidRDefault="00F04E5B" w:rsidP="00F04E5B">
      <w:pPr>
        <w:pStyle w:val="ListBullet"/>
      </w:pPr>
      <w:r>
        <w:t>The estimates do not consider the implications of the Government’s announced policy to constrain the tax to Gross Domestic Product (GDP) ratio at or below 23.9 per cent.  As shown in Chart 2 in Box 2 in Statement 3 of 2018</w:t>
      </w:r>
      <w:r>
        <w:noBreakHyphen/>
        <w:t>19 Budget Paper No. 1, tax receipts are projected to be below 23.9 per cent of GDP until 2026-27 after taking into account the 2018</w:t>
      </w:r>
      <w:r>
        <w:noBreakHyphen/>
        <w:t xml:space="preserve">19 Budget measure </w:t>
      </w:r>
      <w:r w:rsidRPr="00235BC7">
        <w:rPr>
          <w:i/>
        </w:rPr>
        <w:t>Personal</w:t>
      </w:r>
      <w:r>
        <w:rPr>
          <w:i/>
        </w:rPr>
        <w:t> </w:t>
      </w:r>
      <w:r w:rsidRPr="00235BC7">
        <w:rPr>
          <w:i/>
        </w:rPr>
        <w:t>Income Tax Plan</w:t>
      </w:r>
      <w:r>
        <w:t xml:space="preserve">, while without the </w:t>
      </w:r>
      <w:r w:rsidRPr="00235BC7">
        <w:rPr>
          <w:i/>
        </w:rPr>
        <w:t>Personal Income Tax Plan</w:t>
      </w:r>
      <w:r>
        <w:t xml:space="preserve"> measure receipts would exceed 23.9 per cent of GDP from 2021-22.</w:t>
      </w:r>
    </w:p>
    <w:p w:rsidR="00F04E5B" w:rsidRDefault="00F04E5B" w:rsidP="00F04E5B">
      <w:pPr>
        <w:pStyle w:val="Heading1"/>
      </w:pPr>
      <w:r>
        <w:t>Methodology</w:t>
      </w:r>
    </w:p>
    <w:p w:rsidR="00F04E5B" w:rsidRDefault="00F04E5B" w:rsidP="00F04E5B">
      <w:pPr>
        <w:pStyle w:val="ListBullet"/>
      </w:pPr>
      <w:r>
        <w:t xml:space="preserve">The </w:t>
      </w:r>
      <w:r w:rsidR="00171178">
        <w:t xml:space="preserve">number of individuals affected by each stage of the </w:t>
      </w:r>
      <w:r>
        <w:t>2018</w:t>
      </w:r>
      <w:r>
        <w:noBreakHyphen/>
        <w:t xml:space="preserve">19 Budget measure </w:t>
      </w:r>
      <w:r>
        <w:rPr>
          <w:i/>
        </w:rPr>
        <w:t>Personal Income Tax Plan</w:t>
      </w:r>
      <w:r>
        <w:t xml:space="preserve"> </w:t>
      </w:r>
      <w:r w:rsidR="00171178">
        <w:t xml:space="preserve">was </w:t>
      </w:r>
      <w:r>
        <w:t xml:space="preserve">estimated using a 16 per cent sample of de-identified personal income tax and superannuation returns for 2014-15 provided by the Australian Taxation Office (ATO).  </w:t>
      </w:r>
    </w:p>
    <w:p w:rsidR="00B3108D" w:rsidRDefault="00B3108D" w:rsidP="00F04E5B">
      <w:pPr>
        <w:pStyle w:val="ListBullet"/>
      </w:pPr>
      <w:r>
        <w:t xml:space="preserve">The Low and Middle Income Tax Offset of up to $530 for individuals with taxable income of up to $125,333 does not continue beyond the 2021-22 year of assessment.  As a result, the number of individuals affected in 2022-23 is against a baseline that does not include the Low and Middle Income Tax Offset. </w:t>
      </w:r>
    </w:p>
    <w:p w:rsidR="00D1545E" w:rsidRDefault="00D1545E" w:rsidP="00F04E5B">
      <w:pPr>
        <w:pStyle w:val="ListBullet"/>
      </w:pPr>
      <w:r>
        <w:t xml:space="preserve">The </w:t>
      </w:r>
      <w:r w:rsidR="00D77F4A">
        <w:t xml:space="preserve">number of individuals is </w:t>
      </w:r>
      <w:r>
        <w:t>based on year of assessment and ha</w:t>
      </w:r>
      <w:r w:rsidR="0068198B">
        <w:t>s</w:t>
      </w:r>
      <w:r>
        <w:t xml:space="preserve"> not been adjusted for the timing of tax collections.</w:t>
      </w:r>
    </w:p>
    <w:p w:rsidR="00F04E5B" w:rsidRPr="00002D5D" w:rsidRDefault="00F04E5B" w:rsidP="00F04E5B">
      <w:pPr>
        <w:pStyle w:val="ListBullet"/>
      </w:pPr>
      <w:r>
        <w:t xml:space="preserve">Estimates of </w:t>
      </w:r>
      <w:r w:rsidR="00171178">
        <w:t xml:space="preserve">the number of individuals affected </w:t>
      </w:r>
      <w:r>
        <w:t xml:space="preserve">have been rounded to the nearest </w:t>
      </w:r>
      <w:r w:rsidR="00171178">
        <w:t>1,000</w:t>
      </w:r>
      <w:r>
        <w:t xml:space="preserve">. </w:t>
      </w:r>
    </w:p>
    <w:p w:rsidR="00F04E5B" w:rsidRDefault="00F04E5B" w:rsidP="00F04E5B">
      <w:pPr>
        <w:pStyle w:val="Heading1"/>
      </w:pPr>
      <w:r>
        <w:t>Data sources</w:t>
      </w:r>
    </w:p>
    <w:p w:rsidR="00F04E5B" w:rsidRDefault="00F04E5B" w:rsidP="00F04E5B">
      <w:pPr>
        <w:pStyle w:val="ListBullet"/>
      </w:pPr>
      <w:r>
        <w:t>16 per cent samples of de-identified personal income tax and superannuation returns for the 2014</w:t>
      </w:r>
      <w:r>
        <w:noBreakHyphen/>
        <w:t>15 financial year from the ATO.</w:t>
      </w:r>
    </w:p>
    <w:p w:rsidR="00D1545E" w:rsidRDefault="00F04E5B" w:rsidP="00F04E5B">
      <w:pPr>
        <w:pStyle w:val="ListBullet"/>
      </w:pPr>
      <w:r>
        <w:t>Treasury provided the model for the 2018</w:t>
      </w:r>
      <w:r>
        <w:noBreakHyphen/>
        <w:t xml:space="preserve">19 Budget measure </w:t>
      </w:r>
      <w:r>
        <w:rPr>
          <w:i/>
        </w:rPr>
        <w:t>Personal Income Tax Plan</w:t>
      </w:r>
      <w:r>
        <w:t xml:space="preserve"> and economic and policy parameters as of the 2018</w:t>
      </w:r>
      <w:r>
        <w:noBreakHyphen/>
        <w:t>19 Budget.</w:t>
      </w:r>
    </w:p>
    <w:p w:rsidR="00AA7D93" w:rsidRDefault="00AA7D93" w:rsidP="00F04E5B">
      <w:pPr>
        <w:pStyle w:val="ListBullet"/>
      </w:pPr>
      <w:r>
        <w:lastRenderedPageBreak/>
        <w:t xml:space="preserve">Morrison, S 2018, </w:t>
      </w:r>
      <w:r>
        <w:rPr>
          <w:i/>
        </w:rPr>
        <w:t>House of Representatives Hansard – Wednesday, 23 May 2018</w:t>
      </w:r>
      <w:r>
        <w:t>, page 81, Commonwealth of Australia.</w:t>
      </w:r>
    </w:p>
    <w:p w:rsidR="00AA7D93" w:rsidRDefault="00AA7D93" w:rsidP="00F04E5B">
      <w:pPr>
        <w:pStyle w:val="ListBullet"/>
      </w:pPr>
      <w:r>
        <w:t>Fraser, J 2018, S</w:t>
      </w:r>
      <w:r w:rsidR="00E45EBD">
        <w:t>e</w:t>
      </w:r>
      <w:r>
        <w:t xml:space="preserve">cretary to the Treasury, </w:t>
      </w:r>
      <w:r>
        <w:rPr>
          <w:i/>
        </w:rPr>
        <w:t>Opening Statement – May 2018 Senate Estimates</w:t>
      </w:r>
      <w:r>
        <w:t xml:space="preserve"> (including the tabled document </w:t>
      </w:r>
      <w:r>
        <w:rPr>
          <w:i/>
        </w:rPr>
        <w:t>Personal Income Ta</w:t>
      </w:r>
      <w:r w:rsidR="00CE0BF4">
        <w:rPr>
          <w:i/>
        </w:rPr>
        <w:t>x Plan – further information</w:t>
      </w:r>
      <w:r w:rsidR="00CE0BF4">
        <w:t>), 29 May 2018.</w:t>
      </w:r>
      <w:r>
        <w:t xml:space="preserve"> </w:t>
      </w:r>
    </w:p>
    <w:p w:rsidR="009D684B" w:rsidRDefault="009D684B">
      <w:pPr>
        <w:sectPr w:rsidR="009D684B" w:rsidSect="00E262A4">
          <w:headerReference w:type="default" r:id="rId14"/>
          <w:footerReference w:type="default" r:id="rId15"/>
          <w:headerReference w:type="first" r:id="rId16"/>
          <w:footerReference w:type="first" r:id="rId17"/>
          <w:pgSz w:w="11907" w:h="16839" w:code="9"/>
          <w:pgMar w:top="1134" w:right="1418" w:bottom="1134" w:left="1418" w:header="284" w:footer="454" w:gutter="0"/>
          <w:pgNumType w:start="1"/>
          <w:cols w:space="708"/>
          <w:formProt w:val="0"/>
          <w:titlePg/>
          <w:docGrid w:linePitch="360"/>
        </w:sectPr>
      </w:pPr>
    </w:p>
    <w:p w:rsidR="00016D53" w:rsidRDefault="00016D53" w:rsidP="00B538BA">
      <w:pPr>
        <w:pStyle w:val="Heading8"/>
        <w:spacing w:before="240" w:after="120"/>
      </w:pPr>
      <w:r w:rsidRPr="002D239A">
        <w:lastRenderedPageBreak/>
        <w:t xml:space="preserve">– </w:t>
      </w:r>
      <w:r w:rsidR="003155C8">
        <w:t>Personal Income Tax Plan</w:t>
      </w:r>
      <w:r w:rsidR="00326E3E">
        <w:t xml:space="preserve"> – </w:t>
      </w:r>
      <w:r w:rsidR="001A1357">
        <w:t>numbers affected by gender and taxable income</w:t>
      </w:r>
    </w:p>
    <w:p w:rsidR="003155C8" w:rsidRDefault="003155C8" w:rsidP="003155C8">
      <w:pPr>
        <w:pStyle w:val="Caption"/>
        <w:widowControl w:val="0"/>
        <w:tabs>
          <w:tab w:val="left" w:pos="9356"/>
        </w:tabs>
        <w:spacing w:before="360"/>
        <w:rPr>
          <w:vertAlign w:val="superscript"/>
        </w:rPr>
      </w:pPr>
      <w:r w:rsidRPr="002D239A">
        <w:t xml:space="preserve">Table </w:t>
      </w:r>
      <w:r w:rsidR="00A80A26">
        <w:fldChar w:fldCharType="begin"/>
      </w:r>
      <w:r w:rsidR="00A80A26">
        <w:instrText xml:space="preserve"> STYLEREF 8 \s </w:instrText>
      </w:r>
      <w:r w:rsidR="00A80A26">
        <w:fldChar w:fldCharType="separate"/>
      </w:r>
      <w:r w:rsidR="00384C7C">
        <w:rPr>
          <w:noProof/>
        </w:rPr>
        <w:t>A</w:t>
      </w:r>
      <w:r w:rsidR="00A80A26">
        <w:rPr>
          <w:noProof/>
        </w:rPr>
        <w:fldChar w:fldCharType="end"/>
      </w:r>
      <w:r w:rsidR="00A80A26">
        <w:fldChar w:fldCharType="begin"/>
      </w:r>
      <w:r w:rsidR="00A80A26">
        <w:instrText xml:space="preserve"> SEQ AppendixTable\s 8 </w:instrText>
      </w:r>
      <w:r w:rsidR="00A80A26">
        <w:fldChar w:fldCharType="separate"/>
      </w:r>
      <w:r w:rsidR="00384C7C">
        <w:rPr>
          <w:noProof/>
        </w:rPr>
        <w:t>1</w:t>
      </w:r>
      <w:r w:rsidR="00A80A26">
        <w:rPr>
          <w:noProof/>
        </w:rPr>
        <w:fldChar w:fldCharType="end"/>
      </w:r>
      <w:r w:rsidRPr="002D239A">
        <w:t xml:space="preserve">: </w:t>
      </w:r>
      <w:r w:rsidR="00A80A26">
        <w:fldChar w:fldCharType="begin"/>
      </w:r>
      <w:r w:rsidR="00A80A26">
        <w:instrText xml:space="preserve"> STYLEREF  "Name of proposal"  \* MERGEFORMAT </w:instrText>
      </w:r>
      <w:r w:rsidR="00A80A26">
        <w:fldChar w:fldCharType="separate"/>
      </w:r>
      <w:r w:rsidR="00384C7C">
        <w:rPr>
          <w:noProof/>
        </w:rPr>
        <w:t>Personal Income Tax Plan</w:t>
      </w:r>
      <w:r w:rsidR="00A80A26">
        <w:rPr>
          <w:noProof/>
        </w:rPr>
        <w:fldChar w:fldCharType="end"/>
      </w:r>
      <w:r>
        <w:t xml:space="preserve"> –</w:t>
      </w:r>
      <w:r w:rsidR="00DC54B3">
        <w:t xml:space="preserve"> </w:t>
      </w:r>
      <w:r w:rsidR="00D1545E">
        <w:t>Number of individuals affected in 2018</w:t>
      </w:r>
      <w:r w:rsidR="00D1545E">
        <w:noBreakHyphen/>
        <w:t xml:space="preserve">19 by taxable income and by </w:t>
      </w:r>
      <w:proofErr w:type="gramStart"/>
      <w:r w:rsidR="00D1545E">
        <w:t>gender</w:t>
      </w:r>
      <w:r w:rsidRPr="002D239A">
        <w:rPr>
          <w:vertAlign w:val="superscript"/>
        </w:rPr>
        <w:t>(</w:t>
      </w:r>
      <w:proofErr w:type="gramEnd"/>
      <w:r w:rsidRPr="002D239A">
        <w:rPr>
          <w:vertAlign w:val="superscript"/>
        </w:rPr>
        <w:t>a)</w:t>
      </w:r>
      <w:r w:rsidR="00BB4752">
        <w:rPr>
          <w:vertAlign w:val="superscript"/>
        </w:rPr>
        <w:t>(b)</w:t>
      </w:r>
    </w:p>
    <w:tbl>
      <w:tblPr>
        <w:tblStyle w:val="LightGrid-Accent6"/>
        <w:tblW w:w="5000" w:type="pct"/>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Layout w:type="fixed"/>
        <w:tblLook w:val="0680" w:firstRow="0" w:lastRow="0" w:firstColumn="1" w:lastColumn="0" w:noHBand="1" w:noVBand="1"/>
      </w:tblPr>
      <w:tblGrid>
        <w:gridCol w:w="2173"/>
        <w:gridCol w:w="884"/>
        <w:gridCol w:w="886"/>
        <w:gridCol w:w="886"/>
        <w:gridCol w:w="886"/>
        <w:gridCol w:w="886"/>
        <w:gridCol w:w="886"/>
        <w:gridCol w:w="886"/>
        <w:gridCol w:w="886"/>
        <w:gridCol w:w="880"/>
      </w:tblGrid>
      <w:tr w:rsidR="0047738E"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13593F" w:rsidRPr="00A5514B" w:rsidRDefault="0013593F" w:rsidP="00E847AA">
            <w:pPr>
              <w:pStyle w:val="TableHeading"/>
              <w:keepLines w:val="0"/>
              <w:widowControl w:val="0"/>
              <w:tabs>
                <w:tab w:val="left" w:pos="9356"/>
              </w:tabs>
              <w:spacing w:line="240" w:lineRule="auto"/>
              <w:ind w:left="-57" w:right="-57"/>
              <w:rPr>
                <w:rFonts w:asciiTheme="minorHAnsi" w:hAnsiTheme="minorHAnsi"/>
                <w:sz w:val="15"/>
                <w:szCs w:val="15"/>
              </w:rPr>
            </w:pPr>
          </w:p>
        </w:tc>
        <w:tc>
          <w:tcPr>
            <w:tcW w:w="1310"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13593F" w:rsidRPr="00A5514B" w:rsidRDefault="0013593F" w:rsidP="00E847AA">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L</w:t>
            </w:r>
            <w:r w:rsidR="007E40A9" w:rsidRPr="00A5514B">
              <w:rPr>
                <w:rFonts w:asciiTheme="minorHAnsi" w:hAnsiTheme="minorHAnsi"/>
                <w:sz w:val="15"/>
                <w:szCs w:val="15"/>
              </w:rPr>
              <w:t>ow and Middle Income Tax Offset</w:t>
            </w:r>
            <w:r w:rsidR="007E40A9" w:rsidRPr="00A5514B">
              <w:rPr>
                <w:rFonts w:asciiTheme="minorHAnsi" w:hAnsiTheme="minorHAnsi"/>
                <w:sz w:val="15"/>
                <w:szCs w:val="15"/>
              </w:rPr>
              <w:br/>
            </w:r>
            <w:r w:rsidRPr="00A5514B">
              <w:rPr>
                <w:rFonts w:asciiTheme="minorHAnsi" w:hAnsiTheme="minorHAnsi"/>
                <w:sz w:val="15"/>
                <w:szCs w:val="15"/>
              </w:rPr>
              <w:t>of up to $530 for individuals wit</w:t>
            </w:r>
            <w:r w:rsidR="007E40A9" w:rsidRPr="00A5514B">
              <w:rPr>
                <w:rFonts w:asciiTheme="minorHAnsi" w:hAnsiTheme="minorHAnsi"/>
                <w:sz w:val="15"/>
                <w:szCs w:val="15"/>
              </w:rPr>
              <w:t>h</w:t>
            </w:r>
            <w:r w:rsidR="007E40A9" w:rsidRPr="00A5514B">
              <w:rPr>
                <w:rFonts w:asciiTheme="minorHAnsi" w:hAnsiTheme="minorHAnsi"/>
                <w:sz w:val="15"/>
                <w:szCs w:val="15"/>
              </w:rPr>
              <w:br/>
              <w:t>taxable income up to $125,333</w:t>
            </w:r>
            <w:r w:rsidR="00E73611" w:rsidRPr="00A5514B">
              <w:rPr>
                <w:rFonts w:asciiTheme="minorHAnsi" w:hAnsiTheme="minorHAnsi"/>
                <w:sz w:val="15"/>
                <w:szCs w:val="15"/>
                <w:vertAlign w:val="superscript"/>
              </w:rPr>
              <w:t>(c)</w:t>
            </w:r>
          </w:p>
        </w:tc>
        <w:tc>
          <w:tcPr>
            <w:tcW w:w="1310"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13593F" w:rsidRPr="00A5514B" w:rsidRDefault="007E40A9" w:rsidP="00E847AA">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Increase the upper threshold</w:t>
            </w:r>
            <w:r w:rsidRPr="00A5514B">
              <w:rPr>
                <w:rFonts w:asciiTheme="minorHAnsi" w:hAnsiTheme="minorHAnsi"/>
                <w:sz w:val="15"/>
                <w:szCs w:val="15"/>
              </w:rPr>
              <w:br/>
            </w:r>
            <w:r w:rsidR="0013593F" w:rsidRPr="00A5514B">
              <w:rPr>
                <w:rFonts w:asciiTheme="minorHAnsi" w:hAnsiTheme="minorHAnsi"/>
                <w:sz w:val="15"/>
                <w:szCs w:val="15"/>
              </w:rPr>
              <w:t>for the 32.5 per cent marg</w:t>
            </w:r>
            <w:r w:rsidR="0047738E" w:rsidRPr="00A5514B">
              <w:rPr>
                <w:rFonts w:asciiTheme="minorHAnsi" w:hAnsiTheme="minorHAnsi"/>
                <w:sz w:val="15"/>
                <w:szCs w:val="15"/>
              </w:rPr>
              <w:t>inal tax</w:t>
            </w:r>
            <w:r w:rsidR="0047738E" w:rsidRPr="00A5514B">
              <w:rPr>
                <w:rFonts w:asciiTheme="minorHAnsi" w:hAnsiTheme="minorHAnsi"/>
                <w:sz w:val="15"/>
                <w:szCs w:val="15"/>
              </w:rPr>
              <w:br/>
            </w:r>
            <w:r w:rsidR="0013593F" w:rsidRPr="00A5514B">
              <w:rPr>
                <w:rFonts w:asciiTheme="minorHAnsi" w:hAnsiTheme="minorHAnsi"/>
                <w:sz w:val="15"/>
                <w:szCs w:val="15"/>
              </w:rPr>
              <w:t>rate from $87,000 to $90,000</w:t>
            </w:r>
            <w:r w:rsidR="00E73611" w:rsidRPr="00A5514B">
              <w:rPr>
                <w:rFonts w:asciiTheme="minorHAnsi" w:hAnsiTheme="minorHAnsi"/>
                <w:sz w:val="15"/>
                <w:szCs w:val="15"/>
                <w:vertAlign w:val="superscript"/>
              </w:rPr>
              <w:t>(d)</w:t>
            </w:r>
          </w:p>
        </w:tc>
        <w:tc>
          <w:tcPr>
            <w:tcW w:w="1310"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13593F" w:rsidRPr="00A5514B" w:rsidRDefault="0047738E" w:rsidP="00E847AA">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All components commencing</w:t>
            </w:r>
            <w:r w:rsidRPr="00A5514B">
              <w:rPr>
                <w:rFonts w:asciiTheme="minorHAnsi" w:hAnsiTheme="minorHAnsi"/>
                <w:sz w:val="15"/>
                <w:szCs w:val="15"/>
              </w:rPr>
              <w:br/>
            </w:r>
            <w:r w:rsidR="0013593F" w:rsidRPr="00A5514B">
              <w:rPr>
                <w:rFonts w:asciiTheme="minorHAnsi" w:hAnsiTheme="minorHAnsi"/>
                <w:sz w:val="15"/>
                <w:szCs w:val="15"/>
              </w:rPr>
              <w:t>from 1 July 2018</w:t>
            </w:r>
            <w:r w:rsidR="00E73611" w:rsidRPr="00A5514B">
              <w:rPr>
                <w:rFonts w:asciiTheme="minorHAnsi" w:hAnsiTheme="minorHAnsi"/>
                <w:sz w:val="15"/>
                <w:szCs w:val="15"/>
                <w:vertAlign w:val="superscript"/>
              </w:rPr>
              <w:t>(</w:t>
            </w:r>
            <w:r w:rsidR="00E847AA" w:rsidRPr="00A5514B">
              <w:rPr>
                <w:rFonts w:asciiTheme="minorHAnsi" w:hAnsiTheme="minorHAnsi"/>
                <w:sz w:val="15"/>
                <w:szCs w:val="15"/>
                <w:vertAlign w:val="superscript"/>
              </w:rPr>
              <w:t>c</w:t>
            </w:r>
            <w:r w:rsidR="00E73611" w:rsidRPr="00A5514B">
              <w:rPr>
                <w:rFonts w:asciiTheme="minorHAnsi" w:hAnsiTheme="minorHAnsi"/>
                <w:sz w:val="15"/>
                <w:szCs w:val="15"/>
                <w:vertAlign w:val="superscript"/>
              </w:rPr>
              <w:t>)</w:t>
            </w:r>
          </w:p>
        </w:tc>
      </w:tr>
      <w:tr w:rsidR="00A80A26"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DDE9" w:themeFill="accent3"/>
            <w:vAlign w:val="center"/>
          </w:tcPr>
          <w:p w:rsidR="001225EE" w:rsidRPr="00A5514B" w:rsidRDefault="001225EE" w:rsidP="00E847AA">
            <w:pPr>
              <w:pStyle w:val="TableHeading"/>
              <w:keepLines w:val="0"/>
              <w:widowControl w:val="0"/>
              <w:tabs>
                <w:tab w:val="left" w:pos="9356"/>
              </w:tabs>
              <w:spacing w:line="240" w:lineRule="auto"/>
              <w:ind w:left="-57" w:right="-57"/>
              <w:rPr>
                <w:rFonts w:asciiTheme="minorHAnsi" w:hAnsiTheme="minorHAnsi"/>
                <w:sz w:val="15"/>
                <w:szCs w:val="15"/>
              </w:rPr>
            </w:pPr>
            <w:r w:rsidRPr="00A5514B">
              <w:rPr>
                <w:rFonts w:asciiTheme="minorHAnsi" w:hAnsiTheme="minorHAnsi"/>
                <w:sz w:val="15"/>
                <w:szCs w:val="15"/>
              </w:rPr>
              <w:t>Taxable income ($)</w:t>
            </w:r>
          </w:p>
        </w:tc>
        <w:tc>
          <w:tcPr>
            <w:tcW w:w="436"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Male</w:t>
            </w:r>
          </w:p>
        </w:tc>
        <w:tc>
          <w:tcPr>
            <w:tcW w:w="437" w:type="pct"/>
            <w:tcBorders>
              <w:top w:val="nil"/>
              <w:bottom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Female</w:t>
            </w:r>
          </w:p>
        </w:tc>
        <w:tc>
          <w:tcPr>
            <w:tcW w:w="437"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Total</w:t>
            </w:r>
          </w:p>
        </w:tc>
        <w:tc>
          <w:tcPr>
            <w:tcW w:w="437"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Male</w:t>
            </w:r>
          </w:p>
        </w:tc>
        <w:tc>
          <w:tcPr>
            <w:tcW w:w="437" w:type="pct"/>
            <w:tcBorders>
              <w:top w:val="nil"/>
              <w:bottom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Female</w:t>
            </w:r>
          </w:p>
        </w:tc>
        <w:tc>
          <w:tcPr>
            <w:tcW w:w="437"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Total</w:t>
            </w:r>
          </w:p>
        </w:tc>
        <w:tc>
          <w:tcPr>
            <w:tcW w:w="437"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Male</w:t>
            </w:r>
          </w:p>
        </w:tc>
        <w:tc>
          <w:tcPr>
            <w:tcW w:w="437" w:type="pct"/>
            <w:tcBorders>
              <w:top w:val="nil"/>
              <w:bottom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Female</w:t>
            </w:r>
          </w:p>
        </w:tc>
        <w:tc>
          <w:tcPr>
            <w:tcW w:w="437"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1225EE" w:rsidRPr="00A5514B" w:rsidRDefault="001225EE"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A5514B">
              <w:rPr>
                <w:rFonts w:asciiTheme="minorHAnsi" w:hAnsiTheme="minorHAnsi"/>
                <w:sz w:val="15"/>
                <w:szCs w:val="15"/>
              </w:rPr>
              <w:t>Total</w:t>
            </w:r>
          </w:p>
        </w:tc>
      </w:tr>
      <w:tr w:rsidR="0068198B"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1A768E" w:rsidRPr="00A5514B" w:rsidRDefault="001A768E"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Below 10,000</w:t>
            </w:r>
          </w:p>
        </w:tc>
        <w:tc>
          <w:tcPr>
            <w:tcW w:w="436" w:type="pct"/>
            <w:tcBorders>
              <w:top w:val="single" w:sz="4" w:space="0" w:color="808080" w:themeColor="background1" w:themeShade="80"/>
              <w:lef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top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top w:val="single" w:sz="4" w:space="0" w:color="808080" w:themeColor="background1" w:themeShade="80"/>
              <w:righ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top w:val="single" w:sz="4" w:space="0" w:color="808080" w:themeColor="background1" w:themeShade="80"/>
              <w:lef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top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top w:val="single" w:sz="4" w:space="0" w:color="808080" w:themeColor="background1" w:themeShade="80"/>
              <w:righ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top w:val="single" w:sz="4" w:space="0" w:color="808080" w:themeColor="background1" w:themeShade="80"/>
              <w:lef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top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top w:val="single" w:sz="4" w:space="0" w:color="808080" w:themeColor="background1" w:themeShade="80"/>
              <w:righ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1A768E" w:rsidRPr="00A5514B" w:rsidRDefault="001A768E"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10,000-20,000</w:t>
            </w:r>
          </w:p>
        </w:tc>
        <w:tc>
          <w:tcPr>
            <w:tcW w:w="436" w:type="pct"/>
            <w:tcBorders>
              <w:lef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1A768E" w:rsidRPr="00A5514B" w:rsidRDefault="001A768E"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20,000-30,000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540,000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722,000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1,262,000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540,000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722,000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1,262,000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30,000-40,000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618,000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867,000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1,485,000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618,000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867,000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1,485,000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40,000-50,000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698,000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870,000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1,568,000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698,000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870,000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1,568,000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50,000-60,000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697,000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685,000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1,382,000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697,000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685,000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1,382,000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60,000-70,000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615,000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497,000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1,112,000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615,000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497,000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1,112,000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70,000-80,000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528,000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384,000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912,000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528,000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384,000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912,000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80,000-90,000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459,000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313,000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772,000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84,000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212,000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459,000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313,000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772,000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90,000-100,000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366,000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223,000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590,000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366,000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223,000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590,000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366,000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223,000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590,000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100,000-110,000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294,000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451,000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294,000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451,000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294,000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451,000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110,000-120,000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230,000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103,000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333,000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230,000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103,000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333,000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230,000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103,000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333,000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120,000-130,000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101,000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41,000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142,000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180,000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72,000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252,000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180,000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72,000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252,000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130,000-140,000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145,000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198,000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145,000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198,000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140,000-150,000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41,000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161,000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120,000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41,000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161,000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150,000-160,000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130,000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98,000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130,000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160,000-170,000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81,000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25,000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107,000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81,000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25,000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107,000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170,000-180,000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69,000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91,000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69,000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23,000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91,000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180,000-190,000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62,000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25,000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88,000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62,000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25,000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88,000</w:t>
            </w:r>
          </w:p>
        </w:tc>
      </w:tr>
      <w:tr w:rsidR="00243D7C"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190,000-200,000</w:t>
            </w:r>
          </w:p>
        </w:tc>
        <w:tc>
          <w:tcPr>
            <w:tcW w:w="436"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52,000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69,000</w:t>
            </w:r>
          </w:p>
        </w:tc>
        <w:tc>
          <w:tcPr>
            <w:tcW w:w="437"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52,000</w:t>
            </w:r>
          </w:p>
        </w:tc>
        <w:tc>
          <w:tcPr>
            <w:tcW w:w="437"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17,000</w:t>
            </w:r>
          </w:p>
        </w:tc>
        <w:tc>
          <w:tcPr>
            <w:tcW w:w="437"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69,000</w:t>
            </w:r>
          </w:p>
        </w:tc>
      </w:tr>
      <w:tr w:rsidR="0068198B"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b w:val="0"/>
                <w:sz w:val="15"/>
                <w:szCs w:val="15"/>
              </w:rPr>
            </w:pPr>
            <w:r w:rsidRPr="00A5514B">
              <w:rPr>
                <w:rFonts w:asciiTheme="minorHAnsi" w:hAnsiTheme="minorHAnsi"/>
                <w:b w:val="0"/>
                <w:sz w:val="15"/>
                <w:szCs w:val="15"/>
              </w:rPr>
              <w:t>200,000 and over</w:t>
            </w:r>
          </w:p>
        </w:tc>
        <w:tc>
          <w:tcPr>
            <w:tcW w:w="436" w:type="pct"/>
            <w:tcBorders>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37" w:type="pct"/>
            <w:tcBorders>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437" w:type="pct"/>
            <w:tcBorders>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342,000</w:t>
            </w:r>
          </w:p>
        </w:tc>
        <w:tc>
          <w:tcPr>
            <w:tcW w:w="437" w:type="pct"/>
            <w:tcBorders>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104,000</w:t>
            </w:r>
          </w:p>
        </w:tc>
        <w:tc>
          <w:tcPr>
            <w:tcW w:w="437" w:type="pct"/>
            <w:tcBorders>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446,000</w:t>
            </w:r>
          </w:p>
        </w:tc>
        <w:tc>
          <w:tcPr>
            <w:tcW w:w="437" w:type="pct"/>
            <w:tcBorders>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342,000</w:t>
            </w:r>
          </w:p>
        </w:tc>
        <w:tc>
          <w:tcPr>
            <w:tcW w:w="437" w:type="pct"/>
            <w:tcBorders>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104,000</w:t>
            </w:r>
          </w:p>
        </w:tc>
        <w:tc>
          <w:tcPr>
            <w:tcW w:w="437" w:type="pct"/>
            <w:tcBorders>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446,000</w:t>
            </w:r>
          </w:p>
        </w:tc>
      </w:tr>
      <w:tr w:rsidR="0068198B" w:rsidRPr="00A5514B" w:rsidTr="00E847AA">
        <w:tc>
          <w:tcPr>
            <w:cnfStyle w:val="001000000000" w:firstRow="0" w:lastRow="0" w:firstColumn="1" w:lastColumn="0" w:oddVBand="0" w:evenVBand="0" w:oddHBand="0" w:evenHBand="0" w:firstRowFirstColumn="0" w:firstRowLastColumn="0" w:lastRowFirstColumn="0" w:lastRowLastColumn="0"/>
            <w:tcW w:w="10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A5514B" w:rsidRDefault="008B6020" w:rsidP="00E847AA">
            <w:pPr>
              <w:pStyle w:val="TableHeading"/>
              <w:keepLines w:val="0"/>
              <w:widowControl w:val="0"/>
              <w:tabs>
                <w:tab w:val="left" w:pos="9356"/>
              </w:tabs>
              <w:spacing w:line="240" w:lineRule="auto"/>
              <w:ind w:left="-57" w:right="-57"/>
              <w:rPr>
                <w:rFonts w:asciiTheme="minorHAnsi" w:hAnsiTheme="minorHAnsi"/>
                <w:sz w:val="15"/>
                <w:szCs w:val="15"/>
              </w:rPr>
            </w:pPr>
            <w:r w:rsidRPr="00A5514B">
              <w:rPr>
                <w:rFonts w:asciiTheme="minorHAnsi" w:hAnsiTheme="minorHAnsi"/>
                <w:sz w:val="15"/>
                <w:szCs w:val="15"/>
              </w:rPr>
              <w:t>Total</w:t>
            </w:r>
          </w:p>
        </w:tc>
        <w:tc>
          <w:tcPr>
            <w:tcW w:w="436"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5,146,000</w:t>
            </w:r>
          </w:p>
        </w:tc>
        <w:tc>
          <w:tcPr>
            <w:tcW w:w="437" w:type="pct"/>
            <w:tcBorders>
              <w:top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4,863,000</w:t>
            </w:r>
          </w:p>
        </w:tc>
        <w:tc>
          <w:tcPr>
            <w:tcW w:w="437"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10,009,000</w:t>
            </w:r>
          </w:p>
        </w:tc>
        <w:tc>
          <w:tcPr>
            <w:tcW w:w="437"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2,168,000</w:t>
            </w:r>
          </w:p>
        </w:tc>
        <w:tc>
          <w:tcPr>
            <w:tcW w:w="437" w:type="pct"/>
            <w:tcBorders>
              <w:top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960,000</w:t>
            </w:r>
          </w:p>
        </w:tc>
        <w:tc>
          <w:tcPr>
            <w:tcW w:w="437"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3,128,000</w:t>
            </w:r>
          </w:p>
        </w:tc>
        <w:tc>
          <w:tcPr>
            <w:tcW w:w="437"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6,195,000</w:t>
            </w:r>
          </w:p>
        </w:tc>
        <w:tc>
          <w:tcPr>
            <w:tcW w:w="437" w:type="pct"/>
            <w:tcBorders>
              <w:top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5,214,000</w:t>
            </w:r>
          </w:p>
        </w:tc>
        <w:tc>
          <w:tcPr>
            <w:tcW w:w="437"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A5514B">
              <w:rPr>
                <w:b/>
                <w:color w:val="000000"/>
                <w:sz w:val="15"/>
                <w:szCs w:val="15"/>
              </w:rPr>
              <w:t>11,409,000</w:t>
            </w:r>
          </w:p>
        </w:tc>
      </w:tr>
    </w:tbl>
    <w:p w:rsidR="00736800" w:rsidRPr="00E847AA" w:rsidRDefault="00736800" w:rsidP="00736800">
      <w:pPr>
        <w:keepNext/>
        <w:widowControl w:val="0"/>
        <w:tabs>
          <w:tab w:val="left" w:pos="9356"/>
        </w:tabs>
        <w:spacing w:line="260" w:lineRule="atLeast"/>
        <w:ind w:left="284" w:hanging="284"/>
        <w:rPr>
          <w:sz w:val="15"/>
          <w:szCs w:val="15"/>
        </w:rPr>
      </w:pPr>
      <w:r w:rsidRPr="00E847AA">
        <w:rPr>
          <w:sz w:val="15"/>
          <w:szCs w:val="15"/>
        </w:rPr>
        <w:t>(</w:t>
      </w:r>
      <w:r w:rsidR="00D1545E" w:rsidRPr="00E847AA">
        <w:rPr>
          <w:sz w:val="15"/>
          <w:szCs w:val="15"/>
        </w:rPr>
        <w:t>a</w:t>
      </w:r>
      <w:r w:rsidRPr="00E847AA">
        <w:rPr>
          <w:sz w:val="15"/>
          <w:szCs w:val="15"/>
        </w:rPr>
        <w:t>)</w:t>
      </w:r>
      <w:r w:rsidRPr="00E847AA">
        <w:rPr>
          <w:sz w:val="15"/>
          <w:szCs w:val="15"/>
        </w:rPr>
        <w:tab/>
      </w:r>
      <w:r w:rsidR="003179A6" w:rsidRPr="00E847AA">
        <w:rPr>
          <w:sz w:val="15"/>
          <w:szCs w:val="15"/>
        </w:rPr>
        <w:t>Some f</w:t>
      </w:r>
      <w:r w:rsidRPr="00E847AA">
        <w:rPr>
          <w:sz w:val="15"/>
          <w:szCs w:val="15"/>
        </w:rPr>
        <w:t xml:space="preserve">igures </w:t>
      </w:r>
      <w:r w:rsidR="00CF4161" w:rsidRPr="00E847AA">
        <w:rPr>
          <w:sz w:val="15"/>
          <w:szCs w:val="15"/>
        </w:rPr>
        <w:t xml:space="preserve">do </w:t>
      </w:r>
      <w:r w:rsidRPr="00E847AA">
        <w:rPr>
          <w:sz w:val="15"/>
          <w:szCs w:val="15"/>
        </w:rPr>
        <w:t xml:space="preserve">not sum to totals </w:t>
      </w:r>
      <w:r w:rsidR="00024B39" w:rsidRPr="00E847AA">
        <w:rPr>
          <w:sz w:val="15"/>
          <w:szCs w:val="15"/>
        </w:rPr>
        <w:t>because s</w:t>
      </w:r>
      <w:r w:rsidR="003306A0" w:rsidRPr="00E847AA">
        <w:rPr>
          <w:sz w:val="15"/>
          <w:szCs w:val="15"/>
        </w:rPr>
        <w:t xml:space="preserve">ome individuals </w:t>
      </w:r>
      <w:r w:rsidR="00024B39" w:rsidRPr="00E847AA">
        <w:rPr>
          <w:sz w:val="15"/>
          <w:szCs w:val="15"/>
        </w:rPr>
        <w:t xml:space="preserve">are </w:t>
      </w:r>
      <w:r w:rsidR="003306A0" w:rsidRPr="00E847AA">
        <w:rPr>
          <w:sz w:val="15"/>
          <w:szCs w:val="15"/>
        </w:rPr>
        <w:t>affected by both components commencing from 1 July 2018</w:t>
      </w:r>
      <w:r w:rsidR="003179A6" w:rsidRPr="00E847AA">
        <w:rPr>
          <w:sz w:val="15"/>
          <w:szCs w:val="15"/>
        </w:rPr>
        <w:t>, and due to rounding</w:t>
      </w:r>
      <w:r w:rsidR="00024B39" w:rsidRPr="00E847AA">
        <w:rPr>
          <w:sz w:val="15"/>
          <w:szCs w:val="15"/>
        </w:rPr>
        <w:t xml:space="preserve">.  </w:t>
      </w:r>
    </w:p>
    <w:p w:rsidR="00BB4752" w:rsidRPr="00E847AA" w:rsidRDefault="00BB4752" w:rsidP="00736800">
      <w:pPr>
        <w:keepNext/>
        <w:widowControl w:val="0"/>
        <w:tabs>
          <w:tab w:val="left" w:pos="9356"/>
        </w:tabs>
        <w:spacing w:line="260" w:lineRule="atLeast"/>
        <w:ind w:left="284" w:hanging="284"/>
        <w:rPr>
          <w:sz w:val="15"/>
          <w:szCs w:val="15"/>
        </w:rPr>
      </w:pPr>
      <w:r w:rsidRPr="00E847AA">
        <w:rPr>
          <w:sz w:val="15"/>
          <w:szCs w:val="15"/>
        </w:rPr>
        <w:t>(b)</w:t>
      </w:r>
      <w:r w:rsidRPr="00E847AA">
        <w:rPr>
          <w:sz w:val="15"/>
          <w:szCs w:val="15"/>
        </w:rPr>
        <w:tab/>
        <w:t>PBO estimates.</w:t>
      </w:r>
    </w:p>
    <w:p w:rsidR="00E73611" w:rsidRPr="00E847AA" w:rsidRDefault="00B32FB3" w:rsidP="00736800">
      <w:pPr>
        <w:keepNext/>
        <w:widowControl w:val="0"/>
        <w:tabs>
          <w:tab w:val="left" w:pos="9356"/>
        </w:tabs>
        <w:spacing w:line="260" w:lineRule="atLeast"/>
        <w:ind w:left="284" w:hanging="284"/>
        <w:rPr>
          <w:sz w:val="15"/>
          <w:szCs w:val="15"/>
        </w:rPr>
      </w:pPr>
      <w:r w:rsidRPr="00E847AA">
        <w:rPr>
          <w:sz w:val="15"/>
          <w:szCs w:val="15"/>
        </w:rPr>
        <w:t>(c)</w:t>
      </w:r>
      <w:r w:rsidRPr="00E847AA">
        <w:rPr>
          <w:sz w:val="15"/>
          <w:szCs w:val="15"/>
        </w:rPr>
        <w:tab/>
        <w:t>R</w:t>
      </w:r>
      <w:r w:rsidR="00E73611" w:rsidRPr="00E847AA">
        <w:rPr>
          <w:sz w:val="15"/>
          <w:szCs w:val="15"/>
        </w:rPr>
        <w:t>elative to no Personal Income Tax Plan</w:t>
      </w:r>
      <w:r w:rsidR="00DF3096" w:rsidRPr="00E847AA">
        <w:rPr>
          <w:sz w:val="15"/>
          <w:szCs w:val="15"/>
        </w:rPr>
        <w:t>.</w:t>
      </w:r>
    </w:p>
    <w:p w:rsidR="00E73611" w:rsidRPr="00E847AA" w:rsidRDefault="00E73611" w:rsidP="00736800">
      <w:pPr>
        <w:keepNext/>
        <w:widowControl w:val="0"/>
        <w:tabs>
          <w:tab w:val="left" w:pos="9356"/>
        </w:tabs>
        <w:spacing w:line="260" w:lineRule="atLeast"/>
        <w:ind w:left="284" w:hanging="284"/>
        <w:rPr>
          <w:sz w:val="15"/>
          <w:szCs w:val="15"/>
        </w:rPr>
      </w:pPr>
      <w:r w:rsidRPr="00E847AA">
        <w:rPr>
          <w:sz w:val="15"/>
          <w:szCs w:val="15"/>
        </w:rPr>
        <w:t>(d)</w:t>
      </w:r>
      <w:r w:rsidRPr="00E847AA">
        <w:rPr>
          <w:sz w:val="15"/>
          <w:szCs w:val="15"/>
        </w:rPr>
        <w:tab/>
      </w:r>
      <w:r w:rsidR="00B32FB3" w:rsidRPr="00E847AA">
        <w:rPr>
          <w:sz w:val="15"/>
          <w:szCs w:val="15"/>
        </w:rPr>
        <w:t>R</w:t>
      </w:r>
      <w:r w:rsidRPr="00E847AA">
        <w:rPr>
          <w:sz w:val="15"/>
          <w:szCs w:val="15"/>
        </w:rPr>
        <w:t>elative to the preceding 1 July 2018 component to introduce the Low and Middle Income Tax Offset.</w:t>
      </w:r>
    </w:p>
    <w:p w:rsidR="00736800" w:rsidRPr="00E847AA" w:rsidRDefault="00736800" w:rsidP="00736800">
      <w:pPr>
        <w:pStyle w:val="TableFootnotes"/>
        <w:keepLines w:val="0"/>
        <w:numPr>
          <w:ilvl w:val="0"/>
          <w:numId w:val="11"/>
        </w:numPr>
        <w:tabs>
          <w:tab w:val="left" w:pos="9356"/>
        </w:tabs>
        <w:ind w:left="284" w:hanging="284"/>
        <w:rPr>
          <w:sz w:val="15"/>
          <w:szCs w:val="15"/>
        </w:rPr>
      </w:pPr>
      <w:r w:rsidRPr="00E847AA">
        <w:rPr>
          <w:sz w:val="15"/>
          <w:szCs w:val="15"/>
        </w:rPr>
        <w:t>Indicates nil.</w:t>
      </w:r>
    </w:p>
    <w:p w:rsidR="001225EE" w:rsidRDefault="008B5CFA" w:rsidP="001225EE">
      <w:pPr>
        <w:pStyle w:val="Caption"/>
        <w:widowControl w:val="0"/>
        <w:tabs>
          <w:tab w:val="left" w:pos="9356"/>
        </w:tabs>
        <w:spacing w:before="360"/>
        <w:rPr>
          <w:vertAlign w:val="superscript"/>
        </w:rPr>
      </w:pPr>
      <w:r>
        <w:br w:type="page"/>
      </w:r>
      <w:r w:rsidR="001225EE" w:rsidRPr="002D239A">
        <w:lastRenderedPageBreak/>
        <w:t xml:space="preserve">Table </w:t>
      </w:r>
      <w:r w:rsidR="00A80A26">
        <w:fldChar w:fldCharType="begin"/>
      </w:r>
      <w:r w:rsidR="00A80A26">
        <w:instrText xml:space="preserve"> STYLEREF 8 \s </w:instrText>
      </w:r>
      <w:r w:rsidR="00A80A26">
        <w:fldChar w:fldCharType="separate"/>
      </w:r>
      <w:r w:rsidR="00384C7C">
        <w:rPr>
          <w:noProof/>
        </w:rPr>
        <w:t>A</w:t>
      </w:r>
      <w:r w:rsidR="00A80A26">
        <w:rPr>
          <w:noProof/>
        </w:rPr>
        <w:fldChar w:fldCharType="end"/>
      </w:r>
      <w:r w:rsidR="001225EE">
        <w:t>2</w:t>
      </w:r>
      <w:r w:rsidR="001225EE" w:rsidRPr="002D239A">
        <w:t xml:space="preserve">: </w:t>
      </w:r>
      <w:r w:rsidR="00A80A26">
        <w:fldChar w:fldCharType="begin"/>
      </w:r>
      <w:r w:rsidR="00A80A26">
        <w:instrText xml:space="preserve"> STYLEREF  "Name of proposal"  \* MERGEFORMAT </w:instrText>
      </w:r>
      <w:r w:rsidR="00A80A26">
        <w:fldChar w:fldCharType="separate"/>
      </w:r>
      <w:r w:rsidR="00384C7C">
        <w:rPr>
          <w:noProof/>
        </w:rPr>
        <w:t>Personal Income Tax Plan</w:t>
      </w:r>
      <w:r w:rsidR="00A80A26">
        <w:rPr>
          <w:noProof/>
        </w:rPr>
        <w:fldChar w:fldCharType="end"/>
      </w:r>
      <w:r w:rsidR="001225EE">
        <w:t xml:space="preserve"> –</w:t>
      </w:r>
      <w:r w:rsidR="00DC54B3">
        <w:t xml:space="preserve"> </w:t>
      </w:r>
      <w:r w:rsidR="001225EE">
        <w:t>Number</w:t>
      </w:r>
      <w:r w:rsidR="00AE36FD">
        <w:t xml:space="preserve"> of individuals affected in 2022</w:t>
      </w:r>
      <w:r w:rsidR="00AE36FD">
        <w:noBreakHyphen/>
        <w:t>23</w:t>
      </w:r>
      <w:r w:rsidR="001225EE">
        <w:t xml:space="preserve"> by taxable income and by </w:t>
      </w:r>
      <w:proofErr w:type="gramStart"/>
      <w:r w:rsidR="001225EE">
        <w:t>gender</w:t>
      </w:r>
      <w:r w:rsidR="001225EE" w:rsidRPr="002D239A">
        <w:rPr>
          <w:vertAlign w:val="superscript"/>
        </w:rPr>
        <w:t>(</w:t>
      </w:r>
      <w:proofErr w:type="gramEnd"/>
      <w:r w:rsidR="001225EE" w:rsidRPr="002D239A">
        <w:rPr>
          <w:vertAlign w:val="superscript"/>
        </w:rPr>
        <w:t>a)</w:t>
      </w:r>
      <w:r w:rsidR="00AE0B39">
        <w:rPr>
          <w:vertAlign w:val="superscript"/>
        </w:rPr>
        <w:t>(b)</w:t>
      </w:r>
    </w:p>
    <w:tbl>
      <w:tblPr>
        <w:tblStyle w:val="LightGrid-Accent6"/>
        <w:tblW w:w="5068" w:type="pct"/>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Layout w:type="fixed"/>
        <w:tblLook w:val="0680" w:firstRow="0" w:lastRow="0" w:firstColumn="1" w:lastColumn="0" w:noHBand="1" w:noVBand="1"/>
      </w:tblPr>
      <w:tblGrid>
        <w:gridCol w:w="1189"/>
        <w:gridCol w:w="746"/>
        <w:gridCol w:w="746"/>
        <w:gridCol w:w="748"/>
        <w:gridCol w:w="744"/>
        <w:gridCol w:w="744"/>
        <w:gridCol w:w="793"/>
        <w:gridCol w:w="744"/>
        <w:gridCol w:w="744"/>
        <w:gridCol w:w="744"/>
        <w:gridCol w:w="744"/>
        <w:gridCol w:w="744"/>
        <w:gridCol w:w="847"/>
      </w:tblGrid>
      <w:tr w:rsidR="00DA5453" w:rsidRPr="00E847AA" w:rsidTr="00DA5453">
        <w:tc>
          <w:tcPr>
            <w:cnfStyle w:val="001000000000" w:firstRow="0" w:lastRow="0" w:firstColumn="1" w:lastColumn="0" w:oddVBand="0" w:evenVBand="0" w:oddHBand="0" w:evenHBand="0" w:firstRowFirstColumn="0" w:firstRowLastColumn="0" w:lastRowFirstColumn="0" w:lastRowLastColumn="0"/>
            <w:tcW w:w="578" w:type="pct"/>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DDE9" w:themeFill="accent3"/>
            <w:vAlign w:val="bottom"/>
          </w:tcPr>
          <w:p w:rsidR="00DA5453" w:rsidRPr="00E847AA" w:rsidRDefault="00DA5453" w:rsidP="00DA5453">
            <w:pPr>
              <w:pStyle w:val="TableHeading"/>
              <w:widowControl w:val="0"/>
              <w:tabs>
                <w:tab w:val="left" w:pos="9356"/>
              </w:tabs>
              <w:spacing w:line="240" w:lineRule="auto"/>
              <w:ind w:left="-57" w:right="-57"/>
              <w:rPr>
                <w:rFonts w:asciiTheme="minorHAnsi" w:hAnsiTheme="minorHAnsi"/>
                <w:sz w:val="15"/>
                <w:szCs w:val="15"/>
              </w:rPr>
            </w:pPr>
            <w:r w:rsidRPr="00E847AA">
              <w:rPr>
                <w:rFonts w:asciiTheme="minorHAnsi" w:hAnsiTheme="minorHAnsi"/>
                <w:sz w:val="15"/>
                <w:szCs w:val="15"/>
              </w:rPr>
              <w:t>Taxable income ($)</w:t>
            </w:r>
          </w:p>
        </w:tc>
        <w:tc>
          <w:tcPr>
            <w:tcW w:w="1090"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DA5453" w:rsidRPr="00E847AA" w:rsidRDefault="00DA5453" w:rsidP="00DA5453">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Increase the upper threshold for the 32.5 per cent marginal tax rate</w:t>
            </w:r>
            <w:r>
              <w:rPr>
                <w:rFonts w:asciiTheme="minorHAnsi" w:hAnsiTheme="minorHAnsi"/>
                <w:sz w:val="15"/>
                <w:szCs w:val="15"/>
              </w:rPr>
              <w:t xml:space="preserve"> </w:t>
            </w:r>
            <w:r w:rsidRPr="00E847AA">
              <w:rPr>
                <w:rFonts w:asciiTheme="minorHAnsi" w:hAnsiTheme="minorHAnsi"/>
                <w:sz w:val="15"/>
                <w:szCs w:val="15"/>
              </w:rPr>
              <w:t>from $90,000 to $120,000</w:t>
            </w:r>
            <w:r w:rsidRPr="00E847AA">
              <w:rPr>
                <w:rFonts w:asciiTheme="minorHAnsi" w:hAnsiTheme="minorHAnsi"/>
                <w:sz w:val="15"/>
                <w:szCs w:val="15"/>
                <w:vertAlign w:val="superscript"/>
              </w:rPr>
              <w:t>(c)</w:t>
            </w:r>
          </w:p>
        </w:tc>
        <w:tc>
          <w:tcPr>
            <w:tcW w:w="1110"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Increase the upper threshold for the 19 per cent marginal tax rate</w:t>
            </w:r>
            <w:r w:rsidRPr="00E847AA">
              <w:rPr>
                <w:rFonts w:asciiTheme="minorHAnsi" w:hAnsiTheme="minorHAnsi"/>
                <w:sz w:val="15"/>
                <w:szCs w:val="15"/>
              </w:rPr>
              <w:br/>
              <w:t>from $37,000 to $41,000</w:t>
            </w:r>
            <w:r w:rsidRPr="00E847AA">
              <w:rPr>
                <w:rFonts w:asciiTheme="minorHAnsi" w:hAnsiTheme="minorHAnsi"/>
                <w:sz w:val="15"/>
                <w:szCs w:val="15"/>
                <w:vertAlign w:val="superscript"/>
              </w:rPr>
              <w:t>(d)</w:t>
            </w:r>
          </w:p>
        </w:tc>
        <w:tc>
          <w:tcPr>
            <w:tcW w:w="1086"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DA5453" w:rsidRPr="00E847AA" w:rsidRDefault="00DA5453" w:rsidP="00DA5453">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Increase the Low Income Tax Offset</w:t>
            </w:r>
            <w:r>
              <w:rPr>
                <w:rFonts w:asciiTheme="minorHAnsi" w:hAnsiTheme="minorHAnsi"/>
                <w:sz w:val="15"/>
                <w:szCs w:val="15"/>
              </w:rPr>
              <w:t xml:space="preserve"> </w:t>
            </w:r>
            <w:r w:rsidRPr="00E847AA">
              <w:rPr>
                <w:rFonts w:asciiTheme="minorHAnsi" w:hAnsiTheme="minorHAnsi"/>
                <w:sz w:val="15"/>
                <w:szCs w:val="15"/>
              </w:rPr>
              <w:t>to up to $645 for taxable</w:t>
            </w:r>
            <w:r w:rsidRPr="00E847AA">
              <w:rPr>
                <w:rFonts w:asciiTheme="minorHAnsi" w:hAnsiTheme="minorHAnsi"/>
                <w:sz w:val="15"/>
                <w:szCs w:val="15"/>
              </w:rPr>
              <w:br/>
              <w:t>incomes up to $66,667</w:t>
            </w:r>
            <w:r w:rsidRPr="00E847AA">
              <w:rPr>
                <w:rFonts w:asciiTheme="minorHAnsi" w:hAnsiTheme="minorHAnsi"/>
                <w:sz w:val="15"/>
                <w:szCs w:val="15"/>
                <w:vertAlign w:val="superscript"/>
              </w:rPr>
              <w:t>(e)</w:t>
            </w:r>
          </w:p>
        </w:tc>
        <w:tc>
          <w:tcPr>
            <w:tcW w:w="1136"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All components commencing</w:t>
            </w:r>
            <w:r w:rsidRPr="00E847AA">
              <w:rPr>
                <w:rFonts w:asciiTheme="minorHAnsi" w:hAnsiTheme="minorHAnsi"/>
                <w:sz w:val="15"/>
                <w:szCs w:val="15"/>
              </w:rPr>
              <w:br/>
              <w:t>from 1 July 2022</w:t>
            </w:r>
            <w:r w:rsidRPr="00E847AA">
              <w:rPr>
                <w:rFonts w:asciiTheme="minorHAnsi" w:hAnsiTheme="minorHAnsi"/>
                <w:sz w:val="15"/>
                <w:szCs w:val="15"/>
                <w:vertAlign w:val="superscript"/>
              </w:rPr>
              <w:t>(</w:t>
            </w:r>
            <w:r>
              <w:rPr>
                <w:rFonts w:asciiTheme="minorHAnsi" w:hAnsiTheme="minorHAnsi"/>
                <w:sz w:val="15"/>
                <w:szCs w:val="15"/>
                <w:vertAlign w:val="superscript"/>
              </w:rPr>
              <w:t>c</w:t>
            </w:r>
            <w:r w:rsidRPr="00E847AA">
              <w:rPr>
                <w:rFonts w:asciiTheme="minorHAnsi" w:hAnsiTheme="minorHAnsi"/>
                <w:sz w:val="15"/>
                <w:szCs w:val="15"/>
                <w:vertAlign w:val="superscript"/>
              </w:rPr>
              <w:t>)</w:t>
            </w:r>
          </w:p>
        </w:tc>
      </w:tr>
      <w:tr w:rsidR="00A80A26" w:rsidRPr="00E847AA" w:rsidTr="00DA5453">
        <w:tc>
          <w:tcPr>
            <w:cnfStyle w:val="001000000000" w:firstRow="0" w:lastRow="0" w:firstColumn="1" w:lastColumn="0" w:oddVBand="0" w:evenVBand="0" w:oddHBand="0" w:evenHBand="0" w:firstRowFirstColumn="0" w:firstRowLastColumn="0" w:lastRowFirstColumn="0" w:lastRowLastColumn="0"/>
            <w:tcW w:w="578" w:type="pct"/>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
              <w:keepLines w:val="0"/>
              <w:widowControl w:val="0"/>
              <w:tabs>
                <w:tab w:val="left" w:pos="9356"/>
              </w:tabs>
              <w:spacing w:line="240" w:lineRule="auto"/>
              <w:ind w:left="-57" w:right="-57"/>
              <w:rPr>
                <w:rFonts w:asciiTheme="minorHAnsi" w:hAnsiTheme="minorHAnsi"/>
                <w:sz w:val="15"/>
                <w:szCs w:val="15"/>
              </w:rPr>
            </w:pPr>
          </w:p>
        </w:tc>
        <w:tc>
          <w:tcPr>
            <w:tcW w:w="363"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Male</w:t>
            </w:r>
          </w:p>
        </w:tc>
        <w:tc>
          <w:tcPr>
            <w:tcW w:w="363" w:type="pct"/>
            <w:tcBorders>
              <w:top w:val="nil"/>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Female</w:t>
            </w:r>
          </w:p>
        </w:tc>
        <w:tc>
          <w:tcPr>
            <w:tcW w:w="364"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w:t>
            </w:r>
          </w:p>
        </w:tc>
        <w:tc>
          <w:tcPr>
            <w:tcW w:w="362"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Male</w:t>
            </w:r>
          </w:p>
        </w:tc>
        <w:tc>
          <w:tcPr>
            <w:tcW w:w="362" w:type="pct"/>
            <w:tcBorders>
              <w:top w:val="nil"/>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Female</w:t>
            </w:r>
          </w:p>
        </w:tc>
        <w:tc>
          <w:tcPr>
            <w:tcW w:w="386"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w:t>
            </w:r>
          </w:p>
        </w:tc>
        <w:tc>
          <w:tcPr>
            <w:tcW w:w="362"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Male</w:t>
            </w:r>
          </w:p>
        </w:tc>
        <w:tc>
          <w:tcPr>
            <w:tcW w:w="362" w:type="pct"/>
            <w:tcBorders>
              <w:top w:val="nil"/>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Female</w:t>
            </w:r>
          </w:p>
        </w:tc>
        <w:tc>
          <w:tcPr>
            <w:tcW w:w="362"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w:t>
            </w:r>
          </w:p>
        </w:tc>
        <w:tc>
          <w:tcPr>
            <w:tcW w:w="362"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Male</w:t>
            </w:r>
          </w:p>
        </w:tc>
        <w:tc>
          <w:tcPr>
            <w:tcW w:w="362" w:type="pct"/>
            <w:tcBorders>
              <w:top w:val="nil"/>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Female</w:t>
            </w:r>
          </w:p>
        </w:tc>
        <w:tc>
          <w:tcPr>
            <w:tcW w:w="412"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Below 10,000</w:t>
            </w:r>
          </w:p>
        </w:tc>
        <w:tc>
          <w:tcPr>
            <w:tcW w:w="363" w:type="pct"/>
            <w:tcBorders>
              <w:top w:val="single" w:sz="4" w:space="0" w:color="808080" w:themeColor="background1" w:themeShade="80"/>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top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top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top w:val="single" w:sz="4" w:space="0" w:color="808080" w:themeColor="background1" w:themeShade="80"/>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top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86" w:type="pct"/>
            <w:tcBorders>
              <w:top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top w:val="single" w:sz="4" w:space="0" w:color="808080" w:themeColor="background1" w:themeShade="80"/>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top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top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top w:val="single" w:sz="4" w:space="0" w:color="808080" w:themeColor="background1" w:themeShade="80"/>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top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12" w:type="pct"/>
            <w:tcBorders>
              <w:top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10,000-20,000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20,000-30,000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494,000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653,000</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1,147,000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494,000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653,000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1,147,000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30,000-40,000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168,000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244,000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412,000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567,000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806,000</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1,373,000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567,000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804,000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1,371,000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40,000-50,000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613,000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840,000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1,453,000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60,000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86,000</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146,000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613,000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840,000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1,453,000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50,000-60,000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646,000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760,000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1,407,000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646,000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760,000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1,407,000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60,000-70,000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637,000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595,000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1,232,000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637,000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595,000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1,232,000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70,000-80,000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560,000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451,000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1,011,000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560,000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451,000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1,011,000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80,000-90,000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489,000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359,000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848,000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489,000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359,000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848,000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90,000-100,000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434,000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298,000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732,000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434,000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298,000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733,000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434,000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298,000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733,000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100,000-110,000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367,000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235,000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602,000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367,000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235,000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602,000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367,000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235,000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602,000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110,000-120,000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302,000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175,000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477,000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302,000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175,000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477,000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302,000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175,000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477,000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120,000-130,000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244,000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121,000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365,000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244,000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121,000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365,000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244,000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121,000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365,000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130,000-140,000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198,000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86,000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285,000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198,000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86,000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285,000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198,000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86,000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285,000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140,000-150,000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160,000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62,000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223,000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160,000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62,000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223,000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160,000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62,000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223,000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150,000-160,000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133,000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49,000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182,000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133,000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49,000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182,000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133,000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49,000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182,000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160,000-170,000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113,000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40,000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152,000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113,000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40,000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152,000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113,000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40,000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152,000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170,000-180,000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95,000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127,000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95,000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127,000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95,000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127,000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180,000-190,000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26,000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106,000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26,000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106,000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26,000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106,000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190,000-200,000</w:t>
            </w:r>
          </w:p>
        </w:tc>
        <w:tc>
          <w:tcPr>
            <w:tcW w:w="363"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68,000</w:t>
            </w:r>
          </w:p>
        </w:tc>
        <w:tc>
          <w:tcPr>
            <w:tcW w:w="363"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21,000</w:t>
            </w:r>
          </w:p>
        </w:tc>
        <w:tc>
          <w:tcPr>
            <w:tcW w:w="364"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89,000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68,000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21,000</w:t>
            </w:r>
          </w:p>
        </w:tc>
        <w:tc>
          <w:tcPr>
            <w:tcW w:w="386"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89,000</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68,000</w:t>
            </w:r>
          </w:p>
        </w:tc>
        <w:tc>
          <w:tcPr>
            <w:tcW w:w="362" w:type="pct"/>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21,000</w:t>
            </w:r>
          </w:p>
        </w:tc>
        <w:tc>
          <w:tcPr>
            <w:tcW w:w="412" w:type="pct"/>
            <w:tcBorders>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89,000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200,000 and over</w:t>
            </w:r>
          </w:p>
        </w:tc>
        <w:tc>
          <w:tcPr>
            <w:tcW w:w="363" w:type="pct"/>
            <w:tcBorders>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525,000</w:t>
            </w:r>
          </w:p>
        </w:tc>
        <w:tc>
          <w:tcPr>
            <w:tcW w:w="363" w:type="pct"/>
            <w:tcBorders>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174,000</w:t>
            </w:r>
          </w:p>
        </w:tc>
        <w:tc>
          <w:tcPr>
            <w:tcW w:w="364" w:type="pct"/>
            <w:tcBorders>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700,000</w:t>
            </w:r>
          </w:p>
        </w:tc>
        <w:tc>
          <w:tcPr>
            <w:tcW w:w="362" w:type="pct"/>
            <w:tcBorders>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525,000</w:t>
            </w:r>
          </w:p>
        </w:tc>
        <w:tc>
          <w:tcPr>
            <w:tcW w:w="362" w:type="pct"/>
            <w:tcBorders>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174,000</w:t>
            </w:r>
          </w:p>
        </w:tc>
        <w:tc>
          <w:tcPr>
            <w:tcW w:w="386" w:type="pct"/>
            <w:tcBorders>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699,000</w:t>
            </w:r>
          </w:p>
        </w:tc>
        <w:tc>
          <w:tcPr>
            <w:tcW w:w="362" w:type="pct"/>
            <w:tcBorders>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2" w:type="pct"/>
            <w:tcBorders>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2" w:type="pct"/>
            <w:tcBorders>
              <w:left w:val="single" w:sz="4" w:space="0" w:color="808080" w:themeColor="background1" w:themeShade="80"/>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525,000</w:t>
            </w:r>
          </w:p>
        </w:tc>
        <w:tc>
          <w:tcPr>
            <w:tcW w:w="362" w:type="pct"/>
            <w:tcBorders>
              <w:bottom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174,000</w:t>
            </w:r>
          </w:p>
        </w:tc>
        <w:tc>
          <w:tcPr>
            <w:tcW w:w="412" w:type="pct"/>
            <w:tcBorders>
              <w:bottom w:val="single" w:sz="4" w:space="0" w:color="808080" w:themeColor="background1" w:themeShade="80"/>
              <w:right w:val="single" w:sz="4" w:space="0" w:color="808080" w:themeColor="background1" w:themeShade="80"/>
            </w:tcBorders>
            <w:vAlign w:val="center"/>
          </w:tcPr>
          <w:p w:rsidR="008B6020" w:rsidRPr="00A5514B"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700,000</w:t>
            </w:r>
          </w:p>
        </w:tc>
      </w:tr>
      <w:tr w:rsidR="00A5514B" w:rsidRPr="00E847AA" w:rsidTr="00DA5453">
        <w:tc>
          <w:tcPr>
            <w:cnfStyle w:val="001000000000" w:firstRow="0" w:lastRow="0" w:firstColumn="1" w:lastColumn="0" w:oddVBand="0" w:evenVBand="0" w:oddHBand="0" w:evenHBand="0" w:firstRowFirstColumn="0" w:firstRowLastColumn="0" w:lastRowFirstColumn="0" w:lastRowLastColumn="0"/>
            <w:tcW w:w="5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E847AA" w:rsidRDefault="008B6020" w:rsidP="00E847AA">
            <w:pPr>
              <w:pStyle w:val="TableText"/>
              <w:keepNext/>
              <w:widowControl w:val="0"/>
              <w:tabs>
                <w:tab w:val="left" w:pos="9356"/>
              </w:tabs>
              <w:spacing w:line="240" w:lineRule="auto"/>
              <w:ind w:left="-57" w:right="-57"/>
              <w:rPr>
                <w:rFonts w:asciiTheme="minorHAnsi" w:hAnsiTheme="minorHAnsi"/>
                <w:b/>
                <w:iCs/>
                <w:color w:val="000000"/>
                <w:sz w:val="15"/>
                <w:szCs w:val="15"/>
              </w:rPr>
            </w:pPr>
            <w:r w:rsidRPr="00E847AA">
              <w:rPr>
                <w:rFonts w:asciiTheme="minorHAnsi" w:hAnsiTheme="minorHAnsi"/>
                <w:b/>
                <w:iCs/>
                <w:color w:val="000000"/>
                <w:sz w:val="15"/>
                <w:szCs w:val="15"/>
              </w:rPr>
              <w:t>Total</w:t>
            </w:r>
          </w:p>
        </w:tc>
        <w:tc>
          <w:tcPr>
            <w:tcW w:w="363"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2,719,000</w:t>
            </w:r>
          </w:p>
        </w:tc>
        <w:tc>
          <w:tcPr>
            <w:tcW w:w="363" w:type="pct"/>
            <w:tcBorders>
              <w:top w:val="single" w:sz="4" w:space="0" w:color="808080" w:themeColor="background1" w:themeShade="80"/>
              <w:bottom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1,320,000</w:t>
            </w:r>
          </w:p>
        </w:tc>
        <w:tc>
          <w:tcPr>
            <w:tcW w:w="364"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4,039,000</w:t>
            </w:r>
          </w:p>
        </w:tc>
        <w:tc>
          <w:tcPr>
            <w:tcW w:w="362"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5,833,000</w:t>
            </w:r>
          </w:p>
        </w:tc>
        <w:tc>
          <w:tcPr>
            <w:tcW w:w="362" w:type="pct"/>
            <w:tcBorders>
              <w:top w:val="single" w:sz="4" w:space="0" w:color="808080" w:themeColor="background1" w:themeShade="80"/>
              <w:bottom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4,570,000</w:t>
            </w:r>
          </w:p>
        </w:tc>
        <w:tc>
          <w:tcPr>
            <w:tcW w:w="386"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10,403,000</w:t>
            </w:r>
          </w:p>
        </w:tc>
        <w:tc>
          <w:tcPr>
            <w:tcW w:w="362"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1,121,000</w:t>
            </w:r>
          </w:p>
        </w:tc>
        <w:tc>
          <w:tcPr>
            <w:tcW w:w="362" w:type="pct"/>
            <w:tcBorders>
              <w:top w:val="single" w:sz="4" w:space="0" w:color="808080" w:themeColor="background1" w:themeShade="80"/>
              <w:bottom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1,544,000</w:t>
            </w:r>
          </w:p>
        </w:tc>
        <w:tc>
          <w:tcPr>
            <w:tcW w:w="362"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2,666,000</w:t>
            </w:r>
          </w:p>
        </w:tc>
        <w:tc>
          <w:tcPr>
            <w:tcW w:w="362"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6,725,000</w:t>
            </w:r>
          </w:p>
        </w:tc>
        <w:tc>
          <w:tcPr>
            <w:tcW w:w="362" w:type="pct"/>
            <w:tcBorders>
              <w:top w:val="single" w:sz="4" w:space="0" w:color="808080" w:themeColor="background1" w:themeShade="80"/>
              <w:bottom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5,784,000</w:t>
            </w:r>
          </w:p>
        </w:tc>
        <w:tc>
          <w:tcPr>
            <w:tcW w:w="412"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6020" w:rsidRPr="00E847AA" w:rsidRDefault="008B6020"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12,509,000</w:t>
            </w:r>
          </w:p>
        </w:tc>
      </w:tr>
    </w:tbl>
    <w:p w:rsidR="00BB4752" w:rsidRPr="00E847AA" w:rsidRDefault="00364954" w:rsidP="00863A7D">
      <w:pPr>
        <w:keepNext/>
        <w:widowControl w:val="0"/>
        <w:tabs>
          <w:tab w:val="left" w:pos="9356"/>
        </w:tabs>
        <w:spacing w:line="260" w:lineRule="atLeast"/>
        <w:ind w:left="284" w:hanging="284"/>
        <w:rPr>
          <w:sz w:val="15"/>
          <w:szCs w:val="15"/>
        </w:rPr>
      </w:pPr>
      <w:r w:rsidRPr="00E847AA">
        <w:rPr>
          <w:sz w:val="15"/>
          <w:szCs w:val="15"/>
        </w:rPr>
        <w:t>(a)</w:t>
      </w:r>
      <w:r w:rsidRPr="00E847AA">
        <w:rPr>
          <w:sz w:val="15"/>
          <w:szCs w:val="15"/>
        </w:rPr>
        <w:tab/>
        <w:t xml:space="preserve">Some figures do not sum to totals because some individuals are affected by both components commencing from 1 July 2022, and due to rounding. </w:t>
      </w:r>
    </w:p>
    <w:p w:rsidR="00BB4752" w:rsidRPr="00E847AA" w:rsidRDefault="00BB4752" w:rsidP="00BB4752">
      <w:pPr>
        <w:keepNext/>
        <w:widowControl w:val="0"/>
        <w:tabs>
          <w:tab w:val="left" w:pos="9356"/>
        </w:tabs>
        <w:spacing w:line="260" w:lineRule="atLeast"/>
        <w:ind w:left="284" w:hanging="284"/>
        <w:rPr>
          <w:sz w:val="15"/>
          <w:szCs w:val="15"/>
        </w:rPr>
      </w:pPr>
      <w:r w:rsidRPr="00E847AA">
        <w:rPr>
          <w:sz w:val="15"/>
          <w:szCs w:val="15"/>
        </w:rPr>
        <w:t>(b)</w:t>
      </w:r>
      <w:r w:rsidRPr="00E847AA">
        <w:rPr>
          <w:sz w:val="15"/>
          <w:szCs w:val="15"/>
        </w:rPr>
        <w:tab/>
        <w:t>PBO estimates.</w:t>
      </w:r>
    </w:p>
    <w:p w:rsidR="00AA1311" w:rsidRPr="00E847AA" w:rsidRDefault="00B32FB3" w:rsidP="00AA1311">
      <w:pPr>
        <w:keepNext/>
        <w:widowControl w:val="0"/>
        <w:tabs>
          <w:tab w:val="left" w:pos="9356"/>
        </w:tabs>
        <w:spacing w:line="260" w:lineRule="atLeast"/>
        <w:ind w:left="284" w:hanging="284"/>
        <w:rPr>
          <w:sz w:val="15"/>
          <w:szCs w:val="15"/>
        </w:rPr>
      </w:pPr>
      <w:r w:rsidRPr="00E847AA">
        <w:rPr>
          <w:sz w:val="15"/>
          <w:szCs w:val="15"/>
        </w:rPr>
        <w:t>(c)</w:t>
      </w:r>
      <w:r w:rsidRPr="00E847AA">
        <w:rPr>
          <w:sz w:val="15"/>
          <w:szCs w:val="15"/>
        </w:rPr>
        <w:tab/>
      </w:r>
      <w:r w:rsidR="00F72F8D" w:rsidRPr="00E847AA">
        <w:rPr>
          <w:sz w:val="15"/>
          <w:szCs w:val="15"/>
        </w:rPr>
        <w:t>Relative to all the 1 July 2018 component</w:t>
      </w:r>
      <w:r w:rsidR="006E7C3C" w:rsidRPr="00E847AA">
        <w:rPr>
          <w:sz w:val="15"/>
          <w:szCs w:val="15"/>
        </w:rPr>
        <w:t>s</w:t>
      </w:r>
      <w:r w:rsidR="00F72F8D" w:rsidRPr="00E847AA">
        <w:rPr>
          <w:sz w:val="15"/>
          <w:szCs w:val="15"/>
        </w:rPr>
        <w:t xml:space="preserve"> in Table A1.</w:t>
      </w:r>
    </w:p>
    <w:p w:rsidR="00AA1311" w:rsidRPr="00E847AA" w:rsidRDefault="00B32FB3" w:rsidP="00605E0F">
      <w:pPr>
        <w:keepNext/>
        <w:widowControl w:val="0"/>
        <w:tabs>
          <w:tab w:val="left" w:pos="9356"/>
        </w:tabs>
        <w:spacing w:line="260" w:lineRule="atLeast"/>
        <w:ind w:left="284" w:hanging="284"/>
        <w:rPr>
          <w:sz w:val="15"/>
          <w:szCs w:val="15"/>
        </w:rPr>
      </w:pPr>
      <w:r w:rsidRPr="00E847AA">
        <w:rPr>
          <w:sz w:val="15"/>
          <w:szCs w:val="15"/>
        </w:rPr>
        <w:t>(d)</w:t>
      </w:r>
      <w:r w:rsidRPr="00E847AA">
        <w:rPr>
          <w:sz w:val="15"/>
          <w:szCs w:val="15"/>
        </w:rPr>
        <w:tab/>
        <w:t>R</w:t>
      </w:r>
      <w:r w:rsidR="00AA1311" w:rsidRPr="00E847AA">
        <w:rPr>
          <w:sz w:val="15"/>
          <w:szCs w:val="15"/>
        </w:rPr>
        <w:t>elative to</w:t>
      </w:r>
      <w:r w:rsidR="00605E0F" w:rsidRPr="00E847AA">
        <w:rPr>
          <w:sz w:val="15"/>
          <w:szCs w:val="15"/>
        </w:rPr>
        <w:t xml:space="preserve"> the increase the upper threshold for the 32.5 per cent marginal tax rate from $90,000 to $120,000</w:t>
      </w:r>
      <w:r w:rsidR="00AA1311" w:rsidRPr="00E847AA">
        <w:rPr>
          <w:sz w:val="15"/>
          <w:szCs w:val="15"/>
        </w:rPr>
        <w:t>.</w:t>
      </w:r>
    </w:p>
    <w:p w:rsidR="00AA1311" w:rsidRPr="00E847AA" w:rsidRDefault="00B32FB3" w:rsidP="00605E0F">
      <w:pPr>
        <w:keepNext/>
        <w:widowControl w:val="0"/>
        <w:tabs>
          <w:tab w:val="left" w:pos="9356"/>
        </w:tabs>
        <w:spacing w:line="260" w:lineRule="atLeast"/>
        <w:ind w:left="284" w:hanging="284"/>
        <w:rPr>
          <w:sz w:val="15"/>
          <w:szCs w:val="15"/>
        </w:rPr>
      </w:pPr>
      <w:r w:rsidRPr="00E847AA">
        <w:rPr>
          <w:sz w:val="15"/>
          <w:szCs w:val="15"/>
        </w:rPr>
        <w:t>(e)</w:t>
      </w:r>
      <w:r w:rsidRPr="00E847AA">
        <w:rPr>
          <w:sz w:val="15"/>
          <w:szCs w:val="15"/>
        </w:rPr>
        <w:tab/>
        <w:t>R</w:t>
      </w:r>
      <w:r w:rsidR="00AA1311" w:rsidRPr="00E847AA">
        <w:rPr>
          <w:sz w:val="15"/>
          <w:szCs w:val="15"/>
        </w:rPr>
        <w:t>elative to</w:t>
      </w:r>
      <w:r w:rsidR="00605E0F" w:rsidRPr="00E847AA">
        <w:rPr>
          <w:sz w:val="15"/>
          <w:szCs w:val="15"/>
        </w:rPr>
        <w:t xml:space="preserve"> the increases in the upper threshold for the 32.5 per cent marginal tax rate from $90,000 to $120,000 and the upper threshold for the 19 per cent marginal tax rate from $37,000 to $41,000</w:t>
      </w:r>
      <w:r w:rsidR="00AA1311" w:rsidRPr="00E847AA">
        <w:rPr>
          <w:sz w:val="15"/>
          <w:szCs w:val="15"/>
        </w:rPr>
        <w:t>.</w:t>
      </w:r>
      <w:r w:rsidR="00863A7D" w:rsidRPr="00E847AA">
        <w:rPr>
          <w:sz w:val="15"/>
          <w:szCs w:val="15"/>
        </w:rPr>
        <w:t xml:space="preserve">  Note that while the maximum Low Income Tax Offset increases, there is no change in the offset for individuals with a taxable income greater than $41,000.</w:t>
      </w:r>
    </w:p>
    <w:p w:rsidR="003E7586" w:rsidRPr="00E847AA" w:rsidRDefault="003E7586" w:rsidP="003E7586">
      <w:pPr>
        <w:pStyle w:val="TableFootnotes"/>
        <w:keepLines w:val="0"/>
        <w:numPr>
          <w:ilvl w:val="0"/>
          <w:numId w:val="11"/>
        </w:numPr>
        <w:tabs>
          <w:tab w:val="left" w:pos="9356"/>
        </w:tabs>
        <w:ind w:left="284" w:hanging="284"/>
        <w:rPr>
          <w:sz w:val="15"/>
          <w:szCs w:val="15"/>
        </w:rPr>
      </w:pPr>
      <w:r w:rsidRPr="00E847AA">
        <w:rPr>
          <w:sz w:val="15"/>
          <w:szCs w:val="15"/>
        </w:rPr>
        <w:t>Indicates nil.</w:t>
      </w:r>
    </w:p>
    <w:p w:rsidR="001225EE" w:rsidRDefault="001225EE" w:rsidP="001225EE">
      <w:pPr>
        <w:rPr>
          <w:rFonts w:cs="Times New Roman"/>
          <w:spacing w:val="-1"/>
        </w:rPr>
      </w:pPr>
      <w:r>
        <w:br w:type="page"/>
      </w:r>
    </w:p>
    <w:p w:rsidR="00E24A7F" w:rsidRDefault="00E24A7F" w:rsidP="00E24A7F">
      <w:pPr>
        <w:pStyle w:val="Caption"/>
        <w:widowControl w:val="0"/>
        <w:tabs>
          <w:tab w:val="left" w:pos="9356"/>
        </w:tabs>
        <w:spacing w:before="360"/>
        <w:rPr>
          <w:vertAlign w:val="superscript"/>
        </w:rPr>
      </w:pPr>
      <w:r w:rsidRPr="002D239A">
        <w:lastRenderedPageBreak/>
        <w:t xml:space="preserve">Table </w:t>
      </w:r>
      <w:r w:rsidR="00A80A26">
        <w:fldChar w:fldCharType="begin"/>
      </w:r>
      <w:r w:rsidR="00A80A26">
        <w:instrText xml:space="preserve"> STYLEREF 8 \s </w:instrText>
      </w:r>
      <w:r w:rsidR="00A80A26">
        <w:fldChar w:fldCharType="separate"/>
      </w:r>
      <w:r w:rsidR="00384C7C">
        <w:rPr>
          <w:noProof/>
        </w:rPr>
        <w:t>A</w:t>
      </w:r>
      <w:r w:rsidR="00A80A26">
        <w:rPr>
          <w:noProof/>
        </w:rPr>
        <w:fldChar w:fldCharType="end"/>
      </w:r>
      <w:r w:rsidR="002D5438">
        <w:rPr>
          <w:noProof/>
        </w:rPr>
        <w:t>3</w:t>
      </w:r>
      <w:r w:rsidRPr="002D239A">
        <w:t xml:space="preserve">: </w:t>
      </w:r>
      <w:r w:rsidR="00A80A26">
        <w:fldChar w:fldCharType="begin"/>
      </w:r>
      <w:r w:rsidR="00A80A26">
        <w:instrText xml:space="preserve"> STYLEREF  "Name of proposal"  \* MERGEFORMAT </w:instrText>
      </w:r>
      <w:r w:rsidR="00A80A26">
        <w:fldChar w:fldCharType="separate"/>
      </w:r>
      <w:r w:rsidR="00384C7C">
        <w:rPr>
          <w:noProof/>
        </w:rPr>
        <w:t>Personal Income Tax Plan</w:t>
      </w:r>
      <w:r w:rsidR="00A80A26">
        <w:rPr>
          <w:noProof/>
        </w:rPr>
        <w:fldChar w:fldCharType="end"/>
      </w:r>
      <w:r>
        <w:t xml:space="preserve"> –</w:t>
      </w:r>
      <w:r w:rsidR="00DC54B3">
        <w:t xml:space="preserve"> </w:t>
      </w:r>
      <w:r>
        <w:t>Number of individuals affected in 20</w:t>
      </w:r>
      <w:r w:rsidR="002D5438">
        <w:t>24</w:t>
      </w:r>
      <w:r>
        <w:noBreakHyphen/>
      </w:r>
      <w:r w:rsidR="002D5438">
        <w:t>25</w:t>
      </w:r>
      <w:r>
        <w:t xml:space="preserve"> by taxable income and by </w:t>
      </w:r>
      <w:proofErr w:type="gramStart"/>
      <w:r>
        <w:t>gender</w:t>
      </w:r>
      <w:r w:rsidRPr="002D239A">
        <w:rPr>
          <w:vertAlign w:val="superscript"/>
        </w:rPr>
        <w:t>(</w:t>
      </w:r>
      <w:proofErr w:type="gramEnd"/>
      <w:r w:rsidRPr="002D239A">
        <w:rPr>
          <w:vertAlign w:val="superscript"/>
        </w:rPr>
        <w:t>a)</w:t>
      </w:r>
      <w:r w:rsidR="00863A7D">
        <w:rPr>
          <w:vertAlign w:val="superscript"/>
        </w:rPr>
        <w:t>(b)</w:t>
      </w:r>
    </w:p>
    <w:tbl>
      <w:tblPr>
        <w:tblStyle w:val="LightGrid-Accent6"/>
        <w:tblW w:w="5031" w:type="pct"/>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Layout w:type="fixed"/>
        <w:tblLook w:val="0680" w:firstRow="0" w:lastRow="0" w:firstColumn="1" w:lastColumn="0" w:noHBand="1" w:noVBand="1"/>
      </w:tblPr>
      <w:tblGrid>
        <w:gridCol w:w="1191"/>
        <w:gridCol w:w="740"/>
        <w:gridCol w:w="740"/>
        <w:gridCol w:w="740"/>
        <w:gridCol w:w="743"/>
        <w:gridCol w:w="743"/>
        <w:gridCol w:w="745"/>
        <w:gridCol w:w="743"/>
        <w:gridCol w:w="743"/>
        <w:gridCol w:w="745"/>
        <w:gridCol w:w="743"/>
        <w:gridCol w:w="743"/>
        <w:gridCol w:w="843"/>
      </w:tblGrid>
      <w:tr w:rsidR="00DA5453" w:rsidRPr="00E847AA" w:rsidTr="00DA5453">
        <w:tc>
          <w:tcPr>
            <w:cnfStyle w:val="001000000000" w:firstRow="0" w:lastRow="0" w:firstColumn="1" w:lastColumn="0" w:oddVBand="0" w:evenVBand="0" w:oddHBand="0" w:evenHBand="0" w:firstRowFirstColumn="0" w:firstRowLastColumn="0" w:lastRowFirstColumn="0" w:lastRowLastColumn="0"/>
            <w:tcW w:w="584" w:type="pct"/>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DDE9" w:themeFill="accent3"/>
            <w:vAlign w:val="bottom"/>
          </w:tcPr>
          <w:p w:rsidR="00DA5453" w:rsidRPr="00E847AA" w:rsidRDefault="00DA5453" w:rsidP="00DA5453">
            <w:pPr>
              <w:pStyle w:val="TableHeading"/>
              <w:widowControl w:val="0"/>
              <w:tabs>
                <w:tab w:val="left" w:pos="9356"/>
              </w:tabs>
              <w:spacing w:line="240" w:lineRule="auto"/>
              <w:ind w:left="-57" w:right="-57"/>
              <w:rPr>
                <w:rFonts w:asciiTheme="minorHAnsi" w:hAnsiTheme="minorHAnsi"/>
                <w:sz w:val="15"/>
                <w:szCs w:val="15"/>
              </w:rPr>
            </w:pPr>
            <w:r>
              <w:rPr>
                <w:rFonts w:asciiTheme="minorHAnsi" w:hAnsiTheme="minorHAnsi"/>
                <w:sz w:val="15"/>
                <w:szCs w:val="15"/>
              </w:rPr>
              <w:t xml:space="preserve">Taxable income </w:t>
            </w:r>
            <w:r w:rsidRPr="00E847AA">
              <w:rPr>
                <w:rFonts w:asciiTheme="minorHAnsi" w:hAnsiTheme="minorHAnsi"/>
                <w:sz w:val="15"/>
                <w:szCs w:val="15"/>
              </w:rPr>
              <w:t>($)</w:t>
            </w:r>
          </w:p>
        </w:tc>
        <w:tc>
          <w:tcPr>
            <w:tcW w:w="1088"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Increase the lower threshold for the 45 per cent marginal tax rate</w:t>
            </w:r>
            <w:r w:rsidRPr="00E847AA">
              <w:rPr>
                <w:rFonts w:asciiTheme="minorHAnsi" w:hAnsiTheme="minorHAnsi"/>
                <w:sz w:val="15"/>
                <w:szCs w:val="15"/>
              </w:rPr>
              <w:br/>
              <w:t>from $180,001 to $200,001</w:t>
            </w:r>
            <w:r w:rsidRPr="00E847AA">
              <w:rPr>
                <w:rFonts w:asciiTheme="minorHAnsi" w:hAnsiTheme="minorHAnsi"/>
                <w:sz w:val="15"/>
                <w:szCs w:val="15"/>
                <w:vertAlign w:val="superscript"/>
              </w:rPr>
              <w:t>(c)</w:t>
            </w:r>
          </w:p>
        </w:tc>
        <w:tc>
          <w:tcPr>
            <w:tcW w:w="1093"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Remove the 37 per cent marginal tax rate, so that all income from $41,001 to $200,000 is taxed at a marginal rate of 32.5 per cent from 1 July 2024</w:t>
            </w:r>
            <w:r w:rsidRPr="00E847AA">
              <w:rPr>
                <w:rFonts w:asciiTheme="minorHAnsi" w:hAnsiTheme="minorHAnsi"/>
                <w:sz w:val="15"/>
                <w:szCs w:val="15"/>
                <w:vertAlign w:val="superscript"/>
              </w:rPr>
              <w:t>(d)</w:t>
            </w:r>
          </w:p>
        </w:tc>
        <w:tc>
          <w:tcPr>
            <w:tcW w:w="1093"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DA5453" w:rsidRPr="00E847AA" w:rsidRDefault="00DA5453" w:rsidP="00A5514B">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All components commencing</w:t>
            </w:r>
            <w:r w:rsidRPr="00E847AA">
              <w:rPr>
                <w:rFonts w:asciiTheme="minorHAnsi" w:hAnsiTheme="minorHAnsi"/>
                <w:sz w:val="15"/>
                <w:szCs w:val="15"/>
              </w:rPr>
              <w:br/>
              <w:t>from 1 July 2024</w:t>
            </w:r>
            <w:r w:rsidRPr="00E847AA">
              <w:rPr>
                <w:rFonts w:asciiTheme="minorHAnsi" w:hAnsiTheme="minorHAnsi"/>
                <w:sz w:val="15"/>
                <w:szCs w:val="15"/>
                <w:vertAlign w:val="superscript"/>
              </w:rPr>
              <w:t>(</w:t>
            </w:r>
            <w:r>
              <w:rPr>
                <w:rFonts w:asciiTheme="minorHAnsi" w:hAnsiTheme="minorHAnsi"/>
                <w:sz w:val="15"/>
                <w:szCs w:val="15"/>
                <w:vertAlign w:val="superscript"/>
              </w:rPr>
              <w:t>c</w:t>
            </w:r>
            <w:r w:rsidRPr="00E847AA">
              <w:rPr>
                <w:rFonts w:asciiTheme="minorHAnsi" w:hAnsiTheme="minorHAnsi"/>
                <w:sz w:val="15"/>
                <w:szCs w:val="15"/>
                <w:vertAlign w:val="superscript"/>
              </w:rPr>
              <w:t>)</w:t>
            </w:r>
          </w:p>
        </w:tc>
        <w:tc>
          <w:tcPr>
            <w:tcW w:w="1141"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 Personal Income Tax Plan – 2024-25</w:t>
            </w:r>
            <w:r w:rsidRPr="00E847AA">
              <w:rPr>
                <w:rFonts w:asciiTheme="minorHAnsi" w:hAnsiTheme="minorHAnsi"/>
                <w:sz w:val="15"/>
                <w:szCs w:val="15"/>
                <w:vertAlign w:val="superscript"/>
              </w:rPr>
              <w:t>(f)</w:t>
            </w:r>
          </w:p>
        </w:tc>
      </w:tr>
      <w:tr w:rsidR="00A80A26" w:rsidRPr="00E847AA" w:rsidTr="00843E77">
        <w:tc>
          <w:tcPr>
            <w:cnfStyle w:val="001000000000" w:firstRow="0" w:lastRow="0" w:firstColumn="1" w:lastColumn="0" w:oddVBand="0" w:evenVBand="0" w:oddHBand="0" w:evenHBand="0" w:firstRowFirstColumn="0" w:firstRowLastColumn="0" w:lastRowFirstColumn="0" w:lastRowLastColumn="0"/>
            <w:tcW w:w="584" w:type="pct"/>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
              <w:keepLines w:val="0"/>
              <w:widowControl w:val="0"/>
              <w:tabs>
                <w:tab w:val="left" w:pos="9356"/>
              </w:tabs>
              <w:spacing w:line="240" w:lineRule="auto"/>
              <w:ind w:left="-57" w:right="-57"/>
              <w:rPr>
                <w:rFonts w:asciiTheme="minorHAnsi" w:hAnsiTheme="minorHAnsi"/>
                <w:sz w:val="15"/>
                <w:szCs w:val="15"/>
              </w:rPr>
            </w:pPr>
          </w:p>
        </w:tc>
        <w:tc>
          <w:tcPr>
            <w:tcW w:w="363"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Male</w:t>
            </w:r>
          </w:p>
        </w:tc>
        <w:tc>
          <w:tcPr>
            <w:tcW w:w="363" w:type="pct"/>
            <w:tcBorders>
              <w:top w:val="nil"/>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Female</w:t>
            </w:r>
          </w:p>
        </w:tc>
        <w:tc>
          <w:tcPr>
            <w:tcW w:w="363"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w:t>
            </w:r>
          </w:p>
        </w:tc>
        <w:tc>
          <w:tcPr>
            <w:tcW w:w="364"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Male</w:t>
            </w:r>
          </w:p>
        </w:tc>
        <w:tc>
          <w:tcPr>
            <w:tcW w:w="364" w:type="pct"/>
            <w:tcBorders>
              <w:top w:val="nil"/>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Female</w:t>
            </w:r>
          </w:p>
        </w:tc>
        <w:tc>
          <w:tcPr>
            <w:tcW w:w="365"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w:t>
            </w:r>
          </w:p>
        </w:tc>
        <w:tc>
          <w:tcPr>
            <w:tcW w:w="364"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Male</w:t>
            </w:r>
          </w:p>
        </w:tc>
        <w:tc>
          <w:tcPr>
            <w:tcW w:w="364" w:type="pct"/>
            <w:tcBorders>
              <w:top w:val="nil"/>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Female</w:t>
            </w:r>
          </w:p>
        </w:tc>
        <w:tc>
          <w:tcPr>
            <w:tcW w:w="365"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w:t>
            </w:r>
          </w:p>
        </w:tc>
        <w:tc>
          <w:tcPr>
            <w:tcW w:w="364" w:type="pct"/>
            <w:tcBorders>
              <w:top w:val="nil"/>
              <w:left w:val="single" w:sz="4" w:space="0" w:color="808080" w:themeColor="background1" w:themeShade="80"/>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Male</w:t>
            </w:r>
          </w:p>
        </w:tc>
        <w:tc>
          <w:tcPr>
            <w:tcW w:w="364" w:type="pct"/>
            <w:tcBorders>
              <w:top w:val="nil"/>
              <w:bottom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Female</w:t>
            </w:r>
          </w:p>
        </w:tc>
        <w:tc>
          <w:tcPr>
            <w:tcW w:w="413" w:type="pct"/>
            <w:tcBorders>
              <w:top w:val="nil"/>
              <w:bottom w:val="single" w:sz="4" w:space="0" w:color="808080" w:themeColor="background1" w:themeShade="80"/>
              <w:right w:val="single" w:sz="4" w:space="0" w:color="808080" w:themeColor="background1" w:themeShade="80"/>
            </w:tcBorders>
            <w:shd w:val="clear" w:color="auto" w:fill="D7DDE9" w:themeFill="accent3"/>
            <w:vAlign w:val="center"/>
          </w:tcPr>
          <w:p w:rsidR="00DA5453" w:rsidRPr="00E847AA" w:rsidRDefault="00DA5453" w:rsidP="00E847A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E847AA">
              <w:rPr>
                <w:rFonts w:asciiTheme="minorHAnsi" w:hAnsiTheme="minorHAnsi"/>
                <w:sz w:val="15"/>
                <w:szCs w:val="15"/>
              </w:rPr>
              <w:t>Total</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Below 10,000</w:t>
            </w:r>
          </w:p>
        </w:tc>
        <w:tc>
          <w:tcPr>
            <w:tcW w:w="363" w:type="pct"/>
            <w:tcBorders>
              <w:top w:val="single" w:sz="4" w:space="0" w:color="808080" w:themeColor="background1" w:themeShade="80"/>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top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top w:val="single" w:sz="4" w:space="0" w:color="808080" w:themeColor="background1" w:themeShade="80"/>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top w:val="single" w:sz="4" w:space="0" w:color="808080" w:themeColor="background1" w:themeShade="80"/>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top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top w:val="single" w:sz="4" w:space="0" w:color="808080" w:themeColor="background1" w:themeShade="80"/>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top w:val="single" w:sz="4" w:space="0" w:color="808080" w:themeColor="background1" w:themeShade="80"/>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top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top w:val="single" w:sz="4" w:space="0" w:color="808080" w:themeColor="background1" w:themeShade="80"/>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top w:val="single" w:sz="4" w:space="0" w:color="808080" w:themeColor="background1" w:themeShade="80"/>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tcBorders>
              <w:top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13" w:type="pct"/>
            <w:tcBorders>
              <w:top w:val="single" w:sz="4" w:space="0" w:color="808080" w:themeColor="background1" w:themeShade="80"/>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10,000-20,000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20,000-30,000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443,000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599,000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1,043,000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30,000-40,000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573,000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793,000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1,366,000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40,000-50,000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559,000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794,000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1,353,000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50,000-60,000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625,000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781,000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1,406,000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60,000-70,000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620,000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637,000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1,257,000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70,000-80,000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577,000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492,000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1,068,000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80,000-90,000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507,000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389,000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896,000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90,000-100,000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441,000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314,000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755,000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100,000-110,000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401,000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269,000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670,000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110,000-120,000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335,000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210,000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544,000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120,000-130,000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279,000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159,000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438,000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279,000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159,000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438,000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279,000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159,000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438,000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130,000-140,000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228,000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110,000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337,000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228,000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110,000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337,000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228,000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110,000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337,000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140,000-150,000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188,000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82,000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269,000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188,000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82,000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269,000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188,000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82,000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269,000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150,000-160,000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153,000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60,000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212,000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153,000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60,000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212,000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153,000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60,000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212,000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160,000-170,000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129,000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48,000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177,000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129,000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48,000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177,000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129,000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48,000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177,000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170,000-180,000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110,000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39,000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149,000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110,000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39,000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149,000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110,000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39,000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149,000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180,000-190,000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94,000</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126,000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94,000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126,000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94,000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126,000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94,000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32,000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126,000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190,000-200,000</w:t>
            </w:r>
          </w:p>
        </w:tc>
        <w:tc>
          <w:tcPr>
            <w:tcW w:w="363"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80,000</w:t>
            </w:r>
          </w:p>
        </w:tc>
        <w:tc>
          <w:tcPr>
            <w:tcW w:w="363"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26,000</w:t>
            </w:r>
          </w:p>
        </w:tc>
        <w:tc>
          <w:tcPr>
            <w:tcW w:w="36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106,000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26,000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106,000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26,000</w:t>
            </w:r>
          </w:p>
        </w:tc>
        <w:tc>
          <w:tcPr>
            <w:tcW w:w="365"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106,000</w:t>
            </w:r>
          </w:p>
        </w:tc>
        <w:tc>
          <w:tcPr>
            <w:tcW w:w="364" w:type="pct"/>
            <w:tcBorders>
              <w:lef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80,000</w:t>
            </w:r>
          </w:p>
        </w:tc>
        <w:tc>
          <w:tcPr>
            <w:tcW w:w="364" w:type="pct"/>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26,000</w:t>
            </w:r>
          </w:p>
        </w:tc>
        <w:tc>
          <w:tcPr>
            <w:tcW w:w="413" w:type="pct"/>
            <w:tcBorders>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106,000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iCs/>
                <w:color w:val="000000"/>
                <w:sz w:val="15"/>
                <w:szCs w:val="15"/>
              </w:rPr>
            </w:pPr>
            <w:r w:rsidRPr="00E847AA">
              <w:rPr>
                <w:rFonts w:asciiTheme="minorHAnsi" w:hAnsiTheme="minorHAnsi"/>
                <w:iCs/>
                <w:color w:val="000000"/>
                <w:sz w:val="15"/>
                <w:szCs w:val="15"/>
              </w:rPr>
              <w:t>200,000 and over</w:t>
            </w:r>
          </w:p>
        </w:tc>
        <w:tc>
          <w:tcPr>
            <w:tcW w:w="363" w:type="pct"/>
            <w:tcBorders>
              <w:left w:val="single" w:sz="4" w:space="0" w:color="808080" w:themeColor="background1" w:themeShade="80"/>
              <w:bottom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634,000</w:t>
            </w:r>
          </w:p>
        </w:tc>
        <w:tc>
          <w:tcPr>
            <w:tcW w:w="363" w:type="pct"/>
            <w:tcBorders>
              <w:bottom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212,000</w:t>
            </w:r>
          </w:p>
        </w:tc>
        <w:tc>
          <w:tcPr>
            <w:tcW w:w="363" w:type="pct"/>
            <w:tcBorders>
              <w:bottom w:val="single" w:sz="4" w:space="0" w:color="808080" w:themeColor="background1" w:themeShade="80"/>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846,000</w:t>
            </w:r>
          </w:p>
        </w:tc>
        <w:tc>
          <w:tcPr>
            <w:tcW w:w="364" w:type="pct"/>
            <w:tcBorders>
              <w:left w:val="single" w:sz="4" w:space="0" w:color="808080" w:themeColor="background1" w:themeShade="80"/>
              <w:bottom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634,000</w:t>
            </w:r>
          </w:p>
        </w:tc>
        <w:tc>
          <w:tcPr>
            <w:tcW w:w="364" w:type="pct"/>
            <w:tcBorders>
              <w:bottom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212,000</w:t>
            </w:r>
          </w:p>
        </w:tc>
        <w:tc>
          <w:tcPr>
            <w:tcW w:w="365" w:type="pct"/>
            <w:tcBorders>
              <w:bottom w:val="single" w:sz="4" w:space="0" w:color="808080" w:themeColor="background1" w:themeShade="80"/>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846,000</w:t>
            </w:r>
          </w:p>
        </w:tc>
        <w:tc>
          <w:tcPr>
            <w:tcW w:w="364" w:type="pct"/>
            <w:tcBorders>
              <w:left w:val="single" w:sz="4" w:space="0" w:color="808080" w:themeColor="background1" w:themeShade="80"/>
              <w:bottom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634,000</w:t>
            </w:r>
          </w:p>
        </w:tc>
        <w:tc>
          <w:tcPr>
            <w:tcW w:w="364" w:type="pct"/>
            <w:tcBorders>
              <w:bottom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212,000</w:t>
            </w:r>
          </w:p>
        </w:tc>
        <w:tc>
          <w:tcPr>
            <w:tcW w:w="365" w:type="pct"/>
            <w:tcBorders>
              <w:bottom w:val="single" w:sz="4" w:space="0" w:color="808080" w:themeColor="background1" w:themeShade="80"/>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846,000</w:t>
            </w:r>
          </w:p>
        </w:tc>
        <w:tc>
          <w:tcPr>
            <w:tcW w:w="364" w:type="pct"/>
            <w:tcBorders>
              <w:left w:val="single" w:sz="4" w:space="0" w:color="808080" w:themeColor="background1" w:themeShade="80"/>
              <w:bottom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634,000</w:t>
            </w:r>
          </w:p>
        </w:tc>
        <w:tc>
          <w:tcPr>
            <w:tcW w:w="364" w:type="pct"/>
            <w:tcBorders>
              <w:bottom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i/>
                <w:color w:val="000000"/>
                <w:sz w:val="15"/>
                <w:szCs w:val="15"/>
              </w:rPr>
            </w:pPr>
            <w:r w:rsidRPr="00A5514B">
              <w:rPr>
                <w:i/>
                <w:color w:val="000000"/>
                <w:sz w:val="15"/>
                <w:szCs w:val="15"/>
              </w:rPr>
              <w:t>212,000</w:t>
            </w:r>
          </w:p>
        </w:tc>
        <w:tc>
          <w:tcPr>
            <w:tcW w:w="413" w:type="pct"/>
            <w:tcBorders>
              <w:bottom w:val="single" w:sz="4" w:space="0" w:color="808080" w:themeColor="background1" w:themeShade="80"/>
              <w:right w:val="single" w:sz="4" w:space="0" w:color="808080" w:themeColor="background1" w:themeShade="80"/>
            </w:tcBorders>
            <w:vAlign w:val="center"/>
          </w:tcPr>
          <w:p w:rsidR="00145C15" w:rsidRPr="00A5514B"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i/>
                <w:color w:val="000000"/>
                <w:sz w:val="15"/>
                <w:szCs w:val="15"/>
              </w:rPr>
            </w:pPr>
            <w:r w:rsidRPr="00A5514B">
              <w:rPr>
                <w:b/>
                <w:i/>
                <w:color w:val="000000"/>
                <w:sz w:val="15"/>
                <w:szCs w:val="15"/>
              </w:rPr>
              <w:t>846,000</w:t>
            </w:r>
          </w:p>
        </w:tc>
      </w:tr>
      <w:tr w:rsidR="00145C15" w:rsidRPr="00E847AA" w:rsidTr="00A5514B">
        <w:tc>
          <w:tcPr>
            <w:cnfStyle w:val="001000000000" w:firstRow="0" w:lastRow="0" w:firstColumn="1" w:lastColumn="0" w:oddVBand="0" w:evenVBand="0" w:oddHBand="0" w:evenHBand="0" w:firstRowFirstColumn="0" w:firstRowLastColumn="0" w:lastRowFirstColumn="0" w:lastRowLastColumn="0"/>
            <w:tcW w:w="5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45C15" w:rsidRPr="00E847AA" w:rsidRDefault="00145C15" w:rsidP="00E847AA">
            <w:pPr>
              <w:pStyle w:val="TableText"/>
              <w:keepNext/>
              <w:widowControl w:val="0"/>
              <w:tabs>
                <w:tab w:val="left" w:pos="9356"/>
              </w:tabs>
              <w:spacing w:line="240" w:lineRule="auto"/>
              <w:ind w:left="-57" w:right="-57"/>
              <w:rPr>
                <w:rFonts w:asciiTheme="minorHAnsi" w:hAnsiTheme="minorHAnsi"/>
                <w:b/>
                <w:iCs/>
                <w:color w:val="000000"/>
                <w:sz w:val="15"/>
                <w:szCs w:val="15"/>
              </w:rPr>
            </w:pPr>
            <w:r w:rsidRPr="00E847AA">
              <w:rPr>
                <w:rFonts w:asciiTheme="minorHAnsi" w:hAnsiTheme="minorHAnsi"/>
                <w:b/>
                <w:iCs/>
                <w:color w:val="000000"/>
                <w:sz w:val="15"/>
                <w:szCs w:val="15"/>
              </w:rPr>
              <w:t>Total</w:t>
            </w:r>
          </w:p>
        </w:tc>
        <w:tc>
          <w:tcPr>
            <w:tcW w:w="363"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808,000</w:t>
            </w:r>
          </w:p>
        </w:tc>
        <w:tc>
          <w:tcPr>
            <w:tcW w:w="363" w:type="pct"/>
            <w:tcBorders>
              <w:top w:val="single" w:sz="4" w:space="0" w:color="808080" w:themeColor="background1" w:themeShade="80"/>
              <w:bottom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270,000</w:t>
            </w:r>
          </w:p>
        </w:tc>
        <w:tc>
          <w:tcPr>
            <w:tcW w:w="363"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1,078,000</w:t>
            </w:r>
          </w:p>
        </w:tc>
        <w:tc>
          <w:tcPr>
            <w:tcW w:w="3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1,894,000</w:t>
            </w:r>
          </w:p>
        </w:tc>
        <w:tc>
          <w:tcPr>
            <w:tcW w:w="364" w:type="pct"/>
            <w:tcBorders>
              <w:top w:val="single" w:sz="4" w:space="0" w:color="808080" w:themeColor="background1" w:themeShade="80"/>
              <w:bottom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767,000</w:t>
            </w:r>
          </w:p>
        </w:tc>
        <w:tc>
          <w:tcPr>
            <w:tcW w:w="365"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2,660,000</w:t>
            </w:r>
          </w:p>
        </w:tc>
        <w:tc>
          <w:tcPr>
            <w:tcW w:w="3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1,894,000</w:t>
            </w:r>
          </w:p>
        </w:tc>
        <w:tc>
          <w:tcPr>
            <w:tcW w:w="364" w:type="pct"/>
            <w:tcBorders>
              <w:top w:val="single" w:sz="4" w:space="0" w:color="808080" w:themeColor="background1" w:themeShade="80"/>
              <w:bottom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767,000</w:t>
            </w:r>
          </w:p>
        </w:tc>
        <w:tc>
          <w:tcPr>
            <w:tcW w:w="365"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2,661,000</w:t>
            </w:r>
          </w:p>
        </w:tc>
        <w:tc>
          <w:tcPr>
            <w:tcW w:w="3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6,976,000</w:t>
            </w:r>
          </w:p>
        </w:tc>
        <w:tc>
          <w:tcPr>
            <w:tcW w:w="364" w:type="pct"/>
            <w:tcBorders>
              <w:top w:val="single" w:sz="4" w:space="0" w:color="808080" w:themeColor="background1" w:themeShade="80"/>
              <w:bottom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6,044,000</w:t>
            </w:r>
          </w:p>
        </w:tc>
        <w:tc>
          <w:tcPr>
            <w:tcW w:w="413"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45C15" w:rsidRPr="00E847AA" w:rsidRDefault="00145C15" w:rsidP="00E847A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color w:val="000000"/>
                <w:sz w:val="15"/>
                <w:szCs w:val="15"/>
              </w:rPr>
            </w:pPr>
            <w:r w:rsidRPr="00E847AA">
              <w:rPr>
                <w:b/>
                <w:color w:val="000000"/>
                <w:sz w:val="15"/>
                <w:szCs w:val="15"/>
              </w:rPr>
              <w:t>13,019,000</w:t>
            </w:r>
          </w:p>
        </w:tc>
      </w:tr>
    </w:tbl>
    <w:p w:rsidR="00BB4752" w:rsidRPr="00E847AA" w:rsidRDefault="00364954" w:rsidP="00E262A4">
      <w:pPr>
        <w:pStyle w:val="ListParagraph"/>
        <w:keepNext/>
        <w:widowControl w:val="0"/>
        <w:numPr>
          <w:ilvl w:val="0"/>
          <w:numId w:val="40"/>
        </w:numPr>
        <w:tabs>
          <w:tab w:val="left" w:pos="9356"/>
        </w:tabs>
        <w:spacing w:line="260" w:lineRule="atLeast"/>
        <w:ind w:left="284" w:hanging="284"/>
        <w:rPr>
          <w:sz w:val="15"/>
          <w:szCs w:val="15"/>
        </w:rPr>
      </w:pPr>
      <w:r w:rsidRPr="00E847AA">
        <w:rPr>
          <w:sz w:val="15"/>
          <w:szCs w:val="15"/>
        </w:rPr>
        <w:t xml:space="preserve">Some figures do not sum to totals because some individuals are affected by both components commencing from 1 July 2024, and due to rounding. </w:t>
      </w:r>
    </w:p>
    <w:p w:rsidR="00BB4752" w:rsidRPr="00E847AA" w:rsidRDefault="00BB4752" w:rsidP="00E262A4">
      <w:pPr>
        <w:pStyle w:val="ListParagraph"/>
        <w:keepNext/>
        <w:widowControl w:val="0"/>
        <w:numPr>
          <w:ilvl w:val="0"/>
          <w:numId w:val="40"/>
        </w:numPr>
        <w:tabs>
          <w:tab w:val="left" w:pos="9356"/>
        </w:tabs>
        <w:spacing w:line="260" w:lineRule="atLeast"/>
        <w:ind w:left="284" w:hanging="284"/>
        <w:rPr>
          <w:sz w:val="15"/>
          <w:szCs w:val="15"/>
        </w:rPr>
      </w:pPr>
      <w:r w:rsidRPr="00E847AA">
        <w:rPr>
          <w:sz w:val="15"/>
          <w:szCs w:val="15"/>
        </w:rPr>
        <w:t>PBO estimates.</w:t>
      </w:r>
      <w:r w:rsidR="00364954" w:rsidRPr="00E847AA">
        <w:rPr>
          <w:sz w:val="15"/>
          <w:szCs w:val="15"/>
        </w:rPr>
        <w:t xml:space="preserve"> </w:t>
      </w:r>
    </w:p>
    <w:p w:rsidR="006F5A21" w:rsidRPr="00E847AA" w:rsidRDefault="006F5A21" w:rsidP="00E262A4">
      <w:pPr>
        <w:pStyle w:val="ListParagraph"/>
        <w:keepNext/>
        <w:widowControl w:val="0"/>
        <w:numPr>
          <w:ilvl w:val="0"/>
          <w:numId w:val="40"/>
        </w:numPr>
        <w:tabs>
          <w:tab w:val="left" w:pos="9356"/>
        </w:tabs>
        <w:spacing w:line="260" w:lineRule="atLeast"/>
        <w:ind w:left="284" w:hanging="284"/>
        <w:rPr>
          <w:sz w:val="15"/>
          <w:szCs w:val="15"/>
        </w:rPr>
      </w:pPr>
      <w:r w:rsidRPr="00E847AA">
        <w:rPr>
          <w:sz w:val="15"/>
          <w:szCs w:val="15"/>
        </w:rPr>
        <w:t>Relative to all the 1 July 2022 component</w:t>
      </w:r>
      <w:r w:rsidR="006E7C3C" w:rsidRPr="00E847AA">
        <w:rPr>
          <w:sz w:val="15"/>
          <w:szCs w:val="15"/>
        </w:rPr>
        <w:t>s</w:t>
      </w:r>
      <w:r w:rsidRPr="00E847AA">
        <w:rPr>
          <w:sz w:val="15"/>
          <w:szCs w:val="15"/>
        </w:rPr>
        <w:t xml:space="preserve"> in Table A2.</w:t>
      </w:r>
    </w:p>
    <w:p w:rsidR="006F5A21" w:rsidRPr="00E847AA" w:rsidRDefault="006F5A21" w:rsidP="00E262A4">
      <w:pPr>
        <w:pStyle w:val="ListParagraph"/>
        <w:keepNext/>
        <w:widowControl w:val="0"/>
        <w:numPr>
          <w:ilvl w:val="0"/>
          <w:numId w:val="40"/>
        </w:numPr>
        <w:tabs>
          <w:tab w:val="left" w:pos="9356"/>
        </w:tabs>
        <w:spacing w:line="260" w:lineRule="atLeast"/>
        <w:ind w:left="284" w:hanging="284"/>
        <w:rPr>
          <w:sz w:val="15"/>
          <w:szCs w:val="15"/>
        </w:rPr>
      </w:pPr>
      <w:r w:rsidRPr="00E847AA">
        <w:rPr>
          <w:sz w:val="15"/>
          <w:szCs w:val="15"/>
        </w:rPr>
        <w:t>Relative to the increase the lower threshold for the 45 per cent marginal tax rate from $180,001 to $200,001.</w:t>
      </w:r>
    </w:p>
    <w:p w:rsidR="0080320A" w:rsidRPr="00E847AA" w:rsidRDefault="0080320A" w:rsidP="00E262A4">
      <w:pPr>
        <w:pStyle w:val="ListParagraph"/>
        <w:keepNext/>
        <w:widowControl w:val="0"/>
        <w:numPr>
          <w:ilvl w:val="0"/>
          <w:numId w:val="40"/>
        </w:numPr>
        <w:tabs>
          <w:tab w:val="left" w:pos="9356"/>
        </w:tabs>
        <w:spacing w:line="260" w:lineRule="atLeast"/>
        <w:ind w:left="284" w:hanging="284"/>
        <w:rPr>
          <w:sz w:val="15"/>
          <w:szCs w:val="15"/>
        </w:rPr>
      </w:pPr>
      <w:r w:rsidRPr="00E847AA">
        <w:rPr>
          <w:sz w:val="15"/>
          <w:szCs w:val="15"/>
        </w:rPr>
        <w:t>Relative to no Personal Income Tax Plan</w:t>
      </w:r>
      <w:r w:rsidR="00A5514B">
        <w:rPr>
          <w:sz w:val="15"/>
          <w:szCs w:val="15"/>
        </w:rPr>
        <w:t>.</w:t>
      </w:r>
    </w:p>
    <w:p w:rsidR="00E24A7F" w:rsidRPr="00E847AA" w:rsidRDefault="00E24A7F" w:rsidP="00E847AA">
      <w:pPr>
        <w:pStyle w:val="TableFootnotes"/>
        <w:keepLines w:val="0"/>
        <w:numPr>
          <w:ilvl w:val="0"/>
          <w:numId w:val="11"/>
        </w:numPr>
        <w:tabs>
          <w:tab w:val="left" w:pos="9356"/>
        </w:tabs>
        <w:ind w:left="284" w:hanging="284"/>
        <w:rPr>
          <w:sz w:val="15"/>
          <w:szCs w:val="15"/>
        </w:rPr>
      </w:pPr>
      <w:r w:rsidRPr="00E847AA">
        <w:rPr>
          <w:sz w:val="15"/>
          <w:szCs w:val="15"/>
        </w:rPr>
        <w:t>Indicates nil.</w:t>
      </w:r>
    </w:p>
    <w:p w:rsidR="008B5CFA" w:rsidRDefault="008B5CFA">
      <w:pPr>
        <w:rPr>
          <w:rFonts w:cs="Times New Roman"/>
          <w:spacing w:val="-1"/>
        </w:rPr>
      </w:pPr>
    </w:p>
    <w:sectPr w:rsidR="008B5CFA" w:rsidSect="00E847AA">
      <w:footerReference w:type="default" r:id="rId18"/>
      <w:headerReference w:type="first" r:id="rId19"/>
      <w:footerReference w:type="first" r:id="rId20"/>
      <w:pgSz w:w="11907" w:h="16839" w:code="9"/>
      <w:pgMar w:top="1134" w:right="992" w:bottom="1134" w:left="992" w:header="284"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77" w:rsidRDefault="00843E77" w:rsidP="00A20802">
      <w:pPr>
        <w:spacing w:line="240" w:lineRule="auto"/>
      </w:pPr>
      <w:r>
        <w:separator/>
      </w:r>
    </w:p>
    <w:p w:rsidR="00843E77" w:rsidRDefault="00843E77"/>
    <w:p w:rsidR="00843E77" w:rsidRDefault="00843E77"/>
  </w:endnote>
  <w:endnote w:type="continuationSeparator" w:id="0">
    <w:p w:rsidR="00843E77" w:rsidRDefault="00843E77" w:rsidP="00A20802">
      <w:pPr>
        <w:spacing w:line="240" w:lineRule="auto"/>
      </w:pPr>
      <w:r>
        <w:continuationSeparator/>
      </w:r>
    </w:p>
    <w:p w:rsidR="00843E77" w:rsidRDefault="00843E77"/>
    <w:p w:rsidR="00843E77" w:rsidRDefault="00843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Default="00843E77"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Pr>
        <w:rStyle w:val="FooterChar"/>
        <w:b/>
        <w:noProof/>
      </w:rPr>
      <w:t>6</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Pr>
        <w:rStyle w:val="FooterChar"/>
        <w:b/>
        <w:noProof/>
      </w:rPr>
      <w:t>7</w:t>
    </w:r>
    <w:r w:rsidRPr="002C4DA6">
      <w:rPr>
        <w:rStyle w:val="FooterChar"/>
        <w:b/>
      </w:rPr>
      <w:fldChar w:fldCharType="end"/>
    </w:r>
  </w:p>
  <w:p w:rsidR="00843E77" w:rsidRPr="007A47D0" w:rsidRDefault="00843E77" w:rsidP="00602664">
    <w:pPr>
      <w:pStyle w:val="Footer"/>
      <w:ind w:left="3714" w:hanging="3714"/>
      <w:jc w:val="center"/>
      <w:rPr>
        <w:rFonts w:ascii="Calibri" w:hAnsi="Calibri" w:cs="Arial"/>
        <w:color w:val="FF0000"/>
        <w:sz w:val="40"/>
        <w:szCs w:val="40"/>
      </w:rPr>
    </w:pPr>
    <w:r w:rsidRPr="007A47D0">
      <w:rPr>
        <w:rStyle w:val="FooterChar"/>
        <w:rFonts w:ascii="Calibri" w:hAnsi="Calibri" w:cs="Arial"/>
        <w:b/>
        <w:color w:val="FF0000"/>
        <w:sz w:val="40"/>
        <w:szCs w:val="40"/>
      </w:rPr>
      <w:t>Sensitive</w:t>
    </w:r>
  </w:p>
  <w:p w:rsidR="00843E77" w:rsidRDefault="00843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280DF9" w:rsidRDefault="00843E77" w:rsidP="009D684B">
    <w:pPr>
      <w:pStyle w:val="Letterfooter"/>
      <w:rPr>
        <w:rFonts w:asciiTheme="minorHAnsi" w:hAnsiTheme="minorHAnsi"/>
        <w:sz w:val="19"/>
        <w:szCs w:val="19"/>
      </w:rPr>
    </w:pPr>
    <w:r w:rsidRPr="00280DF9">
      <w:rPr>
        <w:rFonts w:asciiTheme="minorHAnsi" w:hAnsiTheme="minorHAnsi"/>
        <w:sz w:val="19"/>
        <w:szCs w:val="19"/>
      </w:rPr>
      <w:t>Parliamentary Budget Office   PO Box 6010   Parliament House   Canberra ACT 2600</w:t>
    </w:r>
  </w:p>
  <w:p w:rsidR="00843E77" w:rsidRPr="00280DF9" w:rsidRDefault="00843E77" w:rsidP="009D684B">
    <w:pPr>
      <w:pStyle w:val="Letterfooter"/>
      <w:rPr>
        <w:rFonts w:asciiTheme="minorHAnsi" w:hAnsiTheme="minorHAnsi"/>
        <w:sz w:val="19"/>
        <w:szCs w:val="19"/>
      </w:rPr>
    </w:pPr>
    <w:r w:rsidRPr="00280DF9">
      <w:rPr>
        <w:rFonts w:asciiTheme="minorHAnsi" w:hAnsiTheme="minorHAnsi"/>
        <w:sz w:val="19"/>
        <w:szCs w:val="19"/>
      </w:rPr>
      <w:t xml:space="preserve">Tel: 02 6277 9500   Web: www.pbo.gov.au   </w:t>
    </w:r>
    <w:r>
      <w:t>Email: pbo@pbo.gov.au</w:t>
    </w:r>
  </w:p>
  <w:p w:rsidR="00843E77" w:rsidRPr="00CB3B0B" w:rsidRDefault="00A80A26" w:rsidP="00E262A4">
    <w:pPr>
      <w:pStyle w:val="Footer"/>
      <w:ind w:left="3714" w:hanging="3714"/>
      <w:jc w:val="center"/>
      <w:rPr>
        <w:rFonts w:ascii="Calibri" w:hAnsi="Calibri" w:cs="Arial"/>
        <w:color w:val="FF0000"/>
        <w:sz w:val="40"/>
        <w:szCs w:val="40"/>
      </w:rPr>
    </w:pPr>
    <w:r>
      <w:rPr>
        <w:rStyle w:val="FooterChar"/>
        <w:rFonts w:ascii="Calibri" w:hAnsi="Calibri" w:cs="Arial"/>
        <w:b/>
        <w:color w:val="FF0000"/>
        <w:sz w:val="40"/>
        <w:szCs w:val="4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CB3B0B" w:rsidRDefault="00843E77" w:rsidP="00CB3B0B">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00A80A26">
      <w:rPr>
        <w:rStyle w:val="FooterChar"/>
        <w:rFonts w:ascii="Calibri" w:hAnsi="Calibri" w:cs="Arial"/>
        <w:b/>
        <w:color w:val="FF0000"/>
        <w:sz w:val="40"/>
        <w:szCs w:val="40"/>
      </w:rPr>
      <w:t xml:space="preserve"> </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A80A26">
      <w:rPr>
        <w:rStyle w:val="FooterChar"/>
        <w:b/>
        <w:noProof/>
      </w:rPr>
      <w:t>2</w:t>
    </w:r>
    <w:r w:rsidRPr="002C4DA6">
      <w:rPr>
        <w:rStyle w:val="FooterChar"/>
        <w:b/>
      </w:rPr>
      <w:fldChar w:fldCharType="end"/>
    </w:r>
    <w:r w:rsidRPr="002C4DA6">
      <w:rPr>
        <w:rStyle w:val="FooterChar"/>
        <w:b/>
      </w:rPr>
      <w:t xml:space="preserve"> of </w:t>
    </w:r>
    <w:r>
      <w:rPr>
        <w:rStyle w:val="FooterChar"/>
        <w:b/>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CB3B0B" w:rsidRDefault="00843E77" w:rsidP="00CB3B0B">
    <w:pPr>
      <w:pStyle w:val="Footer"/>
      <w:tabs>
        <w:tab w:val="center" w:pos="4536"/>
        <w:tab w:val="right" w:pos="9072"/>
      </w:tabs>
      <w:spacing w:before="120"/>
      <w:rPr>
        <w:rFonts w:ascii="Calibri" w:hAnsi="Calibri" w:cs="Arial"/>
        <w:color w:val="FF0000"/>
        <w:sz w:val="40"/>
        <w:szCs w:val="40"/>
      </w:rPr>
    </w:pPr>
    <w:r w:rsidRPr="00DD281D">
      <w:rPr>
        <w:rStyle w:val="FooterChar"/>
        <w:rFonts w:ascii="Calibri" w:hAnsi="Calibri" w:cs="Arial"/>
        <w:b/>
      </w:rPr>
      <w:t>PBO</w:t>
    </w:r>
    <w:r>
      <w:rPr>
        <w:rStyle w:val="FooterChar"/>
        <w:rFonts w:ascii="Calibri" w:hAnsi="Calibri" w:cs="Arial"/>
        <w:b/>
      </w:rPr>
      <w:t xml:space="preserve"> reference </w:t>
    </w:r>
    <w:r w:rsidRPr="003E41B2">
      <w:rPr>
        <w:rStyle w:val="FooterChar"/>
        <w:rFonts w:ascii="Calibri" w:hAnsi="Calibri" w:cs="Arial"/>
        <w:b/>
      </w:rPr>
      <w:t>PR1</w:t>
    </w:r>
    <w:r>
      <w:rPr>
        <w:rStyle w:val="FooterChar"/>
        <w:rFonts w:ascii="Calibri" w:hAnsi="Calibri" w:cs="Arial"/>
        <w:b/>
      </w:rPr>
      <w:t>8</w:t>
    </w:r>
    <w:r w:rsidRPr="003E41B2">
      <w:rPr>
        <w:rStyle w:val="FooterChar"/>
        <w:rFonts w:ascii="Calibri" w:hAnsi="Calibri" w:cs="Arial"/>
        <w:b/>
      </w:rPr>
      <w:t>/00</w:t>
    </w:r>
    <w:r>
      <w:rPr>
        <w:rStyle w:val="FooterChar"/>
        <w:rFonts w:ascii="Calibri" w:hAnsi="Calibri" w:cs="Arial"/>
        <w:b/>
      </w:rPr>
      <w:t>280</w:t>
    </w:r>
    <w:r w:rsidRPr="009B70E6">
      <w:rPr>
        <w:rStyle w:val="FooterChar"/>
        <w:rFonts w:ascii="Calibri" w:hAnsi="Calibri" w:cs="Arial"/>
        <w:b/>
        <w:sz w:val="20"/>
        <w:szCs w:val="20"/>
      </w:rPr>
      <w:tab/>
    </w:r>
    <w:r w:rsidR="00A80A26">
      <w:rPr>
        <w:rStyle w:val="FooterChar"/>
        <w:rFonts w:ascii="Calibri" w:hAnsi="Calibri" w:cs="Arial"/>
        <w:b/>
        <w:color w:val="FF0000"/>
        <w:sz w:val="40"/>
        <w:szCs w:val="40"/>
      </w:rPr>
      <w:t xml:space="preserve">  </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A80A26">
      <w:rPr>
        <w:rStyle w:val="FooterChar"/>
        <w:b/>
        <w:noProof/>
      </w:rPr>
      <w:t>1</w:t>
    </w:r>
    <w:r w:rsidRPr="002C4DA6">
      <w:rPr>
        <w:rStyle w:val="FooterChar"/>
        <w:b/>
      </w:rPr>
      <w:fldChar w:fldCharType="end"/>
    </w:r>
    <w:r w:rsidRPr="002C4DA6">
      <w:rPr>
        <w:rStyle w:val="FooterChar"/>
        <w:b/>
      </w:rPr>
      <w:t xml:space="preserve"> of </w:t>
    </w:r>
    <w:r>
      <w:rPr>
        <w:rStyle w:val="FooterChar"/>
        <w:b/>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CB3B0B" w:rsidRDefault="00843E77" w:rsidP="00E262A4">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00A80A26">
      <w:rPr>
        <w:rStyle w:val="FooterChar"/>
        <w:rFonts w:ascii="Calibri" w:hAnsi="Calibri" w:cs="Arial"/>
        <w:b/>
        <w:color w:val="FF0000"/>
        <w:sz w:val="40"/>
        <w:szCs w:val="40"/>
      </w:rPr>
      <w:t xml:space="preserve"> </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A80A26">
      <w:rPr>
        <w:rStyle w:val="FooterChar"/>
        <w:b/>
        <w:noProof/>
      </w:rPr>
      <w:t>6</w:t>
    </w:r>
    <w:r w:rsidRPr="002C4DA6">
      <w:rPr>
        <w:rStyle w:val="FooterChar"/>
        <w:b/>
      </w:rPr>
      <w:fldChar w:fldCharType="end"/>
    </w:r>
    <w:r w:rsidRPr="002C4DA6">
      <w:rPr>
        <w:rStyle w:val="FooterChar"/>
        <w:b/>
      </w:rPr>
      <w:t xml:space="preserve"> of </w:t>
    </w:r>
    <w:r>
      <w:rPr>
        <w:rStyle w:val="FooterChar"/>
        <w:b/>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CB3B0B" w:rsidRDefault="00843E77" w:rsidP="00E262A4">
    <w:pPr>
      <w:pStyle w:val="Footer"/>
      <w:tabs>
        <w:tab w:val="center" w:pos="4962"/>
        <w:tab w:val="right" w:pos="9923"/>
      </w:tabs>
      <w:spacing w:before="120"/>
      <w:rPr>
        <w:rFonts w:ascii="Calibri" w:hAnsi="Calibri" w:cs="Arial"/>
        <w:color w:val="FF0000"/>
        <w:sz w:val="40"/>
        <w:szCs w:val="40"/>
      </w:rPr>
    </w:pPr>
    <w:r w:rsidRPr="009B70E6">
      <w:rPr>
        <w:rStyle w:val="FooterChar"/>
        <w:rFonts w:ascii="Calibri" w:hAnsi="Calibri" w:cs="Arial"/>
        <w:b/>
        <w:sz w:val="20"/>
        <w:szCs w:val="20"/>
      </w:rPr>
      <w:tab/>
    </w:r>
    <w:r w:rsidR="00A80A26">
      <w:rPr>
        <w:rStyle w:val="FooterChar"/>
        <w:rFonts w:ascii="Calibri" w:hAnsi="Calibri" w:cs="Arial"/>
        <w:b/>
        <w:color w:val="FF0000"/>
        <w:sz w:val="40"/>
        <w:szCs w:val="40"/>
      </w:rPr>
      <w:t xml:space="preserve"> </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A80A26">
      <w:rPr>
        <w:rStyle w:val="FooterChar"/>
        <w:b/>
        <w:noProof/>
      </w:rPr>
      <w:t>4</w:t>
    </w:r>
    <w:r w:rsidRPr="002C4DA6">
      <w:rPr>
        <w:rStyle w:val="FooterChar"/>
        <w:b/>
      </w:rPr>
      <w:fldChar w:fldCharType="end"/>
    </w:r>
    <w:r w:rsidRPr="002C4DA6">
      <w:rPr>
        <w:rStyle w:val="FooterChar"/>
        <w:b/>
      </w:rPr>
      <w:t xml:space="preserve"> of </w:t>
    </w:r>
    <w:r>
      <w:rPr>
        <w:rStyle w:val="FooterChar"/>
        <w:b/>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77" w:rsidRPr="000557A7" w:rsidRDefault="00843E77" w:rsidP="008D5A11">
      <w:pPr>
        <w:pBdr>
          <w:top w:val="single" w:sz="4" w:space="1" w:color="auto"/>
        </w:pBdr>
        <w:spacing w:before="240" w:line="60" w:lineRule="exact"/>
        <w:rPr>
          <w:sz w:val="16"/>
          <w:szCs w:val="16"/>
        </w:rPr>
      </w:pPr>
    </w:p>
  </w:footnote>
  <w:footnote w:type="continuationSeparator" w:id="0">
    <w:p w:rsidR="00843E77" w:rsidRDefault="00843E77" w:rsidP="00A20802">
      <w:pPr>
        <w:spacing w:line="240" w:lineRule="auto"/>
      </w:pPr>
      <w:r>
        <w:continuationSeparator/>
      </w:r>
    </w:p>
    <w:p w:rsidR="00843E77" w:rsidRDefault="00843E77"/>
    <w:p w:rsidR="00843E77" w:rsidRDefault="00843E77"/>
  </w:footnote>
  <w:footnote w:id="1">
    <w:p w:rsidR="00843E77" w:rsidRPr="008A1AC7" w:rsidRDefault="00843E77" w:rsidP="007E40A9">
      <w:pPr>
        <w:pStyle w:val="FootnoteText"/>
        <w:tabs>
          <w:tab w:val="clear" w:pos="425"/>
          <w:tab w:val="left" w:pos="0"/>
        </w:tabs>
        <w:spacing w:before="0"/>
        <w:ind w:left="0" w:firstLine="0"/>
      </w:pPr>
      <w:r>
        <w:rPr>
          <w:rStyle w:val="FootnoteReference"/>
        </w:rPr>
        <w:footnoteRef/>
      </w:r>
      <w:r>
        <w:t xml:space="preserve"> There are inherent uncertainties in all policy costings, regardless of who produces them.  For a more detailed discussion of the nature and sources of these uncertainties, see PBO information paper no. 01/2017, </w:t>
      </w:r>
      <w:r>
        <w:rPr>
          <w:i/>
        </w:rPr>
        <w:t>Factors influencing the reliability of policy proposal costings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602664" w:rsidRDefault="00843E77" w:rsidP="00482F63">
    <w:pPr>
      <w:pStyle w:val="Header"/>
      <w:jc w:val="center"/>
      <w:rPr>
        <w:rFonts w:ascii="Calibri" w:hAnsi="Calibri"/>
        <w:b/>
        <w:color w:val="FF0000"/>
        <w:sz w:val="40"/>
        <w:szCs w:val="40"/>
      </w:rPr>
    </w:pPr>
    <w:r w:rsidRPr="007A47D0">
      <w:rPr>
        <w:rFonts w:ascii="Calibri" w:hAnsi="Calibri"/>
        <w:b/>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7A47D0" w:rsidRDefault="00A80A26" w:rsidP="00482F63">
    <w:pPr>
      <w:pStyle w:val="Header"/>
      <w:jc w:val="center"/>
      <w:rPr>
        <w:rFonts w:ascii="Calibri" w:hAnsi="Calibri"/>
        <w:b/>
        <w:color w:val="FF0000"/>
        <w:sz w:val="40"/>
        <w:szCs w:val="40"/>
      </w:rPr>
    </w:pPr>
    <w:r>
      <w:rPr>
        <w:rFonts w:ascii="Calibri" w:hAnsi="Calibri"/>
        <w:b/>
        <w:color w:val="FF0000"/>
        <w:sz w:val="40"/>
        <w:szCs w:val="40"/>
      </w:rPr>
      <w:t xml:space="preserve">   </w:t>
    </w:r>
  </w:p>
  <w:p w:rsidR="00843E77" w:rsidRPr="0046444F" w:rsidRDefault="00A80A26" w:rsidP="00482F63">
    <w:pPr>
      <w:pStyle w:val="Header"/>
    </w:pPr>
    <w:r>
      <w:t xml:space="preserve"> </w:t>
    </w:r>
    <w:r w:rsidR="00843E77">
      <w:rPr>
        <w:noProof/>
        <w:lang w:eastAsia="en-AU"/>
      </w:rPr>
      <w:drawing>
        <wp:inline distT="0" distB="0" distL="0" distR="0" wp14:anchorId="403C86D9" wp14:editId="6D0E1390">
          <wp:extent cx="2696845" cy="572135"/>
          <wp:effectExtent l="0" t="0" r="8255" b="0"/>
          <wp:docPr id="4" name="Picture 4"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843E77" w:rsidRPr="00DD64DC" w:rsidRDefault="00843E77" w:rsidP="00482F63">
    <w:pPr>
      <w:pStyle w:val="PBOheader"/>
      <w:spacing w:before="720"/>
      <w:ind w:left="5783"/>
      <w:rPr>
        <w:rFonts w:asciiTheme="minorHAnsi" w:hAnsiTheme="minorHAnsi"/>
        <w:sz w:val="19"/>
        <w:szCs w:val="19"/>
      </w:rPr>
    </w:pPr>
    <w:r w:rsidRPr="00DD64DC">
      <w:rPr>
        <w:rFonts w:asciiTheme="minorHAnsi" w:hAnsiTheme="minorHAnsi"/>
        <w:sz w:val="19"/>
        <w:szCs w:val="19"/>
      </w:rPr>
      <w:t xml:space="preserve">Jenny Wilkinson </w:t>
    </w:r>
    <w:r w:rsidRPr="00DD64DC">
      <w:rPr>
        <w:rFonts w:asciiTheme="minorHAnsi" w:hAnsiTheme="minorHAnsi"/>
        <w:sz w:val="19"/>
        <w:szCs w:val="19"/>
      </w:rPr>
      <w:br/>
      <w:t>Parliamentary Budget Officer</w:t>
    </w:r>
    <w:r w:rsidRPr="00EE3226">
      <w:rPr>
        <w:rFonts w:asciiTheme="minorHAnsi" w:hAnsiTheme="minorHAnsi"/>
        <w:sz w:val="19"/>
        <w:szCs w:val="19"/>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CB3B0B" w:rsidRDefault="00A80A26" w:rsidP="00CB3B0B">
    <w:pPr>
      <w:pStyle w:val="Header"/>
      <w:jc w:val="center"/>
      <w:rPr>
        <w:rFonts w:ascii="Calibri" w:hAnsi="Calibri"/>
        <w:b/>
        <w:color w:val="FF0000"/>
        <w:sz w:val="40"/>
        <w:szCs w:val="40"/>
      </w:rPr>
    </w:pPr>
    <w:r>
      <w:rPr>
        <w:rFonts w:ascii="Calibri" w:hAnsi="Calibri"/>
        <w:b/>
        <w:color w:val="FF0000"/>
        <w:sz w:val="40"/>
        <w:szCs w:val="4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7A47D0" w:rsidRDefault="00A80A26" w:rsidP="00CB3B0B">
    <w:pPr>
      <w:pStyle w:val="Header"/>
      <w:jc w:val="center"/>
      <w:rPr>
        <w:rFonts w:ascii="Calibri" w:hAnsi="Calibri"/>
        <w:b/>
        <w:color w:val="FF0000"/>
        <w:sz w:val="40"/>
        <w:szCs w:val="40"/>
      </w:rPr>
    </w:pPr>
    <w:r>
      <w:rPr>
        <w:rFonts w:ascii="Calibri" w:hAnsi="Calibri"/>
        <w:b/>
        <w:color w:val="FF0000"/>
        <w:sz w:val="40"/>
        <w:szCs w:val="40"/>
      </w:rPr>
      <w:t xml:space="preserve"> </w:t>
    </w:r>
  </w:p>
  <w:p w:rsidR="00843E77" w:rsidRPr="00CB3B0B" w:rsidRDefault="00843E77" w:rsidP="00CB3B0B">
    <w:pPr>
      <w:pStyle w:val="Header"/>
    </w:pPr>
    <w:r>
      <w:rPr>
        <w:noProof/>
        <w:lang w:eastAsia="en-AU"/>
      </w:rPr>
      <w:drawing>
        <wp:inline distT="0" distB="0" distL="0" distR="0" wp14:anchorId="50116842" wp14:editId="46D989DD">
          <wp:extent cx="2696845" cy="572135"/>
          <wp:effectExtent l="0" t="0" r="8255" b="0"/>
          <wp:docPr id="3" name="Picture 3"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77" w:rsidRPr="00CB3B0B" w:rsidRDefault="00A80A26" w:rsidP="00E262A4">
    <w:pPr>
      <w:pStyle w:val="Header"/>
      <w:jc w:val="center"/>
    </w:pPr>
    <w:r>
      <w:rPr>
        <w:rFonts w:ascii="Calibri" w:hAnsi="Calibri"/>
        <w:b/>
        <w:color w:val="FF0000"/>
        <w:sz w:val="40"/>
        <w:szCs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8A8"/>
    <w:multiLevelType w:val="hybridMultilevel"/>
    <w:tmpl w:val="F3C802E2"/>
    <w:lvl w:ilvl="0" w:tplc="07A462C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8B37FE"/>
    <w:multiLevelType w:val="multilevel"/>
    <w:tmpl w:val="B9B6093C"/>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745448"/>
    <w:multiLevelType w:val="multilevel"/>
    <w:tmpl w:val="34483270"/>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5">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4">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2"/>
  </w:num>
  <w:num w:numId="3">
    <w:abstractNumId w:val="31"/>
  </w:num>
  <w:num w:numId="4">
    <w:abstractNumId w:val="13"/>
  </w:num>
  <w:num w:numId="5">
    <w:abstractNumId w:val="11"/>
  </w:num>
  <w:num w:numId="6">
    <w:abstractNumId w:val="29"/>
  </w:num>
  <w:num w:numId="7">
    <w:abstractNumId w:val="5"/>
  </w:num>
  <w:num w:numId="8">
    <w:abstractNumId w:val="7"/>
  </w:num>
  <w:num w:numId="9">
    <w:abstractNumId w:val="28"/>
  </w:num>
  <w:num w:numId="10">
    <w:abstractNumId w:val="4"/>
  </w:num>
  <w:num w:numId="11">
    <w:abstractNumId w:val="9"/>
  </w:num>
  <w:num w:numId="12">
    <w:abstractNumId w:val="2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0"/>
  </w:num>
  <w:num w:numId="18">
    <w:abstractNumId w:val="33"/>
  </w:num>
  <w:num w:numId="19">
    <w:abstractNumId w:val="1"/>
  </w:num>
  <w:num w:numId="20">
    <w:abstractNumId w:val="19"/>
  </w:num>
  <w:num w:numId="21">
    <w:abstractNumId w:val="21"/>
  </w:num>
  <w:num w:numId="22">
    <w:abstractNumId w:val="15"/>
  </w:num>
  <w:num w:numId="23">
    <w:abstractNumId w:val="16"/>
  </w:num>
  <w:num w:numId="24">
    <w:abstractNumId w:val="25"/>
  </w:num>
  <w:num w:numId="25">
    <w:abstractNumId w:val="14"/>
  </w:num>
  <w:num w:numId="26">
    <w:abstractNumId w:val="6"/>
  </w:num>
  <w:num w:numId="27">
    <w:abstractNumId w:val="24"/>
  </w:num>
  <w:num w:numId="28">
    <w:abstractNumId w:val="22"/>
  </w:num>
  <w:num w:numId="29">
    <w:abstractNumId w:val="26"/>
  </w:num>
  <w:num w:numId="30">
    <w:abstractNumId w:val="32"/>
  </w:num>
  <w:num w:numId="31">
    <w:abstractNumId w:val="20"/>
  </w:num>
  <w:num w:numId="32">
    <w:abstractNumId w:val="12"/>
  </w:num>
  <w:num w:numId="33">
    <w:abstractNumId w:val="17"/>
  </w:num>
  <w:num w:numId="34">
    <w:abstractNumId w:val="10"/>
  </w:num>
  <w:num w:numId="35">
    <w:abstractNumId w:val="4"/>
  </w:num>
  <w:num w:numId="36">
    <w:abstractNumId w:val="2"/>
  </w:num>
  <w:num w:numId="37">
    <w:abstractNumId w:val="8"/>
  </w:num>
  <w:num w:numId="38">
    <w:abstractNumId w:val="5"/>
  </w:num>
  <w:num w:numId="39">
    <w:abstractNumId w:val="5"/>
  </w:num>
  <w:num w:numId="4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054365"/>
    <w:rsid w:val="0000071C"/>
    <w:rsid w:val="0000322C"/>
    <w:rsid w:val="00003CDD"/>
    <w:rsid w:val="00013620"/>
    <w:rsid w:val="0001406F"/>
    <w:rsid w:val="00015E04"/>
    <w:rsid w:val="000168A7"/>
    <w:rsid w:val="00016D53"/>
    <w:rsid w:val="00023EFA"/>
    <w:rsid w:val="00024B39"/>
    <w:rsid w:val="000278D0"/>
    <w:rsid w:val="00027E62"/>
    <w:rsid w:val="000307C8"/>
    <w:rsid w:val="00030F73"/>
    <w:rsid w:val="00033326"/>
    <w:rsid w:val="00035ADE"/>
    <w:rsid w:val="0004224B"/>
    <w:rsid w:val="00043B7E"/>
    <w:rsid w:val="00046226"/>
    <w:rsid w:val="000505FB"/>
    <w:rsid w:val="0005330D"/>
    <w:rsid w:val="00054365"/>
    <w:rsid w:val="00054F9F"/>
    <w:rsid w:val="000557A7"/>
    <w:rsid w:val="00055805"/>
    <w:rsid w:val="00056B96"/>
    <w:rsid w:val="00056CB3"/>
    <w:rsid w:val="0005793B"/>
    <w:rsid w:val="00061758"/>
    <w:rsid w:val="00065125"/>
    <w:rsid w:val="00066D54"/>
    <w:rsid w:val="00067A28"/>
    <w:rsid w:val="0007260F"/>
    <w:rsid w:val="000739CB"/>
    <w:rsid w:val="00073C89"/>
    <w:rsid w:val="0007488E"/>
    <w:rsid w:val="000805D5"/>
    <w:rsid w:val="0008103B"/>
    <w:rsid w:val="00085F97"/>
    <w:rsid w:val="000879B1"/>
    <w:rsid w:val="00092A33"/>
    <w:rsid w:val="000973F9"/>
    <w:rsid w:val="00097A23"/>
    <w:rsid w:val="000A072E"/>
    <w:rsid w:val="000A0848"/>
    <w:rsid w:val="000A2FEC"/>
    <w:rsid w:val="000A348F"/>
    <w:rsid w:val="000A69E3"/>
    <w:rsid w:val="000A7AA8"/>
    <w:rsid w:val="000B104D"/>
    <w:rsid w:val="000B1B0C"/>
    <w:rsid w:val="000B4345"/>
    <w:rsid w:val="000B5900"/>
    <w:rsid w:val="000B60AE"/>
    <w:rsid w:val="000B6942"/>
    <w:rsid w:val="000B6D00"/>
    <w:rsid w:val="000C09FA"/>
    <w:rsid w:val="000C1AB0"/>
    <w:rsid w:val="000C37A9"/>
    <w:rsid w:val="000C6728"/>
    <w:rsid w:val="000C702E"/>
    <w:rsid w:val="000D15E9"/>
    <w:rsid w:val="000D3182"/>
    <w:rsid w:val="000D45C4"/>
    <w:rsid w:val="000D46B3"/>
    <w:rsid w:val="000E18F3"/>
    <w:rsid w:val="000E19AC"/>
    <w:rsid w:val="000E266E"/>
    <w:rsid w:val="000E4C7B"/>
    <w:rsid w:val="000F1515"/>
    <w:rsid w:val="000F16B5"/>
    <w:rsid w:val="000F616E"/>
    <w:rsid w:val="000F7D50"/>
    <w:rsid w:val="00110D43"/>
    <w:rsid w:val="001159EA"/>
    <w:rsid w:val="00120A75"/>
    <w:rsid w:val="001225EE"/>
    <w:rsid w:val="00125410"/>
    <w:rsid w:val="001266CE"/>
    <w:rsid w:val="00127152"/>
    <w:rsid w:val="00130858"/>
    <w:rsid w:val="0013593F"/>
    <w:rsid w:val="00136C26"/>
    <w:rsid w:val="0014059F"/>
    <w:rsid w:val="00141551"/>
    <w:rsid w:val="001417CE"/>
    <w:rsid w:val="0014479F"/>
    <w:rsid w:val="00145C15"/>
    <w:rsid w:val="00146B30"/>
    <w:rsid w:val="00146EAD"/>
    <w:rsid w:val="001541BF"/>
    <w:rsid w:val="00154DC5"/>
    <w:rsid w:val="00160C8D"/>
    <w:rsid w:val="001629C0"/>
    <w:rsid w:val="00165122"/>
    <w:rsid w:val="00165854"/>
    <w:rsid w:val="00166078"/>
    <w:rsid w:val="00166A15"/>
    <w:rsid w:val="00171178"/>
    <w:rsid w:val="001711BC"/>
    <w:rsid w:val="001738DB"/>
    <w:rsid w:val="001738F5"/>
    <w:rsid w:val="00173DFD"/>
    <w:rsid w:val="001775EA"/>
    <w:rsid w:val="00180FF9"/>
    <w:rsid w:val="00184D6A"/>
    <w:rsid w:val="001871DA"/>
    <w:rsid w:val="0019204F"/>
    <w:rsid w:val="00195228"/>
    <w:rsid w:val="00195696"/>
    <w:rsid w:val="00196532"/>
    <w:rsid w:val="001A1357"/>
    <w:rsid w:val="001A1EFC"/>
    <w:rsid w:val="001A48EF"/>
    <w:rsid w:val="001A49CC"/>
    <w:rsid w:val="001A5553"/>
    <w:rsid w:val="001A716E"/>
    <w:rsid w:val="001A768E"/>
    <w:rsid w:val="001B18C6"/>
    <w:rsid w:val="001B2C65"/>
    <w:rsid w:val="001B4255"/>
    <w:rsid w:val="001B7058"/>
    <w:rsid w:val="001C3A4F"/>
    <w:rsid w:val="001C4121"/>
    <w:rsid w:val="001C48DE"/>
    <w:rsid w:val="001C7F8D"/>
    <w:rsid w:val="001D30C1"/>
    <w:rsid w:val="001D52E3"/>
    <w:rsid w:val="001D576F"/>
    <w:rsid w:val="001D7C29"/>
    <w:rsid w:val="001E0475"/>
    <w:rsid w:val="001E33C2"/>
    <w:rsid w:val="001E708A"/>
    <w:rsid w:val="001F2AAD"/>
    <w:rsid w:val="001F5C90"/>
    <w:rsid w:val="001F6552"/>
    <w:rsid w:val="001F767C"/>
    <w:rsid w:val="001F7B10"/>
    <w:rsid w:val="00203A7B"/>
    <w:rsid w:val="0020421B"/>
    <w:rsid w:val="002057EF"/>
    <w:rsid w:val="00205C6E"/>
    <w:rsid w:val="00210074"/>
    <w:rsid w:val="00210FCF"/>
    <w:rsid w:val="002179B6"/>
    <w:rsid w:val="00222EFF"/>
    <w:rsid w:val="002240D5"/>
    <w:rsid w:val="002257C4"/>
    <w:rsid w:val="002261A7"/>
    <w:rsid w:val="00226AEC"/>
    <w:rsid w:val="00235C95"/>
    <w:rsid w:val="00243D7C"/>
    <w:rsid w:val="002545F3"/>
    <w:rsid w:val="0026344F"/>
    <w:rsid w:val="00266A17"/>
    <w:rsid w:val="00270372"/>
    <w:rsid w:val="00275534"/>
    <w:rsid w:val="00277075"/>
    <w:rsid w:val="002775D2"/>
    <w:rsid w:val="00281ADD"/>
    <w:rsid w:val="0028563E"/>
    <w:rsid w:val="00287823"/>
    <w:rsid w:val="0028792D"/>
    <w:rsid w:val="00293E0D"/>
    <w:rsid w:val="00293E80"/>
    <w:rsid w:val="002973B0"/>
    <w:rsid w:val="00297C14"/>
    <w:rsid w:val="002A220F"/>
    <w:rsid w:val="002A24F1"/>
    <w:rsid w:val="002A43A0"/>
    <w:rsid w:val="002A5778"/>
    <w:rsid w:val="002A6E3B"/>
    <w:rsid w:val="002B1C24"/>
    <w:rsid w:val="002B1E84"/>
    <w:rsid w:val="002B2085"/>
    <w:rsid w:val="002B3EC4"/>
    <w:rsid w:val="002B4C14"/>
    <w:rsid w:val="002C37D5"/>
    <w:rsid w:val="002C3FCF"/>
    <w:rsid w:val="002C4DA6"/>
    <w:rsid w:val="002C60A0"/>
    <w:rsid w:val="002D0BAB"/>
    <w:rsid w:val="002D18E1"/>
    <w:rsid w:val="002D239A"/>
    <w:rsid w:val="002D34DB"/>
    <w:rsid w:val="002D48BE"/>
    <w:rsid w:val="002D4B11"/>
    <w:rsid w:val="002D5438"/>
    <w:rsid w:val="002E0468"/>
    <w:rsid w:val="002E5633"/>
    <w:rsid w:val="002E5FC5"/>
    <w:rsid w:val="002F1963"/>
    <w:rsid w:val="002F5B6E"/>
    <w:rsid w:val="002F61B5"/>
    <w:rsid w:val="00300066"/>
    <w:rsid w:val="0030209B"/>
    <w:rsid w:val="003116DE"/>
    <w:rsid w:val="00312494"/>
    <w:rsid w:val="003127E4"/>
    <w:rsid w:val="00312C42"/>
    <w:rsid w:val="00313215"/>
    <w:rsid w:val="00313DA1"/>
    <w:rsid w:val="003155C8"/>
    <w:rsid w:val="003174C3"/>
    <w:rsid w:val="003179A6"/>
    <w:rsid w:val="003230D5"/>
    <w:rsid w:val="0032557A"/>
    <w:rsid w:val="00326E3E"/>
    <w:rsid w:val="003302C6"/>
    <w:rsid w:val="003306A0"/>
    <w:rsid w:val="003318BA"/>
    <w:rsid w:val="003326F7"/>
    <w:rsid w:val="00335B50"/>
    <w:rsid w:val="00340778"/>
    <w:rsid w:val="00343205"/>
    <w:rsid w:val="00344D2C"/>
    <w:rsid w:val="003458CE"/>
    <w:rsid w:val="00345A57"/>
    <w:rsid w:val="00346D90"/>
    <w:rsid w:val="00351F62"/>
    <w:rsid w:val="00352A25"/>
    <w:rsid w:val="00356DB4"/>
    <w:rsid w:val="0035792C"/>
    <w:rsid w:val="003601F4"/>
    <w:rsid w:val="00361150"/>
    <w:rsid w:val="00364954"/>
    <w:rsid w:val="003671E2"/>
    <w:rsid w:val="00370320"/>
    <w:rsid w:val="00372AE6"/>
    <w:rsid w:val="00376747"/>
    <w:rsid w:val="00376C3A"/>
    <w:rsid w:val="003779CC"/>
    <w:rsid w:val="0038082C"/>
    <w:rsid w:val="003837E1"/>
    <w:rsid w:val="00384C7C"/>
    <w:rsid w:val="0038584D"/>
    <w:rsid w:val="00387D01"/>
    <w:rsid w:val="0039257F"/>
    <w:rsid w:val="003931DE"/>
    <w:rsid w:val="00397D1A"/>
    <w:rsid w:val="003A163C"/>
    <w:rsid w:val="003A217C"/>
    <w:rsid w:val="003A2B4E"/>
    <w:rsid w:val="003A2FBB"/>
    <w:rsid w:val="003A3799"/>
    <w:rsid w:val="003A4913"/>
    <w:rsid w:val="003A54A9"/>
    <w:rsid w:val="003A62A5"/>
    <w:rsid w:val="003A7076"/>
    <w:rsid w:val="003A7083"/>
    <w:rsid w:val="003B1B8D"/>
    <w:rsid w:val="003B1C79"/>
    <w:rsid w:val="003B2CF2"/>
    <w:rsid w:val="003B3103"/>
    <w:rsid w:val="003B38B3"/>
    <w:rsid w:val="003B3A97"/>
    <w:rsid w:val="003B3D44"/>
    <w:rsid w:val="003B47BC"/>
    <w:rsid w:val="003C2540"/>
    <w:rsid w:val="003C6BB5"/>
    <w:rsid w:val="003C7CC2"/>
    <w:rsid w:val="003D3379"/>
    <w:rsid w:val="003D50B6"/>
    <w:rsid w:val="003E05DF"/>
    <w:rsid w:val="003E1562"/>
    <w:rsid w:val="003E239F"/>
    <w:rsid w:val="003E6085"/>
    <w:rsid w:val="003E6CA3"/>
    <w:rsid w:val="003E7586"/>
    <w:rsid w:val="003F4C96"/>
    <w:rsid w:val="00401C49"/>
    <w:rsid w:val="00404CFE"/>
    <w:rsid w:val="00406002"/>
    <w:rsid w:val="00406AD3"/>
    <w:rsid w:val="00410731"/>
    <w:rsid w:val="00412E42"/>
    <w:rsid w:val="00413EC1"/>
    <w:rsid w:val="004147E7"/>
    <w:rsid w:val="00415776"/>
    <w:rsid w:val="0042112A"/>
    <w:rsid w:val="0042401D"/>
    <w:rsid w:val="00425534"/>
    <w:rsid w:val="00425C05"/>
    <w:rsid w:val="00426356"/>
    <w:rsid w:val="00426929"/>
    <w:rsid w:val="00433D11"/>
    <w:rsid w:val="00440108"/>
    <w:rsid w:val="00441A6D"/>
    <w:rsid w:val="00442C16"/>
    <w:rsid w:val="00445410"/>
    <w:rsid w:val="00446439"/>
    <w:rsid w:val="00450BDA"/>
    <w:rsid w:val="00453A3E"/>
    <w:rsid w:val="0045452F"/>
    <w:rsid w:val="0045766B"/>
    <w:rsid w:val="00457EA9"/>
    <w:rsid w:val="004618A2"/>
    <w:rsid w:val="0046444F"/>
    <w:rsid w:val="004700AF"/>
    <w:rsid w:val="004716E3"/>
    <w:rsid w:val="00474BB7"/>
    <w:rsid w:val="00476133"/>
    <w:rsid w:val="00476800"/>
    <w:rsid w:val="0047738E"/>
    <w:rsid w:val="00477816"/>
    <w:rsid w:val="004816D7"/>
    <w:rsid w:val="00482F63"/>
    <w:rsid w:val="0048342E"/>
    <w:rsid w:val="00487478"/>
    <w:rsid w:val="0048782D"/>
    <w:rsid w:val="00490873"/>
    <w:rsid w:val="0049415D"/>
    <w:rsid w:val="00494DC1"/>
    <w:rsid w:val="004A0149"/>
    <w:rsid w:val="004A3F56"/>
    <w:rsid w:val="004A4F1C"/>
    <w:rsid w:val="004A5E21"/>
    <w:rsid w:val="004A666A"/>
    <w:rsid w:val="004B143F"/>
    <w:rsid w:val="004B3022"/>
    <w:rsid w:val="004B49A0"/>
    <w:rsid w:val="004C6306"/>
    <w:rsid w:val="004C6F5E"/>
    <w:rsid w:val="004C7E94"/>
    <w:rsid w:val="004D4551"/>
    <w:rsid w:val="004D7CF8"/>
    <w:rsid w:val="004D7EDA"/>
    <w:rsid w:val="004E0E49"/>
    <w:rsid w:val="004E197A"/>
    <w:rsid w:val="004E5D52"/>
    <w:rsid w:val="004F07D7"/>
    <w:rsid w:val="004F10DD"/>
    <w:rsid w:val="004F1297"/>
    <w:rsid w:val="004F1362"/>
    <w:rsid w:val="004F16DB"/>
    <w:rsid w:val="004F4D7E"/>
    <w:rsid w:val="004F5B16"/>
    <w:rsid w:val="004F5D9D"/>
    <w:rsid w:val="004F68E5"/>
    <w:rsid w:val="004F7037"/>
    <w:rsid w:val="004F741B"/>
    <w:rsid w:val="00500F08"/>
    <w:rsid w:val="00503253"/>
    <w:rsid w:val="00503BB0"/>
    <w:rsid w:val="00503E03"/>
    <w:rsid w:val="00505EA0"/>
    <w:rsid w:val="00511F0B"/>
    <w:rsid w:val="00512226"/>
    <w:rsid w:val="00512B31"/>
    <w:rsid w:val="005147C6"/>
    <w:rsid w:val="005159B1"/>
    <w:rsid w:val="00522502"/>
    <w:rsid w:val="00522530"/>
    <w:rsid w:val="005255A1"/>
    <w:rsid w:val="00525825"/>
    <w:rsid w:val="0052641C"/>
    <w:rsid w:val="005311C2"/>
    <w:rsid w:val="0053795D"/>
    <w:rsid w:val="00544522"/>
    <w:rsid w:val="00545D37"/>
    <w:rsid w:val="005467E2"/>
    <w:rsid w:val="005468AB"/>
    <w:rsid w:val="005501A0"/>
    <w:rsid w:val="00550831"/>
    <w:rsid w:val="005525B0"/>
    <w:rsid w:val="00554273"/>
    <w:rsid w:val="005543F8"/>
    <w:rsid w:val="00557E0F"/>
    <w:rsid w:val="00560011"/>
    <w:rsid w:val="0056001A"/>
    <w:rsid w:val="005642B6"/>
    <w:rsid w:val="00566A97"/>
    <w:rsid w:val="00571D5E"/>
    <w:rsid w:val="005814CA"/>
    <w:rsid w:val="005823D0"/>
    <w:rsid w:val="00582D54"/>
    <w:rsid w:val="00583AAF"/>
    <w:rsid w:val="00585C4B"/>
    <w:rsid w:val="00587AF9"/>
    <w:rsid w:val="005962D5"/>
    <w:rsid w:val="005979D8"/>
    <w:rsid w:val="005A2748"/>
    <w:rsid w:val="005A443F"/>
    <w:rsid w:val="005A5215"/>
    <w:rsid w:val="005A7C26"/>
    <w:rsid w:val="005B0970"/>
    <w:rsid w:val="005B0E43"/>
    <w:rsid w:val="005B54F9"/>
    <w:rsid w:val="005B58D4"/>
    <w:rsid w:val="005B5B58"/>
    <w:rsid w:val="005B7DC9"/>
    <w:rsid w:val="005C07B3"/>
    <w:rsid w:val="005C284E"/>
    <w:rsid w:val="005C47D4"/>
    <w:rsid w:val="005D51D0"/>
    <w:rsid w:val="005D5EE0"/>
    <w:rsid w:val="005D6F83"/>
    <w:rsid w:val="005D7877"/>
    <w:rsid w:val="005D7CCF"/>
    <w:rsid w:val="005E04CF"/>
    <w:rsid w:val="005E58C4"/>
    <w:rsid w:val="005E5D8F"/>
    <w:rsid w:val="005F5A5C"/>
    <w:rsid w:val="005F5CD9"/>
    <w:rsid w:val="00602664"/>
    <w:rsid w:val="00602D66"/>
    <w:rsid w:val="00605E0F"/>
    <w:rsid w:val="0061135C"/>
    <w:rsid w:val="006136DD"/>
    <w:rsid w:val="00613872"/>
    <w:rsid w:val="006149F0"/>
    <w:rsid w:val="006220A5"/>
    <w:rsid w:val="00622D86"/>
    <w:rsid w:val="00624AC8"/>
    <w:rsid w:val="00633812"/>
    <w:rsid w:val="00633C60"/>
    <w:rsid w:val="0064126D"/>
    <w:rsid w:val="006451B8"/>
    <w:rsid w:val="00645722"/>
    <w:rsid w:val="0064661E"/>
    <w:rsid w:val="006509C3"/>
    <w:rsid w:val="00652432"/>
    <w:rsid w:val="00657840"/>
    <w:rsid w:val="0066003C"/>
    <w:rsid w:val="0066041E"/>
    <w:rsid w:val="006619BB"/>
    <w:rsid w:val="00673CCC"/>
    <w:rsid w:val="00675C98"/>
    <w:rsid w:val="0068154A"/>
    <w:rsid w:val="0068198B"/>
    <w:rsid w:val="0069026B"/>
    <w:rsid w:val="006956EA"/>
    <w:rsid w:val="00696C10"/>
    <w:rsid w:val="006A0D82"/>
    <w:rsid w:val="006A490C"/>
    <w:rsid w:val="006A5881"/>
    <w:rsid w:val="006A766E"/>
    <w:rsid w:val="006B4F7D"/>
    <w:rsid w:val="006B63B1"/>
    <w:rsid w:val="006C114C"/>
    <w:rsid w:val="006C3668"/>
    <w:rsid w:val="006C3864"/>
    <w:rsid w:val="006C5383"/>
    <w:rsid w:val="006C5E72"/>
    <w:rsid w:val="006D2AEC"/>
    <w:rsid w:val="006D438F"/>
    <w:rsid w:val="006D4B1C"/>
    <w:rsid w:val="006D4C8E"/>
    <w:rsid w:val="006E19D1"/>
    <w:rsid w:val="006E1CBB"/>
    <w:rsid w:val="006E4B27"/>
    <w:rsid w:val="006E5E7E"/>
    <w:rsid w:val="006E7C3C"/>
    <w:rsid w:val="006F100B"/>
    <w:rsid w:val="006F239A"/>
    <w:rsid w:val="006F2C9D"/>
    <w:rsid w:val="006F4201"/>
    <w:rsid w:val="006F4DB8"/>
    <w:rsid w:val="006F5A21"/>
    <w:rsid w:val="006F65CD"/>
    <w:rsid w:val="006F6B51"/>
    <w:rsid w:val="006F77FE"/>
    <w:rsid w:val="007048DB"/>
    <w:rsid w:val="0070637D"/>
    <w:rsid w:val="007071DD"/>
    <w:rsid w:val="0070771F"/>
    <w:rsid w:val="00712A14"/>
    <w:rsid w:val="00713208"/>
    <w:rsid w:val="00716260"/>
    <w:rsid w:val="00716C04"/>
    <w:rsid w:val="00717085"/>
    <w:rsid w:val="00717180"/>
    <w:rsid w:val="007179D2"/>
    <w:rsid w:val="00720750"/>
    <w:rsid w:val="0072446B"/>
    <w:rsid w:val="0072549C"/>
    <w:rsid w:val="00725A80"/>
    <w:rsid w:val="00726E61"/>
    <w:rsid w:val="0073102A"/>
    <w:rsid w:val="0073173F"/>
    <w:rsid w:val="00733970"/>
    <w:rsid w:val="00736800"/>
    <w:rsid w:val="007375FE"/>
    <w:rsid w:val="00741D0B"/>
    <w:rsid w:val="007452D7"/>
    <w:rsid w:val="00754C58"/>
    <w:rsid w:val="00755C33"/>
    <w:rsid w:val="0077436E"/>
    <w:rsid w:val="00776E78"/>
    <w:rsid w:val="0078138A"/>
    <w:rsid w:val="00782AFE"/>
    <w:rsid w:val="00783014"/>
    <w:rsid w:val="007834DC"/>
    <w:rsid w:val="007841AF"/>
    <w:rsid w:val="00790768"/>
    <w:rsid w:val="007959D8"/>
    <w:rsid w:val="0079630F"/>
    <w:rsid w:val="007A04C2"/>
    <w:rsid w:val="007A224E"/>
    <w:rsid w:val="007A4238"/>
    <w:rsid w:val="007A47D0"/>
    <w:rsid w:val="007B146A"/>
    <w:rsid w:val="007B57C9"/>
    <w:rsid w:val="007C0E7C"/>
    <w:rsid w:val="007C0EAA"/>
    <w:rsid w:val="007C19C3"/>
    <w:rsid w:val="007C44B2"/>
    <w:rsid w:val="007C54EE"/>
    <w:rsid w:val="007C6496"/>
    <w:rsid w:val="007C745E"/>
    <w:rsid w:val="007D0ABE"/>
    <w:rsid w:val="007E0E53"/>
    <w:rsid w:val="007E2476"/>
    <w:rsid w:val="007E356F"/>
    <w:rsid w:val="007E3F8C"/>
    <w:rsid w:val="007E40A9"/>
    <w:rsid w:val="007E7935"/>
    <w:rsid w:val="007F11A1"/>
    <w:rsid w:val="007F2058"/>
    <w:rsid w:val="007F41A3"/>
    <w:rsid w:val="007F7685"/>
    <w:rsid w:val="0080011D"/>
    <w:rsid w:val="00800EA5"/>
    <w:rsid w:val="00801C01"/>
    <w:rsid w:val="0080320A"/>
    <w:rsid w:val="008112CC"/>
    <w:rsid w:val="008130BB"/>
    <w:rsid w:val="00813D7D"/>
    <w:rsid w:val="008147C6"/>
    <w:rsid w:val="0081544C"/>
    <w:rsid w:val="00817406"/>
    <w:rsid w:val="008208A7"/>
    <w:rsid w:val="008237FA"/>
    <w:rsid w:val="00825D37"/>
    <w:rsid w:val="008369B0"/>
    <w:rsid w:val="008372D1"/>
    <w:rsid w:val="00837540"/>
    <w:rsid w:val="00843E77"/>
    <w:rsid w:val="00845C1E"/>
    <w:rsid w:val="0085732C"/>
    <w:rsid w:val="00860B45"/>
    <w:rsid w:val="00861F68"/>
    <w:rsid w:val="00863860"/>
    <w:rsid w:val="008638B5"/>
    <w:rsid w:val="00863A7D"/>
    <w:rsid w:val="00866B47"/>
    <w:rsid w:val="008734DB"/>
    <w:rsid w:val="0087390B"/>
    <w:rsid w:val="008745A1"/>
    <w:rsid w:val="008768E9"/>
    <w:rsid w:val="0087751B"/>
    <w:rsid w:val="00890995"/>
    <w:rsid w:val="008914FB"/>
    <w:rsid w:val="00892516"/>
    <w:rsid w:val="0089737A"/>
    <w:rsid w:val="00897E99"/>
    <w:rsid w:val="00897F60"/>
    <w:rsid w:val="008A1AC7"/>
    <w:rsid w:val="008A4829"/>
    <w:rsid w:val="008B2384"/>
    <w:rsid w:val="008B38D6"/>
    <w:rsid w:val="008B4802"/>
    <w:rsid w:val="008B5CFA"/>
    <w:rsid w:val="008B6020"/>
    <w:rsid w:val="008B69E3"/>
    <w:rsid w:val="008C0B8C"/>
    <w:rsid w:val="008C1FD1"/>
    <w:rsid w:val="008C24A8"/>
    <w:rsid w:val="008C35EF"/>
    <w:rsid w:val="008C5996"/>
    <w:rsid w:val="008C718A"/>
    <w:rsid w:val="008D080B"/>
    <w:rsid w:val="008D4FA9"/>
    <w:rsid w:val="008D5A11"/>
    <w:rsid w:val="008D5E23"/>
    <w:rsid w:val="008D6789"/>
    <w:rsid w:val="008D6A0B"/>
    <w:rsid w:val="008D77AF"/>
    <w:rsid w:val="008E6D59"/>
    <w:rsid w:val="008F30C7"/>
    <w:rsid w:val="008F4527"/>
    <w:rsid w:val="008F5C72"/>
    <w:rsid w:val="008F5D66"/>
    <w:rsid w:val="009028AA"/>
    <w:rsid w:val="00903E3F"/>
    <w:rsid w:val="009049C3"/>
    <w:rsid w:val="00904AB8"/>
    <w:rsid w:val="009057D9"/>
    <w:rsid w:val="0090774A"/>
    <w:rsid w:val="00910D07"/>
    <w:rsid w:val="00914B2F"/>
    <w:rsid w:val="009150E6"/>
    <w:rsid w:val="00916290"/>
    <w:rsid w:val="00917F89"/>
    <w:rsid w:val="009223BE"/>
    <w:rsid w:val="0092499B"/>
    <w:rsid w:val="009255EE"/>
    <w:rsid w:val="00925603"/>
    <w:rsid w:val="00925F76"/>
    <w:rsid w:val="00925FCE"/>
    <w:rsid w:val="00927366"/>
    <w:rsid w:val="00932E89"/>
    <w:rsid w:val="0093359D"/>
    <w:rsid w:val="00933F2B"/>
    <w:rsid w:val="00942EEB"/>
    <w:rsid w:val="0094468E"/>
    <w:rsid w:val="00944B6E"/>
    <w:rsid w:val="00945261"/>
    <w:rsid w:val="00947377"/>
    <w:rsid w:val="009506A5"/>
    <w:rsid w:val="00951452"/>
    <w:rsid w:val="009541CC"/>
    <w:rsid w:val="00956564"/>
    <w:rsid w:val="009567A6"/>
    <w:rsid w:val="00956D5A"/>
    <w:rsid w:val="00961B2C"/>
    <w:rsid w:val="00961DBB"/>
    <w:rsid w:val="00963D2B"/>
    <w:rsid w:val="0096618E"/>
    <w:rsid w:val="00973403"/>
    <w:rsid w:val="009758AE"/>
    <w:rsid w:val="00980FA6"/>
    <w:rsid w:val="00981433"/>
    <w:rsid w:val="0098222F"/>
    <w:rsid w:val="0098244F"/>
    <w:rsid w:val="00983122"/>
    <w:rsid w:val="00985C07"/>
    <w:rsid w:val="00995B4F"/>
    <w:rsid w:val="00995FA3"/>
    <w:rsid w:val="00997582"/>
    <w:rsid w:val="009A2C21"/>
    <w:rsid w:val="009A3E58"/>
    <w:rsid w:val="009A4F88"/>
    <w:rsid w:val="009A5F02"/>
    <w:rsid w:val="009A7AB1"/>
    <w:rsid w:val="009B4B02"/>
    <w:rsid w:val="009B5057"/>
    <w:rsid w:val="009B70E6"/>
    <w:rsid w:val="009C452B"/>
    <w:rsid w:val="009C6DAA"/>
    <w:rsid w:val="009D0E74"/>
    <w:rsid w:val="009D1A96"/>
    <w:rsid w:val="009D370B"/>
    <w:rsid w:val="009D684B"/>
    <w:rsid w:val="009D7EE0"/>
    <w:rsid w:val="009E2087"/>
    <w:rsid w:val="009E252B"/>
    <w:rsid w:val="009E3265"/>
    <w:rsid w:val="009E3353"/>
    <w:rsid w:val="009E3690"/>
    <w:rsid w:val="009E446D"/>
    <w:rsid w:val="009E7C09"/>
    <w:rsid w:val="009F146D"/>
    <w:rsid w:val="009F4F1E"/>
    <w:rsid w:val="009F5D6A"/>
    <w:rsid w:val="009F66F5"/>
    <w:rsid w:val="00A015E4"/>
    <w:rsid w:val="00A075BC"/>
    <w:rsid w:val="00A11222"/>
    <w:rsid w:val="00A12C39"/>
    <w:rsid w:val="00A134FB"/>
    <w:rsid w:val="00A162FE"/>
    <w:rsid w:val="00A20802"/>
    <w:rsid w:val="00A22FCB"/>
    <w:rsid w:val="00A25B4F"/>
    <w:rsid w:val="00A261B3"/>
    <w:rsid w:val="00A27E8B"/>
    <w:rsid w:val="00A311CF"/>
    <w:rsid w:val="00A41BDE"/>
    <w:rsid w:val="00A442BF"/>
    <w:rsid w:val="00A517D0"/>
    <w:rsid w:val="00A51B96"/>
    <w:rsid w:val="00A53716"/>
    <w:rsid w:val="00A5514B"/>
    <w:rsid w:val="00A5629E"/>
    <w:rsid w:val="00A64832"/>
    <w:rsid w:val="00A71AB6"/>
    <w:rsid w:val="00A732DB"/>
    <w:rsid w:val="00A75338"/>
    <w:rsid w:val="00A80A26"/>
    <w:rsid w:val="00A80C8F"/>
    <w:rsid w:val="00A838D2"/>
    <w:rsid w:val="00A86F04"/>
    <w:rsid w:val="00A946C4"/>
    <w:rsid w:val="00AA1311"/>
    <w:rsid w:val="00AA478E"/>
    <w:rsid w:val="00AA7D93"/>
    <w:rsid w:val="00AB137D"/>
    <w:rsid w:val="00AC01F8"/>
    <w:rsid w:val="00AC059A"/>
    <w:rsid w:val="00AC3BE3"/>
    <w:rsid w:val="00AC41CF"/>
    <w:rsid w:val="00AD0308"/>
    <w:rsid w:val="00AD377A"/>
    <w:rsid w:val="00AD67BB"/>
    <w:rsid w:val="00AE0B39"/>
    <w:rsid w:val="00AE1CC1"/>
    <w:rsid w:val="00AE36FD"/>
    <w:rsid w:val="00AE3EA4"/>
    <w:rsid w:val="00AE51FE"/>
    <w:rsid w:val="00AF1B02"/>
    <w:rsid w:val="00AF41E4"/>
    <w:rsid w:val="00AF568A"/>
    <w:rsid w:val="00B0393A"/>
    <w:rsid w:val="00B05262"/>
    <w:rsid w:val="00B06A75"/>
    <w:rsid w:val="00B06BC3"/>
    <w:rsid w:val="00B15A0F"/>
    <w:rsid w:val="00B17FB2"/>
    <w:rsid w:val="00B20236"/>
    <w:rsid w:val="00B20937"/>
    <w:rsid w:val="00B20A61"/>
    <w:rsid w:val="00B220A0"/>
    <w:rsid w:val="00B22B64"/>
    <w:rsid w:val="00B22D72"/>
    <w:rsid w:val="00B22FEA"/>
    <w:rsid w:val="00B24321"/>
    <w:rsid w:val="00B24DA8"/>
    <w:rsid w:val="00B30FEB"/>
    <w:rsid w:val="00B3108D"/>
    <w:rsid w:val="00B311BA"/>
    <w:rsid w:val="00B32FB3"/>
    <w:rsid w:val="00B35B47"/>
    <w:rsid w:val="00B40AA3"/>
    <w:rsid w:val="00B43AF9"/>
    <w:rsid w:val="00B44478"/>
    <w:rsid w:val="00B4609C"/>
    <w:rsid w:val="00B508DA"/>
    <w:rsid w:val="00B538BA"/>
    <w:rsid w:val="00B57270"/>
    <w:rsid w:val="00B6002C"/>
    <w:rsid w:val="00B620EE"/>
    <w:rsid w:val="00B80FB4"/>
    <w:rsid w:val="00B85366"/>
    <w:rsid w:val="00B87F60"/>
    <w:rsid w:val="00B9079B"/>
    <w:rsid w:val="00B93B5E"/>
    <w:rsid w:val="00B93D3D"/>
    <w:rsid w:val="00B96341"/>
    <w:rsid w:val="00BA471F"/>
    <w:rsid w:val="00BB31D2"/>
    <w:rsid w:val="00BB4752"/>
    <w:rsid w:val="00BB5013"/>
    <w:rsid w:val="00BB528E"/>
    <w:rsid w:val="00BB615A"/>
    <w:rsid w:val="00BB78CD"/>
    <w:rsid w:val="00BB7C1C"/>
    <w:rsid w:val="00BC11EC"/>
    <w:rsid w:val="00BC2600"/>
    <w:rsid w:val="00BC36F0"/>
    <w:rsid w:val="00BC3E99"/>
    <w:rsid w:val="00BC4FA7"/>
    <w:rsid w:val="00BC5E30"/>
    <w:rsid w:val="00BD00ED"/>
    <w:rsid w:val="00BD02C5"/>
    <w:rsid w:val="00BD068D"/>
    <w:rsid w:val="00BE0D9A"/>
    <w:rsid w:val="00BE1A50"/>
    <w:rsid w:val="00BE2F0D"/>
    <w:rsid w:val="00BE5E2E"/>
    <w:rsid w:val="00BF0BD5"/>
    <w:rsid w:val="00BF0D35"/>
    <w:rsid w:val="00BF55F8"/>
    <w:rsid w:val="00C051FD"/>
    <w:rsid w:val="00C05C1A"/>
    <w:rsid w:val="00C10351"/>
    <w:rsid w:val="00C12B20"/>
    <w:rsid w:val="00C1744F"/>
    <w:rsid w:val="00C20C7D"/>
    <w:rsid w:val="00C20DEF"/>
    <w:rsid w:val="00C24B25"/>
    <w:rsid w:val="00C24E89"/>
    <w:rsid w:val="00C32C2F"/>
    <w:rsid w:val="00C3738A"/>
    <w:rsid w:val="00C40859"/>
    <w:rsid w:val="00C4315A"/>
    <w:rsid w:val="00C43F5E"/>
    <w:rsid w:val="00C44074"/>
    <w:rsid w:val="00C4651F"/>
    <w:rsid w:val="00C51D0B"/>
    <w:rsid w:val="00C52207"/>
    <w:rsid w:val="00C52A50"/>
    <w:rsid w:val="00C642D4"/>
    <w:rsid w:val="00C66AF6"/>
    <w:rsid w:val="00C730F4"/>
    <w:rsid w:val="00C74311"/>
    <w:rsid w:val="00C759D5"/>
    <w:rsid w:val="00C75D21"/>
    <w:rsid w:val="00C75E3A"/>
    <w:rsid w:val="00C80200"/>
    <w:rsid w:val="00C80E0A"/>
    <w:rsid w:val="00C8270B"/>
    <w:rsid w:val="00C841A9"/>
    <w:rsid w:val="00C8728F"/>
    <w:rsid w:val="00C91D48"/>
    <w:rsid w:val="00C97FBC"/>
    <w:rsid w:val="00CA06C8"/>
    <w:rsid w:val="00CA0B7E"/>
    <w:rsid w:val="00CA37B6"/>
    <w:rsid w:val="00CA4C28"/>
    <w:rsid w:val="00CA4E33"/>
    <w:rsid w:val="00CA5598"/>
    <w:rsid w:val="00CA5EF8"/>
    <w:rsid w:val="00CB28A3"/>
    <w:rsid w:val="00CB3B0B"/>
    <w:rsid w:val="00CB6A60"/>
    <w:rsid w:val="00CB73EC"/>
    <w:rsid w:val="00CC00A0"/>
    <w:rsid w:val="00CC0FED"/>
    <w:rsid w:val="00CC3C34"/>
    <w:rsid w:val="00CC5455"/>
    <w:rsid w:val="00CC6C06"/>
    <w:rsid w:val="00CD1526"/>
    <w:rsid w:val="00CD1546"/>
    <w:rsid w:val="00CD2807"/>
    <w:rsid w:val="00CD5509"/>
    <w:rsid w:val="00CE0215"/>
    <w:rsid w:val="00CE0BF4"/>
    <w:rsid w:val="00CE1C45"/>
    <w:rsid w:val="00CE1EB0"/>
    <w:rsid w:val="00CE3DF2"/>
    <w:rsid w:val="00CF04D5"/>
    <w:rsid w:val="00CF0C0F"/>
    <w:rsid w:val="00CF1690"/>
    <w:rsid w:val="00CF1F2A"/>
    <w:rsid w:val="00CF3A6B"/>
    <w:rsid w:val="00CF4161"/>
    <w:rsid w:val="00CF5CE3"/>
    <w:rsid w:val="00CF7412"/>
    <w:rsid w:val="00D030F8"/>
    <w:rsid w:val="00D077B7"/>
    <w:rsid w:val="00D1545E"/>
    <w:rsid w:val="00D1734F"/>
    <w:rsid w:val="00D20297"/>
    <w:rsid w:val="00D206A3"/>
    <w:rsid w:val="00D21E6B"/>
    <w:rsid w:val="00D2336A"/>
    <w:rsid w:val="00D23634"/>
    <w:rsid w:val="00D30FC5"/>
    <w:rsid w:val="00D34551"/>
    <w:rsid w:val="00D36D27"/>
    <w:rsid w:val="00D41664"/>
    <w:rsid w:val="00D4569D"/>
    <w:rsid w:val="00D457D6"/>
    <w:rsid w:val="00D473CC"/>
    <w:rsid w:val="00D64CE2"/>
    <w:rsid w:val="00D661D4"/>
    <w:rsid w:val="00D702E1"/>
    <w:rsid w:val="00D719B9"/>
    <w:rsid w:val="00D7270F"/>
    <w:rsid w:val="00D7596A"/>
    <w:rsid w:val="00D76C50"/>
    <w:rsid w:val="00D7751B"/>
    <w:rsid w:val="00D77F4A"/>
    <w:rsid w:val="00D815DC"/>
    <w:rsid w:val="00D822B5"/>
    <w:rsid w:val="00D83D3C"/>
    <w:rsid w:val="00D867AE"/>
    <w:rsid w:val="00D87BBB"/>
    <w:rsid w:val="00D87C87"/>
    <w:rsid w:val="00D921C4"/>
    <w:rsid w:val="00D9296A"/>
    <w:rsid w:val="00D93C23"/>
    <w:rsid w:val="00D95291"/>
    <w:rsid w:val="00D95638"/>
    <w:rsid w:val="00D9584C"/>
    <w:rsid w:val="00D97180"/>
    <w:rsid w:val="00D97C79"/>
    <w:rsid w:val="00DA14D9"/>
    <w:rsid w:val="00DA5453"/>
    <w:rsid w:val="00DB13AD"/>
    <w:rsid w:val="00DB23F9"/>
    <w:rsid w:val="00DB58BE"/>
    <w:rsid w:val="00DB602E"/>
    <w:rsid w:val="00DB6176"/>
    <w:rsid w:val="00DB6AA0"/>
    <w:rsid w:val="00DB7C3A"/>
    <w:rsid w:val="00DC54B3"/>
    <w:rsid w:val="00DD14EE"/>
    <w:rsid w:val="00DD281D"/>
    <w:rsid w:val="00DD32AB"/>
    <w:rsid w:val="00DD5BF6"/>
    <w:rsid w:val="00DD64DC"/>
    <w:rsid w:val="00DE1865"/>
    <w:rsid w:val="00DE64BE"/>
    <w:rsid w:val="00DE6CEF"/>
    <w:rsid w:val="00DE71C9"/>
    <w:rsid w:val="00DF11C2"/>
    <w:rsid w:val="00DF2134"/>
    <w:rsid w:val="00DF3096"/>
    <w:rsid w:val="00DF4593"/>
    <w:rsid w:val="00DF64E0"/>
    <w:rsid w:val="00E0114C"/>
    <w:rsid w:val="00E10D05"/>
    <w:rsid w:val="00E20E4D"/>
    <w:rsid w:val="00E2223E"/>
    <w:rsid w:val="00E22D98"/>
    <w:rsid w:val="00E23FA4"/>
    <w:rsid w:val="00E24623"/>
    <w:rsid w:val="00E24A7F"/>
    <w:rsid w:val="00E24CB7"/>
    <w:rsid w:val="00E252E3"/>
    <w:rsid w:val="00E25B1B"/>
    <w:rsid w:val="00E262A4"/>
    <w:rsid w:val="00E360EE"/>
    <w:rsid w:val="00E40505"/>
    <w:rsid w:val="00E42A41"/>
    <w:rsid w:val="00E45766"/>
    <w:rsid w:val="00E45AC5"/>
    <w:rsid w:val="00E45EBD"/>
    <w:rsid w:val="00E532A4"/>
    <w:rsid w:val="00E563C5"/>
    <w:rsid w:val="00E567E5"/>
    <w:rsid w:val="00E64480"/>
    <w:rsid w:val="00E65807"/>
    <w:rsid w:val="00E66103"/>
    <w:rsid w:val="00E6708B"/>
    <w:rsid w:val="00E720DA"/>
    <w:rsid w:val="00E73611"/>
    <w:rsid w:val="00E73A8C"/>
    <w:rsid w:val="00E75050"/>
    <w:rsid w:val="00E75A66"/>
    <w:rsid w:val="00E75D5E"/>
    <w:rsid w:val="00E76F42"/>
    <w:rsid w:val="00E77D6D"/>
    <w:rsid w:val="00E847AA"/>
    <w:rsid w:val="00E915E6"/>
    <w:rsid w:val="00EA2FFF"/>
    <w:rsid w:val="00EA3E11"/>
    <w:rsid w:val="00EA6EB3"/>
    <w:rsid w:val="00EB4A8E"/>
    <w:rsid w:val="00EB4AB3"/>
    <w:rsid w:val="00EB5EF3"/>
    <w:rsid w:val="00EB62F7"/>
    <w:rsid w:val="00EB664D"/>
    <w:rsid w:val="00EB695D"/>
    <w:rsid w:val="00EB7C6D"/>
    <w:rsid w:val="00EC0544"/>
    <w:rsid w:val="00EC38F3"/>
    <w:rsid w:val="00EC4241"/>
    <w:rsid w:val="00EC4D3A"/>
    <w:rsid w:val="00ED00E4"/>
    <w:rsid w:val="00ED0404"/>
    <w:rsid w:val="00ED04B2"/>
    <w:rsid w:val="00ED1407"/>
    <w:rsid w:val="00ED39CE"/>
    <w:rsid w:val="00ED4134"/>
    <w:rsid w:val="00ED7A9F"/>
    <w:rsid w:val="00EE05F1"/>
    <w:rsid w:val="00EE3226"/>
    <w:rsid w:val="00EE471A"/>
    <w:rsid w:val="00EE5492"/>
    <w:rsid w:val="00EE583A"/>
    <w:rsid w:val="00EF0A00"/>
    <w:rsid w:val="00EF7395"/>
    <w:rsid w:val="00F0183C"/>
    <w:rsid w:val="00F0379D"/>
    <w:rsid w:val="00F03C79"/>
    <w:rsid w:val="00F04AFB"/>
    <w:rsid w:val="00F04E5B"/>
    <w:rsid w:val="00F07BD5"/>
    <w:rsid w:val="00F122D6"/>
    <w:rsid w:val="00F15BF4"/>
    <w:rsid w:val="00F171E0"/>
    <w:rsid w:val="00F17940"/>
    <w:rsid w:val="00F17DC0"/>
    <w:rsid w:val="00F2046C"/>
    <w:rsid w:val="00F20647"/>
    <w:rsid w:val="00F207FC"/>
    <w:rsid w:val="00F274DB"/>
    <w:rsid w:val="00F31392"/>
    <w:rsid w:val="00F348B5"/>
    <w:rsid w:val="00F3652B"/>
    <w:rsid w:val="00F36D95"/>
    <w:rsid w:val="00F377B9"/>
    <w:rsid w:val="00F44DB4"/>
    <w:rsid w:val="00F45442"/>
    <w:rsid w:val="00F5145E"/>
    <w:rsid w:val="00F558EA"/>
    <w:rsid w:val="00F5681C"/>
    <w:rsid w:val="00F6045D"/>
    <w:rsid w:val="00F613CB"/>
    <w:rsid w:val="00F61F79"/>
    <w:rsid w:val="00F64CEA"/>
    <w:rsid w:val="00F651DD"/>
    <w:rsid w:val="00F656A4"/>
    <w:rsid w:val="00F6665E"/>
    <w:rsid w:val="00F7075F"/>
    <w:rsid w:val="00F71D76"/>
    <w:rsid w:val="00F72F8D"/>
    <w:rsid w:val="00F8349F"/>
    <w:rsid w:val="00F83FB7"/>
    <w:rsid w:val="00F85935"/>
    <w:rsid w:val="00F85D29"/>
    <w:rsid w:val="00F969D3"/>
    <w:rsid w:val="00F9789E"/>
    <w:rsid w:val="00FA190E"/>
    <w:rsid w:val="00FA54D8"/>
    <w:rsid w:val="00FB460E"/>
    <w:rsid w:val="00FC4FB7"/>
    <w:rsid w:val="00FC6998"/>
    <w:rsid w:val="00FD1EE0"/>
    <w:rsid w:val="00FD357B"/>
    <w:rsid w:val="00FD38FC"/>
    <w:rsid w:val="00FD4972"/>
    <w:rsid w:val="00FD6119"/>
    <w:rsid w:val="00FD688E"/>
    <w:rsid w:val="00FD7C0C"/>
    <w:rsid w:val="00FE045C"/>
    <w:rsid w:val="00FE0C52"/>
    <w:rsid w:val="00FE1692"/>
    <w:rsid w:val="00FE3069"/>
    <w:rsid w:val="00FE3B13"/>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footer" w:uiPriority="3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9B70E6"/>
    <w:pPr>
      <w:keepNext/>
      <w:keepLines/>
      <w:numPr>
        <w:numId w:val="10"/>
      </w:numPr>
      <w:tabs>
        <w:tab w:val="right" w:pos="1418"/>
        <w:tab w:val="right" w:pos="1701"/>
        <w:tab w:val="right" w:pos="1985"/>
      </w:tabs>
      <w:spacing w:before="360" w:after="180"/>
      <w:outlineLvl w:val="0"/>
    </w:pPr>
    <w:rPr>
      <w:rFonts w:ascii="Calibri" w:hAnsi="Calibri"/>
      <w:bCs/>
      <w:color w:val="2B3B5F" w:themeColor="text2"/>
      <w:spacing w:val="-6"/>
      <w:kern w:val="32"/>
      <w:sz w:val="30"/>
      <w:szCs w:val="32"/>
    </w:rPr>
  </w:style>
  <w:style w:type="paragraph" w:styleId="Heading2">
    <w:name w:val="heading 2"/>
    <w:basedOn w:val="Normal"/>
    <w:next w:val="BodyText"/>
    <w:link w:val="Heading2Char"/>
    <w:uiPriority w:val="2"/>
    <w:qFormat/>
    <w:rsid w:val="00602D66"/>
    <w:pPr>
      <w:keepNext/>
      <w:keepLines/>
      <w:numPr>
        <w:ilvl w:val="1"/>
        <w:numId w:val="10"/>
      </w:numPr>
      <w:tabs>
        <w:tab w:val="left" w:pos="1418"/>
        <w:tab w:val="left" w:pos="1701"/>
        <w:tab w:val="left" w:pos="1985"/>
      </w:tabs>
      <w:spacing w:before="360" w:after="120"/>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10074"/>
    <w:pPr>
      <w:keepNext/>
      <w:keepLines/>
      <w:numPr>
        <w:numId w:val="1"/>
      </w:numPr>
      <w:tabs>
        <w:tab w:val="left" w:pos="4536"/>
      </w:tabs>
      <w:spacing w:after="240"/>
      <w:outlineLvl w:val="7"/>
    </w:pPr>
    <w:rPr>
      <w:rFonts w:ascii="Calibri" w:eastAsiaTheme="majorEastAsia" w:hAnsi="Calibri" w:cstheme="majorBidi"/>
      <w:color w:val="2B3B5F" w:themeColor="text2"/>
      <w:sz w:val="30"/>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9B70E6"/>
    <w:rPr>
      <w:rFonts w:ascii="Calibri" w:hAnsi="Calibri"/>
      <w:bCs/>
      <w:color w:val="2B3B5F" w:themeColor="text2"/>
      <w:spacing w:val="-6"/>
      <w:kern w:val="32"/>
      <w:sz w:val="30"/>
      <w:szCs w:val="32"/>
    </w:rPr>
  </w:style>
  <w:style w:type="character" w:customStyle="1" w:styleId="Heading2Char">
    <w:name w:val="Heading 2 Char"/>
    <w:basedOn w:val="DefaultParagraphFont"/>
    <w:link w:val="Heading2"/>
    <w:uiPriority w:val="2"/>
    <w:rsid w:val="00602D66"/>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210074"/>
    <w:rPr>
      <w:rFonts w:ascii="Calibri" w:eastAsiaTheme="majorEastAsia" w:hAnsi="Calibri" w:cstheme="majorBidi"/>
      <w:color w:val="2B3B5F" w:themeColor="text2"/>
      <w:sz w:val="30"/>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602D66"/>
    <w:pPr>
      <w:keepNext/>
      <w:spacing w:before="240" w:after="120"/>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6F4DB8"/>
    <w:pPr>
      <w:numPr>
        <w:ilvl w:val="1"/>
      </w:numPr>
      <w:tabs>
        <w:tab w:val="clear" w:pos="907"/>
        <w:tab w:val="num" w:pos="567"/>
      </w:tabs>
      <w:ind w:left="567" w:hanging="283"/>
    </w:pPr>
  </w:style>
  <w:style w:type="paragraph" w:styleId="ListBullet3">
    <w:name w:val="List Bullet 3"/>
    <w:basedOn w:val="ListBullet2"/>
    <w:uiPriority w:val="9"/>
    <w:qFormat/>
    <w:rsid w:val="006F4DB8"/>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link w:val="PullOutBoxHeadingChar"/>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2B3B5F"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
    <w:name w:val="Footnote"/>
    <w:basedOn w:val="FootnoteText"/>
    <w:link w:val="FootnoteChar"/>
    <w:uiPriority w:val="39"/>
    <w:qFormat/>
    <w:rsid w:val="007E2476"/>
    <w:pPr>
      <w:ind w:left="11" w:hanging="11"/>
    </w:pPr>
  </w:style>
  <w:style w:type="character" w:customStyle="1" w:styleId="FootnoteChar">
    <w:name w:val="Footnote Char"/>
    <w:basedOn w:val="FootnoteTextChar"/>
    <w:link w:val="Footnote"/>
    <w:uiPriority w:val="39"/>
    <w:rsid w:val="007E2476"/>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footer" w:uiPriority="3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9B70E6"/>
    <w:pPr>
      <w:keepNext/>
      <w:keepLines/>
      <w:numPr>
        <w:numId w:val="10"/>
      </w:numPr>
      <w:tabs>
        <w:tab w:val="right" w:pos="1418"/>
        <w:tab w:val="right" w:pos="1701"/>
        <w:tab w:val="right" w:pos="1985"/>
      </w:tabs>
      <w:spacing w:before="360" w:after="180"/>
      <w:outlineLvl w:val="0"/>
    </w:pPr>
    <w:rPr>
      <w:rFonts w:ascii="Calibri" w:hAnsi="Calibri"/>
      <w:bCs/>
      <w:color w:val="2B3B5F" w:themeColor="text2"/>
      <w:spacing w:val="-6"/>
      <w:kern w:val="32"/>
      <w:sz w:val="30"/>
      <w:szCs w:val="32"/>
    </w:rPr>
  </w:style>
  <w:style w:type="paragraph" w:styleId="Heading2">
    <w:name w:val="heading 2"/>
    <w:basedOn w:val="Normal"/>
    <w:next w:val="BodyText"/>
    <w:link w:val="Heading2Char"/>
    <w:uiPriority w:val="2"/>
    <w:qFormat/>
    <w:rsid w:val="00602D66"/>
    <w:pPr>
      <w:keepNext/>
      <w:keepLines/>
      <w:numPr>
        <w:ilvl w:val="1"/>
        <w:numId w:val="10"/>
      </w:numPr>
      <w:tabs>
        <w:tab w:val="left" w:pos="1418"/>
        <w:tab w:val="left" w:pos="1701"/>
        <w:tab w:val="left" w:pos="1985"/>
      </w:tabs>
      <w:spacing w:before="360" w:after="120"/>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10074"/>
    <w:pPr>
      <w:keepNext/>
      <w:keepLines/>
      <w:numPr>
        <w:numId w:val="1"/>
      </w:numPr>
      <w:tabs>
        <w:tab w:val="left" w:pos="4536"/>
      </w:tabs>
      <w:spacing w:after="240"/>
      <w:outlineLvl w:val="7"/>
    </w:pPr>
    <w:rPr>
      <w:rFonts w:ascii="Calibri" w:eastAsiaTheme="majorEastAsia" w:hAnsi="Calibri" w:cstheme="majorBidi"/>
      <w:color w:val="2B3B5F" w:themeColor="text2"/>
      <w:sz w:val="30"/>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9B70E6"/>
    <w:rPr>
      <w:rFonts w:ascii="Calibri" w:hAnsi="Calibri"/>
      <w:bCs/>
      <w:color w:val="2B3B5F" w:themeColor="text2"/>
      <w:spacing w:val="-6"/>
      <w:kern w:val="32"/>
      <w:sz w:val="30"/>
      <w:szCs w:val="32"/>
    </w:rPr>
  </w:style>
  <w:style w:type="character" w:customStyle="1" w:styleId="Heading2Char">
    <w:name w:val="Heading 2 Char"/>
    <w:basedOn w:val="DefaultParagraphFont"/>
    <w:link w:val="Heading2"/>
    <w:uiPriority w:val="2"/>
    <w:rsid w:val="00602D66"/>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210074"/>
    <w:rPr>
      <w:rFonts w:ascii="Calibri" w:eastAsiaTheme="majorEastAsia" w:hAnsi="Calibri" w:cstheme="majorBidi"/>
      <w:color w:val="2B3B5F" w:themeColor="text2"/>
      <w:sz w:val="30"/>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602D66"/>
    <w:pPr>
      <w:keepNext/>
      <w:spacing w:before="240" w:after="120"/>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6F4DB8"/>
    <w:pPr>
      <w:numPr>
        <w:ilvl w:val="1"/>
      </w:numPr>
      <w:tabs>
        <w:tab w:val="clear" w:pos="907"/>
        <w:tab w:val="num" w:pos="567"/>
      </w:tabs>
      <w:ind w:left="567" w:hanging="283"/>
    </w:pPr>
  </w:style>
  <w:style w:type="paragraph" w:styleId="ListBullet3">
    <w:name w:val="List Bullet 3"/>
    <w:basedOn w:val="ListBullet2"/>
    <w:uiPriority w:val="9"/>
    <w:qFormat/>
    <w:rsid w:val="006F4DB8"/>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link w:val="PullOutBoxHeadingChar"/>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2B3B5F"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
    <w:name w:val="Footnote"/>
    <w:basedOn w:val="FootnoteText"/>
    <w:link w:val="FootnoteChar"/>
    <w:uiPriority w:val="39"/>
    <w:qFormat/>
    <w:rsid w:val="007E2476"/>
    <w:pPr>
      <w:ind w:left="11" w:hanging="11"/>
    </w:pPr>
  </w:style>
  <w:style w:type="character" w:customStyle="1" w:styleId="FootnoteChar">
    <w:name w:val="Footnote Char"/>
    <w:basedOn w:val="FootnoteTextChar"/>
    <w:link w:val="Footnote"/>
    <w:uiPriority w:val="39"/>
    <w:rsid w:val="007E2476"/>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094783760">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pbo.gov.au"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CLC%20and%20CM%20&#8211;%20RBA.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31564A3C-6187-410A-BCE6-B3C390F5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 and CM – RBA.dotm</Template>
  <TotalTime>19</TotalTime>
  <Pages>7</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PBO@pbo.gov.au</dc:creator>
  <cp:lastModifiedBy>Pratley, Lauren (PBO)</cp:lastModifiedBy>
  <cp:revision>5</cp:revision>
  <cp:lastPrinted>2018-06-13T04:05:00Z</cp:lastPrinted>
  <dcterms:created xsi:type="dcterms:W3CDTF">2018-06-13T23:40:00Z</dcterms:created>
  <dcterms:modified xsi:type="dcterms:W3CDTF">2018-06-14T01:03:00Z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