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664" w:rsidRPr="00482F63" w:rsidRDefault="00602664" w:rsidP="00482F63">
      <w:pPr>
        <w:pStyle w:val="Heading1spacebefore"/>
        <w:spacing w:before="680" w:after="340"/>
      </w:pPr>
      <w:r w:rsidRPr="00482F63">
        <w:t>Policy costing—outside the caretaker period</w:t>
      </w:r>
    </w:p>
    <w:tbl>
      <w:tblPr>
        <w:tblStyle w:val="LightGrid-Accent6"/>
        <w:tblW w:w="5000" w:type="pct"/>
        <w:tblLook w:val="0600" w:firstRow="0" w:lastRow="0" w:firstColumn="0" w:lastColumn="0" w:noHBand="1" w:noVBand="1"/>
      </w:tblPr>
      <w:tblGrid>
        <w:gridCol w:w="3085"/>
        <w:gridCol w:w="1276"/>
        <w:gridCol w:w="4167"/>
      </w:tblGrid>
      <w:tr w:rsidR="0098222F" w:rsidRPr="008D77AF" w:rsidTr="008112CC">
        <w:tc>
          <w:tcPr>
            <w:tcW w:w="1809" w:type="pct"/>
            <w:shd w:val="clear" w:color="auto" w:fill="D7DDE9" w:themeFill="accent3"/>
          </w:tcPr>
          <w:p w:rsidR="0098222F" w:rsidRPr="008D77AF" w:rsidRDefault="0098222F" w:rsidP="0098222F">
            <w:pPr>
              <w:pStyle w:val="PullOutBoxHeading"/>
            </w:pPr>
            <w:r w:rsidRPr="008D77AF">
              <w:t>Name of proposal:</w:t>
            </w:r>
          </w:p>
        </w:tc>
        <w:tc>
          <w:tcPr>
            <w:tcW w:w="3191" w:type="pct"/>
            <w:gridSpan w:val="2"/>
            <w:shd w:val="clear" w:color="auto" w:fill="D7DDE9" w:themeFill="accent3"/>
          </w:tcPr>
          <w:p w:rsidR="004B3022" w:rsidRPr="008D77AF" w:rsidRDefault="0072346A" w:rsidP="006F04EF">
            <w:pPr>
              <w:pStyle w:val="PullOutBoxHeading"/>
            </w:pPr>
            <w:r>
              <w:t>GST-</w:t>
            </w:r>
            <w:r w:rsidR="006F04EF">
              <w:t>Free Electricity</w:t>
            </w:r>
          </w:p>
        </w:tc>
      </w:tr>
      <w:tr w:rsidR="0098222F" w:rsidRPr="008D77AF" w:rsidTr="008112CC">
        <w:tc>
          <w:tcPr>
            <w:tcW w:w="1809" w:type="pct"/>
          </w:tcPr>
          <w:p w:rsidR="0098222F" w:rsidRPr="008D77AF" w:rsidRDefault="0098222F" w:rsidP="0098222F">
            <w:pPr>
              <w:pStyle w:val="PullOutBoxBodyText"/>
            </w:pPr>
            <w:r w:rsidRPr="008D77AF">
              <w:t>Summary of proposal:</w:t>
            </w:r>
          </w:p>
        </w:tc>
        <w:tc>
          <w:tcPr>
            <w:tcW w:w="3191" w:type="pct"/>
            <w:gridSpan w:val="2"/>
          </w:tcPr>
          <w:p w:rsidR="00C609E8" w:rsidRDefault="00C609E8" w:rsidP="00C609E8">
            <w:pPr>
              <w:pStyle w:val="PullOutBoxBodyText"/>
            </w:pPr>
            <w:r>
              <w:t>The proposal woul</w:t>
            </w:r>
            <w:r w:rsidR="007F357E">
              <w:t xml:space="preserve">d make electricity supplied </w:t>
            </w:r>
            <w:r w:rsidR="00D7427B">
              <w:t xml:space="preserve">Goods and Services </w:t>
            </w:r>
            <w:r w:rsidR="00930F95">
              <w:t xml:space="preserve">Tax </w:t>
            </w:r>
            <w:r w:rsidR="00D7427B">
              <w:t>(</w:t>
            </w:r>
            <w:r w:rsidR="007F357E">
              <w:t>GST</w:t>
            </w:r>
            <w:r w:rsidR="00D7427B">
              <w:t>)</w:t>
            </w:r>
            <w:r w:rsidR="00B5043F">
              <w:t xml:space="preserve"> </w:t>
            </w:r>
            <w:r>
              <w:t>free unless it is supplied in a battery.</w:t>
            </w:r>
          </w:p>
          <w:p w:rsidR="008112CC" w:rsidRDefault="00C609E8" w:rsidP="00C609E8">
            <w:pPr>
              <w:pStyle w:val="PullOutBoxBodyText"/>
            </w:pPr>
            <w:r>
              <w:t>Equipment for self-generation of electricity, like generators and solar</w:t>
            </w:r>
            <w:r w:rsidR="009F34DD">
              <w:t xml:space="preserve"> </w:t>
            </w:r>
            <w:r w:rsidR="009F34DD" w:rsidRPr="009F34DD">
              <w:t>panels, would remain subject to GST.</w:t>
            </w:r>
          </w:p>
          <w:p w:rsidR="009F34DD" w:rsidRDefault="009F34DD" w:rsidP="009F34DD">
            <w:pPr>
              <w:pStyle w:val="PullOutBoxBodyText"/>
            </w:pPr>
            <w:r>
              <w:t xml:space="preserve">States and </w:t>
            </w:r>
            <w:r w:rsidR="00A46F49">
              <w:t>t</w:t>
            </w:r>
            <w:r>
              <w:t>erritories would not be compensated for the reduction in GST revenue collections.</w:t>
            </w:r>
          </w:p>
          <w:p w:rsidR="009F34DD" w:rsidRPr="009F34DD" w:rsidRDefault="009F34DD" w:rsidP="00374FCA">
            <w:pPr>
              <w:pStyle w:val="PullOutBoxBodyText"/>
            </w:pPr>
            <w:r w:rsidRPr="009F34DD">
              <w:t>The start date of this proposal is</w:t>
            </w:r>
            <w:r w:rsidRPr="009B7B56">
              <w:t xml:space="preserve"> 1 </w:t>
            </w:r>
            <w:r w:rsidR="00374FCA">
              <w:t>January 2018</w:t>
            </w:r>
            <w:r w:rsidRPr="009B7B56">
              <w:t>.</w:t>
            </w:r>
          </w:p>
        </w:tc>
      </w:tr>
      <w:tr w:rsidR="0098222F" w:rsidRPr="008D77AF" w:rsidTr="008112CC">
        <w:tc>
          <w:tcPr>
            <w:tcW w:w="1809" w:type="pct"/>
          </w:tcPr>
          <w:p w:rsidR="0098222F" w:rsidRPr="008D77AF" w:rsidRDefault="0098222F" w:rsidP="0098222F">
            <w:pPr>
              <w:pStyle w:val="PullOutBoxBodyText"/>
            </w:pPr>
            <w:r w:rsidRPr="008D77AF">
              <w:t>Person/party requesting the costing:</w:t>
            </w:r>
          </w:p>
        </w:tc>
        <w:tc>
          <w:tcPr>
            <w:tcW w:w="3191" w:type="pct"/>
            <w:gridSpan w:val="2"/>
          </w:tcPr>
          <w:p w:rsidR="0098222F" w:rsidRPr="008D77AF" w:rsidRDefault="00A46F49" w:rsidP="00FD1EE0">
            <w:pPr>
              <w:pStyle w:val="PullOutBoxBodyText"/>
            </w:pPr>
            <w:r>
              <w:t xml:space="preserve">Senator </w:t>
            </w:r>
            <w:r w:rsidR="00C609E8" w:rsidRPr="00C609E8">
              <w:t>David Leyonhjelm, Liberal Democratic Party</w:t>
            </w:r>
          </w:p>
        </w:tc>
      </w:tr>
      <w:tr w:rsidR="008112CC" w:rsidRPr="008D77AF" w:rsidTr="008112CC">
        <w:tc>
          <w:tcPr>
            <w:tcW w:w="1809" w:type="pct"/>
          </w:tcPr>
          <w:p w:rsidR="008112CC" w:rsidRPr="008D77AF" w:rsidRDefault="008112CC" w:rsidP="0056001A">
            <w:pPr>
              <w:pStyle w:val="PullOutBoxBodyText"/>
            </w:pPr>
            <w:r w:rsidRPr="008D77AF">
              <w:t>Did the applicant request the costing be confidential:</w:t>
            </w:r>
          </w:p>
        </w:tc>
        <w:tc>
          <w:tcPr>
            <w:tcW w:w="748" w:type="pct"/>
            <w:tcBorders>
              <w:right w:val="nil"/>
            </w:tcBorders>
          </w:tcPr>
          <w:p w:rsidR="008112CC" w:rsidRPr="008D77AF" w:rsidRDefault="00602C7E" w:rsidP="0056001A">
            <w:pPr>
              <w:pStyle w:val="PullOutBoxBodyText"/>
            </w:pPr>
            <w:sdt>
              <w:sdtPr>
                <w:id w:val="33003715"/>
                <w14:checkbox>
                  <w14:checked w14:val="1"/>
                  <w14:checkedState w14:val="2612" w14:font="MS Gothic"/>
                  <w14:uncheckedState w14:val="2610" w14:font="MS Gothic"/>
                </w14:checkbox>
              </w:sdtPr>
              <w:sdtEndPr/>
              <w:sdtContent>
                <w:r w:rsidR="00C609E8">
                  <w:rPr>
                    <w:rFonts w:ascii="MS Gothic" w:eastAsia="MS Gothic" w:hAnsi="MS Gothic" w:hint="eastAsia"/>
                  </w:rPr>
                  <w:t>☒</w:t>
                </w:r>
              </w:sdtContent>
            </w:sdt>
            <w:r w:rsidR="008112CC" w:rsidRPr="008D77AF">
              <w:t xml:space="preserve"> Yes</w:t>
            </w:r>
          </w:p>
        </w:tc>
        <w:tc>
          <w:tcPr>
            <w:tcW w:w="2443" w:type="pct"/>
            <w:tcBorders>
              <w:left w:val="nil"/>
              <w:right w:val="single" w:sz="4" w:space="0" w:color="auto"/>
            </w:tcBorders>
          </w:tcPr>
          <w:p w:rsidR="008112CC" w:rsidRPr="008D77AF" w:rsidRDefault="00602C7E" w:rsidP="0056001A">
            <w:pPr>
              <w:pStyle w:val="PullOutBoxBodyText"/>
            </w:pPr>
            <w:sdt>
              <w:sdtPr>
                <w:id w:val="-864130722"/>
                <w14:checkbox>
                  <w14:checked w14:val="0"/>
                  <w14:checkedState w14:val="2612" w14:font="MS Gothic"/>
                  <w14:uncheckedState w14:val="2610" w14:font="MS Gothic"/>
                </w14:checkbox>
              </w:sdtPr>
              <w:sdtEndPr/>
              <w:sdtContent>
                <w:r w:rsidR="008112CC" w:rsidRPr="008D77AF">
                  <w:rPr>
                    <w:rFonts w:ascii="MS Gothic" w:eastAsia="MS Gothic" w:hAnsi="MS Gothic" w:hint="eastAsia"/>
                  </w:rPr>
                  <w:t>☐</w:t>
                </w:r>
              </w:sdtContent>
            </w:sdt>
            <w:r w:rsidR="008112CC" w:rsidRPr="008D77AF">
              <w:t xml:space="preserve"> No</w:t>
            </w:r>
          </w:p>
        </w:tc>
      </w:tr>
      <w:tr w:rsidR="008112CC" w:rsidRPr="008D77AF" w:rsidTr="0056001A">
        <w:tc>
          <w:tcPr>
            <w:tcW w:w="1809" w:type="pct"/>
          </w:tcPr>
          <w:p w:rsidR="008112CC" w:rsidRPr="008D77AF" w:rsidRDefault="008112CC" w:rsidP="0056001A">
            <w:pPr>
              <w:pStyle w:val="PullOutBoxBodyText"/>
            </w:pPr>
            <w:r w:rsidRPr="008D77AF">
              <w:t>Date costing request received:</w:t>
            </w:r>
          </w:p>
        </w:tc>
        <w:tc>
          <w:tcPr>
            <w:tcW w:w="3191" w:type="pct"/>
            <w:gridSpan w:val="2"/>
          </w:tcPr>
          <w:p w:rsidR="008112CC" w:rsidRPr="008D77AF" w:rsidRDefault="00304F24" w:rsidP="0056001A">
            <w:pPr>
              <w:pStyle w:val="PullOutBoxBodyText"/>
            </w:pPr>
            <w:r>
              <w:t>17 July 2017</w:t>
            </w:r>
          </w:p>
        </w:tc>
      </w:tr>
      <w:tr w:rsidR="008112CC" w:rsidRPr="008D77AF" w:rsidTr="008112CC">
        <w:tc>
          <w:tcPr>
            <w:tcW w:w="1809" w:type="pct"/>
          </w:tcPr>
          <w:p w:rsidR="008112CC" w:rsidRPr="008D77AF" w:rsidRDefault="008112CC" w:rsidP="0098222F">
            <w:pPr>
              <w:pStyle w:val="PullOutBoxBodyText"/>
            </w:pPr>
            <w:r w:rsidRPr="008D77AF">
              <w:t>Date costing completed:</w:t>
            </w:r>
          </w:p>
        </w:tc>
        <w:tc>
          <w:tcPr>
            <w:tcW w:w="3191" w:type="pct"/>
            <w:gridSpan w:val="2"/>
          </w:tcPr>
          <w:p w:rsidR="008112CC" w:rsidRPr="008D77AF" w:rsidRDefault="0054577E" w:rsidP="0098222F">
            <w:pPr>
              <w:pStyle w:val="PullOutBoxBodyText"/>
            </w:pPr>
            <w:r>
              <w:t>4</w:t>
            </w:r>
            <w:bookmarkStart w:id="0" w:name="_GoBack"/>
            <w:bookmarkEnd w:id="0"/>
            <w:r w:rsidR="00304F24">
              <w:t xml:space="preserve"> August 2017</w:t>
            </w:r>
          </w:p>
        </w:tc>
      </w:tr>
      <w:tr w:rsidR="008112CC" w:rsidRPr="008D77AF" w:rsidTr="008112CC">
        <w:tc>
          <w:tcPr>
            <w:tcW w:w="1809" w:type="pct"/>
          </w:tcPr>
          <w:p w:rsidR="008112CC" w:rsidRPr="008D77AF" w:rsidRDefault="008112CC" w:rsidP="0098222F">
            <w:pPr>
              <w:pStyle w:val="PullOutBoxBodyText"/>
            </w:pPr>
            <w:r w:rsidRPr="008D77AF">
              <w:t>Expiry date of the costing:</w:t>
            </w:r>
          </w:p>
        </w:tc>
        <w:tc>
          <w:tcPr>
            <w:tcW w:w="3191" w:type="pct"/>
            <w:gridSpan w:val="2"/>
          </w:tcPr>
          <w:p w:rsidR="008112CC" w:rsidRPr="008D77AF" w:rsidRDefault="008112CC" w:rsidP="0098222F">
            <w:pPr>
              <w:pStyle w:val="PullOutBoxBodyText"/>
            </w:pPr>
            <w:r w:rsidRPr="008D77AF">
              <w:t>Release of the next economic and fiscal outlook report.</w:t>
            </w:r>
          </w:p>
        </w:tc>
      </w:tr>
    </w:tbl>
    <w:p w:rsidR="0046444F" w:rsidRPr="008D77AF" w:rsidRDefault="0046444F" w:rsidP="0046444F">
      <w:pPr>
        <w:pStyle w:val="Heading1"/>
      </w:pPr>
      <w:r w:rsidRPr="008D77AF">
        <w:t>Costing overview</w:t>
      </w:r>
    </w:p>
    <w:p w:rsidR="00E727B6" w:rsidRPr="00002D5D" w:rsidRDefault="00E727B6" w:rsidP="00E727B6">
      <w:pPr>
        <w:pStyle w:val="BodyText"/>
      </w:pPr>
      <w:r w:rsidRPr="00921C37">
        <w:t xml:space="preserve">This proposal would be expected to </w:t>
      </w:r>
      <w:r w:rsidR="007A0C6D">
        <w:t>in</w:t>
      </w:r>
      <w:r w:rsidRPr="00921C37">
        <w:t xml:space="preserve">crease the fiscal balance by </w:t>
      </w:r>
      <w:r w:rsidR="00563987">
        <w:t>an immaterial amount</w:t>
      </w:r>
      <w:r w:rsidRPr="00921C37">
        <w:t xml:space="preserve"> and </w:t>
      </w:r>
      <w:r w:rsidR="007A0C6D">
        <w:t>in</w:t>
      </w:r>
      <w:r w:rsidRPr="00921C37">
        <w:t>crease th</w:t>
      </w:r>
      <w:r w:rsidR="00563987">
        <w:t>e underlying cash balance by $6</w:t>
      </w:r>
      <w:r w:rsidR="007A0C6D">
        <w:t>00</w:t>
      </w:r>
      <w:r w:rsidRPr="00921C37">
        <w:t> million over the 2017</w:t>
      </w:r>
      <w:r w:rsidRPr="00921C37">
        <w:noBreakHyphen/>
        <w:t>18 Budget</w:t>
      </w:r>
      <w:r w:rsidR="00760746">
        <w:t xml:space="preserve"> forward estimates period.  The fiscal balance</w:t>
      </w:r>
      <w:r w:rsidRPr="00921C37">
        <w:t xml:space="preserve"> impact reflects a decrease in </w:t>
      </w:r>
      <w:r w:rsidR="006B6C37">
        <w:t xml:space="preserve">net </w:t>
      </w:r>
      <w:r w:rsidR="007A0C6D">
        <w:t xml:space="preserve">GST revenue </w:t>
      </w:r>
      <w:r w:rsidR="006B6C37">
        <w:t>(</w:t>
      </w:r>
      <w:proofErr w:type="spellStart"/>
      <w:r w:rsidR="006B6C37">
        <w:t>ie</w:t>
      </w:r>
      <w:proofErr w:type="spellEnd"/>
      <w:r w:rsidR="006B6C37">
        <w:t xml:space="preserve"> GST revenue less GST expenses paid to the states and territories) </w:t>
      </w:r>
      <w:r w:rsidR="007A0C6D">
        <w:t>of $</w:t>
      </w:r>
      <w:r w:rsidR="00DF5302">
        <w:t>6</w:t>
      </w:r>
      <w:r w:rsidR="007A0C6D">
        <w:t>00</w:t>
      </w:r>
      <w:r w:rsidRPr="00921C37">
        <w:t xml:space="preserve"> million </w:t>
      </w:r>
      <w:r w:rsidR="00F1660A">
        <w:t>and</w:t>
      </w:r>
      <w:r w:rsidR="00374FCA">
        <w:t xml:space="preserve"> a</w:t>
      </w:r>
      <w:r w:rsidR="00257EB2">
        <w:t xml:space="preserve"> net</w:t>
      </w:r>
      <w:r w:rsidR="00F1660A">
        <w:t xml:space="preserve"> </w:t>
      </w:r>
      <w:r w:rsidR="00374FCA">
        <w:t>increase</w:t>
      </w:r>
      <w:r w:rsidR="00F1660A">
        <w:t xml:space="preserve"> </w:t>
      </w:r>
      <w:r w:rsidR="006B6C37">
        <w:t xml:space="preserve">in the budget balance </w:t>
      </w:r>
      <w:r w:rsidR="00F1660A">
        <w:t xml:space="preserve">from </w:t>
      </w:r>
      <w:r w:rsidR="006B6C37">
        <w:t>a reduction in</w:t>
      </w:r>
      <w:r w:rsidR="00F1660A">
        <w:t xml:space="preserve"> </w:t>
      </w:r>
      <w:r w:rsidR="00A46F49">
        <w:t xml:space="preserve">Consumer </w:t>
      </w:r>
      <w:r w:rsidR="0054040E">
        <w:t>Price</w:t>
      </w:r>
      <w:r w:rsidR="00A46F49">
        <w:t xml:space="preserve"> index (</w:t>
      </w:r>
      <w:r w:rsidR="00F1660A">
        <w:t>CPI</w:t>
      </w:r>
      <w:r w:rsidR="00A46F49">
        <w:t>)</w:t>
      </w:r>
      <w:r w:rsidR="00F1660A">
        <w:t xml:space="preserve"> </w:t>
      </w:r>
      <w:r w:rsidR="006B6C37" w:rsidRPr="006B6C37">
        <w:t xml:space="preserve">indexation of </w:t>
      </w:r>
      <w:r w:rsidR="00A46F49">
        <w:t>g</w:t>
      </w:r>
      <w:r w:rsidR="00257EB2">
        <w:t xml:space="preserve">overnment </w:t>
      </w:r>
      <w:r w:rsidR="006F59E7">
        <w:t>transfers</w:t>
      </w:r>
      <w:r w:rsidR="00257EB2">
        <w:t xml:space="preserve"> and excise </w:t>
      </w:r>
      <w:r w:rsidR="00F1660A">
        <w:t>of $</w:t>
      </w:r>
      <w:r w:rsidR="00DF5302">
        <w:t>6</w:t>
      </w:r>
      <w:r w:rsidR="007A0C6D">
        <w:t>00</w:t>
      </w:r>
      <w:r w:rsidR="00F1660A">
        <w:t xml:space="preserve"> </w:t>
      </w:r>
      <w:r w:rsidR="00374FCA">
        <w:t xml:space="preserve">million </w:t>
      </w:r>
      <w:r w:rsidRPr="00921C37">
        <w:t>over this period.</w:t>
      </w:r>
    </w:p>
    <w:p w:rsidR="00620C01" w:rsidRDefault="004659C8" w:rsidP="006C3668">
      <w:pPr>
        <w:pStyle w:val="BodyText"/>
      </w:pPr>
      <w:r>
        <w:t xml:space="preserve">The </w:t>
      </w:r>
      <w:r w:rsidR="003401A3">
        <w:t xml:space="preserve">proposal </w:t>
      </w:r>
      <w:r w:rsidR="00567EEC">
        <w:t xml:space="preserve">would </w:t>
      </w:r>
      <w:r w:rsidR="000E04A6">
        <w:t>be expected to decrease</w:t>
      </w:r>
      <w:r w:rsidR="000E04A6" w:rsidDel="000E04A6">
        <w:t xml:space="preserve"> </w:t>
      </w:r>
      <w:r w:rsidR="003401A3">
        <w:t>GST</w:t>
      </w:r>
      <w:r w:rsidR="00620C01">
        <w:t xml:space="preserve"> revenue and</w:t>
      </w:r>
      <w:r w:rsidR="003401A3">
        <w:t xml:space="preserve"> receipts</w:t>
      </w:r>
      <w:r w:rsidR="00090322">
        <w:t xml:space="preserve">, </w:t>
      </w:r>
      <w:r w:rsidR="003401A3">
        <w:t xml:space="preserve">however this </w:t>
      </w:r>
      <w:r w:rsidRPr="004659C8">
        <w:t xml:space="preserve">would not </w:t>
      </w:r>
      <w:r w:rsidR="00620C01">
        <w:t xml:space="preserve">be expected to </w:t>
      </w:r>
      <w:r w:rsidRPr="004659C8">
        <w:t xml:space="preserve">have a net financial impact on the Commonwealth Government on an underlying cash balance basis, as </w:t>
      </w:r>
      <w:r>
        <w:t xml:space="preserve">it would result in a corresponding decrease </w:t>
      </w:r>
      <w:r w:rsidR="00A46F49">
        <w:t>in</w:t>
      </w:r>
      <w:r>
        <w:t xml:space="preserve"> the GST</w:t>
      </w:r>
      <w:r w:rsidRPr="004659C8">
        <w:t xml:space="preserve"> paid directly to the states and territories (net of administrative costs) under the Intergovernmental Agreement on Federal Financial Relations (the Intergovernmental Agreement).  </w:t>
      </w:r>
    </w:p>
    <w:p w:rsidR="00620C01" w:rsidRDefault="00620C01" w:rsidP="006C3668">
      <w:pPr>
        <w:pStyle w:val="BodyText"/>
      </w:pPr>
    </w:p>
    <w:p w:rsidR="00E727B6" w:rsidRDefault="00E727B6" w:rsidP="006C3668">
      <w:pPr>
        <w:pStyle w:val="BodyText"/>
        <w:rPr>
          <w:rFonts w:ascii="Calibri" w:eastAsia="Calibri" w:hAnsi="Calibri"/>
          <w:spacing w:val="0"/>
        </w:rPr>
      </w:pPr>
      <w:r w:rsidRPr="00E727B6">
        <w:rPr>
          <w:rFonts w:ascii="Calibri" w:eastAsia="Calibri" w:hAnsi="Calibri"/>
          <w:spacing w:val="0"/>
        </w:rPr>
        <w:lastRenderedPageBreak/>
        <w:t>On a fiscal balance basis, the</w:t>
      </w:r>
      <w:r w:rsidR="005D706F">
        <w:rPr>
          <w:rFonts w:ascii="Calibri" w:eastAsia="Calibri" w:hAnsi="Calibri"/>
          <w:spacing w:val="0"/>
        </w:rPr>
        <w:t xml:space="preserve">re </w:t>
      </w:r>
      <w:r w:rsidR="00620C01">
        <w:rPr>
          <w:rFonts w:ascii="Calibri" w:eastAsia="Calibri" w:hAnsi="Calibri"/>
          <w:spacing w:val="0"/>
        </w:rPr>
        <w:t>would be expected to be</w:t>
      </w:r>
      <w:r w:rsidR="005D706F">
        <w:rPr>
          <w:rFonts w:ascii="Calibri" w:eastAsia="Calibri" w:hAnsi="Calibri"/>
          <w:spacing w:val="0"/>
        </w:rPr>
        <w:t xml:space="preserve"> a small</w:t>
      </w:r>
      <w:r w:rsidRPr="00E727B6">
        <w:rPr>
          <w:rFonts w:ascii="Calibri" w:eastAsia="Calibri" w:hAnsi="Calibri"/>
          <w:spacing w:val="0"/>
        </w:rPr>
        <w:t xml:space="preserve"> </w:t>
      </w:r>
      <w:r w:rsidR="00DF4BC4">
        <w:rPr>
          <w:rFonts w:ascii="Calibri" w:eastAsia="Calibri" w:hAnsi="Calibri"/>
          <w:spacing w:val="0"/>
        </w:rPr>
        <w:t>de</w:t>
      </w:r>
      <w:r w:rsidRPr="00E727B6">
        <w:rPr>
          <w:rFonts w:ascii="Calibri" w:eastAsia="Calibri" w:hAnsi="Calibri"/>
          <w:spacing w:val="0"/>
        </w:rPr>
        <w:t xml:space="preserve">crease in </w:t>
      </w:r>
      <w:r w:rsidR="00241B2B">
        <w:rPr>
          <w:rFonts w:ascii="Calibri" w:eastAsia="Calibri" w:hAnsi="Calibri"/>
          <w:spacing w:val="0"/>
        </w:rPr>
        <w:t xml:space="preserve">net </w:t>
      </w:r>
      <w:r w:rsidRPr="00E727B6">
        <w:rPr>
          <w:rFonts w:ascii="Calibri" w:eastAsia="Calibri" w:hAnsi="Calibri"/>
          <w:spacing w:val="0"/>
        </w:rPr>
        <w:t xml:space="preserve">GST revenue </w:t>
      </w:r>
      <w:r w:rsidR="000479BB">
        <w:rPr>
          <w:rFonts w:ascii="Calibri" w:eastAsia="Calibri" w:hAnsi="Calibri"/>
          <w:spacing w:val="0"/>
        </w:rPr>
        <w:t xml:space="preserve">to the Commonwealth Government </w:t>
      </w:r>
      <w:r w:rsidRPr="00E727B6">
        <w:rPr>
          <w:rFonts w:ascii="Calibri" w:eastAsia="Calibri" w:hAnsi="Calibri"/>
          <w:spacing w:val="0"/>
        </w:rPr>
        <w:t>because of a delay between when GST revenue is recognised by the Commonwealth and when the associated</w:t>
      </w:r>
      <w:r w:rsidR="00620C01">
        <w:rPr>
          <w:rFonts w:ascii="Calibri" w:eastAsia="Calibri" w:hAnsi="Calibri"/>
          <w:spacing w:val="0"/>
        </w:rPr>
        <w:t xml:space="preserve"> receipts are received</w:t>
      </w:r>
      <w:r w:rsidR="00A46F49">
        <w:rPr>
          <w:rFonts w:ascii="Calibri" w:eastAsia="Calibri" w:hAnsi="Calibri"/>
          <w:spacing w:val="0"/>
        </w:rPr>
        <w:t>,</w:t>
      </w:r>
      <w:r w:rsidR="00620C01">
        <w:rPr>
          <w:rFonts w:ascii="Calibri" w:eastAsia="Calibri" w:hAnsi="Calibri"/>
          <w:spacing w:val="0"/>
        </w:rPr>
        <w:t xml:space="preserve"> and</w:t>
      </w:r>
      <w:r w:rsidRPr="00E727B6">
        <w:rPr>
          <w:rFonts w:ascii="Calibri" w:eastAsia="Calibri" w:hAnsi="Calibri"/>
          <w:spacing w:val="0"/>
        </w:rPr>
        <w:t xml:space="preserve"> </w:t>
      </w:r>
      <w:r w:rsidR="00A46F49">
        <w:rPr>
          <w:rFonts w:ascii="Calibri" w:eastAsia="Calibri" w:hAnsi="Calibri"/>
          <w:spacing w:val="0"/>
        </w:rPr>
        <w:t xml:space="preserve">when the </w:t>
      </w:r>
      <w:r w:rsidRPr="00E727B6">
        <w:rPr>
          <w:rFonts w:ascii="Calibri" w:eastAsia="Calibri" w:hAnsi="Calibri"/>
          <w:spacing w:val="0"/>
        </w:rPr>
        <w:t xml:space="preserve">GST expense to the states and territories is accrued.  </w:t>
      </w:r>
    </w:p>
    <w:p w:rsidR="006B6C37" w:rsidRDefault="006B6C37" w:rsidP="006C3668">
      <w:pPr>
        <w:pStyle w:val="BodyText"/>
        <w:rPr>
          <w:rFonts w:ascii="Calibri" w:eastAsia="Calibri" w:hAnsi="Calibri"/>
          <w:spacing w:val="0"/>
        </w:rPr>
      </w:pPr>
      <w:r>
        <w:rPr>
          <w:rFonts w:ascii="Calibri" w:eastAsia="Calibri" w:hAnsi="Calibri"/>
          <w:spacing w:val="0"/>
        </w:rPr>
        <w:t>Making electricity GST free would be expected to reduce the price of electricity to households by 9.1 per cent, which would contribute a one off change in the level of the CPI of -0.18 per cent.  The proposal would have no impact on the cost of electricity for most business users, because GST taxable businesses are able to claim input tax credits for the GST included in the price of electricity they consume.</w:t>
      </w:r>
    </w:p>
    <w:p w:rsidR="005D706F" w:rsidRDefault="005D706F" w:rsidP="006C3668">
      <w:pPr>
        <w:pStyle w:val="BodyText"/>
        <w:rPr>
          <w:rFonts w:ascii="Calibri" w:eastAsia="Calibri" w:hAnsi="Calibri"/>
          <w:spacing w:val="0"/>
        </w:rPr>
      </w:pPr>
      <w:r>
        <w:rPr>
          <w:rFonts w:ascii="Calibri" w:eastAsia="Calibri" w:hAnsi="Calibri"/>
          <w:spacing w:val="0"/>
        </w:rPr>
        <w:t xml:space="preserve">The net financial impact of </w:t>
      </w:r>
      <w:r w:rsidR="00567EEC">
        <w:rPr>
          <w:rFonts w:ascii="Calibri" w:eastAsia="Calibri" w:hAnsi="Calibri"/>
          <w:spacing w:val="0"/>
        </w:rPr>
        <w:t>this proposal</w:t>
      </w:r>
      <w:r>
        <w:rPr>
          <w:rFonts w:ascii="Calibri" w:eastAsia="Calibri" w:hAnsi="Calibri"/>
          <w:spacing w:val="0"/>
        </w:rPr>
        <w:t xml:space="preserve"> on the Commonwealth primarily reflects the impact of </w:t>
      </w:r>
      <w:r w:rsidR="006B6C37">
        <w:rPr>
          <w:rFonts w:ascii="Calibri" w:eastAsia="Calibri" w:hAnsi="Calibri"/>
          <w:spacing w:val="0"/>
        </w:rPr>
        <w:t xml:space="preserve">the </w:t>
      </w:r>
      <w:r>
        <w:rPr>
          <w:rFonts w:ascii="Calibri" w:eastAsia="Calibri" w:hAnsi="Calibri"/>
          <w:spacing w:val="0"/>
        </w:rPr>
        <w:t xml:space="preserve">one-off </w:t>
      </w:r>
      <w:r w:rsidR="006B6C37">
        <w:rPr>
          <w:rFonts w:ascii="Calibri" w:eastAsia="Calibri" w:hAnsi="Calibri"/>
          <w:spacing w:val="0"/>
        </w:rPr>
        <w:t xml:space="preserve">decrease </w:t>
      </w:r>
      <w:r>
        <w:rPr>
          <w:rFonts w:ascii="Calibri" w:eastAsia="Calibri" w:hAnsi="Calibri"/>
          <w:spacing w:val="0"/>
        </w:rPr>
        <w:t xml:space="preserve">in the level of </w:t>
      </w:r>
      <w:r w:rsidR="00A46F49">
        <w:rPr>
          <w:rFonts w:ascii="Calibri" w:eastAsia="Calibri" w:hAnsi="Calibri"/>
          <w:spacing w:val="0"/>
        </w:rPr>
        <w:t xml:space="preserve">the </w:t>
      </w:r>
      <w:r>
        <w:rPr>
          <w:rFonts w:ascii="Calibri" w:eastAsia="Calibri" w:hAnsi="Calibri"/>
          <w:spacing w:val="0"/>
        </w:rPr>
        <w:t>CPI</w:t>
      </w:r>
      <w:r w:rsidR="00F01EBB">
        <w:rPr>
          <w:rFonts w:ascii="Calibri" w:eastAsia="Calibri" w:hAnsi="Calibri"/>
          <w:spacing w:val="0"/>
        </w:rPr>
        <w:t xml:space="preserve"> </w:t>
      </w:r>
      <w:r>
        <w:rPr>
          <w:rFonts w:ascii="Calibri" w:eastAsia="Calibri" w:hAnsi="Calibri"/>
          <w:spacing w:val="0"/>
        </w:rPr>
        <w:t xml:space="preserve">on a number of </w:t>
      </w:r>
      <w:r w:rsidR="00A46F49">
        <w:rPr>
          <w:rFonts w:ascii="Calibri" w:eastAsia="Calibri" w:hAnsi="Calibri"/>
          <w:spacing w:val="0"/>
        </w:rPr>
        <w:t>g</w:t>
      </w:r>
      <w:r>
        <w:rPr>
          <w:rFonts w:ascii="Calibri" w:eastAsia="Calibri" w:hAnsi="Calibri"/>
          <w:spacing w:val="0"/>
        </w:rPr>
        <w:t xml:space="preserve">overnment </w:t>
      </w:r>
      <w:r w:rsidR="00620C01">
        <w:rPr>
          <w:rFonts w:ascii="Calibri" w:eastAsia="Calibri" w:hAnsi="Calibri"/>
          <w:spacing w:val="0"/>
        </w:rPr>
        <w:t>transfers</w:t>
      </w:r>
      <w:r>
        <w:rPr>
          <w:rFonts w:ascii="Calibri" w:eastAsia="Calibri" w:hAnsi="Calibri"/>
          <w:spacing w:val="0"/>
        </w:rPr>
        <w:t xml:space="preserve"> to households and </w:t>
      </w:r>
      <w:r w:rsidR="003103A0">
        <w:rPr>
          <w:rFonts w:ascii="Calibri" w:eastAsia="Calibri" w:hAnsi="Calibri"/>
          <w:spacing w:val="0"/>
        </w:rPr>
        <w:t>excise</w:t>
      </w:r>
      <w:r w:rsidR="00CB50AF">
        <w:rPr>
          <w:rFonts w:ascii="Calibri" w:eastAsia="Calibri" w:hAnsi="Calibri"/>
          <w:spacing w:val="0"/>
        </w:rPr>
        <w:t xml:space="preserve"> </w:t>
      </w:r>
      <w:r>
        <w:rPr>
          <w:rFonts w:ascii="Calibri" w:eastAsia="Calibri" w:hAnsi="Calibri"/>
          <w:spacing w:val="0"/>
        </w:rPr>
        <w:t xml:space="preserve">revenues that are indexed to </w:t>
      </w:r>
      <w:r w:rsidR="00E44080">
        <w:rPr>
          <w:rFonts w:ascii="Calibri" w:eastAsia="Calibri" w:hAnsi="Calibri"/>
          <w:spacing w:val="0"/>
        </w:rPr>
        <w:t xml:space="preserve">the </w:t>
      </w:r>
      <w:r>
        <w:rPr>
          <w:rFonts w:ascii="Calibri" w:eastAsia="Calibri" w:hAnsi="Calibri"/>
          <w:spacing w:val="0"/>
        </w:rPr>
        <w:t>CPI.</w:t>
      </w:r>
    </w:p>
    <w:p w:rsidR="00346650" w:rsidRDefault="00346650" w:rsidP="006C3668">
      <w:pPr>
        <w:pStyle w:val="BodyText"/>
        <w:rPr>
          <w:rFonts w:ascii="Calibri" w:eastAsia="Calibri" w:hAnsi="Calibri"/>
          <w:spacing w:val="0"/>
        </w:rPr>
      </w:pPr>
      <w:r w:rsidRPr="00E727B6">
        <w:t>This proposal would be expected to have an ongoing impact that extends beyond the 2017</w:t>
      </w:r>
      <w:r w:rsidRPr="00E727B6">
        <w:noBreakHyphen/>
        <w:t>18 Budget forward estimates period.</w:t>
      </w:r>
      <w:r>
        <w:t xml:space="preserve"> </w:t>
      </w:r>
      <w:r w:rsidRPr="00E727B6">
        <w:t xml:space="preserve">   </w:t>
      </w:r>
    </w:p>
    <w:p w:rsidR="00254401" w:rsidRPr="00254401" w:rsidRDefault="00192D0B" w:rsidP="00254401">
      <w:pPr>
        <w:pStyle w:val="BodyText"/>
      </w:pPr>
      <w:r w:rsidRPr="00254401">
        <w:t>The financial impact of the proposal would generally continue to grow over time in line with growth in the underlying parameters.  However,</w:t>
      </w:r>
      <w:r w:rsidR="00254401" w:rsidRPr="00254401">
        <w:t xml:space="preserve"> there is a large decrease in the financial impact on </w:t>
      </w:r>
      <w:r w:rsidR="00A46F49">
        <w:t>g</w:t>
      </w:r>
      <w:r w:rsidR="00254401" w:rsidRPr="00254401">
        <w:t>overnment tr</w:t>
      </w:r>
      <w:r w:rsidR="000A4C46">
        <w:t>ansfers to households from 2022</w:t>
      </w:r>
      <w:r w:rsidR="006847C9">
        <w:t>-</w:t>
      </w:r>
      <w:r w:rsidR="00254401" w:rsidRPr="00254401">
        <w:t>23.</w:t>
      </w:r>
      <w:r w:rsidRPr="00254401">
        <w:t xml:space="preserve"> </w:t>
      </w:r>
    </w:p>
    <w:p w:rsidR="00620C01" w:rsidRDefault="00254401" w:rsidP="00254401">
      <w:pPr>
        <w:pStyle w:val="ListBullet"/>
      </w:pPr>
      <w:r>
        <w:t xml:space="preserve">This is because, for </w:t>
      </w:r>
      <w:r w:rsidR="00192D0B" w:rsidRPr="00192D0B">
        <w:t xml:space="preserve">some </w:t>
      </w:r>
      <w:r w:rsidR="00A46F49">
        <w:t>g</w:t>
      </w:r>
      <w:r w:rsidR="00192D0B" w:rsidRPr="00192D0B">
        <w:t>overnment payments to households, the financial impact of the one-off decre</w:t>
      </w:r>
      <w:r>
        <w:t xml:space="preserve">ase in </w:t>
      </w:r>
      <w:r w:rsidR="00A46F49">
        <w:t xml:space="preserve">the </w:t>
      </w:r>
      <w:r>
        <w:t xml:space="preserve">CPI would be temporary, as </w:t>
      </w:r>
      <w:r w:rsidR="004534C5">
        <w:t>some</w:t>
      </w:r>
      <w:r>
        <w:t xml:space="preserve"> base rates</w:t>
      </w:r>
      <w:r w:rsidR="00192D0B" w:rsidRPr="00192D0B">
        <w:t xml:space="preserve"> are indexed to the higher of the CPI and the Pensioner and Beneficiary Cost of Living Index </w:t>
      </w:r>
      <w:r w:rsidR="00F56654">
        <w:t xml:space="preserve">(PBLCI) </w:t>
      </w:r>
      <w:r w:rsidR="00192D0B" w:rsidRPr="00192D0B">
        <w:t>as well as being benchmarked against a percentage of Male Total Average Weekly Earnings (MTAWE).</w:t>
      </w:r>
      <w:r w:rsidR="00F56654">
        <w:t xml:space="preserve">  In 2022</w:t>
      </w:r>
      <w:r w:rsidR="00F56654">
        <w:noBreakHyphen/>
        <w:t xml:space="preserve">23 the MTAWE benchmark exceeds the rate given by indexation by </w:t>
      </w:r>
      <w:r w:rsidR="00E44080">
        <w:t xml:space="preserve">the </w:t>
      </w:r>
      <w:r w:rsidR="00F56654">
        <w:t xml:space="preserve">CPI or PBLCI, removing the effect of the reduction to </w:t>
      </w:r>
      <w:r w:rsidR="00E44080">
        <w:t xml:space="preserve">the </w:t>
      </w:r>
      <w:r w:rsidR="00F56654">
        <w:t xml:space="preserve">CPI on </w:t>
      </w:r>
      <w:r w:rsidR="004534C5">
        <w:t xml:space="preserve">some </w:t>
      </w:r>
      <w:r w:rsidR="00A46F49">
        <w:t>g</w:t>
      </w:r>
      <w:r w:rsidR="004534C5">
        <w:t>overnment payments.</w:t>
      </w:r>
      <w:r w:rsidR="00620C01" w:rsidRPr="00620C01">
        <w:t xml:space="preserve"> </w:t>
      </w:r>
    </w:p>
    <w:p w:rsidR="00192D0B" w:rsidRPr="00192D0B" w:rsidRDefault="00620C01" w:rsidP="002D0D1A">
      <w:pPr>
        <w:pStyle w:val="BodyText"/>
      </w:pPr>
      <w:r w:rsidRPr="00E727B6">
        <w:t xml:space="preserve">A detailed breakdown of all the components of the costing over the period to 2027-28 is included at </w:t>
      </w:r>
      <w:r w:rsidRPr="00E727B6">
        <w:rPr>
          <w:u w:val="single"/>
        </w:rPr>
        <w:t>Attachment A</w:t>
      </w:r>
      <w:r w:rsidRPr="00E727B6">
        <w:t>.</w:t>
      </w:r>
    </w:p>
    <w:p w:rsidR="004659C8" w:rsidRPr="00914069" w:rsidRDefault="004659C8" w:rsidP="000E4C7B">
      <w:pPr>
        <w:spacing w:line="240" w:lineRule="auto"/>
        <w:rPr>
          <w:rFonts w:cs="Times New Roman"/>
          <w:spacing w:val="-1"/>
        </w:rPr>
      </w:pPr>
      <w:r w:rsidRPr="00914069">
        <w:rPr>
          <w:rFonts w:cs="Times New Roman"/>
          <w:spacing w:val="-1"/>
        </w:rPr>
        <w:t xml:space="preserve">The </w:t>
      </w:r>
      <w:r w:rsidR="007B2DB1" w:rsidRPr="00914069">
        <w:rPr>
          <w:rFonts w:cs="Times New Roman"/>
          <w:spacing w:val="-1"/>
        </w:rPr>
        <w:t>proposal is not expected to have a material impact on</w:t>
      </w:r>
      <w:r w:rsidRPr="00914069">
        <w:rPr>
          <w:rFonts w:cs="Times New Roman"/>
          <w:spacing w:val="-1"/>
        </w:rPr>
        <w:t xml:space="preserve"> </w:t>
      </w:r>
      <w:r w:rsidR="0058249D">
        <w:rPr>
          <w:rFonts w:cs="Times New Roman"/>
          <w:spacing w:val="-1"/>
        </w:rPr>
        <w:t>departmental expenses</w:t>
      </w:r>
      <w:r w:rsidRPr="00914069">
        <w:rPr>
          <w:rFonts w:cs="Times New Roman"/>
          <w:spacing w:val="-1"/>
        </w:rPr>
        <w:t xml:space="preserve"> </w:t>
      </w:r>
      <w:r w:rsidR="007B2DB1" w:rsidRPr="00914069">
        <w:rPr>
          <w:rFonts w:cs="Times New Roman"/>
          <w:spacing w:val="-1"/>
        </w:rPr>
        <w:t>as entities involved in supplying electricity would continue to lodge Business Activity Statements in order to claim input tax credits.</w:t>
      </w:r>
    </w:p>
    <w:p w:rsidR="0046444F" w:rsidRPr="005B0970" w:rsidRDefault="008112CC" w:rsidP="008112CC">
      <w:pPr>
        <w:pStyle w:val="Caption"/>
      </w:pPr>
      <w:r w:rsidRPr="008112CC">
        <w:t xml:space="preserve">Table </w:t>
      </w:r>
      <w:fldSimple w:instr=" SEQ Table \* ARABIC \s 1 ">
        <w:r w:rsidR="00665D04">
          <w:rPr>
            <w:noProof/>
          </w:rPr>
          <w:t>1</w:t>
        </w:r>
      </w:fldSimple>
      <w:r w:rsidRPr="008112CC">
        <w:t xml:space="preserve">: </w:t>
      </w:r>
      <w:r>
        <w:t xml:space="preserve">Financial </w:t>
      </w:r>
      <w:proofErr w:type="gramStart"/>
      <w:r>
        <w:t>implications</w:t>
      </w:r>
      <w:r w:rsidRPr="008112CC">
        <w:rPr>
          <w:vertAlign w:val="superscript"/>
        </w:rPr>
        <w:t>(</w:t>
      </w:r>
      <w:proofErr w:type="gramEnd"/>
      <w:r w:rsidRPr="008112CC">
        <w:rPr>
          <w:vertAlign w:val="superscript"/>
        </w:rPr>
        <w:t>a)(b)</w:t>
      </w:r>
    </w:p>
    <w:tbl>
      <w:tblPr>
        <w:tblStyle w:val="LightGrid-Accent6"/>
        <w:tblW w:w="5000" w:type="pct"/>
        <w:tblLook w:val="0680" w:firstRow="0" w:lastRow="0" w:firstColumn="1" w:lastColumn="0" w:noHBand="1" w:noVBand="1"/>
      </w:tblPr>
      <w:tblGrid>
        <w:gridCol w:w="2518"/>
        <w:gridCol w:w="1203"/>
        <w:gridCol w:w="1202"/>
        <w:gridCol w:w="1202"/>
        <w:gridCol w:w="1202"/>
        <w:gridCol w:w="1201"/>
      </w:tblGrid>
      <w:tr w:rsidR="005B0970" w:rsidTr="005B0970">
        <w:tc>
          <w:tcPr>
            <w:cnfStyle w:val="001000000000" w:firstRow="0" w:lastRow="0" w:firstColumn="1" w:lastColumn="0" w:oddVBand="0" w:evenVBand="0" w:oddHBand="0" w:evenHBand="0" w:firstRowFirstColumn="0" w:firstRowLastColumn="0" w:lastRowFirstColumn="0" w:lastRowLastColumn="0"/>
            <w:tcW w:w="1476" w:type="pct"/>
            <w:shd w:val="clear" w:color="auto" w:fill="D7DDE9" w:themeFill="accent3"/>
            <w:vAlign w:val="center"/>
          </w:tcPr>
          <w:p w:rsidR="005B0970" w:rsidRPr="006509C3" w:rsidRDefault="005B0970" w:rsidP="005B0970">
            <w:pPr>
              <w:pStyle w:val="TableHeading"/>
              <w:rPr>
                <w:b w:val="0"/>
              </w:rPr>
            </w:pPr>
            <w:r w:rsidRPr="006509C3">
              <w:rPr>
                <w:b w:val="0"/>
              </w:rPr>
              <w:t>Impact on ($m)</w:t>
            </w:r>
          </w:p>
        </w:tc>
        <w:tc>
          <w:tcPr>
            <w:tcW w:w="705" w:type="pct"/>
            <w:shd w:val="clear" w:color="auto" w:fill="D7DDE9" w:themeFill="accent3"/>
            <w:vAlign w:val="center"/>
          </w:tcPr>
          <w:p w:rsidR="005B0970" w:rsidRPr="005B0970" w:rsidRDefault="00E25B1B" w:rsidP="005B0970">
            <w:pPr>
              <w:pStyle w:val="TableHeadingRight"/>
              <w:cnfStyle w:val="000000000000" w:firstRow="0" w:lastRow="0" w:firstColumn="0" w:lastColumn="0" w:oddVBand="0" w:evenVBand="0" w:oddHBand="0" w:evenHBand="0" w:firstRowFirstColumn="0" w:firstRowLastColumn="0" w:lastRowFirstColumn="0" w:lastRowLastColumn="0"/>
              <w:rPr>
                <w:b w:val="0"/>
              </w:rPr>
            </w:pPr>
            <w:r w:rsidRPr="005B0970">
              <w:rPr>
                <w:b w:val="0"/>
              </w:rPr>
              <w:t>2017–18</w:t>
            </w:r>
          </w:p>
        </w:tc>
        <w:tc>
          <w:tcPr>
            <w:tcW w:w="705" w:type="pct"/>
            <w:shd w:val="clear" w:color="auto" w:fill="D7DDE9" w:themeFill="accent3"/>
            <w:vAlign w:val="center"/>
          </w:tcPr>
          <w:p w:rsidR="005B0970" w:rsidRPr="005B0970" w:rsidRDefault="00E25B1B" w:rsidP="005B0970">
            <w:pPr>
              <w:pStyle w:val="TableHeadingRight"/>
              <w:cnfStyle w:val="000000000000" w:firstRow="0" w:lastRow="0" w:firstColumn="0" w:lastColumn="0" w:oddVBand="0" w:evenVBand="0" w:oddHBand="0" w:evenHBand="0" w:firstRowFirstColumn="0" w:firstRowLastColumn="0" w:lastRowFirstColumn="0" w:lastRowLastColumn="0"/>
              <w:rPr>
                <w:b w:val="0"/>
              </w:rPr>
            </w:pPr>
            <w:r w:rsidRPr="005B0970">
              <w:rPr>
                <w:b w:val="0"/>
              </w:rPr>
              <w:t>2018–19</w:t>
            </w:r>
          </w:p>
        </w:tc>
        <w:tc>
          <w:tcPr>
            <w:tcW w:w="705" w:type="pct"/>
            <w:shd w:val="clear" w:color="auto" w:fill="D7DDE9" w:themeFill="accent3"/>
            <w:vAlign w:val="center"/>
          </w:tcPr>
          <w:p w:rsidR="005B0970" w:rsidRPr="005B0970" w:rsidRDefault="005B0970" w:rsidP="004A4F1C">
            <w:pPr>
              <w:pStyle w:val="TableHeadingRight"/>
              <w:cnfStyle w:val="000000000000" w:firstRow="0" w:lastRow="0" w:firstColumn="0" w:lastColumn="0" w:oddVBand="0" w:evenVBand="0" w:oddHBand="0" w:evenHBand="0" w:firstRowFirstColumn="0" w:firstRowLastColumn="0" w:lastRowFirstColumn="0" w:lastRowLastColumn="0"/>
              <w:rPr>
                <w:b w:val="0"/>
              </w:rPr>
            </w:pPr>
            <w:r w:rsidRPr="005B0970">
              <w:rPr>
                <w:b w:val="0"/>
              </w:rPr>
              <w:t>201</w:t>
            </w:r>
            <w:r w:rsidR="004A4F1C">
              <w:rPr>
                <w:b w:val="0"/>
              </w:rPr>
              <w:t>9–20</w:t>
            </w:r>
          </w:p>
        </w:tc>
        <w:tc>
          <w:tcPr>
            <w:tcW w:w="705" w:type="pct"/>
            <w:shd w:val="clear" w:color="auto" w:fill="D7DDE9" w:themeFill="accent3"/>
            <w:vAlign w:val="center"/>
          </w:tcPr>
          <w:p w:rsidR="005B0970" w:rsidRPr="005B0970" w:rsidRDefault="00E25B1B" w:rsidP="00E25B1B">
            <w:pPr>
              <w:pStyle w:val="TableHeadingRight"/>
              <w:cnfStyle w:val="000000000000" w:firstRow="0" w:lastRow="0" w:firstColumn="0" w:lastColumn="0" w:oddVBand="0" w:evenVBand="0" w:oddHBand="0" w:evenHBand="0" w:firstRowFirstColumn="0" w:firstRowLastColumn="0" w:lastRowFirstColumn="0" w:lastRowLastColumn="0"/>
              <w:rPr>
                <w:b w:val="0"/>
              </w:rPr>
            </w:pPr>
            <w:r>
              <w:rPr>
                <w:b w:val="0"/>
              </w:rPr>
              <w:t>2020–21</w:t>
            </w:r>
          </w:p>
        </w:tc>
        <w:tc>
          <w:tcPr>
            <w:tcW w:w="704" w:type="pct"/>
            <w:shd w:val="clear" w:color="auto" w:fill="D7DDE9" w:themeFill="accent3"/>
            <w:vAlign w:val="center"/>
          </w:tcPr>
          <w:p w:rsidR="005B0970" w:rsidRPr="005B0970" w:rsidRDefault="005B0970" w:rsidP="005B0970">
            <w:pPr>
              <w:pStyle w:val="TableHeadingRight"/>
              <w:cnfStyle w:val="000000000000" w:firstRow="0" w:lastRow="0" w:firstColumn="0" w:lastColumn="0" w:oddVBand="0" w:evenVBand="0" w:oddHBand="0" w:evenHBand="0" w:firstRowFirstColumn="0" w:firstRowLastColumn="0" w:lastRowFirstColumn="0" w:lastRowLastColumn="0"/>
            </w:pPr>
            <w:r w:rsidRPr="005B0970">
              <w:t xml:space="preserve">Total to </w:t>
            </w:r>
            <w:r w:rsidR="00E25B1B">
              <w:t>2020–21</w:t>
            </w:r>
          </w:p>
        </w:tc>
      </w:tr>
      <w:tr w:rsidR="00563987" w:rsidTr="005B0970">
        <w:tc>
          <w:tcPr>
            <w:cnfStyle w:val="001000000000" w:firstRow="0" w:lastRow="0" w:firstColumn="1" w:lastColumn="0" w:oddVBand="0" w:evenVBand="0" w:oddHBand="0" w:evenHBand="0" w:firstRowFirstColumn="0" w:firstRowLastColumn="0" w:lastRowFirstColumn="0" w:lastRowLastColumn="0"/>
            <w:tcW w:w="1476" w:type="pct"/>
            <w:vAlign w:val="center"/>
          </w:tcPr>
          <w:p w:rsidR="00563987" w:rsidRPr="006509C3" w:rsidRDefault="00563987" w:rsidP="005B0970">
            <w:pPr>
              <w:pStyle w:val="TableHeading"/>
              <w:rPr>
                <w:rFonts w:asciiTheme="majorHAnsi" w:hAnsiTheme="majorHAnsi"/>
                <w:b w:val="0"/>
              </w:rPr>
            </w:pPr>
            <w:r w:rsidRPr="006509C3">
              <w:rPr>
                <w:b w:val="0"/>
              </w:rPr>
              <w:t>Fiscal balance</w:t>
            </w:r>
          </w:p>
        </w:tc>
        <w:tc>
          <w:tcPr>
            <w:tcW w:w="705" w:type="pct"/>
            <w:vAlign w:val="center"/>
          </w:tcPr>
          <w:p w:rsidR="00563987" w:rsidRDefault="00563987" w:rsidP="00563987">
            <w:pPr>
              <w:pStyle w:val="TableTextRight"/>
              <w:cnfStyle w:val="000000000000" w:firstRow="0" w:lastRow="0" w:firstColumn="0" w:lastColumn="0" w:oddVBand="0" w:evenVBand="0" w:oddHBand="0" w:evenHBand="0" w:firstRowFirstColumn="0" w:firstRowLastColumn="0" w:lastRowFirstColumn="0" w:lastRowLastColumn="0"/>
            </w:pPr>
            <w:r>
              <w:t>-200.0</w:t>
            </w:r>
          </w:p>
        </w:tc>
        <w:tc>
          <w:tcPr>
            <w:tcW w:w="705" w:type="pct"/>
            <w:vAlign w:val="center"/>
          </w:tcPr>
          <w:p w:rsidR="00563987" w:rsidRDefault="00563987" w:rsidP="00563987">
            <w:pPr>
              <w:pStyle w:val="TableTextRight"/>
              <w:cnfStyle w:val="000000000000" w:firstRow="0" w:lastRow="0" w:firstColumn="0" w:lastColumn="0" w:oddVBand="0" w:evenVBand="0" w:oddHBand="0" w:evenHBand="0" w:firstRowFirstColumn="0" w:firstRowLastColumn="0" w:lastRowFirstColumn="0" w:lastRowLastColumn="0"/>
            </w:pPr>
            <w:r>
              <w:t>-50.0</w:t>
            </w:r>
          </w:p>
        </w:tc>
        <w:tc>
          <w:tcPr>
            <w:tcW w:w="705" w:type="pct"/>
            <w:vAlign w:val="center"/>
          </w:tcPr>
          <w:p w:rsidR="00563987" w:rsidRDefault="00563987" w:rsidP="00563987">
            <w:pPr>
              <w:pStyle w:val="TableTextRight"/>
              <w:cnfStyle w:val="000000000000" w:firstRow="0" w:lastRow="0" w:firstColumn="0" w:lastColumn="0" w:oddVBand="0" w:evenVBand="0" w:oddHBand="0" w:evenHBand="0" w:firstRowFirstColumn="0" w:firstRowLastColumn="0" w:lastRowFirstColumn="0" w:lastRowLastColumn="0"/>
            </w:pPr>
            <w:r>
              <w:t>120.0</w:t>
            </w:r>
          </w:p>
        </w:tc>
        <w:tc>
          <w:tcPr>
            <w:tcW w:w="705" w:type="pct"/>
            <w:vAlign w:val="center"/>
          </w:tcPr>
          <w:p w:rsidR="00563987" w:rsidRDefault="00563987" w:rsidP="00563987">
            <w:pPr>
              <w:pStyle w:val="TableTextRight"/>
              <w:cnfStyle w:val="000000000000" w:firstRow="0" w:lastRow="0" w:firstColumn="0" w:lastColumn="0" w:oddVBand="0" w:evenVBand="0" w:oddHBand="0" w:evenHBand="0" w:firstRowFirstColumn="0" w:firstRowLastColumn="0" w:lastRowFirstColumn="0" w:lastRowLastColumn="0"/>
            </w:pPr>
            <w:r>
              <w:t>130.0</w:t>
            </w:r>
          </w:p>
        </w:tc>
        <w:tc>
          <w:tcPr>
            <w:tcW w:w="704" w:type="pct"/>
            <w:vAlign w:val="center"/>
          </w:tcPr>
          <w:p w:rsidR="00563987" w:rsidRDefault="00563987" w:rsidP="00932ECF">
            <w:pPr>
              <w:pStyle w:val="TableTextRightBold"/>
              <w:cnfStyle w:val="000000000000" w:firstRow="0" w:lastRow="0" w:firstColumn="0" w:lastColumn="0" w:oddVBand="0" w:evenVBand="0" w:oddHBand="0" w:evenHBand="0" w:firstRowFirstColumn="0" w:firstRowLastColumn="0" w:lastRowFirstColumn="0" w:lastRowLastColumn="0"/>
            </w:pPr>
            <w:r>
              <w:t>..</w:t>
            </w:r>
          </w:p>
        </w:tc>
      </w:tr>
      <w:tr w:rsidR="00932ECF" w:rsidTr="00921C37">
        <w:tc>
          <w:tcPr>
            <w:cnfStyle w:val="001000000000" w:firstRow="0" w:lastRow="0" w:firstColumn="1" w:lastColumn="0" w:oddVBand="0" w:evenVBand="0" w:oddHBand="0" w:evenHBand="0" w:firstRowFirstColumn="0" w:firstRowLastColumn="0" w:lastRowFirstColumn="0" w:lastRowLastColumn="0"/>
            <w:tcW w:w="1476" w:type="pct"/>
            <w:vAlign w:val="center"/>
          </w:tcPr>
          <w:p w:rsidR="00932ECF" w:rsidRPr="006509C3" w:rsidRDefault="00932ECF" w:rsidP="005B0970">
            <w:pPr>
              <w:pStyle w:val="TableHeading"/>
              <w:rPr>
                <w:b w:val="0"/>
              </w:rPr>
            </w:pPr>
            <w:r w:rsidRPr="006509C3">
              <w:rPr>
                <w:b w:val="0"/>
              </w:rPr>
              <w:t>Underlying cash balance</w:t>
            </w:r>
          </w:p>
        </w:tc>
        <w:tc>
          <w:tcPr>
            <w:tcW w:w="705" w:type="pct"/>
            <w:vAlign w:val="center"/>
          </w:tcPr>
          <w:p w:rsidR="00932ECF" w:rsidRDefault="00932ECF" w:rsidP="00932ECF">
            <w:pPr>
              <w:pStyle w:val="TableTextRight"/>
              <w:cnfStyle w:val="000000000000" w:firstRow="0" w:lastRow="0" w:firstColumn="0" w:lastColumn="0" w:oddVBand="0" w:evenVBand="0" w:oddHBand="0" w:evenHBand="0" w:firstRowFirstColumn="0" w:firstRowLastColumn="0" w:lastRowFirstColumn="0" w:lastRowLastColumn="0"/>
            </w:pPr>
            <w:r>
              <w:t>..</w:t>
            </w:r>
          </w:p>
        </w:tc>
        <w:tc>
          <w:tcPr>
            <w:tcW w:w="705" w:type="pct"/>
            <w:vAlign w:val="center"/>
          </w:tcPr>
          <w:p w:rsidR="00932ECF" w:rsidRDefault="00932ECF" w:rsidP="00932ECF">
            <w:pPr>
              <w:pStyle w:val="TableTextRight"/>
              <w:cnfStyle w:val="000000000000" w:firstRow="0" w:lastRow="0" w:firstColumn="0" w:lastColumn="0" w:oddVBand="0" w:evenVBand="0" w:oddHBand="0" w:evenHBand="0" w:firstRowFirstColumn="0" w:firstRowLastColumn="0" w:lastRowFirstColumn="0" w:lastRowLastColumn="0"/>
            </w:pPr>
            <w:r>
              <w:t>160.0</w:t>
            </w:r>
          </w:p>
        </w:tc>
        <w:tc>
          <w:tcPr>
            <w:tcW w:w="705" w:type="pct"/>
            <w:vAlign w:val="center"/>
          </w:tcPr>
          <w:p w:rsidR="00932ECF" w:rsidRDefault="00932ECF" w:rsidP="00932ECF">
            <w:pPr>
              <w:pStyle w:val="TableTextRight"/>
              <w:cnfStyle w:val="000000000000" w:firstRow="0" w:lastRow="0" w:firstColumn="0" w:lastColumn="0" w:oddVBand="0" w:evenVBand="0" w:oddHBand="0" w:evenHBand="0" w:firstRowFirstColumn="0" w:firstRowLastColumn="0" w:lastRowFirstColumn="0" w:lastRowLastColumn="0"/>
            </w:pPr>
            <w:r>
              <w:t>220.0</w:t>
            </w:r>
          </w:p>
        </w:tc>
        <w:tc>
          <w:tcPr>
            <w:tcW w:w="705" w:type="pct"/>
            <w:vAlign w:val="center"/>
          </w:tcPr>
          <w:p w:rsidR="00932ECF" w:rsidRDefault="00932ECF" w:rsidP="00932ECF">
            <w:pPr>
              <w:pStyle w:val="TableTextRight"/>
              <w:cnfStyle w:val="000000000000" w:firstRow="0" w:lastRow="0" w:firstColumn="0" w:lastColumn="0" w:oddVBand="0" w:evenVBand="0" w:oddHBand="0" w:evenHBand="0" w:firstRowFirstColumn="0" w:firstRowLastColumn="0" w:lastRowFirstColumn="0" w:lastRowLastColumn="0"/>
            </w:pPr>
            <w:r>
              <w:t>230.0</w:t>
            </w:r>
          </w:p>
        </w:tc>
        <w:tc>
          <w:tcPr>
            <w:tcW w:w="704" w:type="pct"/>
            <w:vAlign w:val="center"/>
          </w:tcPr>
          <w:p w:rsidR="00932ECF" w:rsidRDefault="00932ECF" w:rsidP="00932ECF">
            <w:pPr>
              <w:pStyle w:val="TableTextRightBold"/>
              <w:cnfStyle w:val="000000000000" w:firstRow="0" w:lastRow="0" w:firstColumn="0" w:lastColumn="0" w:oddVBand="0" w:evenVBand="0" w:oddHBand="0" w:evenHBand="0" w:firstRowFirstColumn="0" w:firstRowLastColumn="0" w:lastRowFirstColumn="0" w:lastRowLastColumn="0"/>
              <w:rPr>
                <w:bCs/>
                <w:color w:val="000000"/>
                <w:szCs w:val="20"/>
              </w:rPr>
            </w:pPr>
            <w:r>
              <w:rPr>
                <w:bCs/>
                <w:color w:val="000000"/>
                <w:szCs w:val="20"/>
              </w:rPr>
              <w:t>600.0</w:t>
            </w:r>
          </w:p>
        </w:tc>
      </w:tr>
    </w:tbl>
    <w:p w:rsidR="008112CC" w:rsidRDefault="005B0970" w:rsidP="00897F60">
      <w:pPr>
        <w:pStyle w:val="TableFootnotes"/>
        <w:ind w:left="284" w:hanging="284"/>
      </w:pPr>
      <w:r>
        <w:t>A positive number represents an increase in the relevant budget balance</w:t>
      </w:r>
      <w:r w:rsidR="002D0BAB">
        <w:t>;</w:t>
      </w:r>
      <w:r>
        <w:t xml:space="preserve"> a negative number represents a decrease.</w:t>
      </w:r>
    </w:p>
    <w:p w:rsidR="005B0970" w:rsidRDefault="005B0970" w:rsidP="00897F60">
      <w:pPr>
        <w:pStyle w:val="TableFootnotes"/>
        <w:ind w:left="284" w:hanging="284"/>
      </w:pPr>
      <w:r>
        <w:t>Figures may not sum to totals due to rounding.</w:t>
      </w:r>
    </w:p>
    <w:p w:rsidR="005B0970" w:rsidRDefault="00FE3B13" w:rsidP="00FE3B13">
      <w:pPr>
        <w:pStyle w:val="TableFootnotes"/>
        <w:numPr>
          <w:ilvl w:val="0"/>
          <w:numId w:val="0"/>
        </w:numPr>
        <w:ind w:left="284" w:hanging="284"/>
      </w:pPr>
      <w:r>
        <w:t>..</w:t>
      </w:r>
      <w:r>
        <w:tab/>
      </w:r>
      <w:r w:rsidR="005B0970">
        <w:t>Not zero but rounded to zero.</w:t>
      </w:r>
    </w:p>
    <w:p w:rsidR="00FE3B13" w:rsidRPr="00CA06C8" w:rsidRDefault="00FE3B13" w:rsidP="00CA06C8">
      <w:pPr>
        <w:pStyle w:val="Heading1"/>
      </w:pPr>
      <w:r w:rsidRPr="00CA06C8">
        <w:lastRenderedPageBreak/>
        <w:t>Key assumptions</w:t>
      </w:r>
    </w:p>
    <w:p w:rsidR="00E727B6" w:rsidRDefault="00E727B6" w:rsidP="00E727B6">
      <w:pPr>
        <w:pStyle w:val="Heading2"/>
      </w:pPr>
      <w:r>
        <w:t>GST revenue assumptions</w:t>
      </w:r>
    </w:p>
    <w:p w:rsidR="00E727B6" w:rsidRDefault="00E727B6" w:rsidP="000B4146">
      <w:pPr>
        <w:pStyle w:val="ListBullet"/>
      </w:pPr>
      <w:r>
        <w:t xml:space="preserve">It is assumed that there are no changes to the Intergovernmental Agreement and all </w:t>
      </w:r>
      <w:r w:rsidR="001214A1">
        <w:t xml:space="preserve">reductions in </w:t>
      </w:r>
      <w:r>
        <w:t>GST receipts (net of a</w:t>
      </w:r>
      <w:r w:rsidR="001214A1">
        <w:t>dministrative expenses) result in a corresponding reduction to GST payments</w:t>
      </w:r>
      <w:r>
        <w:t xml:space="preserve"> to the states and territories.</w:t>
      </w:r>
    </w:p>
    <w:p w:rsidR="00E727B6" w:rsidRDefault="00E727B6" w:rsidP="000B4146">
      <w:pPr>
        <w:pStyle w:val="ListBullet"/>
      </w:pPr>
      <w:r>
        <w:t xml:space="preserve">All price impacts from the GST </w:t>
      </w:r>
      <w:r w:rsidR="00575163">
        <w:t>exemption of</w:t>
      </w:r>
      <w:r w:rsidR="00B65D32">
        <w:t xml:space="preserve"> electricity</w:t>
      </w:r>
      <w:r>
        <w:t xml:space="preserve"> are fully </w:t>
      </w:r>
      <w:r w:rsidR="0058249D">
        <w:t>passed on to</w:t>
      </w:r>
      <w:r>
        <w:t xml:space="preserve"> final consumers.  </w:t>
      </w:r>
    </w:p>
    <w:p w:rsidR="00E727B6" w:rsidRDefault="00E727B6" w:rsidP="00E727B6">
      <w:pPr>
        <w:pStyle w:val="ListBullet"/>
      </w:pPr>
      <w:r>
        <w:t xml:space="preserve">The impact of households </w:t>
      </w:r>
      <w:r w:rsidR="00575163">
        <w:t>delaying</w:t>
      </w:r>
      <w:r>
        <w:t xml:space="preserve"> consumption in order to purchase </w:t>
      </w:r>
      <w:r w:rsidR="00575163">
        <w:t xml:space="preserve">electricity after </w:t>
      </w:r>
      <w:r w:rsidR="00327E56">
        <w:t>it becomes GST</w:t>
      </w:r>
      <w:r w:rsidR="00A57DC2">
        <w:t xml:space="preserve"> </w:t>
      </w:r>
      <w:r w:rsidR="00327E56">
        <w:t>free</w:t>
      </w:r>
      <w:r w:rsidR="00DB2EE8">
        <w:t xml:space="preserve"> </w:t>
      </w:r>
      <w:r>
        <w:t xml:space="preserve">is </w:t>
      </w:r>
      <w:r w:rsidR="000156C2">
        <w:t>assumed to be immaterial.</w:t>
      </w:r>
    </w:p>
    <w:p w:rsidR="00A46F49" w:rsidRDefault="00A46F49" w:rsidP="00A46F49">
      <w:pPr>
        <w:pStyle w:val="ListBullet"/>
      </w:pPr>
      <w:r>
        <w:t xml:space="preserve">There are </w:t>
      </w:r>
      <w:r w:rsidR="00E44080">
        <w:t xml:space="preserve">assumed to be </w:t>
      </w:r>
      <w:r>
        <w:t>no material fiscal implications flowing from consumers altering their behaviour in response to changes to the price of electricity they face.</w:t>
      </w:r>
    </w:p>
    <w:p w:rsidR="00E727B6" w:rsidRDefault="00E727B6" w:rsidP="00E727B6">
      <w:pPr>
        <w:pStyle w:val="Heading2"/>
      </w:pPr>
      <w:r>
        <w:t>GST timing</w:t>
      </w:r>
    </w:p>
    <w:p w:rsidR="00E727B6" w:rsidRDefault="00E727B6" w:rsidP="00E727B6">
      <w:pPr>
        <w:pStyle w:val="ListBullet"/>
      </w:pPr>
      <w:r>
        <w:t>On a fiscal balance basis, all GST revenue is recognised in the year the tax is levied on the consumer.  The payment of GST to the states and territories is recognised as an expense when GST is received by the Commonwealth.</w:t>
      </w:r>
    </w:p>
    <w:p w:rsidR="00E727B6" w:rsidRDefault="00E727B6" w:rsidP="00E727B6">
      <w:pPr>
        <w:pStyle w:val="ListBullet"/>
      </w:pPr>
      <w:r>
        <w:t xml:space="preserve">On an underlying cash basis, GST receipts are recognised when they are collected by the Australian Taxation Office (ATO).  It is assumed that </w:t>
      </w:r>
      <w:r w:rsidR="004D014A">
        <w:t>a percentage</w:t>
      </w:r>
      <w:r>
        <w:t xml:space="preserve"> of GST </w:t>
      </w:r>
      <w:r w:rsidR="004D014A">
        <w:t xml:space="preserve">revenue </w:t>
      </w:r>
      <w:r>
        <w:t xml:space="preserve">is received in the </w:t>
      </w:r>
      <w:r w:rsidR="004D014A">
        <w:t>year after it is recognised on a fiscal balance basis</w:t>
      </w:r>
      <w:r>
        <w:t xml:space="preserve">.  This reflects the fact that GST payments are made to the ATO in arrears, and accounts for the fact that businesses can either remit their GST annually, quarterly, or monthly.  </w:t>
      </w:r>
    </w:p>
    <w:p w:rsidR="00E727B6" w:rsidRDefault="00E727B6" w:rsidP="00E727B6">
      <w:pPr>
        <w:pStyle w:val="ListBullet"/>
      </w:pPr>
      <w:r>
        <w:t>There is assumed to be no delay between the receipt of GST by the Commonwealth and associated payments to states and territories.</w:t>
      </w:r>
    </w:p>
    <w:p w:rsidR="00E727B6" w:rsidRDefault="00E727B6" w:rsidP="00E727B6">
      <w:pPr>
        <w:pStyle w:val="Heading2"/>
      </w:pPr>
      <w:r>
        <w:t xml:space="preserve">Impacts on associated </w:t>
      </w:r>
      <w:r w:rsidR="00A46F49">
        <w:t>g</w:t>
      </w:r>
      <w:r>
        <w:t xml:space="preserve">overnment </w:t>
      </w:r>
      <w:r w:rsidR="006F59E7">
        <w:t>transfers</w:t>
      </w:r>
      <w:r>
        <w:t xml:space="preserve"> and fuel and alcohol revenues</w:t>
      </w:r>
    </w:p>
    <w:p w:rsidR="00E727B6" w:rsidRDefault="00E727B6" w:rsidP="00E727B6">
      <w:pPr>
        <w:pStyle w:val="ListBullet"/>
      </w:pPr>
      <w:r>
        <w:t xml:space="preserve">The proposal would impact the CPI release for the quarter immediately after the GST change </w:t>
      </w:r>
      <w:r w:rsidR="00620C01">
        <w:t>takes</w:t>
      </w:r>
      <w:r>
        <w:t xml:space="preserve"> effect.  Government </w:t>
      </w:r>
      <w:r w:rsidR="006F59E7">
        <w:t>transfers</w:t>
      </w:r>
      <w:r>
        <w:t xml:space="preserve"> and revenues would</w:t>
      </w:r>
      <w:r w:rsidR="0002425B">
        <w:t xml:space="preserve"> </w:t>
      </w:r>
      <w:r w:rsidR="00E44080">
        <w:t>be affected</w:t>
      </w:r>
      <w:r>
        <w:t xml:space="preserve"> from their next indexation date following this CPI release.</w:t>
      </w:r>
      <w:r w:rsidR="00BF7BE0">
        <w:t xml:space="preserve"> </w:t>
      </w:r>
      <w:r>
        <w:t xml:space="preserve"> It is assumed that </w:t>
      </w:r>
      <w:r w:rsidR="006F59E7">
        <w:t>transfer</w:t>
      </w:r>
      <w:r>
        <w:t xml:space="preserve"> recipients do not alter their behaviour in response to changes in the payment rates or income thresholds for </w:t>
      </w:r>
      <w:r w:rsidR="00A46F49">
        <w:t>g</w:t>
      </w:r>
      <w:r>
        <w:t xml:space="preserve">overnment </w:t>
      </w:r>
      <w:r w:rsidR="006F59E7">
        <w:t>transfer</w:t>
      </w:r>
      <w:r w:rsidR="00F60D7B">
        <w:t>s</w:t>
      </w:r>
      <w:r>
        <w:t>.</w:t>
      </w:r>
    </w:p>
    <w:p w:rsidR="00E727B6" w:rsidRDefault="00E727B6" w:rsidP="00E727B6">
      <w:pPr>
        <w:pStyle w:val="ListBullet"/>
      </w:pPr>
      <w:r>
        <w:t xml:space="preserve">Consumers do not change their consumption of fuel or alcohol in </w:t>
      </w:r>
      <w:r w:rsidR="00C47F53">
        <w:t>response to incrementally lower</w:t>
      </w:r>
      <w:r>
        <w:t xml:space="preserve"> than otherwise excise rates, or changes in the GST rate. </w:t>
      </w:r>
    </w:p>
    <w:p w:rsidR="00E727B6" w:rsidRDefault="00E727B6" w:rsidP="00E727B6">
      <w:pPr>
        <w:pStyle w:val="ListBullet"/>
      </w:pPr>
      <w:r>
        <w:t>There is no change in the production or importation of fuel and alcoho</w:t>
      </w:r>
      <w:r w:rsidR="004127E9">
        <w:t>l products in response to lower</w:t>
      </w:r>
      <w:r>
        <w:t xml:space="preserve"> than otherwise excise rates. </w:t>
      </w:r>
    </w:p>
    <w:p w:rsidR="00FE3B13" w:rsidRDefault="00FE3B13" w:rsidP="0056001A">
      <w:pPr>
        <w:pStyle w:val="Heading1"/>
      </w:pPr>
      <w:r>
        <w:lastRenderedPageBreak/>
        <w:t>Methodology</w:t>
      </w:r>
    </w:p>
    <w:p w:rsidR="00AF00E9" w:rsidRPr="00AF00E9" w:rsidRDefault="00543114" w:rsidP="006F59E7">
      <w:pPr>
        <w:pStyle w:val="BodyText17ptAbove"/>
      </w:pPr>
      <w:r>
        <w:t>Data from</w:t>
      </w:r>
      <w:r w:rsidR="00620C01">
        <w:t xml:space="preserve"> the</w:t>
      </w:r>
      <w:r>
        <w:t xml:space="preserve"> </w:t>
      </w:r>
      <w:r w:rsidR="003D668E">
        <w:t>Australian Bureau of Statistics (</w:t>
      </w:r>
      <w:r w:rsidR="00A9035D">
        <w:t>ABS</w:t>
      </w:r>
      <w:r w:rsidR="003D668E">
        <w:t>)</w:t>
      </w:r>
      <w:r>
        <w:t xml:space="preserve"> was</w:t>
      </w:r>
      <w:r w:rsidR="00AF00E9" w:rsidRPr="00AF00E9">
        <w:t xml:space="preserve"> used to estimate the </w:t>
      </w:r>
      <w:r w:rsidR="002E5C0D">
        <w:t xml:space="preserve">GST </w:t>
      </w:r>
      <w:r w:rsidR="00AF00E9" w:rsidRPr="00AF00E9">
        <w:t>revenue implications of th</w:t>
      </w:r>
      <w:r w:rsidR="00CD7B95">
        <w:t xml:space="preserve">e </w:t>
      </w:r>
      <w:r w:rsidR="00AF00E9" w:rsidRPr="00AF00E9">
        <w:t>proposal.</w:t>
      </w:r>
      <w:r w:rsidR="00D07F76">
        <w:t xml:space="preserve">  </w:t>
      </w:r>
      <w:r w:rsidR="00B06450">
        <w:t>Estimates were</w:t>
      </w:r>
      <w:r w:rsidR="00D07F76">
        <w:t xml:space="preserve"> grown over the medium term based on growth in household consumption expenditure of similar goods and services.  The impact on the CPI was </w:t>
      </w:r>
      <w:r w:rsidR="007C4EB6">
        <w:t xml:space="preserve">estimated as a percentage change </w:t>
      </w:r>
      <w:r w:rsidR="00D07F76">
        <w:t xml:space="preserve">based on </w:t>
      </w:r>
      <w:r>
        <w:t xml:space="preserve">the </w:t>
      </w:r>
      <w:r w:rsidRPr="00543114">
        <w:t>16th Series Weighting Pattern</w:t>
      </w:r>
      <w:r>
        <w:t xml:space="preserve"> of the CPI</w:t>
      </w:r>
      <w:r w:rsidR="00D07F76">
        <w:t>.</w:t>
      </w:r>
      <w:r w:rsidR="002E5C0D">
        <w:t xml:space="preserve">  </w:t>
      </w:r>
      <w:r w:rsidR="001A133E">
        <w:t>I</w:t>
      </w:r>
      <w:r w:rsidR="001A133E" w:rsidRPr="001A133E">
        <w:t>n order to estimate the impact on revenue and payments</w:t>
      </w:r>
      <w:r w:rsidR="001A133E">
        <w:t>, t</w:t>
      </w:r>
      <w:r w:rsidR="002E5C0D">
        <w:t xml:space="preserve">he </w:t>
      </w:r>
      <w:r w:rsidR="00B06450">
        <w:t>estimated</w:t>
      </w:r>
      <w:r w:rsidR="00FD1110">
        <w:t xml:space="preserve"> </w:t>
      </w:r>
      <w:r w:rsidR="002E5C0D">
        <w:t xml:space="preserve">CPI </w:t>
      </w:r>
      <w:r w:rsidR="00B06450">
        <w:t xml:space="preserve">change </w:t>
      </w:r>
      <w:r w:rsidR="002E5C0D">
        <w:t xml:space="preserve">was </w:t>
      </w:r>
      <w:r w:rsidR="007C4EB6">
        <w:t>used</w:t>
      </w:r>
      <w:r>
        <w:t xml:space="preserve"> to estimate</w:t>
      </w:r>
      <w:r w:rsidR="002E5C0D">
        <w:t xml:space="preserve"> </w:t>
      </w:r>
      <w:r w:rsidR="00A46F49">
        <w:t>g</w:t>
      </w:r>
      <w:r w:rsidR="002E5C0D">
        <w:t xml:space="preserve">overnment </w:t>
      </w:r>
      <w:r w:rsidR="006F59E7">
        <w:t>transfers</w:t>
      </w:r>
      <w:r w:rsidR="002E5C0D">
        <w:t xml:space="preserve">, excise and customs duties </w:t>
      </w:r>
      <w:r w:rsidR="00932B09">
        <w:t xml:space="preserve">under the proposal </w:t>
      </w:r>
      <w:r w:rsidR="004B6D79">
        <w:t xml:space="preserve">and then </w:t>
      </w:r>
      <w:r w:rsidR="007C4EB6">
        <w:t>compared to</w:t>
      </w:r>
      <w:r w:rsidR="00B06450">
        <w:t xml:space="preserve"> current estimates of</w:t>
      </w:r>
      <w:r w:rsidR="007C4EB6">
        <w:t xml:space="preserve"> </w:t>
      </w:r>
      <w:r w:rsidR="000D1D2B" w:rsidRPr="000D1D2B">
        <w:t xml:space="preserve">revenue and </w:t>
      </w:r>
      <w:r w:rsidR="000D1D2B">
        <w:t>transfers</w:t>
      </w:r>
      <w:r w:rsidR="007C4EB6">
        <w:t>.</w:t>
      </w:r>
    </w:p>
    <w:p w:rsidR="008D57E4" w:rsidRDefault="00AF00E9" w:rsidP="00AF00E9">
      <w:pPr>
        <w:pStyle w:val="BodyText"/>
      </w:pPr>
      <w:r w:rsidRPr="00AF00E9">
        <w:t>GST revenue and expenditure estimates</w:t>
      </w:r>
      <w:r w:rsidR="0084644D">
        <w:t xml:space="preserve"> and </w:t>
      </w:r>
      <w:r w:rsidR="00A46F49">
        <w:t>g</w:t>
      </w:r>
      <w:r w:rsidR="0084644D">
        <w:t>overnment transfers to households</w:t>
      </w:r>
      <w:r w:rsidRPr="00AF00E9">
        <w:t xml:space="preserve"> have been rounded to the nearest $</w:t>
      </w:r>
      <w:r w:rsidR="00620C01">
        <w:t>10</w:t>
      </w:r>
      <w:r w:rsidR="00620C01" w:rsidRPr="00AF00E9">
        <w:t xml:space="preserve">0 </w:t>
      </w:r>
      <w:r w:rsidRPr="00AF00E9">
        <w:t>million</w:t>
      </w:r>
      <w:r w:rsidR="0084644D">
        <w:t xml:space="preserve">. </w:t>
      </w:r>
    </w:p>
    <w:p w:rsidR="008D57E4" w:rsidRDefault="0084644D" w:rsidP="00AF00E9">
      <w:pPr>
        <w:pStyle w:val="BodyText"/>
      </w:pPr>
      <w:r>
        <w:t>Fuel excise</w:t>
      </w:r>
      <w:r w:rsidR="008D57E4">
        <w:t>,</w:t>
      </w:r>
      <w:r w:rsidR="00AF00E9" w:rsidRPr="00AF00E9">
        <w:t xml:space="preserve"> Fuel Tax Credit expens</w:t>
      </w:r>
      <w:r w:rsidR="00453EC8">
        <w:t>e</w:t>
      </w:r>
      <w:r w:rsidR="00F01EBB">
        <w:t>s</w:t>
      </w:r>
      <w:r w:rsidR="00453EC8">
        <w:t xml:space="preserve"> and</w:t>
      </w:r>
      <w:r w:rsidR="008D57E4">
        <w:t xml:space="preserve"> alcohol </w:t>
      </w:r>
      <w:r w:rsidR="00453EC8">
        <w:t xml:space="preserve">excise </w:t>
      </w:r>
      <w:r w:rsidR="00AF00E9" w:rsidRPr="00AF00E9">
        <w:t>have been rounded to the nearest $10</w:t>
      </w:r>
      <w:r w:rsidR="00453EC8">
        <w:t> </w:t>
      </w:r>
      <w:r w:rsidR="00AF00E9" w:rsidRPr="00AF00E9">
        <w:t>million</w:t>
      </w:r>
      <w:r>
        <w:t>.</w:t>
      </w:r>
    </w:p>
    <w:p w:rsidR="00FE3B13" w:rsidRDefault="00FE3B13" w:rsidP="00AF00E9">
      <w:pPr>
        <w:pStyle w:val="Heading1"/>
      </w:pPr>
      <w:r>
        <w:t>Data sources</w:t>
      </w:r>
    </w:p>
    <w:p w:rsidR="0090504B" w:rsidRDefault="0090504B" w:rsidP="0090504B">
      <w:pPr>
        <w:pStyle w:val="BodyText"/>
      </w:pPr>
      <w:proofErr w:type="gramStart"/>
      <w:r>
        <w:t>Australian Bureau of Statistics, 2011.</w:t>
      </w:r>
      <w:proofErr w:type="gramEnd"/>
      <w:r>
        <w:t xml:space="preserve"> </w:t>
      </w:r>
      <w:r w:rsidRPr="00543114">
        <w:t xml:space="preserve">6471.0 - </w:t>
      </w:r>
      <w:r w:rsidRPr="00665D04">
        <w:rPr>
          <w:i/>
        </w:rPr>
        <w:t>Consumer Price Index, 16th Series Weighting Pattern</w:t>
      </w:r>
      <w:r w:rsidRPr="00F01EBB">
        <w:t>,</w:t>
      </w:r>
      <w:r w:rsidRPr="00665D04">
        <w:rPr>
          <w:i/>
        </w:rPr>
        <w:t xml:space="preserve"> 2011,</w:t>
      </w:r>
      <w:r w:rsidRPr="00543114">
        <w:t xml:space="preserve"> </w:t>
      </w:r>
      <w:r>
        <w:t xml:space="preserve">Canberra: </w:t>
      </w:r>
      <w:r w:rsidRPr="00CD7B95">
        <w:t>Australian Bureau of Statistics</w:t>
      </w:r>
      <w:r>
        <w:t>.</w:t>
      </w:r>
    </w:p>
    <w:p w:rsidR="00DA3FE0" w:rsidRDefault="00DA3FE0" w:rsidP="00DA3FE0">
      <w:pPr>
        <w:pStyle w:val="BodyText"/>
      </w:pPr>
      <w:proofErr w:type="gramStart"/>
      <w:r>
        <w:t>Australian Bureau of Statistics, 2017.</w:t>
      </w:r>
      <w:proofErr w:type="gramEnd"/>
      <w:r>
        <w:t xml:space="preserve"> </w:t>
      </w:r>
      <w:r w:rsidRPr="00CD7B95">
        <w:t xml:space="preserve">5206.0 - </w:t>
      </w:r>
      <w:r w:rsidRPr="00665D04">
        <w:rPr>
          <w:i/>
        </w:rPr>
        <w:t>Australian National Accounts: National Income, Expenditure and Product, Mar</w:t>
      </w:r>
      <w:r w:rsidR="00A46F49" w:rsidRPr="00665D04">
        <w:rPr>
          <w:i/>
        </w:rPr>
        <w:t>ch</w:t>
      </w:r>
      <w:r w:rsidRPr="00665D04">
        <w:rPr>
          <w:i/>
        </w:rPr>
        <w:t xml:space="preserve"> 2017</w:t>
      </w:r>
      <w:r>
        <w:t xml:space="preserve">, Canberra: </w:t>
      </w:r>
      <w:r w:rsidRPr="00CD7B95">
        <w:t>Australian Bureau of Statistics</w:t>
      </w:r>
      <w:r>
        <w:t>.</w:t>
      </w:r>
    </w:p>
    <w:p w:rsidR="00543114" w:rsidRPr="00CD7B95" w:rsidRDefault="00543114" w:rsidP="00DA3FE0">
      <w:pPr>
        <w:pStyle w:val="BodyText"/>
      </w:pPr>
      <w:proofErr w:type="gramStart"/>
      <w:r>
        <w:t>Australian Bureau of Statistics, 2017.</w:t>
      </w:r>
      <w:proofErr w:type="gramEnd"/>
      <w:r>
        <w:t xml:space="preserve"> </w:t>
      </w:r>
      <w:r w:rsidRPr="00543114">
        <w:t xml:space="preserve">5209.0.55.001 </w:t>
      </w:r>
      <w:r w:rsidRPr="00665D04">
        <w:rPr>
          <w:i/>
        </w:rPr>
        <w:t>Australian National Accounts: Input-Output Tables - 2014-15</w:t>
      </w:r>
      <w:r>
        <w:t>,</w:t>
      </w:r>
      <w:r w:rsidRPr="00543114">
        <w:t xml:space="preserve"> </w:t>
      </w:r>
      <w:r>
        <w:t xml:space="preserve">Canberra: </w:t>
      </w:r>
      <w:r w:rsidRPr="00CD7B95">
        <w:t>Australian Bureau of Statistics</w:t>
      </w:r>
      <w:r>
        <w:t>.</w:t>
      </w:r>
    </w:p>
    <w:p w:rsidR="00AF00E9" w:rsidRDefault="00CD7B95" w:rsidP="00AF00E9">
      <w:pPr>
        <w:pStyle w:val="BodyText"/>
      </w:pPr>
      <w:proofErr w:type="gramStart"/>
      <w:r>
        <w:t>Commonwealth of Australia, 2017.</w:t>
      </w:r>
      <w:proofErr w:type="gramEnd"/>
      <w:r>
        <w:t xml:space="preserve"> </w:t>
      </w:r>
      <w:r w:rsidRPr="00665D04">
        <w:rPr>
          <w:i/>
        </w:rPr>
        <w:t>2017-18 Budget</w:t>
      </w:r>
      <w:r>
        <w:t>, Canberra: Commonwealth of Australia.</w:t>
      </w:r>
    </w:p>
    <w:p w:rsidR="00620C01" w:rsidRDefault="00620C01" w:rsidP="00AF00E9">
      <w:pPr>
        <w:pStyle w:val="BodyText"/>
      </w:pPr>
      <w:r>
        <w:t>The Australian Taxation Office</w:t>
      </w:r>
      <w:r w:rsidRPr="00CD7B95">
        <w:t xml:space="preserve"> </w:t>
      </w:r>
      <w:r>
        <w:t>provided u</w:t>
      </w:r>
      <w:r w:rsidRPr="00CD7B95">
        <w:t>nit record data for alcohol and fuel excise</w:t>
      </w:r>
      <w:r>
        <w:t>.</w:t>
      </w:r>
    </w:p>
    <w:p w:rsidR="00AF00E9" w:rsidRPr="00CD7B95" w:rsidRDefault="00620C01" w:rsidP="00AF00E9">
      <w:pPr>
        <w:pStyle w:val="BodyText"/>
      </w:pPr>
      <w:r>
        <w:t xml:space="preserve">The </w:t>
      </w:r>
      <w:r w:rsidR="00A231BF">
        <w:t>D</w:t>
      </w:r>
      <w:r>
        <w:t xml:space="preserve">epartment of </w:t>
      </w:r>
      <w:r w:rsidR="00CD7B95" w:rsidRPr="00CD7B95">
        <w:t xml:space="preserve">Immigration and Border Protection </w:t>
      </w:r>
      <w:r w:rsidR="00CD7B95">
        <w:t>provided u</w:t>
      </w:r>
      <w:r w:rsidR="00AF00E9" w:rsidRPr="00CD7B95">
        <w:t>nit record data for alcohol and fuel excise equivalent customs duty</w:t>
      </w:r>
      <w:r w:rsidR="00DA3FE0">
        <w:t>.</w:t>
      </w:r>
    </w:p>
    <w:p w:rsidR="00DF2134" w:rsidRDefault="00CD7B95" w:rsidP="00DF2134">
      <w:pPr>
        <w:pStyle w:val="BodyText"/>
      </w:pPr>
      <w:r>
        <w:t xml:space="preserve">The Department of Social Services provided the 2017-18 Budget model for </w:t>
      </w:r>
      <w:r w:rsidR="00A46F49">
        <w:t>g</w:t>
      </w:r>
      <w:r>
        <w:t xml:space="preserve">overnment </w:t>
      </w:r>
      <w:r w:rsidR="006F59E7">
        <w:t>transfers</w:t>
      </w:r>
      <w:r>
        <w:t xml:space="preserve"> to households</w:t>
      </w:r>
      <w:r w:rsidR="00DA3FE0">
        <w:t>.</w:t>
      </w:r>
    </w:p>
    <w:p w:rsidR="007D0ABE" w:rsidRPr="0046444F" w:rsidRDefault="007D0ABE" w:rsidP="00B311BA">
      <w:pPr>
        <w:pStyle w:val="BodyText"/>
      </w:pPr>
    </w:p>
    <w:p w:rsidR="0046444F" w:rsidRDefault="0046444F" w:rsidP="00B311BA">
      <w:pPr>
        <w:pStyle w:val="BodyText"/>
        <w:sectPr w:rsidR="0046444F" w:rsidSect="00731285">
          <w:headerReference w:type="even" r:id="rId9"/>
          <w:headerReference w:type="default" r:id="rId10"/>
          <w:footerReference w:type="even" r:id="rId11"/>
          <w:footerReference w:type="default" r:id="rId12"/>
          <w:headerReference w:type="first" r:id="rId13"/>
          <w:footerReference w:type="first" r:id="rId14"/>
          <w:pgSz w:w="11906" w:h="16838" w:code="9"/>
          <w:pgMar w:top="1361" w:right="1797" w:bottom="1474" w:left="1797" w:header="284" w:footer="454" w:gutter="0"/>
          <w:pgNumType w:start="1"/>
          <w:cols w:space="708"/>
          <w:formProt w:val="0"/>
          <w:titlePg/>
          <w:docGrid w:linePitch="360"/>
        </w:sectPr>
      </w:pPr>
    </w:p>
    <w:p w:rsidR="00016D53" w:rsidRPr="002D239A" w:rsidRDefault="00016D53" w:rsidP="00482F63">
      <w:pPr>
        <w:pStyle w:val="Heading8"/>
      </w:pPr>
      <w:r w:rsidRPr="002D239A">
        <w:lastRenderedPageBreak/>
        <w:t xml:space="preserve">– </w:t>
      </w:r>
      <w:r w:rsidR="0072346A">
        <w:t>GST-</w:t>
      </w:r>
      <w:r w:rsidR="005C140B">
        <w:t>Free Electricity</w:t>
      </w:r>
      <w:r w:rsidRPr="002D239A">
        <w:t>—</w:t>
      </w:r>
      <w:r w:rsidRPr="00482F63">
        <w:t>financial</w:t>
      </w:r>
      <w:r w:rsidRPr="002D239A">
        <w:t> implications</w:t>
      </w:r>
    </w:p>
    <w:p w:rsidR="00016D53" w:rsidRDefault="002D239A" w:rsidP="00AF568A">
      <w:pPr>
        <w:pStyle w:val="Caption"/>
        <w:keepLines/>
        <w:rPr>
          <w:vertAlign w:val="superscript"/>
        </w:rPr>
      </w:pPr>
      <w:r w:rsidRPr="002D239A">
        <w:t xml:space="preserve">Table </w:t>
      </w:r>
      <w:fldSimple w:instr=" STYLEREF 8 \s ">
        <w:r w:rsidR="00665D04">
          <w:rPr>
            <w:noProof/>
          </w:rPr>
          <w:t>A</w:t>
        </w:r>
      </w:fldSimple>
      <w:fldSimple w:instr=" SEQ AppendixTable\s 8 ">
        <w:r w:rsidR="00665D04">
          <w:rPr>
            <w:noProof/>
          </w:rPr>
          <w:t>1</w:t>
        </w:r>
      </w:fldSimple>
      <w:r w:rsidRPr="002D239A">
        <w:t xml:space="preserve">: </w:t>
      </w:r>
      <w:r w:rsidR="0072346A">
        <w:t>GST-</w:t>
      </w:r>
      <w:r w:rsidR="00311ACA" w:rsidRPr="00311ACA">
        <w:t>Free Electricity</w:t>
      </w:r>
      <w:r>
        <w:t>—</w:t>
      </w:r>
      <w:r w:rsidR="0056001A">
        <w:t>Fiscal</w:t>
      </w:r>
      <w:r>
        <w:t xml:space="preserve"> </w:t>
      </w:r>
      <w:proofErr w:type="gramStart"/>
      <w:r>
        <w:t>balance</w:t>
      </w:r>
      <w:r w:rsidRPr="002D239A">
        <w:rPr>
          <w:vertAlign w:val="superscript"/>
        </w:rPr>
        <w:t>(</w:t>
      </w:r>
      <w:proofErr w:type="gramEnd"/>
      <w:r w:rsidRPr="002D239A">
        <w:rPr>
          <w:vertAlign w:val="superscript"/>
        </w:rPr>
        <w:t>a)(b)</w:t>
      </w:r>
    </w:p>
    <w:tbl>
      <w:tblPr>
        <w:tblStyle w:val="LightGrid-Accent6"/>
        <w:tblW w:w="4999" w:type="pct"/>
        <w:tblLook w:val="0680" w:firstRow="0" w:lastRow="0" w:firstColumn="1" w:lastColumn="0" w:noHBand="1" w:noVBand="1"/>
      </w:tblPr>
      <w:tblGrid>
        <w:gridCol w:w="3729"/>
        <w:gridCol w:w="1343"/>
        <w:gridCol w:w="1343"/>
        <w:gridCol w:w="1343"/>
        <w:gridCol w:w="1343"/>
        <w:gridCol w:w="1343"/>
        <w:gridCol w:w="1344"/>
        <w:gridCol w:w="1344"/>
        <w:gridCol w:w="1344"/>
        <w:gridCol w:w="1344"/>
        <w:gridCol w:w="1344"/>
        <w:gridCol w:w="1344"/>
        <w:gridCol w:w="1344"/>
        <w:gridCol w:w="1339"/>
      </w:tblGrid>
      <w:tr w:rsidR="00731285" w:rsidTr="006F4201">
        <w:tc>
          <w:tcPr>
            <w:cnfStyle w:val="001000000000" w:firstRow="0" w:lastRow="0" w:firstColumn="1" w:lastColumn="0" w:oddVBand="0" w:evenVBand="0" w:oddHBand="0" w:evenHBand="0" w:firstRowFirstColumn="0" w:firstRowLastColumn="0" w:lastRowFirstColumn="0" w:lastRowLastColumn="0"/>
            <w:tcW w:w="880" w:type="pct"/>
            <w:shd w:val="clear" w:color="auto" w:fill="D7DDE9" w:themeFill="accent3"/>
            <w:vAlign w:val="center"/>
          </w:tcPr>
          <w:p w:rsidR="00566A97" w:rsidRPr="00713208" w:rsidRDefault="00566A97" w:rsidP="006F4201">
            <w:pPr>
              <w:pStyle w:val="TableHeading"/>
              <w:ind w:left="-57" w:right="-57"/>
              <w:rPr>
                <w:b w:val="0"/>
              </w:rPr>
            </w:pPr>
            <w:r w:rsidRPr="00713208">
              <w:t>($m)</w:t>
            </w:r>
          </w:p>
        </w:tc>
        <w:tc>
          <w:tcPr>
            <w:tcW w:w="317" w:type="pct"/>
            <w:shd w:val="clear" w:color="auto" w:fill="D7DDE9" w:themeFill="accent3"/>
            <w:vAlign w:val="center"/>
          </w:tcPr>
          <w:p w:rsidR="00566A97" w:rsidRPr="002D239A" w:rsidRDefault="00566A97" w:rsidP="003B5234">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2017–18</w:t>
            </w:r>
          </w:p>
        </w:tc>
        <w:tc>
          <w:tcPr>
            <w:tcW w:w="317" w:type="pct"/>
            <w:shd w:val="clear" w:color="auto" w:fill="D7DDE9" w:themeFill="accent3"/>
            <w:vAlign w:val="center"/>
          </w:tcPr>
          <w:p w:rsidR="00566A97" w:rsidRPr="002D239A" w:rsidRDefault="00566A97" w:rsidP="003B5234">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2018–19</w:t>
            </w:r>
          </w:p>
        </w:tc>
        <w:tc>
          <w:tcPr>
            <w:tcW w:w="317" w:type="pct"/>
            <w:shd w:val="clear" w:color="auto" w:fill="D7DDE9" w:themeFill="accent3"/>
            <w:vAlign w:val="center"/>
          </w:tcPr>
          <w:p w:rsidR="00566A97" w:rsidRPr="002D239A" w:rsidRDefault="00566A97" w:rsidP="003B5234">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2019–20</w:t>
            </w:r>
          </w:p>
        </w:tc>
        <w:tc>
          <w:tcPr>
            <w:tcW w:w="317" w:type="pct"/>
            <w:shd w:val="clear" w:color="auto" w:fill="D7DDE9" w:themeFill="accent3"/>
            <w:vAlign w:val="center"/>
          </w:tcPr>
          <w:p w:rsidR="00566A97" w:rsidRPr="00813D7D" w:rsidRDefault="00566A97" w:rsidP="003B5234">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sidRPr="00813D7D">
              <w:rPr>
                <w:b w:val="0"/>
              </w:rPr>
              <w:t>20</w:t>
            </w:r>
            <w:r w:rsidR="00813D7D" w:rsidRPr="00813D7D">
              <w:rPr>
                <w:b w:val="0"/>
              </w:rPr>
              <w:t>20</w:t>
            </w:r>
            <w:r w:rsidRPr="00813D7D">
              <w:rPr>
                <w:b w:val="0"/>
              </w:rPr>
              <w:t>–2</w:t>
            </w:r>
            <w:r w:rsidR="00813D7D" w:rsidRPr="00813D7D">
              <w:rPr>
                <w:b w:val="0"/>
              </w:rPr>
              <w:t>1</w:t>
            </w:r>
          </w:p>
        </w:tc>
        <w:tc>
          <w:tcPr>
            <w:tcW w:w="317" w:type="pct"/>
            <w:shd w:val="clear" w:color="auto" w:fill="D7DDE9" w:themeFill="accent3"/>
            <w:vAlign w:val="center"/>
          </w:tcPr>
          <w:p w:rsidR="00566A97" w:rsidRPr="007B57C9" w:rsidRDefault="00813D7D" w:rsidP="003B5234">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t xml:space="preserve">Total to </w:t>
            </w:r>
            <w:r w:rsidR="002B209B">
              <w:t>2020</w:t>
            </w:r>
            <w:r w:rsidR="002B209B">
              <w:noBreakHyphen/>
            </w:r>
            <w:r w:rsidR="00566A97" w:rsidRPr="00813D7D">
              <w:t>21</w:t>
            </w:r>
          </w:p>
        </w:tc>
        <w:tc>
          <w:tcPr>
            <w:tcW w:w="317" w:type="pct"/>
            <w:shd w:val="clear" w:color="auto" w:fill="D7DDE9" w:themeFill="accent3"/>
            <w:vAlign w:val="center"/>
          </w:tcPr>
          <w:p w:rsidR="00566A97" w:rsidRPr="007B57C9" w:rsidRDefault="00566A97" w:rsidP="003B5234">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2021–22</w:t>
            </w:r>
          </w:p>
        </w:tc>
        <w:tc>
          <w:tcPr>
            <w:tcW w:w="317" w:type="pct"/>
            <w:shd w:val="clear" w:color="auto" w:fill="D7DDE9" w:themeFill="accent3"/>
            <w:vAlign w:val="center"/>
          </w:tcPr>
          <w:p w:rsidR="00566A97" w:rsidRPr="007B57C9" w:rsidRDefault="00566A97" w:rsidP="003B5234">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2022–23</w:t>
            </w:r>
          </w:p>
        </w:tc>
        <w:tc>
          <w:tcPr>
            <w:tcW w:w="317" w:type="pct"/>
            <w:shd w:val="clear" w:color="auto" w:fill="D7DDE9" w:themeFill="accent3"/>
            <w:vAlign w:val="center"/>
          </w:tcPr>
          <w:p w:rsidR="00566A97" w:rsidRPr="007B57C9" w:rsidRDefault="00566A97" w:rsidP="003B5234">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2023–24</w:t>
            </w:r>
          </w:p>
        </w:tc>
        <w:tc>
          <w:tcPr>
            <w:tcW w:w="317" w:type="pct"/>
            <w:shd w:val="clear" w:color="auto" w:fill="D7DDE9" w:themeFill="accent3"/>
            <w:vAlign w:val="center"/>
          </w:tcPr>
          <w:p w:rsidR="00566A97" w:rsidRPr="007B57C9" w:rsidRDefault="00566A97" w:rsidP="003B5234">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2024–25</w:t>
            </w:r>
          </w:p>
        </w:tc>
        <w:tc>
          <w:tcPr>
            <w:tcW w:w="317" w:type="pct"/>
            <w:shd w:val="clear" w:color="auto" w:fill="D7DDE9" w:themeFill="accent3"/>
            <w:vAlign w:val="center"/>
          </w:tcPr>
          <w:p w:rsidR="00566A97" w:rsidRPr="007B57C9" w:rsidRDefault="00566A97" w:rsidP="003B5234">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2025–26</w:t>
            </w:r>
          </w:p>
        </w:tc>
        <w:tc>
          <w:tcPr>
            <w:tcW w:w="317" w:type="pct"/>
            <w:shd w:val="clear" w:color="auto" w:fill="D7DDE9" w:themeFill="accent3"/>
            <w:vAlign w:val="center"/>
          </w:tcPr>
          <w:p w:rsidR="00566A97" w:rsidRPr="007B57C9" w:rsidRDefault="00566A97" w:rsidP="003B5234">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2026–27</w:t>
            </w:r>
          </w:p>
        </w:tc>
        <w:tc>
          <w:tcPr>
            <w:tcW w:w="317" w:type="pct"/>
            <w:shd w:val="clear" w:color="auto" w:fill="D7DDE9" w:themeFill="accent3"/>
            <w:vAlign w:val="center"/>
          </w:tcPr>
          <w:p w:rsidR="00566A97" w:rsidRPr="00EB7C6D" w:rsidRDefault="00566A97" w:rsidP="003B5234">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2027–28</w:t>
            </w:r>
          </w:p>
        </w:tc>
        <w:tc>
          <w:tcPr>
            <w:tcW w:w="316" w:type="pct"/>
            <w:shd w:val="clear" w:color="auto" w:fill="D7DDE9" w:themeFill="accent3"/>
            <w:vAlign w:val="center"/>
          </w:tcPr>
          <w:p w:rsidR="00566A97" w:rsidRPr="002D239A" w:rsidRDefault="00566A97" w:rsidP="003B5234">
            <w:pPr>
              <w:pStyle w:val="TableHeadingRight"/>
              <w:ind w:left="-57" w:right="-57"/>
              <w:cnfStyle w:val="000000000000" w:firstRow="0" w:lastRow="0" w:firstColumn="0" w:lastColumn="0" w:oddVBand="0" w:evenVBand="0" w:oddHBand="0" w:evenHBand="0" w:firstRowFirstColumn="0" w:firstRowLastColumn="0" w:lastRowFirstColumn="0" w:lastRowLastColumn="0"/>
            </w:pPr>
            <w:r>
              <w:t>Total to 2027</w:t>
            </w:r>
            <w:r w:rsidR="002B209B">
              <w:noBreakHyphen/>
            </w:r>
            <w:r>
              <w:t>28</w:t>
            </w:r>
          </w:p>
        </w:tc>
      </w:tr>
      <w:tr w:rsidR="008F6BAF" w:rsidTr="0084644D">
        <w:tc>
          <w:tcPr>
            <w:cnfStyle w:val="001000000000" w:firstRow="0" w:lastRow="0" w:firstColumn="1" w:lastColumn="0" w:oddVBand="0" w:evenVBand="0" w:oddHBand="0" w:evenHBand="0" w:firstRowFirstColumn="0" w:firstRowLastColumn="0" w:lastRowFirstColumn="0" w:lastRowLastColumn="0"/>
            <w:tcW w:w="880" w:type="pct"/>
          </w:tcPr>
          <w:p w:rsidR="008F6BAF" w:rsidRPr="00EF1319" w:rsidRDefault="008F6BAF" w:rsidP="002D0D1A">
            <w:pPr>
              <w:pStyle w:val="TableHeading"/>
              <w:ind w:left="-57" w:right="-57"/>
              <w:rPr>
                <w:b w:val="0"/>
                <w:i/>
                <w:vertAlign w:val="superscript"/>
              </w:rPr>
            </w:pPr>
            <w:r w:rsidRPr="00EF1319">
              <w:rPr>
                <w:b w:val="0"/>
                <w:i/>
              </w:rPr>
              <w:t>GST impacts</w:t>
            </w:r>
          </w:p>
        </w:tc>
        <w:tc>
          <w:tcPr>
            <w:tcW w:w="317" w:type="pct"/>
          </w:tcPr>
          <w:p w:rsidR="008F6BAF" w:rsidRPr="006C3668" w:rsidRDefault="008F6BAF" w:rsidP="0084644D">
            <w:pPr>
              <w:pStyle w:val="TableTextRightItalic"/>
              <w:cnfStyle w:val="000000000000" w:firstRow="0" w:lastRow="0" w:firstColumn="0" w:lastColumn="0" w:oddVBand="0" w:evenVBand="0" w:oddHBand="0" w:evenHBand="0" w:firstRowFirstColumn="0" w:firstRowLastColumn="0" w:lastRowFirstColumn="0" w:lastRowLastColumn="0"/>
              <w:rPr>
                <w:highlight w:val="lightGray"/>
              </w:rPr>
            </w:pPr>
          </w:p>
        </w:tc>
        <w:tc>
          <w:tcPr>
            <w:tcW w:w="317" w:type="pct"/>
          </w:tcPr>
          <w:p w:rsidR="008F6BAF" w:rsidRPr="006C3668" w:rsidRDefault="008F6BAF" w:rsidP="0084644D">
            <w:pPr>
              <w:pStyle w:val="TableTextRightItalic"/>
              <w:cnfStyle w:val="000000000000" w:firstRow="0" w:lastRow="0" w:firstColumn="0" w:lastColumn="0" w:oddVBand="0" w:evenVBand="0" w:oddHBand="0" w:evenHBand="0" w:firstRowFirstColumn="0" w:firstRowLastColumn="0" w:lastRowFirstColumn="0" w:lastRowLastColumn="0"/>
              <w:rPr>
                <w:highlight w:val="lightGray"/>
              </w:rPr>
            </w:pPr>
          </w:p>
        </w:tc>
        <w:tc>
          <w:tcPr>
            <w:tcW w:w="317" w:type="pct"/>
          </w:tcPr>
          <w:p w:rsidR="008F6BAF" w:rsidRPr="006C3668" w:rsidRDefault="008F6BAF" w:rsidP="0084644D">
            <w:pPr>
              <w:pStyle w:val="TableTextRightItalic"/>
              <w:cnfStyle w:val="000000000000" w:firstRow="0" w:lastRow="0" w:firstColumn="0" w:lastColumn="0" w:oddVBand="0" w:evenVBand="0" w:oddHBand="0" w:evenHBand="0" w:firstRowFirstColumn="0" w:firstRowLastColumn="0" w:lastRowFirstColumn="0" w:lastRowLastColumn="0"/>
              <w:rPr>
                <w:highlight w:val="lightGray"/>
              </w:rPr>
            </w:pPr>
          </w:p>
        </w:tc>
        <w:tc>
          <w:tcPr>
            <w:tcW w:w="317" w:type="pct"/>
          </w:tcPr>
          <w:p w:rsidR="008F6BAF" w:rsidRPr="006C3668" w:rsidRDefault="008F6BAF" w:rsidP="0084644D">
            <w:pPr>
              <w:pStyle w:val="TableTextRightItalic"/>
              <w:cnfStyle w:val="000000000000" w:firstRow="0" w:lastRow="0" w:firstColumn="0" w:lastColumn="0" w:oddVBand="0" w:evenVBand="0" w:oddHBand="0" w:evenHBand="0" w:firstRowFirstColumn="0" w:firstRowLastColumn="0" w:lastRowFirstColumn="0" w:lastRowLastColumn="0"/>
              <w:rPr>
                <w:b/>
                <w:highlight w:val="lightGray"/>
              </w:rPr>
            </w:pPr>
          </w:p>
        </w:tc>
        <w:tc>
          <w:tcPr>
            <w:tcW w:w="317" w:type="pct"/>
          </w:tcPr>
          <w:p w:rsidR="008F6BAF" w:rsidRPr="006C3668" w:rsidRDefault="008F6BAF" w:rsidP="0084644D">
            <w:pPr>
              <w:pStyle w:val="TableTextRightItalic"/>
              <w:cnfStyle w:val="000000000000" w:firstRow="0" w:lastRow="0" w:firstColumn="0" w:lastColumn="0" w:oddVBand="0" w:evenVBand="0" w:oddHBand="0" w:evenHBand="0" w:firstRowFirstColumn="0" w:firstRowLastColumn="0" w:lastRowFirstColumn="0" w:lastRowLastColumn="0"/>
              <w:rPr>
                <w:highlight w:val="lightGray"/>
              </w:rPr>
            </w:pPr>
          </w:p>
        </w:tc>
        <w:tc>
          <w:tcPr>
            <w:tcW w:w="317" w:type="pct"/>
          </w:tcPr>
          <w:p w:rsidR="008F6BAF" w:rsidRPr="006C3668" w:rsidRDefault="008F6BAF" w:rsidP="0084644D">
            <w:pPr>
              <w:pStyle w:val="TableTextRightItalic"/>
              <w:cnfStyle w:val="000000000000" w:firstRow="0" w:lastRow="0" w:firstColumn="0" w:lastColumn="0" w:oddVBand="0" w:evenVBand="0" w:oddHBand="0" w:evenHBand="0" w:firstRowFirstColumn="0" w:firstRowLastColumn="0" w:lastRowFirstColumn="0" w:lastRowLastColumn="0"/>
              <w:rPr>
                <w:highlight w:val="lightGray"/>
              </w:rPr>
            </w:pPr>
          </w:p>
        </w:tc>
        <w:tc>
          <w:tcPr>
            <w:tcW w:w="317" w:type="pct"/>
          </w:tcPr>
          <w:p w:rsidR="008F6BAF" w:rsidRPr="006C3668" w:rsidRDefault="008F6BAF" w:rsidP="0084644D">
            <w:pPr>
              <w:pStyle w:val="TableTextRightItalic"/>
              <w:cnfStyle w:val="000000000000" w:firstRow="0" w:lastRow="0" w:firstColumn="0" w:lastColumn="0" w:oddVBand="0" w:evenVBand="0" w:oddHBand="0" w:evenHBand="0" w:firstRowFirstColumn="0" w:firstRowLastColumn="0" w:lastRowFirstColumn="0" w:lastRowLastColumn="0"/>
              <w:rPr>
                <w:highlight w:val="lightGray"/>
              </w:rPr>
            </w:pPr>
          </w:p>
        </w:tc>
        <w:tc>
          <w:tcPr>
            <w:tcW w:w="317" w:type="pct"/>
          </w:tcPr>
          <w:p w:rsidR="008F6BAF" w:rsidRPr="006C3668" w:rsidRDefault="008F6BAF" w:rsidP="0084644D">
            <w:pPr>
              <w:pStyle w:val="TableTextRightItalic"/>
              <w:cnfStyle w:val="000000000000" w:firstRow="0" w:lastRow="0" w:firstColumn="0" w:lastColumn="0" w:oddVBand="0" w:evenVBand="0" w:oddHBand="0" w:evenHBand="0" w:firstRowFirstColumn="0" w:firstRowLastColumn="0" w:lastRowFirstColumn="0" w:lastRowLastColumn="0"/>
              <w:rPr>
                <w:highlight w:val="lightGray"/>
              </w:rPr>
            </w:pPr>
          </w:p>
        </w:tc>
        <w:tc>
          <w:tcPr>
            <w:tcW w:w="317" w:type="pct"/>
          </w:tcPr>
          <w:p w:rsidR="008F6BAF" w:rsidRPr="006C3668" w:rsidRDefault="008F6BAF" w:rsidP="0084644D">
            <w:pPr>
              <w:pStyle w:val="TableTextRightItalic"/>
              <w:cnfStyle w:val="000000000000" w:firstRow="0" w:lastRow="0" w:firstColumn="0" w:lastColumn="0" w:oddVBand="0" w:evenVBand="0" w:oddHBand="0" w:evenHBand="0" w:firstRowFirstColumn="0" w:firstRowLastColumn="0" w:lastRowFirstColumn="0" w:lastRowLastColumn="0"/>
              <w:rPr>
                <w:b/>
                <w:highlight w:val="lightGray"/>
              </w:rPr>
            </w:pPr>
          </w:p>
        </w:tc>
        <w:tc>
          <w:tcPr>
            <w:tcW w:w="317" w:type="pct"/>
          </w:tcPr>
          <w:p w:rsidR="008F6BAF" w:rsidRPr="006C3668" w:rsidRDefault="008F6BAF" w:rsidP="0084644D">
            <w:pPr>
              <w:pStyle w:val="TableTextRightItalic"/>
              <w:cnfStyle w:val="000000000000" w:firstRow="0" w:lastRow="0" w:firstColumn="0" w:lastColumn="0" w:oddVBand="0" w:evenVBand="0" w:oddHBand="0" w:evenHBand="0" w:firstRowFirstColumn="0" w:firstRowLastColumn="0" w:lastRowFirstColumn="0" w:lastRowLastColumn="0"/>
              <w:rPr>
                <w:highlight w:val="lightGray"/>
              </w:rPr>
            </w:pPr>
          </w:p>
        </w:tc>
        <w:tc>
          <w:tcPr>
            <w:tcW w:w="317" w:type="pct"/>
          </w:tcPr>
          <w:p w:rsidR="008F6BAF" w:rsidRPr="006C3668" w:rsidRDefault="008F6BAF" w:rsidP="0084644D">
            <w:pPr>
              <w:pStyle w:val="TableTextRightItalic"/>
              <w:cnfStyle w:val="000000000000" w:firstRow="0" w:lastRow="0" w:firstColumn="0" w:lastColumn="0" w:oddVBand="0" w:evenVBand="0" w:oddHBand="0" w:evenHBand="0" w:firstRowFirstColumn="0" w:firstRowLastColumn="0" w:lastRowFirstColumn="0" w:lastRowLastColumn="0"/>
              <w:rPr>
                <w:highlight w:val="lightGray"/>
              </w:rPr>
            </w:pPr>
          </w:p>
        </w:tc>
        <w:tc>
          <w:tcPr>
            <w:tcW w:w="317" w:type="pct"/>
          </w:tcPr>
          <w:p w:rsidR="008F6BAF" w:rsidRPr="006C3668" w:rsidRDefault="008F6BAF" w:rsidP="0084644D">
            <w:pPr>
              <w:pStyle w:val="TableTextRightItalic"/>
              <w:cnfStyle w:val="000000000000" w:firstRow="0" w:lastRow="0" w:firstColumn="0" w:lastColumn="0" w:oddVBand="0" w:evenVBand="0" w:oddHBand="0" w:evenHBand="0" w:firstRowFirstColumn="0" w:firstRowLastColumn="0" w:lastRowFirstColumn="0" w:lastRowLastColumn="0"/>
              <w:rPr>
                <w:highlight w:val="lightGray"/>
              </w:rPr>
            </w:pPr>
          </w:p>
        </w:tc>
        <w:tc>
          <w:tcPr>
            <w:tcW w:w="316" w:type="pct"/>
          </w:tcPr>
          <w:p w:rsidR="008F6BAF" w:rsidRPr="006C3668" w:rsidRDefault="008F6BAF" w:rsidP="0084644D">
            <w:pPr>
              <w:pStyle w:val="TableTextRightItalic"/>
              <w:cnfStyle w:val="000000000000" w:firstRow="0" w:lastRow="0" w:firstColumn="0" w:lastColumn="0" w:oddVBand="0" w:evenVBand="0" w:oddHBand="0" w:evenHBand="0" w:firstRowFirstColumn="0" w:firstRowLastColumn="0" w:lastRowFirstColumn="0" w:lastRowLastColumn="0"/>
              <w:rPr>
                <w:b/>
                <w:highlight w:val="lightGray"/>
              </w:rPr>
            </w:pPr>
          </w:p>
        </w:tc>
      </w:tr>
      <w:tr w:rsidR="00EF41F1" w:rsidRPr="00930F95" w:rsidTr="00930F95">
        <w:tc>
          <w:tcPr>
            <w:cnfStyle w:val="001000000000" w:firstRow="0" w:lastRow="0" w:firstColumn="1" w:lastColumn="0" w:oddVBand="0" w:evenVBand="0" w:oddHBand="0" w:evenHBand="0" w:firstRowFirstColumn="0" w:firstRowLastColumn="0" w:lastRowFirstColumn="0" w:lastRowLastColumn="0"/>
            <w:tcW w:w="880" w:type="pct"/>
          </w:tcPr>
          <w:p w:rsidR="00EF41F1" w:rsidRPr="0067533A" w:rsidRDefault="00EF41F1" w:rsidP="002D0D1A">
            <w:pPr>
              <w:pStyle w:val="TableText"/>
              <w:ind w:left="-57" w:right="-57"/>
            </w:pPr>
            <w:r>
              <w:t>GST r</w:t>
            </w:r>
            <w:r w:rsidRPr="0067533A">
              <w:t>e</w:t>
            </w:r>
            <w:r>
              <w:t>venue</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-1,000.0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-2,100.0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-2,300.0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-2,500.0</w:t>
            </w:r>
          </w:p>
        </w:tc>
        <w:tc>
          <w:tcPr>
            <w:tcW w:w="317" w:type="pct"/>
            <w:vAlign w:val="center"/>
          </w:tcPr>
          <w:p w:rsidR="00EF41F1" w:rsidRPr="002D0D1A"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b/>
                <w:i/>
                <w:iCs/>
                <w:color w:val="000000"/>
                <w:sz w:val="20"/>
                <w:szCs w:val="20"/>
              </w:rPr>
            </w:pPr>
            <w:r w:rsidRPr="002D0D1A">
              <w:rPr>
                <w:rFonts w:ascii="Calibri" w:hAnsi="Calibri"/>
                <w:b/>
                <w:i/>
                <w:iCs/>
                <w:color w:val="000000"/>
                <w:sz w:val="20"/>
                <w:szCs w:val="20"/>
              </w:rPr>
              <w:t>-7,900.0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-2,700.0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-2,900.0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-3,100.0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-3,400.0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-3,700.0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-4,000.0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-4,300.0</w:t>
            </w:r>
          </w:p>
        </w:tc>
        <w:tc>
          <w:tcPr>
            <w:tcW w:w="316" w:type="pct"/>
            <w:vAlign w:val="center"/>
          </w:tcPr>
          <w:p w:rsidR="00EF41F1" w:rsidRPr="002D0D1A"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b/>
                <w:i/>
                <w:iCs/>
                <w:color w:val="000000"/>
                <w:sz w:val="20"/>
                <w:szCs w:val="20"/>
              </w:rPr>
            </w:pPr>
            <w:r w:rsidRPr="002D0D1A">
              <w:rPr>
                <w:rFonts w:ascii="Calibri" w:hAnsi="Calibri"/>
                <w:b/>
                <w:i/>
                <w:iCs/>
                <w:color w:val="000000"/>
                <w:sz w:val="20"/>
                <w:szCs w:val="20"/>
              </w:rPr>
              <w:t>-32,000.0</w:t>
            </w:r>
          </w:p>
        </w:tc>
      </w:tr>
      <w:tr w:rsidR="00EF41F1" w:rsidRPr="00930F95" w:rsidTr="00930F95">
        <w:tc>
          <w:tcPr>
            <w:cnfStyle w:val="001000000000" w:firstRow="0" w:lastRow="0" w:firstColumn="1" w:lastColumn="0" w:oddVBand="0" w:evenVBand="0" w:oddHBand="0" w:evenHBand="0" w:firstRowFirstColumn="0" w:firstRowLastColumn="0" w:lastRowFirstColumn="0" w:lastRowLastColumn="0"/>
            <w:tcW w:w="880" w:type="pct"/>
          </w:tcPr>
          <w:p w:rsidR="00EF41F1" w:rsidRPr="00703BDB" w:rsidRDefault="00EF41F1" w:rsidP="002D0D1A">
            <w:pPr>
              <w:pStyle w:val="TableText"/>
              <w:ind w:left="-57" w:right="-57"/>
            </w:pPr>
            <w:r w:rsidRPr="0067533A">
              <w:t xml:space="preserve">GST </w:t>
            </w:r>
            <w:r>
              <w:t>expenses</w:t>
            </w:r>
            <w:r w:rsidRPr="0067533A">
              <w:t xml:space="preserve"> to the </w:t>
            </w:r>
            <w:r>
              <w:t>s</w:t>
            </w:r>
            <w:r w:rsidRPr="0067533A">
              <w:t>tates</w:t>
            </w:r>
            <w:r>
              <w:t xml:space="preserve"> and territories</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800.0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1,900.0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2,200.0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2,400.0</w:t>
            </w:r>
          </w:p>
        </w:tc>
        <w:tc>
          <w:tcPr>
            <w:tcW w:w="317" w:type="pct"/>
            <w:vAlign w:val="center"/>
          </w:tcPr>
          <w:p w:rsidR="00EF41F1" w:rsidRPr="002D0D1A"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b/>
                <w:i/>
                <w:iCs/>
                <w:color w:val="000000"/>
                <w:sz w:val="20"/>
                <w:szCs w:val="20"/>
              </w:rPr>
            </w:pPr>
            <w:r w:rsidRPr="002D0D1A">
              <w:rPr>
                <w:rFonts w:ascii="Calibri" w:hAnsi="Calibri"/>
                <w:b/>
                <w:i/>
                <w:iCs/>
                <w:color w:val="000000"/>
                <w:sz w:val="20"/>
                <w:szCs w:val="20"/>
              </w:rPr>
              <w:t>7,300.0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2,600.0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2,900.0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3,100.0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3,400.0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3,600.0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4,000.0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4,300.0</w:t>
            </w:r>
          </w:p>
        </w:tc>
        <w:tc>
          <w:tcPr>
            <w:tcW w:w="316" w:type="pct"/>
            <w:vAlign w:val="center"/>
          </w:tcPr>
          <w:p w:rsidR="00EF41F1" w:rsidRPr="002D0D1A"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b/>
                <w:i/>
                <w:iCs/>
                <w:color w:val="000000"/>
                <w:sz w:val="20"/>
                <w:szCs w:val="20"/>
              </w:rPr>
            </w:pPr>
            <w:r w:rsidRPr="002D0D1A">
              <w:rPr>
                <w:rFonts w:ascii="Calibri" w:hAnsi="Calibri"/>
                <w:b/>
                <w:i/>
                <w:iCs/>
                <w:color w:val="000000"/>
                <w:sz w:val="20"/>
                <w:szCs w:val="20"/>
              </w:rPr>
              <w:t>31,200.0</w:t>
            </w:r>
          </w:p>
        </w:tc>
      </w:tr>
      <w:tr w:rsidR="00EF41F1" w:rsidRPr="00930F95" w:rsidTr="00930F95">
        <w:tc>
          <w:tcPr>
            <w:cnfStyle w:val="001000000000" w:firstRow="0" w:lastRow="0" w:firstColumn="1" w:lastColumn="0" w:oddVBand="0" w:evenVBand="0" w:oddHBand="0" w:evenHBand="0" w:firstRowFirstColumn="0" w:firstRowLastColumn="0" w:lastRowFirstColumn="0" w:lastRowLastColumn="0"/>
            <w:tcW w:w="880" w:type="pct"/>
          </w:tcPr>
          <w:p w:rsidR="00EF41F1" w:rsidRPr="0067533A" w:rsidRDefault="00EF41F1" w:rsidP="002D0D1A">
            <w:pPr>
              <w:pStyle w:val="TableHeading"/>
              <w:ind w:left="-57" w:right="-57"/>
            </w:pPr>
            <w:r>
              <w:t>Net impact on GST</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-200.0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-200.0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-100.0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-100.0</w:t>
            </w:r>
          </w:p>
        </w:tc>
        <w:tc>
          <w:tcPr>
            <w:tcW w:w="317" w:type="pct"/>
            <w:vAlign w:val="center"/>
          </w:tcPr>
          <w:p w:rsidR="00EF41F1" w:rsidRPr="002D0D1A"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sz w:val="20"/>
                <w:szCs w:val="20"/>
              </w:rPr>
            </w:pPr>
            <w:r w:rsidRPr="002D0D1A">
              <w:rPr>
                <w:rFonts w:ascii="Calibri" w:hAnsi="Calibri"/>
                <w:b/>
                <w:color w:val="000000"/>
                <w:sz w:val="20"/>
                <w:szCs w:val="20"/>
              </w:rPr>
              <w:t>-600.0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-100.0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-100.0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316" w:type="pct"/>
            <w:vAlign w:val="center"/>
          </w:tcPr>
          <w:p w:rsidR="00EF41F1" w:rsidRPr="002D0D1A"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sz w:val="20"/>
                <w:szCs w:val="20"/>
              </w:rPr>
            </w:pPr>
            <w:r w:rsidRPr="002D0D1A">
              <w:rPr>
                <w:rFonts w:ascii="Calibri" w:hAnsi="Calibri"/>
                <w:b/>
                <w:color w:val="000000"/>
                <w:sz w:val="20"/>
                <w:szCs w:val="20"/>
              </w:rPr>
              <w:t>-800.0</w:t>
            </w:r>
          </w:p>
        </w:tc>
      </w:tr>
      <w:tr w:rsidR="00EF41F1" w:rsidRPr="00930F95" w:rsidTr="00930F95">
        <w:tc>
          <w:tcPr>
            <w:cnfStyle w:val="001000000000" w:firstRow="0" w:lastRow="0" w:firstColumn="1" w:lastColumn="0" w:oddVBand="0" w:evenVBand="0" w:oddHBand="0" w:evenHBand="0" w:firstRowFirstColumn="0" w:firstRowLastColumn="0" w:lastRowFirstColumn="0" w:lastRowLastColumn="0"/>
            <w:tcW w:w="880" w:type="pct"/>
          </w:tcPr>
          <w:p w:rsidR="00EF41F1" w:rsidRPr="00EF1319" w:rsidRDefault="00EF41F1" w:rsidP="002D0D1A">
            <w:pPr>
              <w:pStyle w:val="TableHeading"/>
              <w:ind w:left="-57" w:right="-57"/>
              <w:rPr>
                <w:b w:val="0"/>
                <w:i/>
              </w:rPr>
            </w:pPr>
            <w:r w:rsidRPr="00EF1319">
              <w:rPr>
                <w:b w:val="0"/>
                <w:i/>
              </w:rPr>
              <w:t>Flow on effects from a change in CPI</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w:t>
            </w:r>
          </w:p>
        </w:tc>
        <w:tc>
          <w:tcPr>
            <w:tcW w:w="317" w:type="pct"/>
            <w:vAlign w:val="center"/>
          </w:tcPr>
          <w:p w:rsidR="00EF41F1" w:rsidRPr="002D0D1A"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sz w:val="20"/>
                <w:szCs w:val="20"/>
              </w:rPr>
            </w:pPr>
            <w:r w:rsidRPr="002D0D1A">
              <w:rPr>
                <w:rFonts w:ascii="Calibri" w:hAnsi="Calibri"/>
                <w:b/>
                <w:color w:val="000000"/>
                <w:sz w:val="20"/>
                <w:szCs w:val="20"/>
              </w:rPr>
              <w:t> </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w:t>
            </w:r>
          </w:p>
        </w:tc>
        <w:tc>
          <w:tcPr>
            <w:tcW w:w="316" w:type="pct"/>
            <w:vAlign w:val="center"/>
          </w:tcPr>
          <w:p w:rsidR="00EF41F1" w:rsidRPr="002D0D1A"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sz w:val="20"/>
                <w:szCs w:val="20"/>
              </w:rPr>
            </w:pPr>
            <w:r w:rsidRPr="002D0D1A">
              <w:rPr>
                <w:rFonts w:ascii="Calibri" w:hAnsi="Calibri"/>
                <w:b/>
                <w:color w:val="000000"/>
                <w:sz w:val="20"/>
                <w:szCs w:val="20"/>
              </w:rPr>
              <w:t> </w:t>
            </w:r>
          </w:p>
        </w:tc>
      </w:tr>
      <w:tr w:rsidR="00EF41F1" w:rsidRPr="00930F95" w:rsidTr="00930F95">
        <w:tc>
          <w:tcPr>
            <w:cnfStyle w:val="001000000000" w:firstRow="0" w:lastRow="0" w:firstColumn="1" w:lastColumn="0" w:oddVBand="0" w:evenVBand="0" w:oddHBand="0" w:evenHBand="0" w:firstRowFirstColumn="0" w:firstRowLastColumn="0" w:lastRowFirstColumn="0" w:lastRowLastColumn="0"/>
            <w:tcW w:w="880" w:type="pct"/>
          </w:tcPr>
          <w:p w:rsidR="00EF41F1" w:rsidRPr="0067533A" w:rsidRDefault="00EF41F1" w:rsidP="002D0D1A">
            <w:pPr>
              <w:pStyle w:val="TableText"/>
              <w:ind w:left="-57" w:right="-57"/>
            </w:pPr>
            <w:r>
              <w:t>G</w:t>
            </w:r>
            <w:r w:rsidRPr="0067533A">
              <w:t xml:space="preserve">overnment </w:t>
            </w:r>
            <w:r>
              <w:t>transfers</w:t>
            </w:r>
            <w:r w:rsidRPr="0067533A">
              <w:t xml:space="preserve"> to households</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180.0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250.0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260.0</w:t>
            </w:r>
          </w:p>
        </w:tc>
        <w:tc>
          <w:tcPr>
            <w:tcW w:w="317" w:type="pct"/>
            <w:vAlign w:val="center"/>
          </w:tcPr>
          <w:p w:rsidR="00EF41F1" w:rsidRPr="002D0D1A"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b/>
                <w:i/>
                <w:iCs/>
                <w:color w:val="000000"/>
                <w:sz w:val="20"/>
                <w:szCs w:val="20"/>
              </w:rPr>
            </w:pPr>
            <w:r w:rsidRPr="002D0D1A">
              <w:rPr>
                <w:rFonts w:ascii="Calibri" w:hAnsi="Calibri"/>
                <w:b/>
                <w:i/>
                <w:iCs/>
                <w:color w:val="000000"/>
                <w:sz w:val="20"/>
                <w:szCs w:val="20"/>
              </w:rPr>
              <w:t>690.0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230.0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110.0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110.0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120.0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130.0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130.0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150.0</w:t>
            </w:r>
          </w:p>
        </w:tc>
        <w:tc>
          <w:tcPr>
            <w:tcW w:w="316" w:type="pct"/>
            <w:vAlign w:val="center"/>
          </w:tcPr>
          <w:p w:rsidR="00EF41F1" w:rsidRPr="002D0D1A"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b/>
                <w:i/>
                <w:iCs/>
                <w:color w:val="000000"/>
                <w:sz w:val="20"/>
                <w:szCs w:val="20"/>
              </w:rPr>
            </w:pPr>
            <w:r w:rsidRPr="002D0D1A">
              <w:rPr>
                <w:rFonts w:ascii="Calibri" w:hAnsi="Calibri"/>
                <w:b/>
                <w:i/>
                <w:iCs/>
                <w:color w:val="000000"/>
                <w:sz w:val="20"/>
                <w:szCs w:val="20"/>
              </w:rPr>
              <w:t>1,670.0</w:t>
            </w:r>
          </w:p>
        </w:tc>
      </w:tr>
      <w:tr w:rsidR="00EF41F1" w:rsidRPr="00930F95" w:rsidTr="00930F95">
        <w:tc>
          <w:tcPr>
            <w:cnfStyle w:val="001000000000" w:firstRow="0" w:lastRow="0" w:firstColumn="1" w:lastColumn="0" w:oddVBand="0" w:evenVBand="0" w:oddHBand="0" w:evenHBand="0" w:firstRowFirstColumn="0" w:firstRowLastColumn="0" w:lastRowFirstColumn="0" w:lastRowLastColumn="0"/>
            <w:tcW w:w="880" w:type="pct"/>
          </w:tcPr>
          <w:p w:rsidR="00EF41F1" w:rsidRPr="0067533A" w:rsidRDefault="00EF41F1" w:rsidP="002D0D1A">
            <w:pPr>
              <w:pStyle w:val="TableText"/>
              <w:ind w:left="-57" w:right="-57"/>
            </w:pPr>
            <w:r>
              <w:t>A</w:t>
            </w:r>
            <w:r w:rsidRPr="0067533A">
              <w:t>lcohol excise and customs dut</w:t>
            </w:r>
            <w:r>
              <w:t>y revenue</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-10.0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-10.0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-10.0</w:t>
            </w:r>
          </w:p>
        </w:tc>
        <w:tc>
          <w:tcPr>
            <w:tcW w:w="317" w:type="pct"/>
            <w:vAlign w:val="center"/>
          </w:tcPr>
          <w:p w:rsidR="00EF41F1" w:rsidRPr="002D0D1A"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b/>
                <w:i/>
                <w:iCs/>
                <w:color w:val="000000"/>
                <w:sz w:val="20"/>
                <w:szCs w:val="20"/>
              </w:rPr>
            </w:pPr>
            <w:r w:rsidRPr="002D0D1A">
              <w:rPr>
                <w:rFonts w:ascii="Calibri" w:hAnsi="Calibri"/>
                <w:b/>
                <w:i/>
                <w:iCs/>
                <w:color w:val="000000"/>
                <w:sz w:val="20"/>
                <w:szCs w:val="20"/>
              </w:rPr>
              <w:t>-30.0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-10.0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-10.0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-10.0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-10.0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-10.0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-10.0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-10.0</w:t>
            </w:r>
          </w:p>
        </w:tc>
        <w:tc>
          <w:tcPr>
            <w:tcW w:w="316" w:type="pct"/>
            <w:vAlign w:val="center"/>
          </w:tcPr>
          <w:p w:rsidR="00EF41F1" w:rsidRPr="002D0D1A"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b/>
                <w:i/>
                <w:iCs/>
                <w:color w:val="000000"/>
                <w:sz w:val="20"/>
                <w:szCs w:val="20"/>
              </w:rPr>
            </w:pPr>
            <w:r w:rsidRPr="002D0D1A">
              <w:rPr>
                <w:rFonts w:ascii="Calibri" w:hAnsi="Calibri"/>
                <w:b/>
                <w:i/>
                <w:iCs/>
                <w:color w:val="000000"/>
                <w:sz w:val="20"/>
                <w:szCs w:val="20"/>
              </w:rPr>
              <w:t>-100.0</w:t>
            </w:r>
          </w:p>
        </w:tc>
      </w:tr>
      <w:tr w:rsidR="00EF41F1" w:rsidRPr="00930F95" w:rsidTr="00930F95">
        <w:tc>
          <w:tcPr>
            <w:cnfStyle w:val="001000000000" w:firstRow="0" w:lastRow="0" w:firstColumn="1" w:lastColumn="0" w:oddVBand="0" w:evenVBand="0" w:oddHBand="0" w:evenHBand="0" w:firstRowFirstColumn="0" w:firstRowLastColumn="0" w:lastRowFirstColumn="0" w:lastRowLastColumn="0"/>
            <w:tcW w:w="880" w:type="pct"/>
          </w:tcPr>
          <w:p w:rsidR="00EF41F1" w:rsidRPr="0067533A" w:rsidRDefault="00EF41F1" w:rsidP="002D0D1A">
            <w:pPr>
              <w:pStyle w:val="TableText"/>
              <w:ind w:left="-57" w:right="-57"/>
            </w:pPr>
            <w:r>
              <w:t>F</w:t>
            </w:r>
            <w:r w:rsidRPr="0067533A">
              <w:t>uel</w:t>
            </w:r>
            <w:r>
              <w:t xml:space="preserve"> excise and customs duty revenue</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-40.0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-40.0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-40.0</w:t>
            </w:r>
          </w:p>
        </w:tc>
        <w:tc>
          <w:tcPr>
            <w:tcW w:w="317" w:type="pct"/>
            <w:vAlign w:val="center"/>
          </w:tcPr>
          <w:p w:rsidR="00EF41F1" w:rsidRPr="002D0D1A"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b/>
                <w:i/>
                <w:iCs/>
                <w:color w:val="000000"/>
                <w:sz w:val="20"/>
                <w:szCs w:val="20"/>
              </w:rPr>
            </w:pPr>
            <w:r w:rsidRPr="002D0D1A">
              <w:rPr>
                <w:rFonts w:ascii="Calibri" w:hAnsi="Calibri"/>
                <w:b/>
                <w:i/>
                <w:iCs/>
                <w:color w:val="000000"/>
                <w:sz w:val="20"/>
                <w:szCs w:val="20"/>
              </w:rPr>
              <w:t>-120.0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-40.0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-40.0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-50.0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-50.0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-50.0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-50.0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-50.0</w:t>
            </w:r>
          </w:p>
        </w:tc>
        <w:tc>
          <w:tcPr>
            <w:tcW w:w="316" w:type="pct"/>
            <w:vAlign w:val="center"/>
          </w:tcPr>
          <w:p w:rsidR="00EF41F1" w:rsidRPr="002D0D1A"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b/>
                <w:i/>
                <w:iCs/>
                <w:color w:val="000000"/>
                <w:sz w:val="20"/>
                <w:szCs w:val="20"/>
              </w:rPr>
            </w:pPr>
            <w:r w:rsidRPr="002D0D1A">
              <w:rPr>
                <w:rFonts w:ascii="Calibri" w:hAnsi="Calibri"/>
                <w:b/>
                <w:i/>
                <w:iCs/>
                <w:color w:val="000000"/>
                <w:sz w:val="20"/>
                <w:szCs w:val="20"/>
              </w:rPr>
              <w:t>-450.0</w:t>
            </w:r>
          </w:p>
        </w:tc>
      </w:tr>
      <w:tr w:rsidR="00EF41F1" w:rsidRPr="00930F95" w:rsidTr="00930F95">
        <w:tc>
          <w:tcPr>
            <w:cnfStyle w:val="001000000000" w:firstRow="0" w:lastRow="0" w:firstColumn="1" w:lastColumn="0" w:oddVBand="0" w:evenVBand="0" w:oddHBand="0" w:evenHBand="0" w:firstRowFirstColumn="0" w:firstRowLastColumn="0" w:lastRowFirstColumn="0" w:lastRowLastColumn="0"/>
            <w:tcW w:w="880" w:type="pct"/>
          </w:tcPr>
          <w:p w:rsidR="00EF41F1" w:rsidRPr="0067533A" w:rsidRDefault="00EF41F1" w:rsidP="002D0D1A">
            <w:pPr>
              <w:pStyle w:val="TableText"/>
              <w:ind w:left="-57" w:right="-57"/>
            </w:pPr>
            <w:r>
              <w:t>Fuel tax credit expenses</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20.0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20.0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20.0</w:t>
            </w:r>
          </w:p>
        </w:tc>
        <w:tc>
          <w:tcPr>
            <w:tcW w:w="317" w:type="pct"/>
            <w:vAlign w:val="center"/>
          </w:tcPr>
          <w:p w:rsidR="00EF41F1" w:rsidRPr="002D0D1A"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b/>
                <w:i/>
                <w:iCs/>
                <w:color w:val="000000"/>
                <w:sz w:val="20"/>
                <w:szCs w:val="20"/>
              </w:rPr>
            </w:pPr>
            <w:r w:rsidRPr="002D0D1A">
              <w:rPr>
                <w:rFonts w:ascii="Calibri" w:hAnsi="Calibri"/>
                <w:b/>
                <w:i/>
                <w:iCs/>
                <w:color w:val="000000"/>
                <w:sz w:val="20"/>
                <w:szCs w:val="20"/>
              </w:rPr>
              <w:t>60.0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20.0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30.0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30.0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30.0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30.0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30.0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30.0</w:t>
            </w:r>
          </w:p>
        </w:tc>
        <w:tc>
          <w:tcPr>
            <w:tcW w:w="316" w:type="pct"/>
            <w:vAlign w:val="center"/>
          </w:tcPr>
          <w:p w:rsidR="00EF41F1" w:rsidRPr="002D0D1A"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b/>
                <w:i/>
                <w:iCs/>
                <w:color w:val="000000"/>
                <w:sz w:val="20"/>
                <w:szCs w:val="20"/>
              </w:rPr>
            </w:pPr>
            <w:r w:rsidRPr="002D0D1A">
              <w:rPr>
                <w:rFonts w:ascii="Calibri" w:hAnsi="Calibri"/>
                <w:b/>
                <w:i/>
                <w:iCs/>
                <w:color w:val="000000"/>
                <w:sz w:val="20"/>
                <w:szCs w:val="20"/>
              </w:rPr>
              <w:t>260.0</w:t>
            </w:r>
          </w:p>
        </w:tc>
      </w:tr>
      <w:tr w:rsidR="00EF41F1" w:rsidRPr="00930F95" w:rsidTr="00930F95">
        <w:tc>
          <w:tcPr>
            <w:cnfStyle w:val="001000000000" w:firstRow="0" w:lastRow="0" w:firstColumn="1" w:lastColumn="0" w:oddVBand="0" w:evenVBand="0" w:oddHBand="0" w:evenHBand="0" w:firstRowFirstColumn="0" w:firstRowLastColumn="0" w:lastRowFirstColumn="0" w:lastRowLastColumn="0"/>
            <w:tcW w:w="880" w:type="pct"/>
          </w:tcPr>
          <w:p w:rsidR="00EF41F1" w:rsidRDefault="00EF41F1" w:rsidP="002D0D1A">
            <w:pPr>
              <w:pStyle w:val="TableHeading"/>
              <w:ind w:left="-57" w:right="-57"/>
            </w:pPr>
            <w:r w:rsidRPr="00251B14">
              <w:t>Net impact from the change to CPI</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150.0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220.0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230.0</w:t>
            </w:r>
          </w:p>
        </w:tc>
        <w:tc>
          <w:tcPr>
            <w:tcW w:w="317" w:type="pct"/>
            <w:vAlign w:val="center"/>
          </w:tcPr>
          <w:p w:rsidR="00EF41F1" w:rsidRPr="002D0D1A"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sz w:val="20"/>
                <w:szCs w:val="20"/>
              </w:rPr>
            </w:pPr>
            <w:r w:rsidRPr="002D0D1A">
              <w:rPr>
                <w:rFonts w:ascii="Calibri" w:hAnsi="Calibri"/>
                <w:b/>
                <w:color w:val="000000"/>
                <w:sz w:val="20"/>
                <w:szCs w:val="20"/>
              </w:rPr>
              <w:t>600.0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200.0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90.0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80.0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90.0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100.0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100.0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120.0</w:t>
            </w:r>
          </w:p>
        </w:tc>
        <w:tc>
          <w:tcPr>
            <w:tcW w:w="316" w:type="pct"/>
            <w:vAlign w:val="center"/>
          </w:tcPr>
          <w:p w:rsidR="00EF41F1" w:rsidRPr="002D0D1A"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sz w:val="20"/>
                <w:szCs w:val="20"/>
              </w:rPr>
            </w:pPr>
            <w:r w:rsidRPr="002D0D1A">
              <w:rPr>
                <w:rFonts w:ascii="Calibri" w:hAnsi="Calibri"/>
                <w:b/>
                <w:color w:val="000000"/>
                <w:sz w:val="20"/>
                <w:szCs w:val="20"/>
              </w:rPr>
              <w:t>1,380.0</w:t>
            </w:r>
          </w:p>
        </w:tc>
      </w:tr>
      <w:tr w:rsidR="00731285" w:rsidTr="00930F95">
        <w:tc>
          <w:tcPr>
            <w:cnfStyle w:val="001000000000" w:firstRow="0" w:lastRow="0" w:firstColumn="1" w:lastColumn="0" w:oddVBand="0" w:evenVBand="0" w:oddHBand="0" w:evenHBand="0" w:firstRowFirstColumn="0" w:firstRowLastColumn="0" w:lastRowFirstColumn="0" w:lastRowLastColumn="0"/>
            <w:tcW w:w="880" w:type="pct"/>
            <w:shd w:val="clear" w:color="auto" w:fill="D7DDE9" w:themeFill="accent3"/>
            <w:vAlign w:val="center"/>
          </w:tcPr>
          <w:p w:rsidR="00EF41F1" w:rsidRPr="00441A6D" w:rsidRDefault="00EF41F1" w:rsidP="006F4201">
            <w:pPr>
              <w:pStyle w:val="TableText"/>
              <w:keepNext/>
              <w:keepLines/>
              <w:ind w:left="-57" w:right="-57"/>
              <w:rPr>
                <w:b/>
              </w:rPr>
            </w:pPr>
            <w:r w:rsidRPr="00441A6D">
              <w:rPr>
                <w:b/>
              </w:rPr>
              <w:t>Total</w:t>
            </w:r>
          </w:p>
        </w:tc>
        <w:tc>
          <w:tcPr>
            <w:tcW w:w="317" w:type="pct"/>
            <w:shd w:val="clear" w:color="auto" w:fill="D7DDE9" w:themeFill="accent3"/>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-200.0</w:t>
            </w:r>
          </w:p>
        </w:tc>
        <w:tc>
          <w:tcPr>
            <w:tcW w:w="317" w:type="pct"/>
            <w:shd w:val="clear" w:color="auto" w:fill="D7DDE9" w:themeFill="accent3"/>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-50.0</w:t>
            </w:r>
          </w:p>
        </w:tc>
        <w:tc>
          <w:tcPr>
            <w:tcW w:w="317" w:type="pct"/>
            <w:shd w:val="clear" w:color="auto" w:fill="D7DDE9" w:themeFill="accent3"/>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120.0</w:t>
            </w:r>
          </w:p>
        </w:tc>
        <w:tc>
          <w:tcPr>
            <w:tcW w:w="317" w:type="pct"/>
            <w:shd w:val="clear" w:color="auto" w:fill="D7DDE9" w:themeFill="accent3"/>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130.0</w:t>
            </w:r>
          </w:p>
        </w:tc>
        <w:tc>
          <w:tcPr>
            <w:tcW w:w="317" w:type="pct"/>
            <w:shd w:val="clear" w:color="auto" w:fill="D7DDE9" w:themeFill="accent3"/>
            <w:vAlign w:val="center"/>
          </w:tcPr>
          <w:p w:rsidR="00EF41F1" w:rsidRPr="00930F95"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sidRPr="00930F95">
              <w:rPr>
                <w:rFonts w:ascii="Calibri" w:hAnsi="Calibri"/>
                <w:b/>
                <w:bCs/>
                <w:color w:val="000000"/>
                <w:sz w:val="20"/>
                <w:szCs w:val="20"/>
              </w:rPr>
              <w:t>..</w:t>
            </w:r>
          </w:p>
        </w:tc>
        <w:tc>
          <w:tcPr>
            <w:tcW w:w="317" w:type="pct"/>
            <w:shd w:val="clear" w:color="auto" w:fill="D7DDE9" w:themeFill="accent3"/>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100.0</w:t>
            </w:r>
          </w:p>
        </w:tc>
        <w:tc>
          <w:tcPr>
            <w:tcW w:w="317" w:type="pct"/>
            <w:shd w:val="clear" w:color="auto" w:fill="D7DDE9" w:themeFill="accent3"/>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90.0</w:t>
            </w:r>
          </w:p>
        </w:tc>
        <w:tc>
          <w:tcPr>
            <w:tcW w:w="317" w:type="pct"/>
            <w:shd w:val="clear" w:color="auto" w:fill="D7DDE9" w:themeFill="accent3"/>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80.0</w:t>
            </w:r>
          </w:p>
        </w:tc>
        <w:tc>
          <w:tcPr>
            <w:tcW w:w="317" w:type="pct"/>
            <w:shd w:val="clear" w:color="auto" w:fill="D7DDE9" w:themeFill="accent3"/>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90.0</w:t>
            </w:r>
          </w:p>
        </w:tc>
        <w:tc>
          <w:tcPr>
            <w:tcW w:w="317" w:type="pct"/>
            <w:shd w:val="clear" w:color="auto" w:fill="D7DDE9" w:themeFill="accent3"/>
            <w:vAlign w:val="center"/>
          </w:tcPr>
          <w:p w:rsidR="00EF41F1" w:rsidRDefault="00930F95">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w:t>
            </w:r>
          </w:p>
        </w:tc>
        <w:tc>
          <w:tcPr>
            <w:tcW w:w="317" w:type="pct"/>
            <w:shd w:val="clear" w:color="auto" w:fill="D7DDE9" w:themeFill="accent3"/>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100.0</w:t>
            </w:r>
          </w:p>
        </w:tc>
        <w:tc>
          <w:tcPr>
            <w:tcW w:w="317" w:type="pct"/>
            <w:shd w:val="clear" w:color="auto" w:fill="D7DDE9" w:themeFill="accent3"/>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120.0</w:t>
            </w:r>
          </w:p>
        </w:tc>
        <w:tc>
          <w:tcPr>
            <w:tcW w:w="316" w:type="pct"/>
            <w:shd w:val="clear" w:color="auto" w:fill="D7DDE9" w:themeFill="accent3"/>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580.0</w:t>
            </w:r>
          </w:p>
        </w:tc>
      </w:tr>
    </w:tbl>
    <w:p w:rsidR="002D239A" w:rsidRDefault="0056001A" w:rsidP="00F0183C">
      <w:pPr>
        <w:pStyle w:val="TableFootnotes"/>
        <w:keepNext/>
        <w:numPr>
          <w:ilvl w:val="0"/>
          <w:numId w:val="12"/>
        </w:numPr>
        <w:ind w:left="284" w:hanging="284"/>
      </w:pPr>
      <w:r>
        <w:t>A positive number for the fiscal balance indicates an increase in revenue or a decrease in expenses or net capital investment in accrual terms.  A negative number for the fiscal balance indicates a decrease in revenue or an increase in expenses or net capital investment in accrual terms.</w:t>
      </w:r>
    </w:p>
    <w:p w:rsidR="002D239A" w:rsidRPr="002D239A" w:rsidRDefault="002D239A" w:rsidP="00897F60">
      <w:pPr>
        <w:pStyle w:val="TableFootnotes"/>
        <w:keepNext/>
        <w:ind w:left="284" w:hanging="284"/>
      </w:pPr>
      <w:r>
        <w:t>Figures may not sum to totals due to rounding.</w:t>
      </w:r>
    </w:p>
    <w:p w:rsidR="002D239A" w:rsidRDefault="002D239A" w:rsidP="00AF568A">
      <w:pPr>
        <w:pStyle w:val="TableFootnotes"/>
        <w:keepNext/>
        <w:numPr>
          <w:ilvl w:val="0"/>
          <w:numId w:val="0"/>
        </w:numPr>
        <w:ind w:left="284" w:hanging="284"/>
      </w:pPr>
      <w:r>
        <w:t>..</w:t>
      </w:r>
      <w:r>
        <w:tab/>
        <w:t>Not zero but rounded to zero.</w:t>
      </w:r>
    </w:p>
    <w:p w:rsidR="002D239A" w:rsidRDefault="002D239A" w:rsidP="00F0183C">
      <w:pPr>
        <w:pStyle w:val="TableFootnotes"/>
        <w:keepLines w:val="0"/>
        <w:numPr>
          <w:ilvl w:val="0"/>
          <w:numId w:val="11"/>
        </w:numPr>
        <w:ind w:left="284" w:hanging="284"/>
      </w:pPr>
      <w:r>
        <w:t>Indicates nil.</w:t>
      </w:r>
    </w:p>
    <w:p w:rsidR="002B209B" w:rsidRDefault="002B209B">
      <w:pPr>
        <w:rPr>
          <w:b/>
          <w:bCs/>
          <w:color w:val="2B3B5F" w:themeColor="text2"/>
          <w:spacing w:val="-4"/>
        </w:rPr>
      </w:pPr>
      <w:r>
        <w:br w:type="page"/>
      </w:r>
    </w:p>
    <w:p w:rsidR="008F6BAF" w:rsidRDefault="00AF568A" w:rsidP="008F6BAF">
      <w:pPr>
        <w:pStyle w:val="Caption"/>
        <w:keepLines/>
        <w:rPr>
          <w:vertAlign w:val="superscript"/>
        </w:rPr>
      </w:pPr>
      <w:r w:rsidRPr="002D239A">
        <w:lastRenderedPageBreak/>
        <w:t xml:space="preserve">Table </w:t>
      </w:r>
      <w:fldSimple w:instr=" STYLEREF 8 \s ">
        <w:r w:rsidR="00665D04">
          <w:rPr>
            <w:noProof/>
          </w:rPr>
          <w:t>A</w:t>
        </w:r>
      </w:fldSimple>
      <w:fldSimple w:instr=" SEQ AppendixTable\s 8 ">
        <w:r w:rsidR="00665D04">
          <w:rPr>
            <w:noProof/>
          </w:rPr>
          <w:t>2</w:t>
        </w:r>
      </w:fldSimple>
      <w:r w:rsidRPr="002D239A">
        <w:t xml:space="preserve">: </w:t>
      </w:r>
      <w:r w:rsidR="0072346A">
        <w:t>GST-</w:t>
      </w:r>
      <w:r w:rsidR="009901AB">
        <w:t>Free Electricity</w:t>
      </w:r>
      <w:r>
        <w:t>—</w:t>
      </w:r>
      <w:r w:rsidR="0056001A">
        <w:t>Underlying cash</w:t>
      </w:r>
      <w:r>
        <w:t xml:space="preserve"> </w:t>
      </w:r>
      <w:proofErr w:type="gramStart"/>
      <w:r>
        <w:t>balance</w:t>
      </w:r>
      <w:r w:rsidRPr="002D239A">
        <w:rPr>
          <w:vertAlign w:val="superscript"/>
        </w:rPr>
        <w:t>(</w:t>
      </w:r>
      <w:proofErr w:type="gramEnd"/>
      <w:r w:rsidRPr="002D239A">
        <w:rPr>
          <w:vertAlign w:val="superscript"/>
        </w:rPr>
        <w:t>a)(b)</w:t>
      </w:r>
    </w:p>
    <w:tbl>
      <w:tblPr>
        <w:tblStyle w:val="LightGrid-Accent6"/>
        <w:tblW w:w="4999" w:type="pct"/>
        <w:tblLook w:val="0680" w:firstRow="0" w:lastRow="0" w:firstColumn="1" w:lastColumn="0" w:noHBand="1" w:noVBand="1"/>
      </w:tblPr>
      <w:tblGrid>
        <w:gridCol w:w="3729"/>
        <w:gridCol w:w="1343"/>
        <w:gridCol w:w="1343"/>
        <w:gridCol w:w="1343"/>
        <w:gridCol w:w="1343"/>
        <w:gridCol w:w="1343"/>
        <w:gridCol w:w="1344"/>
        <w:gridCol w:w="1344"/>
        <w:gridCol w:w="1344"/>
        <w:gridCol w:w="1344"/>
        <w:gridCol w:w="1344"/>
        <w:gridCol w:w="1344"/>
        <w:gridCol w:w="1344"/>
        <w:gridCol w:w="1339"/>
      </w:tblGrid>
      <w:tr w:rsidR="00731285" w:rsidTr="0084644D">
        <w:tc>
          <w:tcPr>
            <w:cnfStyle w:val="001000000000" w:firstRow="0" w:lastRow="0" w:firstColumn="1" w:lastColumn="0" w:oddVBand="0" w:evenVBand="0" w:oddHBand="0" w:evenHBand="0" w:firstRowFirstColumn="0" w:firstRowLastColumn="0" w:lastRowFirstColumn="0" w:lastRowLastColumn="0"/>
            <w:tcW w:w="880" w:type="pct"/>
            <w:shd w:val="clear" w:color="auto" w:fill="D7DDE9" w:themeFill="accent3"/>
            <w:vAlign w:val="center"/>
          </w:tcPr>
          <w:p w:rsidR="002B209B" w:rsidRPr="00713208" w:rsidRDefault="002B209B" w:rsidP="0084644D">
            <w:pPr>
              <w:pStyle w:val="TableHeading"/>
              <w:ind w:left="-57" w:right="-57"/>
              <w:rPr>
                <w:b w:val="0"/>
              </w:rPr>
            </w:pPr>
            <w:r w:rsidRPr="00713208">
              <w:t>($m)</w:t>
            </w:r>
          </w:p>
        </w:tc>
        <w:tc>
          <w:tcPr>
            <w:tcW w:w="317" w:type="pct"/>
            <w:shd w:val="clear" w:color="auto" w:fill="D7DDE9" w:themeFill="accent3"/>
            <w:vAlign w:val="center"/>
          </w:tcPr>
          <w:p w:rsidR="002B209B" w:rsidRPr="002D239A" w:rsidRDefault="002B209B" w:rsidP="003B5234">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2017–18</w:t>
            </w:r>
          </w:p>
        </w:tc>
        <w:tc>
          <w:tcPr>
            <w:tcW w:w="317" w:type="pct"/>
            <w:shd w:val="clear" w:color="auto" w:fill="D7DDE9" w:themeFill="accent3"/>
            <w:vAlign w:val="center"/>
          </w:tcPr>
          <w:p w:rsidR="002B209B" w:rsidRPr="002D239A" w:rsidRDefault="002B209B" w:rsidP="003B5234">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2018–19</w:t>
            </w:r>
          </w:p>
        </w:tc>
        <w:tc>
          <w:tcPr>
            <w:tcW w:w="317" w:type="pct"/>
            <w:shd w:val="clear" w:color="auto" w:fill="D7DDE9" w:themeFill="accent3"/>
            <w:vAlign w:val="center"/>
          </w:tcPr>
          <w:p w:rsidR="002B209B" w:rsidRPr="002D239A" w:rsidRDefault="002B209B" w:rsidP="003B5234">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2019–20</w:t>
            </w:r>
          </w:p>
        </w:tc>
        <w:tc>
          <w:tcPr>
            <w:tcW w:w="317" w:type="pct"/>
            <w:shd w:val="clear" w:color="auto" w:fill="D7DDE9" w:themeFill="accent3"/>
            <w:vAlign w:val="center"/>
          </w:tcPr>
          <w:p w:rsidR="002B209B" w:rsidRPr="00813D7D" w:rsidRDefault="002B209B" w:rsidP="003B5234">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sidRPr="00813D7D">
              <w:rPr>
                <w:b w:val="0"/>
              </w:rPr>
              <w:t>2020–21</w:t>
            </w:r>
          </w:p>
        </w:tc>
        <w:tc>
          <w:tcPr>
            <w:tcW w:w="317" w:type="pct"/>
            <w:shd w:val="clear" w:color="auto" w:fill="D7DDE9" w:themeFill="accent3"/>
            <w:vAlign w:val="center"/>
          </w:tcPr>
          <w:p w:rsidR="002B209B" w:rsidRPr="007B57C9" w:rsidRDefault="002B209B" w:rsidP="003B5234">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t xml:space="preserve">Total to </w:t>
            </w:r>
            <w:r w:rsidRPr="00813D7D">
              <w:t>2020</w:t>
            </w:r>
            <w:r w:rsidR="00386011">
              <w:noBreakHyphen/>
            </w:r>
            <w:r w:rsidRPr="00813D7D">
              <w:t>21</w:t>
            </w:r>
          </w:p>
        </w:tc>
        <w:tc>
          <w:tcPr>
            <w:tcW w:w="317" w:type="pct"/>
            <w:shd w:val="clear" w:color="auto" w:fill="D7DDE9" w:themeFill="accent3"/>
            <w:vAlign w:val="center"/>
          </w:tcPr>
          <w:p w:rsidR="002B209B" w:rsidRPr="007B57C9" w:rsidRDefault="002B209B" w:rsidP="003B5234">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2021–22</w:t>
            </w:r>
          </w:p>
        </w:tc>
        <w:tc>
          <w:tcPr>
            <w:tcW w:w="317" w:type="pct"/>
            <w:shd w:val="clear" w:color="auto" w:fill="D7DDE9" w:themeFill="accent3"/>
            <w:vAlign w:val="center"/>
          </w:tcPr>
          <w:p w:rsidR="002B209B" w:rsidRPr="007B57C9" w:rsidRDefault="002B209B" w:rsidP="003B5234">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2022–23</w:t>
            </w:r>
          </w:p>
        </w:tc>
        <w:tc>
          <w:tcPr>
            <w:tcW w:w="317" w:type="pct"/>
            <w:shd w:val="clear" w:color="auto" w:fill="D7DDE9" w:themeFill="accent3"/>
            <w:vAlign w:val="center"/>
          </w:tcPr>
          <w:p w:rsidR="002B209B" w:rsidRPr="007B57C9" w:rsidRDefault="002B209B" w:rsidP="003B5234">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2023–24</w:t>
            </w:r>
          </w:p>
        </w:tc>
        <w:tc>
          <w:tcPr>
            <w:tcW w:w="317" w:type="pct"/>
            <w:shd w:val="clear" w:color="auto" w:fill="D7DDE9" w:themeFill="accent3"/>
            <w:vAlign w:val="center"/>
          </w:tcPr>
          <w:p w:rsidR="002B209B" w:rsidRPr="007B57C9" w:rsidRDefault="002B209B" w:rsidP="003B5234">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2024–25</w:t>
            </w:r>
          </w:p>
        </w:tc>
        <w:tc>
          <w:tcPr>
            <w:tcW w:w="317" w:type="pct"/>
            <w:shd w:val="clear" w:color="auto" w:fill="D7DDE9" w:themeFill="accent3"/>
            <w:vAlign w:val="center"/>
          </w:tcPr>
          <w:p w:rsidR="002B209B" w:rsidRPr="007B57C9" w:rsidRDefault="002B209B" w:rsidP="003B5234">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2025–26</w:t>
            </w:r>
          </w:p>
        </w:tc>
        <w:tc>
          <w:tcPr>
            <w:tcW w:w="317" w:type="pct"/>
            <w:shd w:val="clear" w:color="auto" w:fill="D7DDE9" w:themeFill="accent3"/>
            <w:vAlign w:val="center"/>
          </w:tcPr>
          <w:p w:rsidR="002B209B" w:rsidRPr="007B57C9" w:rsidRDefault="002B209B" w:rsidP="003B5234">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2026–27</w:t>
            </w:r>
          </w:p>
        </w:tc>
        <w:tc>
          <w:tcPr>
            <w:tcW w:w="317" w:type="pct"/>
            <w:shd w:val="clear" w:color="auto" w:fill="D7DDE9" w:themeFill="accent3"/>
            <w:vAlign w:val="center"/>
          </w:tcPr>
          <w:p w:rsidR="002B209B" w:rsidRPr="00EB7C6D" w:rsidRDefault="002B209B" w:rsidP="003B5234">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2027–28</w:t>
            </w:r>
          </w:p>
        </w:tc>
        <w:tc>
          <w:tcPr>
            <w:tcW w:w="316" w:type="pct"/>
            <w:shd w:val="clear" w:color="auto" w:fill="D7DDE9" w:themeFill="accent3"/>
            <w:vAlign w:val="center"/>
          </w:tcPr>
          <w:p w:rsidR="002B209B" w:rsidRPr="002D239A" w:rsidRDefault="002B209B" w:rsidP="003B5234">
            <w:pPr>
              <w:pStyle w:val="TableHeadingRight"/>
              <w:ind w:left="-57" w:right="-57"/>
              <w:cnfStyle w:val="000000000000" w:firstRow="0" w:lastRow="0" w:firstColumn="0" w:lastColumn="0" w:oddVBand="0" w:evenVBand="0" w:oddHBand="0" w:evenHBand="0" w:firstRowFirstColumn="0" w:firstRowLastColumn="0" w:lastRowFirstColumn="0" w:lastRowLastColumn="0"/>
            </w:pPr>
            <w:r>
              <w:t>Total to 2027</w:t>
            </w:r>
            <w:r w:rsidR="00386011">
              <w:noBreakHyphen/>
            </w:r>
            <w:r>
              <w:t>28</w:t>
            </w:r>
          </w:p>
        </w:tc>
      </w:tr>
      <w:tr w:rsidR="002B209B" w:rsidTr="0084644D">
        <w:tc>
          <w:tcPr>
            <w:cnfStyle w:val="001000000000" w:firstRow="0" w:lastRow="0" w:firstColumn="1" w:lastColumn="0" w:oddVBand="0" w:evenVBand="0" w:oddHBand="0" w:evenHBand="0" w:firstRowFirstColumn="0" w:firstRowLastColumn="0" w:lastRowFirstColumn="0" w:lastRowLastColumn="0"/>
            <w:tcW w:w="880" w:type="pct"/>
          </w:tcPr>
          <w:p w:rsidR="002B209B" w:rsidRPr="00EF1319" w:rsidRDefault="002B209B" w:rsidP="002D0D1A">
            <w:pPr>
              <w:pStyle w:val="TableHeading"/>
              <w:ind w:left="-57" w:right="-57"/>
              <w:rPr>
                <w:b w:val="0"/>
                <w:i/>
                <w:vertAlign w:val="superscript"/>
              </w:rPr>
            </w:pPr>
            <w:r w:rsidRPr="00EF1319">
              <w:rPr>
                <w:b w:val="0"/>
                <w:i/>
              </w:rPr>
              <w:t>GST impacts</w:t>
            </w:r>
          </w:p>
        </w:tc>
        <w:tc>
          <w:tcPr>
            <w:tcW w:w="317" w:type="pct"/>
          </w:tcPr>
          <w:p w:rsidR="002B209B" w:rsidRPr="006C3668" w:rsidRDefault="002B209B" w:rsidP="0084644D">
            <w:pPr>
              <w:pStyle w:val="TableTextRightItalic"/>
              <w:cnfStyle w:val="000000000000" w:firstRow="0" w:lastRow="0" w:firstColumn="0" w:lastColumn="0" w:oddVBand="0" w:evenVBand="0" w:oddHBand="0" w:evenHBand="0" w:firstRowFirstColumn="0" w:firstRowLastColumn="0" w:lastRowFirstColumn="0" w:lastRowLastColumn="0"/>
              <w:rPr>
                <w:highlight w:val="lightGray"/>
              </w:rPr>
            </w:pPr>
          </w:p>
        </w:tc>
        <w:tc>
          <w:tcPr>
            <w:tcW w:w="317" w:type="pct"/>
          </w:tcPr>
          <w:p w:rsidR="002B209B" w:rsidRPr="006C3668" w:rsidRDefault="002B209B" w:rsidP="0084644D">
            <w:pPr>
              <w:pStyle w:val="TableTextRightItalic"/>
              <w:cnfStyle w:val="000000000000" w:firstRow="0" w:lastRow="0" w:firstColumn="0" w:lastColumn="0" w:oddVBand="0" w:evenVBand="0" w:oddHBand="0" w:evenHBand="0" w:firstRowFirstColumn="0" w:firstRowLastColumn="0" w:lastRowFirstColumn="0" w:lastRowLastColumn="0"/>
              <w:rPr>
                <w:highlight w:val="lightGray"/>
              </w:rPr>
            </w:pPr>
          </w:p>
        </w:tc>
        <w:tc>
          <w:tcPr>
            <w:tcW w:w="317" w:type="pct"/>
          </w:tcPr>
          <w:p w:rsidR="002B209B" w:rsidRPr="006C3668" w:rsidRDefault="002B209B" w:rsidP="0084644D">
            <w:pPr>
              <w:pStyle w:val="TableTextRightItalic"/>
              <w:cnfStyle w:val="000000000000" w:firstRow="0" w:lastRow="0" w:firstColumn="0" w:lastColumn="0" w:oddVBand="0" w:evenVBand="0" w:oddHBand="0" w:evenHBand="0" w:firstRowFirstColumn="0" w:firstRowLastColumn="0" w:lastRowFirstColumn="0" w:lastRowLastColumn="0"/>
              <w:rPr>
                <w:highlight w:val="lightGray"/>
              </w:rPr>
            </w:pPr>
          </w:p>
        </w:tc>
        <w:tc>
          <w:tcPr>
            <w:tcW w:w="317" w:type="pct"/>
          </w:tcPr>
          <w:p w:rsidR="002B209B" w:rsidRPr="006C3668" w:rsidRDefault="002B209B" w:rsidP="0084644D">
            <w:pPr>
              <w:pStyle w:val="TableTextRightItalic"/>
              <w:cnfStyle w:val="000000000000" w:firstRow="0" w:lastRow="0" w:firstColumn="0" w:lastColumn="0" w:oddVBand="0" w:evenVBand="0" w:oddHBand="0" w:evenHBand="0" w:firstRowFirstColumn="0" w:firstRowLastColumn="0" w:lastRowFirstColumn="0" w:lastRowLastColumn="0"/>
              <w:rPr>
                <w:b/>
                <w:highlight w:val="lightGray"/>
              </w:rPr>
            </w:pPr>
          </w:p>
        </w:tc>
        <w:tc>
          <w:tcPr>
            <w:tcW w:w="317" w:type="pct"/>
          </w:tcPr>
          <w:p w:rsidR="002B209B" w:rsidRPr="006C3668" w:rsidRDefault="002B209B" w:rsidP="0084644D">
            <w:pPr>
              <w:pStyle w:val="TableTextRightItalic"/>
              <w:cnfStyle w:val="000000000000" w:firstRow="0" w:lastRow="0" w:firstColumn="0" w:lastColumn="0" w:oddVBand="0" w:evenVBand="0" w:oddHBand="0" w:evenHBand="0" w:firstRowFirstColumn="0" w:firstRowLastColumn="0" w:lastRowFirstColumn="0" w:lastRowLastColumn="0"/>
              <w:rPr>
                <w:highlight w:val="lightGray"/>
              </w:rPr>
            </w:pPr>
          </w:p>
        </w:tc>
        <w:tc>
          <w:tcPr>
            <w:tcW w:w="317" w:type="pct"/>
          </w:tcPr>
          <w:p w:rsidR="002B209B" w:rsidRPr="006C3668" w:rsidRDefault="002B209B" w:rsidP="0084644D">
            <w:pPr>
              <w:pStyle w:val="TableTextRightItalic"/>
              <w:cnfStyle w:val="000000000000" w:firstRow="0" w:lastRow="0" w:firstColumn="0" w:lastColumn="0" w:oddVBand="0" w:evenVBand="0" w:oddHBand="0" w:evenHBand="0" w:firstRowFirstColumn="0" w:firstRowLastColumn="0" w:lastRowFirstColumn="0" w:lastRowLastColumn="0"/>
              <w:rPr>
                <w:highlight w:val="lightGray"/>
              </w:rPr>
            </w:pPr>
          </w:p>
        </w:tc>
        <w:tc>
          <w:tcPr>
            <w:tcW w:w="317" w:type="pct"/>
          </w:tcPr>
          <w:p w:rsidR="002B209B" w:rsidRPr="006C3668" w:rsidRDefault="002B209B" w:rsidP="0084644D">
            <w:pPr>
              <w:pStyle w:val="TableTextRightItalic"/>
              <w:cnfStyle w:val="000000000000" w:firstRow="0" w:lastRow="0" w:firstColumn="0" w:lastColumn="0" w:oddVBand="0" w:evenVBand="0" w:oddHBand="0" w:evenHBand="0" w:firstRowFirstColumn="0" w:firstRowLastColumn="0" w:lastRowFirstColumn="0" w:lastRowLastColumn="0"/>
              <w:rPr>
                <w:highlight w:val="lightGray"/>
              </w:rPr>
            </w:pPr>
          </w:p>
        </w:tc>
        <w:tc>
          <w:tcPr>
            <w:tcW w:w="317" w:type="pct"/>
          </w:tcPr>
          <w:p w:rsidR="002B209B" w:rsidRPr="006C3668" w:rsidRDefault="002B209B" w:rsidP="0084644D">
            <w:pPr>
              <w:pStyle w:val="TableTextRightItalic"/>
              <w:cnfStyle w:val="000000000000" w:firstRow="0" w:lastRow="0" w:firstColumn="0" w:lastColumn="0" w:oddVBand="0" w:evenVBand="0" w:oddHBand="0" w:evenHBand="0" w:firstRowFirstColumn="0" w:firstRowLastColumn="0" w:lastRowFirstColumn="0" w:lastRowLastColumn="0"/>
              <w:rPr>
                <w:highlight w:val="lightGray"/>
              </w:rPr>
            </w:pPr>
          </w:p>
        </w:tc>
        <w:tc>
          <w:tcPr>
            <w:tcW w:w="317" w:type="pct"/>
          </w:tcPr>
          <w:p w:rsidR="002B209B" w:rsidRPr="006C3668" w:rsidRDefault="002B209B" w:rsidP="0084644D">
            <w:pPr>
              <w:pStyle w:val="TableTextRightItalic"/>
              <w:cnfStyle w:val="000000000000" w:firstRow="0" w:lastRow="0" w:firstColumn="0" w:lastColumn="0" w:oddVBand="0" w:evenVBand="0" w:oddHBand="0" w:evenHBand="0" w:firstRowFirstColumn="0" w:firstRowLastColumn="0" w:lastRowFirstColumn="0" w:lastRowLastColumn="0"/>
              <w:rPr>
                <w:b/>
                <w:highlight w:val="lightGray"/>
              </w:rPr>
            </w:pPr>
          </w:p>
        </w:tc>
        <w:tc>
          <w:tcPr>
            <w:tcW w:w="317" w:type="pct"/>
          </w:tcPr>
          <w:p w:rsidR="002B209B" w:rsidRPr="006C3668" w:rsidRDefault="002B209B" w:rsidP="0084644D">
            <w:pPr>
              <w:pStyle w:val="TableTextRightItalic"/>
              <w:cnfStyle w:val="000000000000" w:firstRow="0" w:lastRow="0" w:firstColumn="0" w:lastColumn="0" w:oddVBand="0" w:evenVBand="0" w:oddHBand="0" w:evenHBand="0" w:firstRowFirstColumn="0" w:firstRowLastColumn="0" w:lastRowFirstColumn="0" w:lastRowLastColumn="0"/>
              <w:rPr>
                <w:highlight w:val="lightGray"/>
              </w:rPr>
            </w:pPr>
          </w:p>
        </w:tc>
        <w:tc>
          <w:tcPr>
            <w:tcW w:w="317" w:type="pct"/>
          </w:tcPr>
          <w:p w:rsidR="002B209B" w:rsidRPr="006C3668" w:rsidRDefault="002B209B" w:rsidP="0084644D">
            <w:pPr>
              <w:pStyle w:val="TableTextRightItalic"/>
              <w:cnfStyle w:val="000000000000" w:firstRow="0" w:lastRow="0" w:firstColumn="0" w:lastColumn="0" w:oddVBand="0" w:evenVBand="0" w:oddHBand="0" w:evenHBand="0" w:firstRowFirstColumn="0" w:firstRowLastColumn="0" w:lastRowFirstColumn="0" w:lastRowLastColumn="0"/>
              <w:rPr>
                <w:highlight w:val="lightGray"/>
              </w:rPr>
            </w:pPr>
          </w:p>
        </w:tc>
        <w:tc>
          <w:tcPr>
            <w:tcW w:w="317" w:type="pct"/>
          </w:tcPr>
          <w:p w:rsidR="002B209B" w:rsidRPr="006C3668" w:rsidRDefault="002B209B" w:rsidP="0084644D">
            <w:pPr>
              <w:pStyle w:val="TableTextRightItalic"/>
              <w:cnfStyle w:val="000000000000" w:firstRow="0" w:lastRow="0" w:firstColumn="0" w:lastColumn="0" w:oddVBand="0" w:evenVBand="0" w:oddHBand="0" w:evenHBand="0" w:firstRowFirstColumn="0" w:firstRowLastColumn="0" w:lastRowFirstColumn="0" w:lastRowLastColumn="0"/>
              <w:rPr>
                <w:highlight w:val="lightGray"/>
              </w:rPr>
            </w:pPr>
          </w:p>
        </w:tc>
        <w:tc>
          <w:tcPr>
            <w:tcW w:w="316" w:type="pct"/>
          </w:tcPr>
          <w:p w:rsidR="002B209B" w:rsidRPr="006C3668" w:rsidRDefault="002B209B" w:rsidP="0084644D">
            <w:pPr>
              <w:pStyle w:val="TableTextRightItalic"/>
              <w:cnfStyle w:val="000000000000" w:firstRow="0" w:lastRow="0" w:firstColumn="0" w:lastColumn="0" w:oddVBand="0" w:evenVBand="0" w:oddHBand="0" w:evenHBand="0" w:firstRowFirstColumn="0" w:firstRowLastColumn="0" w:lastRowFirstColumn="0" w:lastRowLastColumn="0"/>
              <w:rPr>
                <w:b/>
                <w:highlight w:val="lightGray"/>
              </w:rPr>
            </w:pPr>
          </w:p>
        </w:tc>
      </w:tr>
      <w:tr w:rsidR="00EF41F1" w:rsidRPr="006C3668" w:rsidTr="00930F95">
        <w:tc>
          <w:tcPr>
            <w:cnfStyle w:val="001000000000" w:firstRow="0" w:lastRow="0" w:firstColumn="1" w:lastColumn="0" w:oddVBand="0" w:evenVBand="0" w:oddHBand="0" w:evenHBand="0" w:firstRowFirstColumn="0" w:firstRowLastColumn="0" w:lastRowFirstColumn="0" w:lastRowLastColumn="0"/>
            <w:tcW w:w="880" w:type="pct"/>
          </w:tcPr>
          <w:p w:rsidR="00EF41F1" w:rsidRPr="0067533A" w:rsidRDefault="00EF41F1" w:rsidP="002D0D1A">
            <w:pPr>
              <w:pStyle w:val="TableText"/>
              <w:ind w:left="-57" w:right="-57"/>
            </w:pPr>
            <w:r>
              <w:t>GST r</w:t>
            </w:r>
            <w:r w:rsidRPr="0067533A">
              <w:t>e</w:t>
            </w:r>
            <w:r>
              <w:t>ceipts</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-800.0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-1,900.0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-2,200.0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-2,400.0</w:t>
            </w:r>
          </w:p>
        </w:tc>
        <w:tc>
          <w:tcPr>
            <w:tcW w:w="317" w:type="pct"/>
            <w:vAlign w:val="center"/>
          </w:tcPr>
          <w:p w:rsidR="00EF41F1" w:rsidRPr="002D0D1A"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b/>
                <w:i/>
                <w:iCs/>
                <w:color w:val="000000"/>
                <w:sz w:val="20"/>
                <w:szCs w:val="20"/>
              </w:rPr>
            </w:pPr>
            <w:r w:rsidRPr="002D0D1A">
              <w:rPr>
                <w:rFonts w:ascii="Calibri" w:hAnsi="Calibri"/>
                <w:b/>
                <w:i/>
                <w:iCs/>
                <w:color w:val="000000"/>
                <w:sz w:val="20"/>
                <w:szCs w:val="20"/>
              </w:rPr>
              <w:t>-7,300.0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-2,600.0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-2,900.0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-3,100.0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-3,400.0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-3,600.0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-4,000.0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-4,300.0</w:t>
            </w:r>
          </w:p>
        </w:tc>
        <w:tc>
          <w:tcPr>
            <w:tcW w:w="316" w:type="pct"/>
            <w:vAlign w:val="center"/>
          </w:tcPr>
          <w:p w:rsidR="00EF41F1" w:rsidRPr="002D0D1A"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b/>
                <w:i/>
                <w:iCs/>
                <w:color w:val="000000"/>
                <w:sz w:val="20"/>
                <w:szCs w:val="20"/>
              </w:rPr>
            </w:pPr>
            <w:r w:rsidRPr="002D0D1A">
              <w:rPr>
                <w:rFonts w:ascii="Calibri" w:hAnsi="Calibri"/>
                <w:b/>
                <w:i/>
                <w:iCs/>
                <w:color w:val="000000"/>
                <w:sz w:val="20"/>
                <w:szCs w:val="20"/>
              </w:rPr>
              <w:t>-31,200.0</w:t>
            </w:r>
          </w:p>
        </w:tc>
      </w:tr>
      <w:tr w:rsidR="00EF41F1" w:rsidRPr="006C3668" w:rsidTr="00930F95">
        <w:tc>
          <w:tcPr>
            <w:cnfStyle w:val="001000000000" w:firstRow="0" w:lastRow="0" w:firstColumn="1" w:lastColumn="0" w:oddVBand="0" w:evenVBand="0" w:oddHBand="0" w:evenHBand="0" w:firstRowFirstColumn="0" w:firstRowLastColumn="0" w:lastRowFirstColumn="0" w:lastRowLastColumn="0"/>
            <w:tcW w:w="880" w:type="pct"/>
          </w:tcPr>
          <w:p w:rsidR="00EF41F1" w:rsidRPr="00703BDB" w:rsidRDefault="00EF41F1" w:rsidP="002D0D1A">
            <w:pPr>
              <w:pStyle w:val="TableText"/>
              <w:ind w:left="-57" w:right="-57"/>
            </w:pPr>
            <w:r w:rsidRPr="0067533A">
              <w:t xml:space="preserve">GST </w:t>
            </w:r>
            <w:r>
              <w:t>payments</w:t>
            </w:r>
            <w:r w:rsidRPr="0067533A">
              <w:t xml:space="preserve"> to the </w:t>
            </w:r>
            <w:r>
              <w:t>s</w:t>
            </w:r>
            <w:r w:rsidRPr="0067533A">
              <w:t>tates</w:t>
            </w:r>
            <w:r>
              <w:t xml:space="preserve"> and territories</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800.0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1,900.0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2,200.0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2,400.0</w:t>
            </w:r>
          </w:p>
        </w:tc>
        <w:tc>
          <w:tcPr>
            <w:tcW w:w="317" w:type="pct"/>
            <w:vAlign w:val="center"/>
          </w:tcPr>
          <w:p w:rsidR="00EF41F1" w:rsidRPr="002D0D1A"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b/>
                <w:i/>
                <w:iCs/>
                <w:color w:val="000000"/>
                <w:sz w:val="20"/>
                <w:szCs w:val="20"/>
              </w:rPr>
            </w:pPr>
            <w:r w:rsidRPr="002D0D1A">
              <w:rPr>
                <w:rFonts w:ascii="Calibri" w:hAnsi="Calibri"/>
                <w:b/>
                <w:i/>
                <w:iCs/>
                <w:color w:val="000000"/>
                <w:sz w:val="20"/>
                <w:szCs w:val="20"/>
              </w:rPr>
              <w:t>7,300.0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2,600.0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2,900.0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3,100.0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3,400.0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3,600.0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4,000.0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4,300.0</w:t>
            </w:r>
          </w:p>
        </w:tc>
        <w:tc>
          <w:tcPr>
            <w:tcW w:w="316" w:type="pct"/>
            <w:vAlign w:val="center"/>
          </w:tcPr>
          <w:p w:rsidR="00EF41F1" w:rsidRPr="002D0D1A"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b/>
                <w:i/>
                <w:iCs/>
                <w:color w:val="000000"/>
                <w:sz w:val="20"/>
                <w:szCs w:val="20"/>
              </w:rPr>
            </w:pPr>
            <w:r w:rsidRPr="002D0D1A">
              <w:rPr>
                <w:rFonts w:ascii="Calibri" w:hAnsi="Calibri"/>
                <w:b/>
                <w:i/>
                <w:iCs/>
                <w:color w:val="000000"/>
                <w:sz w:val="20"/>
                <w:szCs w:val="20"/>
              </w:rPr>
              <w:t>31,200.0</w:t>
            </w:r>
          </w:p>
        </w:tc>
      </w:tr>
      <w:tr w:rsidR="00EF41F1" w:rsidRPr="006C3668" w:rsidTr="00930F95">
        <w:tc>
          <w:tcPr>
            <w:cnfStyle w:val="001000000000" w:firstRow="0" w:lastRow="0" w:firstColumn="1" w:lastColumn="0" w:oddVBand="0" w:evenVBand="0" w:oddHBand="0" w:evenHBand="0" w:firstRowFirstColumn="0" w:firstRowLastColumn="0" w:lastRowFirstColumn="0" w:lastRowLastColumn="0"/>
            <w:tcW w:w="880" w:type="pct"/>
          </w:tcPr>
          <w:p w:rsidR="00EF41F1" w:rsidRPr="0067533A" w:rsidRDefault="00EF41F1" w:rsidP="002D0D1A">
            <w:pPr>
              <w:pStyle w:val="TableHeading"/>
              <w:ind w:left="-57" w:right="-57"/>
            </w:pPr>
            <w:r>
              <w:t>Net impact on GST</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317" w:type="pct"/>
            <w:vAlign w:val="center"/>
          </w:tcPr>
          <w:p w:rsidR="00EF41F1" w:rsidRPr="002D0D1A"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sz w:val="20"/>
                <w:szCs w:val="20"/>
              </w:rPr>
            </w:pPr>
            <w:r w:rsidRPr="002D0D1A">
              <w:rPr>
                <w:rFonts w:ascii="Calibri" w:hAnsi="Calibri"/>
                <w:b/>
                <w:color w:val="000000"/>
                <w:sz w:val="20"/>
                <w:szCs w:val="20"/>
              </w:rPr>
              <w:t>-</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316" w:type="pct"/>
            <w:vAlign w:val="center"/>
          </w:tcPr>
          <w:p w:rsidR="00EF41F1" w:rsidRPr="002D0D1A"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sz w:val="20"/>
                <w:szCs w:val="20"/>
              </w:rPr>
            </w:pPr>
            <w:r w:rsidRPr="002D0D1A">
              <w:rPr>
                <w:rFonts w:ascii="Calibri" w:hAnsi="Calibri"/>
                <w:b/>
                <w:color w:val="000000"/>
                <w:sz w:val="20"/>
                <w:szCs w:val="20"/>
              </w:rPr>
              <w:t>-</w:t>
            </w:r>
          </w:p>
        </w:tc>
      </w:tr>
      <w:tr w:rsidR="00EF41F1" w:rsidRPr="006C3668" w:rsidTr="00930F95">
        <w:tc>
          <w:tcPr>
            <w:cnfStyle w:val="001000000000" w:firstRow="0" w:lastRow="0" w:firstColumn="1" w:lastColumn="0" w:oddVBand="0" w:evenVBand="0" w:oddHBand="0" w:evenHBand="0" w:firstRowFirstColumn="0" w:firstRowLastColumn="0" w:lastRowFirstColumn="0" w:lastRowLastColumn="0"/>
            <w:tcW w:w="880" w:type="pct"/>
          </w:tcPr>
          <w:p w:rsidR="00EF41F1" w:rsidRPr="00EF1319" w:rsidRDefault="00EF41F1" w:rsidP="002D0D1A">
            <w:pPr>
              <w:pStyle w:val="TableHeading"/>
              <w:ind w:left="-57" w:right="-57"/>
              <w:rPr>
                <w:b w:val="0"/>
                <w:i/>
              </w:rPr>
            </w:pPr>
            <w:r w:rsidRPr="00EF1319">
              <w:rPr>
                <w:b w:val="0"/>
                <w:i/>
              </w:rPr>
              <w:t>Flow on effects from a change in CPI</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w:t>
            </w:r>
          </w:p>
        </w:tc>
        <w:tc>
          <w:tcPr>
            <w:tcW w:w="317" w:type="pct"/>
            <w:vAlign w:val="center"/>
          </w:tcPr>
          <w:p w:rsidR="00EF41F1" w:rsidRPr="002D0D1A"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sz w:val="20"/>
                <w:szCs w:val="20"/>
              </w:rPr>
            </w:pPr>
            <w:r w:rsidRPr="002D0D1A">
              <w:rPr>
                <w:rFonts w:ascii="Calibri" w:hAnsi="Calibri"/>
                <w:b/>
                <w:color w:val="000000"/>
                <w:sz w:val="20"/>
                <w:szCs w:val="20"/>
              </w:rPr>
              <w:t> </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w:t>
            </w:r>
          </w:p>
        </w:tc>
        <w:tc>
          <w:tcPr>
            <w:tcW w:w="316" w:type="pct"/>
            <w:vAlign w:val="center"/>
          </w:tcPr>
          <w:p w:rsidR="00EF41F1" w:rsidRPr="002D0D1A"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sz w:val="20"/>
                <w:szCs w:val="20"/>
              </w:rPr>
            </w:pPr>
            <w:r w:rsidRPr="002D0D1A">
              <w:rPr>
                <w:rFonts w:ascii="Calibri" w:hAnsi="Calibri"/>
                <w:b/>
                <w:color w:val="000000"/>
                <w:sz w:val="20"/>
                <w:szCs w:val="20"/>
              </w:rPr>
              <w:t> </w:t>
            </w:r>
          </w:p>
        </w:tc>
      </w:tr>
      <w:tr w:rsidR="00EF41F1" w:rsidRPr="006C3668" w:rsidTr="00930F95">
        <w:tc>
          <w:tcPr>
            <w:cnfStyle w:val="001000000000" w:firstRow="0" w:lastRow="0" w:firstColumn="1" w:lastColumn="0" w:oddVBand="0" w:evenVBand="0" w:oddHBand="0" w:evenHBand="0" w:firstRowFirstColumn="0" w:firstRowLastColumn="0" w:lastRowFirstColumn="0" w:lastRowLastColumn="0"/>
            <w:tcW w:w="880" w:type="pct"/>
          </w:tcPr>
          <w:p w:rsidR="00EF41F1" w:rsidRPr="0067533A" w:rsidRDefault="00EF41F1" w:rsidP="002D0D1A">
            <w:pPr>
              <w:pStyle w:val="TableText"/>
              <w:ind w:left="-57" w:right="-57"/>
            </w:pPr>
            <w:r>
              <w:t>G</w:t>
            </w:r>
            <w:r w:rsidRPr="0067533A">
              <w:t xml:space="preserve">overnment </w:t>
            </w:r>
            <w:r>
              <w:t>transfers</w:t>
            </w:r>
            <w:r w:rsidRPr="0067533A">
              <w:t xml:space="preserve"> to households</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180.0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250.0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260.0</w:t>
            </w:r>
          </w:p>
        </w:tc>
        <w:tc>
          <w:tcPr>
            <w:tcW w:w="317" w:type="pct"/>
            <w:vAlign w:val="center"/>
          </w:tcPr>
          <w:p w:rsidR="00EF41F1" w:rsidRPr="002D0D1A"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b/>
                <w:i/>
                <w:iCs/>
                <w:color w:val="000000"/>
                <w:sz w:val="20"/>
                <w:szCs w:val="20"/>
              </w:rPr>
            </w:pPr>
            <w:r w:rsidRPr="002D0D1A">
              <w:rPr>
                <w:rFonts w:ascii="Calibri" w:hAnsi="Calibri"/>
                <w:b/>
                <w:i/>
                <w:iCs/>
                <w:color w:val="000000"/>
                <w:sz w:val="20"/>
                <w:szCs w:val="20"/>
              </w:rPr>
              <w:t>690.0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230.0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110.0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110.0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120.0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130.0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130.0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150.0</w:t>
            </w:r>
          </w:p>
        </w:tc>
        <w:tc>
          <w:tcPr>
            <w:tcW w:w="316" w:type="pct"/>
            <w:vAlign w:val="center"/>
          </w:tcPr>
          <w:p w:rsidR="00EF41F1" w:rsidRPr="002D0D1A"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b/>
                <w:i/>
                <w:iCs/>
                <w:color w:val="000000"/>
                <w:sz w:val="20"/>
                <w:szCs w:val="20"/>
              </w:rPr>
            </w:pPr>
            <w:r w:rsidRPr="002D0D1A">
              <w:rPr>
                <w:rFonts w:ascii="Calibri" w:hAnsi="Calibri"/>
                <w:b/>
                <w:i/>
                <w:iCs/>
                <w:color w:val="000000"/>
                <w:sz w:val="20"/>
                <w:szCs w:val="20"/>
              </w:rPr>
              <w:t>1,670.0</w:t>
            </w:r>
          </w:p>
        </w:tc>
      </w:tr>
      <w:tr w:rsidR="00EF41F1" w:rsidRPr="006C3668" w:rsidTr="00930F95">
        <w:tc>
          <w:tcPr>
            <w:cnfStyle w:val="001000000000" w:firstRow="0" w:lastRow="0" w:firstColumn="1" w:lastColumn="0" w:oddVBand="0" w:evenVBand="0" w:oddHBand="0" w:evenHBand="0" w:firstRowFirstColumn="0" w:firstRowLastColumn="0" w:lastRowFirstColumn="0" w:lastRowLastColumn="0"/>
            <w:tcW w:w="880" w:type="pct"/>
          </w:tcPr>
          <w:p w:rsidR="00EF41F1" w:rsidRPr="0067533A" w:rsidRDefault="00EF41F1" w:rsidP="002D0D1A">
            <w:pPr>
              <w:pStyle w:val="TableText"/>
              <w:ind w:left="-57" w:right="-57"/>
            </w:pPr>
            <w:r>
              <w:t>A</w:t>
            </w:r>
            <w:r w:rsidRPr="0067533A">
              <w:t>lcohol excise and customs dut</w:t>
            </w:r>
            <w:r>
              <w:t>y r</w:t>
            </w:r>
            <w:r w:rsidRPr="0067533A">
              <w:t>e</w:t>
            </w:r>
            <w:r>
              <w:t>ceipts</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-10.0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-10.0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-10.0</w:t>
            </w:r>
          </w:p>
        </w:tc>
        <w:tc>
          <w:tcPr>
            <w:tcW w:w="317" w:type="pct"/>
            <w:vAlign w:val="center"/>
          </w:tcPr>
          <w:p w:rsidR="00EF41F1" w:rsidRPr="002D0D1A"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b/>
                <w:i/>
                <w:iCs/>
                <w:color w:val="000000"/>
                <w:sz w:val="20"/>
                <w:szCs w:val="20"/>
              </w:rPr>
            </w:pPr>
            <w:r w:rsidRPr="002D0D1A">
              <w:rPr>
                <w:rFonts w:ascii="Calibri" w:hAnsi="Calibri"/>
                <w:b/>
                <w:i/>
                <w:iCs/>
                <w:color w:val="000000"/>
                <w:sz w:val="20"/>
                <w:szCs w:val="20"/>
              </w:rPr>
              <w:t>-30.0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-10.0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-10.0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-10.0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-10.0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-10.0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-10.0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-10.0</w:t>
            </w:r>
          </w:p>
        </w:tc>
        <w:tc>
          <w:tcPr>
            <w:tcW w:w="316" w:type="pct"/>
            <w:vAlign w:val="center"/>
          </w:tcPr>
          <w:p w:rsidR="00EF41F1" w:rsidRPr="002D0D1A"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b/>
                <w:i/>
                <w:iCs/>
                <w:color w:val="000000"/>
                <w:sz w:val="20"/>
                <w:szCs w:val="20"/>
              </w:rPr>
            </w:pPr>
            <w:r w:rsidRPr="002D0D1A">
              <w:rPr>
                <w:rFonts w:ascii="Calibri" w:hAnsi="Calibri"/>
                <w:b/>
                <w:i/>
                <w:iCs/>
                <w:color w:val="000000"/>
                <w:sz w:val="20"/>
                <w:szCs w:val="20"/>
              </w:rPr>
              <w:t>-100.0</w:t>
            </w:r>
          </w:p>
        </w:tc>
      </w:tr>
      <w:tr w:rsidR="00EF41F1" w:rsidRPr="006C3668" w:rsidTr="00930F95">
        <w:tc>
          <w:tcPr>
            <w:cnfStyle w:val="001000000000" w:firstRow="0" w:lastRow="0" w:firstColumn="1" w:lastColumn="0" w:oddVBand="0" w:evenVBand="0" w:oddHBand="0" w:evenHBand="0" w:firstRowFirstColumn="0" w:firstRowLastColumn="0" w:lastRowFirstColumn="0" w:lastRowLastColumn="0"/>
            <w:tcW w:w="880" w:type="pct"/>
          </w:tcPr>
          <w:p w:rsidR="00EF41F1" w:rsidRPr="0067533A" w:rsidRDefault="00EF41F1" w:rsidP="002D0D1A">
            <w:pPr>
              <w:pStyle w:val="TableText"/>
              <w:ind w:left="-57" w:right="-57"/>
            </w:pPr>
            <w:r>
              <w:t>F</w:t>
            </w:r>
            <w:r w:rsidRPr="0067533A">
              <w:t>uel</w:t>
            </w:r>
            <w:r>
              <w:t xml:space="preserve"> excise and customs duty r</w:t>
            </w:r>
            <w:r w:rsidRPr="0067533A">
              <w:t>e</w:t>
            </w:r>
            <w:r>
              <w:t>ceipts</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-30.0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-40.0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-40.0</w:t>
            </w:r>
          </w:p>
        </w:tc>
        <w:tc>
          <w:tcPr>
            <w:tcW w:w="317" w:type="pct"/>
            <w:vAlign w:val="center"/>
          </w:tcPr>
          <w:p w:rsidR="00EF41F1" w:rsidRPr="002D0D1A"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b/>
                <w:i/>
                <w:iCs/>
                <w:color w:val="000000"/>
                <w:sz w:val="20"/>
                <w:szCs w:val="20"/>
              </w:rPr>
            </w:pPr>
            <w:r w:rsidRPr="002D0D1A">
              <w:rPr>
                <w:rFonts w:ascii="Calibri" w:hAnsi="Calibri"/>
                <w:b/>
                <w:i/>
                <w:iCs/>
                <w:color w:val="000000"/>
                <w:sz w:val="20"/>
                <w:szCs w:val="20"/>
              </w:rPr>
              <w:t>-120.0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-40.0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-40.0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-50.0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-50.0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-50.0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-50.0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-50.0</w:t>
            </w:r>
          </w:p>
        </w:tc>
        <w:tc>
          <w:tcPr>
            <w:tcW w:w="316" w:type="pct"/>
            <w:vAlign w:val="center"/>
          </w:tcPr>
          <w:p w:rsidR="00EF41F1" w:rsidRPr="002D0D1A"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b/>
                <w:i/>
                <w:iCs/>
                <w:color w:val="000000"/>
                <w:sz w:val="20"/>
                <w:szCs w:val="20"/>
              </w:rPr>
            </w:pPr>
            <w:r w:rsidRPr="002D0D1A">
              <w:rPr>
                <w:rFonts w:ascii="Calibri" w:hAnsi="Calibri"/>
                <w:b/>
                <w:i/>
                <w:iCs/>
                <w:color w:val="000000"/>
                <w:sz w:val="20"/>
                <w:szCs w:val="20"/>
              </w:rPr>
              <w:t>-450.0</w:t>
            </w:r>
          </w:p>
        </w:tc>
      </w:tr>
      <w:tr w:rsidR="00EF41F1" w:rsidRPr="006C3668" w:rsidTr="00930F95">
        <w:tc>
          <w:tcPr>
            <w:cnfStyle w:val="001000000000" w:firstRow="0" w:lastRow="0" w:firstColumn="1" w:lastColumn="0" w:oddVBand="0" w:evenVBand="0" w:oddHBand="0" w:evenHBand="0" w:firstRowFirstColumn="0" w:firstRowLastColumn="0" w:lastRowFirstColumn="0" w:lastRowLastColumn="0"/>
            <w:tcW w:w="880" w:type="pct"/>
          </w:tcPr>
          <w:p w:rsidR="00EF41F1" w:rsidRPr="0067533A" w:rsidRDefault="00EF41F1" w:rsidP="002D0D1A">
            <w:pPr>
              <w:pStyle w:val="TableText"/>
              <w:ind w:left="-57" w:right="-57"/>
            </w:pPr>
            <w:r>
              <w:t>Fuel tax credit r</w:t>
            </w:r>
            <w:r w:rsidRPr="0067533A">
              <w:t>e</w:t>
            </w:r>
            <w:r>
              <w:t>ceipts</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20.0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20.0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20.0</w:t>
            </w:r>
          </w:p>
        </w:tc>
        <w:tc>
          <w:tcPr>
            <w:tcW w:w="317" w:type="pct"/>
            <w:vAlign w:val="center"/>
          </w:tcPr>
          <w:p w:rsidR="00EF41F1" w:rsidRPr="002D0D1A"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b/>
                <w:i/>
                <w:iCs/>
                <w:color w:val="000000"/>
                <w:sz w:val="20"/>
                <w:szCs w:val="20"/>
              </w:rPr>
            </w:pPr>
            <w:r w:rsidRPr="002D0D1A">
              <w:rPr>
                <w:rFonts w:ascii="Calibri" w:hAnsi="Calibri"/>
                <w:b/>
                <w:i/>
                <w:iCs/>
                <w:color w:val="000000"/>
                <w:sz w:val="20"/>
                <w:szCs w:val="20"/>
              </w:rPr>
              <w:t>60.0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20.0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30.0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30.0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30.0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30.0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30.0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Pr>
                <w:rFonts w:ascii="Calibri" w:hAnsi="Calibri"/>
                <w:i/>
                <w:iCs/>
                <w:color w:val="000000"/>
                <w:sz w:val="20"/>
                <w:szCs w:val="20"/>
              </w:rPr>
              <w:t>30.0</w:t>
            </w:r>
          </w:p>
        </w:tc>
        <w:tc>
          <w:tcPr>
            <w:tcW w:w="316" w:type="pct"/>
            <w:vAlign w:val="center"/>
          </w:tcPr>
          <w:p w:rsidR="00EF41F1" w:rsidRPr="002D0D1A"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b/>
                <w:i/>
                <w:iCs/>
                <w:color w:val="000000"/>
                <w:sz w:val="20"/>
                <w:szCs w:val="20"/>
              </w:rPr>
            </w:pPr>
            <w:r w:rsidRPr="002D0D1A">
              <w:rPr>
                <w:rFonts w:ascii="Calibri" w:hAnsi="Calibri"/>
                <w:b/>
                <w:i/>
                <w:iCs/>
                <w:color w:val="000000"/>
                <w:sz w:val="20"/>
                <w:szCs w:val="20"/>
              </w:rPr>
              <w:t>260.0</w:t>
            </w:r>
          </w:p>
        </w:tc>
      </w:tr>
      <w:tr w:rsidR="00EF41F1" w:rsidTr="00930F95">
        <w:tc>
          <w:tcPr>
            <w:cnfStyle w:val="001000000000" w:firstRow="0" w:lastRow="0" w:firstColumn="1" w:lastColumn="0" w:oddVBand="0" w:evenVBand="0" w:oddHBand="0" w:evenHBand="0" w:firstRowFirstColumn="0" w:firstRowLastColumn="0" w:lastRowFirstColumn="0" w:lastRowLastColumn="0"/>
            <w:tcW w:w="880" w:type="pct"/>
          </w:tcPr>
          <w:p w:rsidR="00EF41F1" w:rsidRDefault="00EF41F1" w:rsidP="002D0D1A">
            <w:pPr>
              <w:pStyle w:val="TableHeading"/>
              <w:ind w:left="-57" w:right="-57"/>
            </w:pPr>
            <w:r w:rsidRPr="00251B14">
              <w:t>Net impact from the change to CPI</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160.0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220.0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230.0</w:t>
            </w:r>
          </w:p>
        </w:tc>
        <w:tc>
          <w:tcPr>
            <w:tcW w:w="317" w:type="pct"/>
            <w:vAlign w:val="center"/>
          </w:tcPr>
          <w:p w:rsidR="00EF41F1" w:rsidRPr="002D0D1A"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sz w:val="20"/>
                <w:szCs w:val="20"/>
              </w:rPr>
            </w:pPr>
            <w:r w:rsidRPr="002D0D1A">
              <w:rPr>
                <w:rFonts w:ascii="Calibri" w:hAnsi="Calibri"/>
                <w:b/>
                <w:color w:val="000000"/>
                <w:sz w:val="20"/>
                <w:szCs w:val="20"/>
              </w:rPr>
              <w:t>600.0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200.0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90.0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80.0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90.0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100.0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100.0</w:t>
            </w:r>
          </w:p>
        </w:tc>
        <w:tc>
          <w:tcPr>
            <w:tcW w:w="317" w:type="pct"/>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120.0</w:t>
            </w:r>
          </w:p>
        </w:tc>
        <w:tc>
          <w:tcPr>
            <w:tcW w:w="316" w:type="pct"/>
            <w:vAlign w:val="center"/>
          </w:tcPr>
          <w:p w:rsidR="00EF41F1" w:rsidRPr="002D0D1A"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sz w:val="20"/>
                <w:szCs w:val="20"/>
              </w:rPr>
            </w:pPr>
            <w:r w:rsidRPr="002D0D1A">
              <w:rPr>
                <w:rFonts w:ascii="Calibri" w:hAnsi="Calibri"/>
                <w:b/>
                <w:color w:val="000000"/>
                <w:sz w:val="20"/>
                <w:szCs w:val="20"/>
              </w:rPr>
              <w:t>1,380.0</w:t>
            </w:r>
          </w:p>
        </w:tc>
      </w:tr>
      <w:tr w:rsidR="00731285" w:rsidTr="00930F95">
        <w:tc>
          <w:tcPr>
            <w:cnfStyle w:val="001000000000" w:firstRow="0" w:lastRow="0" w:firstColumn="1" w:lastColumn="0" w:oddVBand="0" w:evenVBand="0" w:oddHBand="0" w:evenHBand="0" w:firstRowFirstColumn="0" w:firstRowLastColumn="0" w:lastRowFirstColumn="0" w:lastRowLastColumn="0"/>
            <w:tcW w:w="880" w:type="pct"/>
            <w:shd w:val="clear" w:color="auto" w:fill="D7DDE9" w:themeFill="accent3"/>
            <w:vAlign w:val="center"/>
          </w:tcPr>
          <w:p w:rsidR="00EF41F1" w:rsidRPr="00441A6D" w:rsidRDefault="00EF41F1" w:rsidP="0084644D">
            <w:pPr>
              <w:pStyle w:val="TableText"/>
              <w:keepNext/>
              <w:keepLines/>
              <w:ind w:left="-57" w:right="-57"/>
              <w:rPr>
                <w:b/>
              </w:rPr>
            </w:pPr>
            <w:r w:rsidRPr="00441A6D">
              <w:rPr>
                <w:b/>
              </w:rPr>
              <w:t>Total</w:t>
            </w:r>
          </w:p>
        </w:tc>
        <w:tc>
          <w:tcPr>
            <w:tcW w:w="317" w:type="pct"/>
            <w:shd w:val="clear" w:color="auto" w:fill="D7DDE9" w:themeFill="accent3"/>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w:t>
            </w:r>
          </w:p>
        </w:tc>
        <w:tc>
          <w:tcPr>
            <w:tcW w:w="317" w:type="pct"/>
            <w:shd w:val="clear" w:color="auto" w:fill="D7DDE9" w:themeFill="accent3"/>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160.0</w:t>
            </w:r>
          </w:p>
        </w:tc>
        <w:tc>
          <w:tcPr>
            <w:tcW w:w="317" w:type="pct"/>
            <w:shd w:val="clear" w:color="auto" w:fill="D7DDE9" w:themeFill="accent3"/>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220.0</w:t>
            </w:r>
          </w:p>
        </w:tc>
        <w:tc>
          <w:tcPr>
            <w:tcW w:w="317" w:type="pct"/>
            <w:shd w:val="clear" w:color="auto" w:fill="D7DDE9" w:themeFill="accent3"/>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230.0</w:t>
            </w:r>
          </w:p>
        </w:tc>
        <w:tc>
          <w:tcPr>
            <w:tcW w:w="317" w:type="pct"/>
            <w:shd w:val="clear" w:color="auto" w:fill="D7DDE9" w:themeFill="accent3"/>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600.0</w:t>
            </w:r>
          </w:p>
        </w:tc>
        <w:tc>
          <w:tcPr>
            <w:tcW w:w="317" w:type="pct"/>
            <w:shd w:val="clear" w:color="auto" w:fill="D7DDE9" w:themeFill="accent3"/>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200.0</w:t>
            </w:r>
          </w:p>
        </w:tc>
        <w:tc>
          <w:tcPr>
            <w:tcW w:w="317" w:type="pct"/>
            <w:shd w:val="clear" w:color="auto" w:fill="D7DDE9" w:themeFill="accent3"/>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90.0</w:t>
            </w:r>
          </w:p>
        </w:tc>
        <w:tc>
          <w:tcPr>
            <w:tcW w:w="317" w:type="pct"/>
            <w:shd w:val="clear" w:color="auto" w:fill="D7DDE9" w:themeFill="accent3"/>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80.0</w:t>
            </w:r>
          </w:p>
        </w:tc>
        <w:tc>
          <w:tcPr>
            <w:tcW w:w="317" w:type="pct"/>
            <w:shd w:val="clear" w:color="auto" w:fill="D7DDE9" w:themeFill="accent3"/>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90.0</w:t>
            </w:r>
          </w:p>
        </w:tc>
        <w:tc>
          <w:tcPr>
            <w:tcW w:w="317" w:type="pct"/>
            <w:shd w:val="clear" w:color="auto" w:fill="D7DDE9" w:themeFill="accent3"/>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100.0</w:t>
            </w:r>
          </w:p>
        </w:tc>
        <w:tc>
          <w:tcPr>
            <w:tcW w:w="317" w:type="pct"/>
            <w:shd w:val="clear" w:color="auto" w:fill="D7DDE9" w:themeFill="accent3"/>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100.0</w:t>
            </w:r>
          </w:p>
        </w:tc>
        <w:tc>
          <w:tcPr>
            <w:tcW w:w="317" w:type="pct"/>
            <w:shd w:val="clear" w:color="auto" w:fill="D7DDE9" w:themeFill="accent3"/>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120.0</w:t>
            </w:r>
          </w:p>
        </w:tc>
        <w:tc>
          <w:tcPr>
            <w:tcW w:w="316" w:type="pct"/>
            <w:shd w:val="clear" w:color="auto" w:fill="D7DDE9" w:themeFill="accent3"/>
            <w:vAlign w:val="center"/>
          </w:tcPr>
          <w:p w:rsidR="00EF41F1" w:rsidRDefault="00EF41F1">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1,380.0</w:t>
            </w:r>
          </w:p>
        </w:tc>
      </w:tr>
    </w:tbl>
    <w:p w:rsidR="00AF568A" w:rsidRDefault="0056001A" w:rsidP="00F0183C">
      <w:pPr>
        <w:pStyle w:val="TableFootnotes"/>
        <w:keepNext/>
        <w:numPr>
          <w:ilvl w:val="0"/>
          <w:numId w:val="13"/>
        </w:numPr>
        <w:ind w:left="284" w:hanging="284"/>
      </w:pPr>
      <w:r>
        <w:t>A positive number for the underlying cash balance indicates an increase in receipts or a decrease in outlays or net capital investment in cash terms.  A negative number for the underlying cash balance indicates a decrease in receipts or an increase in outlays or net capital investment in cash terms.</w:t>
      </w:r>
    </w:p>
    <w:p w:rsidR="00AF568A" w:rsidRPr="002D239A" w:rsidRDefault="00AF568A" w:rsidP="00897F60">
      <w:pPr>
        <w:pStyle w:val="TableFootnotes"/>
        <w:keepNext/>
        <w:ind w:left="284" w:hanging="284"/>
      </w:pPr>
      <w:r>
        <w:t>Figures may not sum to totals due to rounding.</w:t>
      </w:r>
    </w:p>
    <w:p w:rsidR="00AF568A" w:rsidRDefault="00AF568A" w:rsidP="00AF568A">
      <w:pPr>
        <w:pStyle w:val="TableFootnotes"/>
        <w:keepNext/>
        <w:numPr>
          <w:ilvl w:val="0"/>
          <w:numId w:val="0"/>
        </w:numPr>
        <w:ind w:left="284" w:hanging="284"/>
      </w:pPr>
      <w:r>
        <w:t>..</w:t>
      </w:r>
      <w:r>
        <w:tab/>
        <w:t>Not zero but rounded to zero.</w:t>
      </w:r>
    </w:p>
    <w:p w:rsidR="00BC7DC0" w:rsidRDefault="00BC7DC0" w:rsidP="00BC7DC0">
      <w:pPr>
        <w:pStyle w:val="TableFootnotes"/>
        <w:keepLines w:val="0"/>
        <w:numPr>
          <w:ilvl w:val="0"/>
          <w:numId w:val="11"/>
        </w:numPr>
        <w:ind w:left="284" w:hanging="284"/>
      </w:pPr>
      <w:r>
        <w:t>Indicates nil.</w:t>
      </w:r>
    </w:p>
    <w:p w:rsidR="00763EB0" w:rsidRPr="009E06BB" w:rsidRDefault="00763EB0" w:rsidP="006F59E7">
      <w:pPr>
        <w:pStyle w:val="ListBullet"/>
        <w:numPr>
          <w:ilvl w:val="0"/>
          <w:numId w:val="0"/>
        </w:numPr>
        <w:rPr>
          <w:color w:val="FF0000"/>
        </w:rPr>
      </w:pPr>
      <w:bookmarkStart w:id="1" w:name="ReturnHere"/>
      <w:bookmarkEnd w:id="1"/>
    </w:p>
    <w:sectPr w:rsidR="00763EB0" w:rsidRPr="009E06BB" w:rsidSect="007A5284">
      <w:footerReference w:type="default" r:id="rId15"/>
      <w:pgSz w:w="23814" w:h="16839" w:orient="landscape" w:code="8"/>
      <w:pgMar w:top="1797" w:right="1361" w:bottom="1797" w:left="1474" w:header="284" w:footer="454"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43F" w:rsidRDefault="00B5043F" w:rsidP="00A20802">
      <w:pPr>
        <w:spacing w:line="240" w:lineRule="auto"/>
      </w:pPr>
      <w:r>
        <w:separator/>
      </w:r>
    </w:p>
    <w:p w:rsidR="00B5043F" w:rsidRDefault="00B5043F"/>
    <w:p w:rsidR="00B5043F" w:rsidRDefault="00B5043F"/>
  </w:endnote>
  <w:endnote w:type="continuationSeparator" w:id="0">
    <w:p w:rsidR="00B5043F" w:rsidRDefault="00B5043F" w:rsidP="00A20802">
      <w:pPr>
        <w:spacing w:line="240" w:lineRule="auto"/>
      </w:pPr>
      <w:r>
        <w:continuationSeparator/>
      </w:r>
    </w:p>
    <w:p w:rsidR="00B5043F" w:rsidRDefault="00B5043F"/>
    <w:p w:rsidR="00B5043F" w:rsidRDefault="00B504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DA0" w:rsidRDefault="00007D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43F" w:rsidRDefault="00B5043F" w:rsidP="00602664">
    <w:pPr>
      <w:pStyle w:val="Footer"/>
      <w:ind w:left="7286" w:hanging="3714"/>
      <w:jc w:val="right"/>
      <w:rPr>
        <w:rStyle w:val="FooterChar"/>
        <w:b/>
      </w:rPr>
    </w:pPr>
    <w:r w:rsidRPr="002C4DA6">
      <w:rPr>
        <w:rStyle w:val="FooterChar"/>
        <w:b/>
      </w:rPr>
      <w:t xml:space="preserve">Page </w:t>
    </w:r>
    <w:r w:rsidRPr="002C4DA6">
      <w:rPr>
        <w:rStyle w:val="FooterChar"/>
        <w:b/>
      </w:rPr>
      <w:fldChar w:fldCharType="begin"/>
    </w:r>
    <w:r w:rsidRPr="002C4DA6">
      <w:rPr>
        <w:rStyle w:val="FooterChar"/>
        <w:b/>
      </w:rPr>
      <w:instrText xml:space="preserve"> PAGE  \* Arabic  \* MERGEFORMAT </w:instrText>
    </w:r>
    <w:r w:rsidRPr="002C4DA6">
      <w:rPr>
        <w:rStyle w:val="FooterChar"/>
        <w:b/>
      </w:rPr>
      <w:fldChar w:fldCharType="separate"/>
    </w:r>
    <w:r w:rsidR="00602C7E">
      <w:rPr>
        <w:rStyle w:val="FooterChar"/>
        <w:b/>
        <w:noProof/>
      </w:rPr>
      <w:t>2</w:t>
    </w:r>
    <w:r w:rsidRPr="002C4DA6">
      <w:rPr>
        <w:rStyle w:val="FooterChar"/>
        <w:b/>
      </w:rPr>
      <w:fldChar w:fldCharType="end"/>
    </w:r>
    <w:r w:rsidRPr="002C4DA6">
      <w:rPr>
        <w:rStyle w:val="FooterChar"/>
        <w:b/>
      </w:rPr>
      <w:t xml:space="preserve"> of </w:t>
    </w:r>
    <w:r w:rsidR="00731285">
      <w:rPr>
        <w:rStyle w:val="FooterChar"/>
        <w:b/>
      </w:rPr>
      <w:t>6</w:t>
    </w:r>
  </w:p>
  <w:p w:rsidR="00B5043F" w:rsidRPr="00007DA0" w:rsidRDefault="00B5043F" w:rsidP="00482F63">
    <w:pPr>
      <w:pStyle w:val="Footer"/>
      <w:ind w:left="3714" w:hanging="3714"/>
      <w:jc w:val="center"/>
      <w:rPr>
        <w:rFonts w:ascii="Calibri" w:hAnsi="Calibri" w:cs="Arial"/>
        <w:strike/>
        <w:color w:val="FF0000"/>
        <w:sz w:val="40"/>
        <w:szCs w:val="40"/>
      </w:rPr>
    </w:pPr>
    <w:r w:rsidRPr="00007DA0">
      <w:rPr>
        <w:rStyle w:val="FooterChar"/>
        <w:rFonts w:ascii="Calibri" w:hAnsi="Calibri" w:cs="Arial"/>
        <w:b/>
        <w:strike/>
        <w:color w:val="FF0000"/>
        <w:sz w:val="40"/>
        <w:szCs w:val="40"/>
      </w:rPr>
      <w:t>Sensitive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43F" w:rsidRDefault="00B5043F" w:rsidP="00476133">
    <w:pPr>
      <w:pStyle w:val="Footer"/>
      <w:ind w:left="7286" w:hanging="3714"/>
      <w:jc w:val="right"/>
      <w:rPr>
        <w:rStyle w:val="FooterChar"/>
        <w:b/>
      </w:rPr>
    </w:pPr>
    <w:r w:rsidRPr="002C4DA6">
      <w:rPr>
        <w:rStyle w:val="FooterChar"/>
        <w:b/>
      </w:rPr>
      <w:t xml:space="preserve">Page </w:t>
    </w:r>
    <w:r w:rsidRPr="002C4DA6">
      <w:rPr>
        <w:rStyle w:val="FooterChar"/>
        <w:b/>
      </w:rPr>
      <w:fldChar w:fldCharType="begin"/>
    </w:r>
    <w:r w:rsidRPr="002C4DA6">
      <w:rPr>
        <w:rStyle w:val="FooterChar"/>
        <w:b/>
      </w:rPr>
      <w:instrText xml:space="preserve"> PAGE  \* Arabic  \* MERGEFORMAT </w:instrText>
    </w:r>
    <w:r w:rsidRPr="002C4DA6">
      <w:rPr>
        <w:rStyle w:val="FooterChar"/>
        <w:b/>
      </w:rPr>
      <w:fldChar w:fldCharType="separate"/>
    </w:r>
    <w:r w:rsidR="00602C7E">
      <w:rPr>
        <w:rStyle w:val="FooterChar"/>
        <w:b/>
        <w:noProof/>
      </w:rPr>
      <w:t>1</w:t>
    </w:r>
    <w:r w:rsidRPr="002C4DA6">
      <w:rPr>
        <w:rStyle w:val="FooterChar"/>
        <w:b/>
      </w:rPr>
      <w:fldChar w:fldCharType="end"/>
    </w:r>
    <w:r w:rsidRPr="002C4DA6">
      <w:rPr>
        <w:rStyle w:val="FooterChar"/>
        <w:b/>
      </w:rPr>
      <w:t xml:space="preserve"> of </w:t>
    </w:r>
    <w:r w:rsidR="00731285">
      <w:rPr>
        <w:rStyle w:val="FooterChar"/>
        <w:b/>
      </w:rPr>
      <w:t>6</w:t>
    </w:r>
  </w:p>
  <w:p w:rsidR="00B5043F" w:rsidRPr="00007DA0" w:rsidRDefault="00B5043F" w:rsidP="00EF0A00">
    <w:pPr>
      <w:pStyle w:val="Footer"/>
      <w:ind w:left="3714" w:hanging="3714"/>
      <w:jc w:val="center"/>
      <w:rPr>
        <w:rFonts w:ascii="Calibri" w:hAnsi="Calibri" w:cs="Arial"/>
        <w:strike/>
        <w:color w:val="FF0000"/>
        <w:sz w:val="40"/>
        <w:szCs w:val="40"/>
      </w:rPr>
    </w:pPr>
    <w:r w:rsidRPr="00007DA0">
      <w:rPr>
        <w:rStyle w:val="FooterChar"/>
        <w:rFonts w:ascii="Calibri" w:hAnsi="Calibri" w:cs="Arial"/>
        <w:b/>
        <w:strike/>
        <w:color w:val="FF0000"/>
        <w:sz w:val="40"/>
        <w:szCs w:val="40"/>
      </w:rPr>
      <w:t>Sensitive</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43F" w:rsidRDefault="00B5043F" w:rsidP="00602664">
    <w:pPr>
      <w:pStyle w:val="Footer"/>
      <w:ind w:left="7286" w:hanging="3714"/>
      <w:jc w:val="right"/>
      <w:rPr>
        <w:rStyle w:val="FooterChar"/>
        <w:b/>
      </w:rPr>
    </w:pPr>
    <w:r w:rsidRPr="002C4DA6">
      <w:rPr>
        <w:rStyle w:val="FooterChar"/>
        <w:b/>
      </w:rPr>
      <w:t xml:space="preserve">Page </w:t>
    </w:r>
    <w:r w:rsidRPr="002C4DA6">
      <w:rPr>
        <w:rStyle w:val="FooterChar"/>
        <w:b/>
      </w:rPr>
      <w:fldChar w:fldCharType="begin"/>
    </w:r>
    <w:r w:rsidRPr="002C4DA6">
      <w:rPr>
        <w:rStyle w:val="FooterChar"/>
        <w:b/>
      </w:rPr>
      <w:instrText xml:space="preserve"> PAGE  \* Arabic  \* MERGEFORMAT </w:instrText>
    </w:r>
    <w:r w:rsidRPr="002C4DA6">
      <w:rPr>
        <w:rStyle w:val="FooterChar"/>
        <w:b/>
      </w:rPr>
      <w:fldChar w:fldCharType="separate"/>
    </w:r>
    <w:r w:rsidR="00602C7E">
      <w:rPr>
        <w:rStyle w:val="FooterChar"/>
        <w:b/>
        <w:noProof/>
      </w:rPr>
      <w:t>6</w:t>
    </w:r>
    <w:r w:rsidRPr="002C4DA6">
      <w:rPr>
        <w:rStyle w:val="FooterChar"/>
        <w:b/>
      </w:rPr>
      <w:fldChar w:fldCharType="end"/>
    </w:r>
    <w:r w:rsidRPr="002C4DA6">
      <w:rPr>
        <w:rStyle w:val="FooterChar"/>
        <w:b/>
      </w:rPr>
      <w:t xml:space="preserve"> of </w:t>
    </w:r>
    <w:r w:rsidRPr="002C4DA6">
      <w:rPr>
        <w:rStyle w:val="FooterChar"/>
        <w:b/>
      </w:rPr>
      <w:fldChar w:fldCharType="begin"/>
    </w:r>
    <w:r w:rsidRPr="002C4DA6">
      <w:rPr>
        <w:rStyle w:val="FooterChar"/>
        <w:b/>
      </w:rPr>
      <w:instrText xml:space="preserve"> NUMPAGES  \* Arabic  \* MERGEFORMAT </w:instrText>
    </w:r>
    <w:r w:rsidRPr="002C4DA6">
      <w:rPr>
        <w:rStyle w:val="FooterChar"/>
        <w:b/>
      </w:rPr>
      <w:fldChar w:fldCharType="separate"/>
    </w:r>
    <w:r w:rsidR="00602C7E">
      <w:rPr>
        <w:rStyle w:val="FooterChar"/>
        <w:b/>
        <w:noProof/>
      </w:rPr>
      <w:t>6</w:t>
    </w:r>
    <w:r w:rsidRPr="002C4DA6">
      <w:rPr>
        <w:rStyle w:val="FooterChar"/>
        <w:b/>
      </w:rPr>
      <w:fldChar w:fldCharType="end"/>
    </w:r>
  </w:p>
  <w:p w:rsidR="00B5043F" w:rsidRPr="00007DA0" w:rsidRDefault="00B5043F" w:rsidP="00482F63">
    <w:pPr>
      <w:pStyle w:val="Footer"/>
      <w:ind w:left="3714" w:hanging="3714"/>
      <w:jc w:val="center"/>
      <w:rPr>
        <w:rFonts w:ascii="Calibri" w:hAnsi="Calibri" w:cs="Arial"/>
        <w:strike/>
        <w:color w:val="FF0000"/>
        <w:sz w:val="40"/>
        <w:szCs w:val="40"/>
      </w:rPr>
    </w:pPr>
    <w:r w:rsidRPr="00007DA0">
      <w:rPr>
        <w:rStyle w:val="FooterChar"/>
        <w:rFonts w:ascii="Calibri" w:hAnsi="Calibri" w:cs="Arial"/>
        <w:b/>
        <w:strike/>
        <w:color w:val="FF0000"/>
        <w:sz w:val="40"/>
        <w:szCs w:val="40"/>
      </w:rPr>
      <w:t>Sensitive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43F" w:rsidRPr="000557A7" w:rsidRDefault="00B5043F" w:rsidP="008D5A11">
      <w:pPr>
        <w:pBdr>
          <w:top w:val="single" w:sz="4" w:space="1" w:color="auto"/>
        </w:pBdr>
        <w:spacing w:before="240" w:line="60" w:lineRule="exact"/>
        <w:rPr>
          <w:sz w:val="16"/>
          <w:szCs w:val="16"/>
        </w:rPr>
      </w:pPr>
    </w:p>
    <w:p w:rsidR="00B5043F" w:rsidRDefault="00B5043F"/>
  </w:footnote>
  <w:footnote w:type="continuationSeparator" w:id="0">
    <w:p w:rsidR="00B5043F" w:rsidRDefault="00B5043F" w:rsidP="00A20802">
      <w:pPr>
        <w:spacing w:line="240" w:lineRule="auto"/>
      </w:pPr>
      <w:r>
        <w:continuationSeparator/>
      </w:r>
    </w:p>
    <w:p w:rsidR="00B5043F" w:rsidRDefault="00B5043F"/>
    <w:p w:rsidR="00B5043F" w:rsidRDefault="00B5043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DA0" w:rsidRDefault="00007D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5FC" w:rsidRPr="00007DA0" w:rsidRDefault="005A35FC" w:rsidP="00482F63">
    <w:pPr>
      <w:pStyle w:val="Header"/>
      <w:jc w:val="center"/>
      <w:rPr>
        <w:rFonts w:ascii="Calibri" w:hAnsi="Calibri"/>
        <w:b/>
        <w:strike/>
        <w:color w:val="FF0000"/>
        <w:sz w:val="40"/>
        <w:szCs w:val="40"/>
      </w:rPr>
    </w:pPr>
    <w:r w:rsidRPr="00007DA0">
      <w:rPr>
        <w:rFonts w:ascii="Calibri" w:hAnsi="Calibri"/>
        <w:b/>
        <w:strike/>
        <w:color w:val="FF0000"/>
        <w:sz w:val="40"/>
        <w:szCs w:val="40"/>
      </w:rPr>
      <w:t>Sensitive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43F" w:rsidRPr="00007DA0" w:rsidRDefault="00B5043F" w:rsidP="002C4DA6">
    <w:pPr>
      <w:pStyle w:val="Header"/>
      <w:jc w:val="center"/>
      <w:rPr>
        <w:rFonts w:ascii="Calibri" w:hAnsi="Calibri"/>
        <w:b/>
        <w:strike/>
        <w:color w:val="FF0000"/>
        <w:sz w:val="40"/>
        <w:szCs w:val="40"/>
      </w:rPr>
    </w:pPr>
    <w:r w:rsidRPr="00007DA0">
      <w:rPr>
        <w:rFonts w:ascii="Calibri" w:hAnsi="Calibri"/>
        <w:b/>
        <w:strike/>
        <w:color w:val="FF0000"/>
        <w:sz w:val="40"/>
        <w:szCs w:val="40"/>
      </w:rPr>
      <w:t>Sensitive</w:t>
    </w:r>
  </w:p>
  <w:p w:rsidR="00B5043F" w:rsidRPr="0046444F" w:rsidRDefault="00B5043F" w:rsidP="0046444F">
    <w:pPr>
      <w:pStyle w:val="Header"/>
    </w:pPr>
    <w:r>
      <w:rPr>
        <w:noProof/>
        <w:lang w:eastAsia="en-AU"/>
      </w:rPr>
      <w:drawing>
        <wp:inline distT="0" distB="0" distL="0" distR="0" wp14:anchorId="2F9FA9D1" wp14:editId="1B4275B8">
          <wp:extent cx="2696845" cy="572135"/>
          <wp:effectExtent l="0" t="0" r="8255" b="0"/>
          <wp:docPr id="18" name="Picture 18" title="Parliamentary Budget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B37FE"/>
    <w:multiLevelType w:val="multilevel"/>
    <w:tmpl w:val="D1A2BED4"/>
    <w:name w:val="Bullets"/>
    <w:lvl w:ilvl="0">
      <w:start w:val="1"/>
      <w:numFmt w:val="bullet"/>
      <w:pStyle w:val="ListBullet"/>
      <w:lvlText w:val="•"/>
      <w:lvlJc w:val="left"/>
      <w:pPr>
        <w:tabs>
          <w:tab w:val="num" w:pos="454"/>
        </w:tabs>
        <w:ind w:left="454" w:hanging="454"/>
      </w:pPr>
      <w:rPr>
        <w:rFonts w:ascii="Calibri" w:hAnsi="Calibri" w:hint="default"/>
        <w:b w:val="0"/>
        <w:i w:val="0"/>
        <w:color w:val="auto"/>
        <w:position w:val="0"/>
        <w:sz w:val="22"/>
      </w:rPr>
    </w:lvl>
    <w:lvl w:ilvl="1">
      <w:start w:val="1"/>
      <w:numFmt w:val="bullet"/>
      <w:pStyle w:val="ListBullet2"/>
      <w:lvlText w:val="–"/>
      <w:lvlJc w:val="left"/>
      <w:pPr>
        <w:tabs>
          <w:tab w:val="num" w:pos="907"/>
        </w:tabs>
        <w:ind w:left="907" w:hanging="453"/>
      </w:pPr>
      <w:rPr>
        <w:rFonts w:ascii="Calibri" w:hAnsi="Calibri" w:hint="default"/>
        <w:b w:val="0"/>
        <w:i w:val="0"/>
        <w:color w:val="auto"/>
        <w:position w:val="0"/>
        <w:sz w:val="22"/>
      </w:rPr>
    </w:lvl>
    <w:lvl w:ilvl="2">
      <w:start w:val="1"/>
      <w:numFmt w:val="bullet"/>
      <w:pStyle w:val="ListBullet3"/>
      <w:lvlText w:val=""/>
      <w:lvlJc w:val="left"/>
      <w:pPr>
        <w:tabs>
          <w:tab w:val="num" w:pos="1361"/>
        </w:tabs>
        <w:ind w:left="1361" w:hanging="454"/>
      </w:pPr>
      <w:rPr>
        <w:rFonts w:ascii="Wingdings" w:hAnsi="Wingdings" w:hint="default"/>
        <w:b w:val="0"/>
        <w:i w:val="0"/>
        <w:color w:val="auto"/>
        <w:spacing w:val="0"/>
        <w:w w:val="100"/>
        <w:position w:val="1"/>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
    <w:nsid w:val="0D745448"/>
    <w:multiLevelType w:val="multilevel"/>
    <w:tmpl w:val="9F868A2C"/>
    <w:lvl w:ilvl="0">
      <w:start w:val="1"/>
      <w:numFmt w:val="none"/>
      <w:lvlRestart w:val="0"/>
      <w:pStyle w:val="Heading1"/>
      <w:suff w:val="nothing"/>
      <w:lvlText w:val=""/>
      <w:lvlJc w:val="left"/>
      <w:pPr>
        <w:tabs>
          <w:tab w:val="num" w:pos="0"/>
        </w:tabs>
        <w:ind w:left="0" w:firstLine="0"/>
      </w:pPr>
      <w:rPr>
        <w:rFonts w:hint="default"/>
      </w:rPr>
    </w:lvl>
    <w:lvl w:ilvl="1">
      <w:start w:val="1"/>
      <w:numFmt w:val="none"/>
      <w:pStyle w:val="Heading2"/>
      <w:suff w:val="nothing"/>
      <w:lvlText w:val=""/>
      <w:lvlJc w:val="left"/>
      <w:pPr>
        <w:tabs>
          <w:tab w:val="num" w:pos="0"/>
        </w:tabs>
        <w:ind w:left="0" w:firstLine="0"/>
      </w:pPr>
      <w:rPr>
        <w:rFonts w:hint="default"/>
      </w:rPr>
    </w:lvl>
    <w:lvl w:ilvl="2">
      <w:start w:val="1"/>
      <w:numFmt w:val="none"/>
      <w:pStyle w:val="Heading3"/>
      <w:suff w:val="nothing"/>
      <w:lvlText w:val=""/>
      <w:lvlJc w:val="left"/>
      <w:pPr>
        <w:tabs>
          <w:tab w:val="num" w:pos="0"/>
        </w:tabs>
        <w:ind w:left="0" w:firstLine="0"/>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2">
    <w:nsid w:val="0FB2573F"/>
    <w:multiLevelType w:val="multilevel"/>
    <w:tmpl w:val="CCB018EE"/>
    <w:name w:val="TableFootnotes"/>
    <w:lvl w:ilvl="0">
      <w:start w:val="1"/>
      <w:numFmt w:val="lowerLetter"/>
      <w:pStyle w:val="TableFootnotes"/>
      <w:lvlText w:val="(%1)"/>
      <w:lvlJc w:val="left"/>
      <w:pPr>
        <w:ind w:left="360" w:hanging="360"/>
      </w:pPr>
      <w:rPr>
        <w:rFonts w:hint="default"/>
        <w:color w:val="auto"/>
        <w:spacing w:val="0"/>
        <w:sz w:val="20"/>
        <w:vertAlign w:val="baseline"/>
      </w:rPr>
    </w:lvl>
    <w:lvl w:ilvl="1">
      <w:start w:val="1"/>
      <w:numFmt w:val="bullet"/>
      <w:lvlText w:val=""/>
      <w:lvlJc w:val="left"/>
      <w:pPr>
        <w:tabs>
          <w:tab w:val="num" w:pos="454"/>
        </w:tabs>
        <w:ind w:left="454" w:hanging="170"/>
      </w:pPr>
      <w:rPr>
        <w:rFonts w:ascii="Symbol" w:hAnsi="Symbol" w:hint="default"/>
        <w:spacing w:val="0"/>
        <w:w w:val="100"/>
        <w:kern w:val="0"/>
        <w:position w:val="0"/>
      </w:rPr>
    </w:lvl>
    <w:lvl w:ilvl="2">
      <w:start w:val="1"/>
      <w:numFmt w:val="bullet"/>
      <w:lvlRestart w:val="1"/>
      <w:lvlText w:val=""/>
      <w:lvlJc w:val="left"/>
      <w:pPr>
        <w:tabs>
          <w:tab w:val="num" w:pos="624"/>
        </w:tabs>
        <w:ind w:left="624" w:hanging="170"/>
      </w:pPr>
      <w:rPr>
        <w:rFonts w:ascii="Symbol" w:hAnsi="Symbol" w:hint="default"/>
        <w:color w:val="auto"/>
        <w:spacing w:val="-4"/>
      </w:rPr>
    </w:lvl>
    <w:lvl w:ilvl="3">
      <w:start w:val="1"/>
      <w:numFmt w:val="none"/>
      <w:lvlText w:val=""/>
      <w:lvlJc w:val="left"/>
      <w:pPr>
        <w:tabs>
          <w:tab w:val="num" w:pos="0"/>
        </w:tabs>
        <w:ind w:left="-709" w:firstLine="0"/>
      </w:pPr>
      <w:rPr>
        <w:rFonts w:hint="default"/>
        <w:spacing w:val="-10"/>
        <w:w w:val="10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2160"/>
        </w:tabs>
        <w:ind w:left="2016" w:hanging="936"/>
      </w:pPr>
      <w:rPr>
        <w:rFonts w:hint="default"/>
      </w:rPr>
    </w:lvl>
    <w:lvl w:ilvl="6">
      <w:start w:val="1"/>
      <w:numFmt w:val="lowerRoman"/>
      <w:lvlRestart w:val="1"/>
      <w:lvlText w:val="%7"/>
      <w:lvlJc w:val="left"/>
      <w:pPr>
        <w:tabs>
          <w:tab w:val="num" w:pos="369"/>
        </w:tabs>
        <w:ind w:left="369" w:hanging="369"/>
      </w:pPr>
      <w:rPr>
        <w:rFonts w:hint="default"/>
      </w:rPr>
    </w:lvl>
    <w:lvl w:ilvl="7">
      <w:start w:val="1"/>
      <w:numFmt w:val="lowerLetter"/>
      <w:lvlText w:val="%8."/>
      <w:lvlJc w:val="left"/>
      <w:pPr>
        <w:tabs>
          <w:tab w:val="num" w:pos="737"/>
        </w:tabs>
        <w:ind w:left="737" w:hanging="368"/>
      </w:pPr>
      <w:rPr>
        <w:rFonts w:hint="default"/>
        <w:position w:val="0"/>
      </w:rPr>
    </w:lvl>
    <w:lvl w:ilvl="8">
      <w:start w:val="1"/>
      <w:numFmt w:val="bullet"/>
      <w:lvlText w:val=""/>
      <w:lvlJc w:val="left"/>
      <w:pPr>
        <w:tabs>
          <w:tab w:val="num" w:pos="1106"/>
        </w:tabs>
        <w:ind w:left="1106" w:hanging="369"/>
      </w:pPr>
      <w:rPr>
        <w:rFonts w:ascii="Symbol" w:hAnsi="Symbol" w:hint="default"/>
        <w:position w:val="2"/>
        <w:sz w:val="20"/>
        <w:szCs w:val="20"/>
      </w:rPr>
    </w:lvl>
  </w:abstractNum>
  <w:abstractNum w:abstractNumId="3">
    <w:nsid w:val="194A695C"/>
    <w:multiLevelType w:val="multilevel"/>
    <w:tmpl w:val="9710D28A"/>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4">
    <w:nsid w:val="1D975442"/>
    <w:multiLevelType w:val="hybridMultilevel"/>
    <w:tmpl w:val="7E50674C"/>
    <w:lvl w:ilvl="0" w:tplc="535C608E">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C72580B"/>
    <w:multiLevelType w:val="multilevel"/>
    <w:tmpl w:val="A1605A0E"/>
    <w:name w:val="PullOutNumbering"/>
    <w:lvl w:ilvl="0">
      <w:start w:val="1"/>
      <w:numFmt w:val="decimal"/>
      <w:pStyle w:val="PullOutBoxNumber"/>
      <w:lvlText w:val="%1"/>
      <w:lvlJc w:val="left"/>
      <w:pPr>
        <w:tabs>
          <w:tab w:val="num" w:pos="624"/>
        </w:tabs>
        <w:ind w:left="624" w:hanging="340"/>
      </w:pPr>
      <w:rPr>
        <w:rFonts w:hint="default"/>
      </w:rPr>
    </w:lvl>
    <w:lvl w:ilvl="1">
      <w:start w:val="1"/>
      <w:numFmt w:val="lowerLetter"/>
      <w:pStyle w:val="PullOutBoxNumber2"/>
      <w:lvlText w:val="%2"/>
      <w:lvlJc w:val="left"/>
      <w:pPr>
        <w:tabs>
          <w:tab w:val="num" w:pos="964"/>
        </w:tabs>
        <w:ind w:left="964" w:hanging="340"/>
      </w:pPr>
      <w:rPr>
        <w:rFonts w:hint="default"/>
        <w:color w:val="auto"/>
      </w:rPr>
    </w:lvl>
    <w:lvl w:ilvl="2">
      <w:start w:val="1"/>
      <w:numFmt w:val="lowerRoman"/>
      <w:pStyle w:val="PullOutBoxNumber3"/>
      <w:lvlText w:val="%3"/>
      <w:lvlJc w:val="left"/>
      <w:pPr>
        <w:tabs>
          <w:tab w:val="num" w:pos="1304"/>
        </w:tabs>
        <w:ind w:left="1304" w:hanging="340"/>
      </w:pPr>
      <w:rPr>
        <w:rFonts w:hint="default"/>
        <w:color w:val="auto"/>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nsid w:val="38723AD4"/>
    <w:multiLevelType w:val="multilevel"/>
    <w:tmpl w:val="CC2400A2"/>
    <w:name w:val="PullOutBullets"/>
    <w:lvl w:ilvl="0">
      <w:start w:val="1"/>
      <w:numFmt w:val="bullet"/>
      <w:pStyle w:val="PullOutBoxBullet"/>
      <w:lvlText w:val="•"/>
      <w:lvlJc w:val="left"/>
      <w:pPr>
        <w:tabs>
          <w:tab w:val="num" w:pos="624"/>
        </w:tabs>
        <w:ind w:left="624" w:hanging="340"/>
      </w:pPr>
      <w:rPr>
        <w:rFonts w:ascii="Calibri" w:hAnsi="Calibri" w:hint="default"/>
        <w:color w:val="auto"/>
        <w:sz w:val="22"/>
      </w:rPr>
    </w:lvl>
    <w:lvl w:ilvl="1">
      <w:start w:val="1"/>
      <w:numFmt w:val="bullet"/>
      <w:pStyle w:val="PullOutBoxBullet2"/>
      <w:lvlText w:val="–"/>
      <w:lvlJc w:val="left"/>
      <w:pPr>
        <w:tabs>
          <w:tab w:val="num" w:pos="964"/>
        </w:tabs>
        <w:ind w:left="964" w:hanging="340"/>
      </w:pPr>
      <w:rPr>
        <w:rFonts w:ascii="Calibri" w:hAnsi="Calibri" w:hint="default"/>
        <w:color w:val="auto"/>
        <w:sz w:val="22"/>
      </w:rPr>
    </w:lvl>
    <w:lvl w:ilvl="2">
      <w:start w:val="1"/>
      <w:numFmt w:val="bullet"/>
      <w:pStyle w:val="PullOutBoxBullet3"/>
      <w:lvlText w:val=""/>
      <w:lvlJc w:val="left"/>
      <w:pPr>
        <w:tabs>
          <w:tab w:val="num" w:pos="1304"/>
        </w:tabs>
        <w:ind w:left="1304" w:hanging="340"/>
      </w:pPr>
      <w:rPr>
        <w:rFonts w:ascii="Wingdings" w:hAnsi="Wingdings" w:hint="default"/>
        <w:color w:val="auto"/>
        <w:position w:val="0"/>
        <w:sz w:val="2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nsid w:val="43705370"/>
    <w:multiLevelType w:val="hybridMultilevel"/>
    <w:tmpl w:val="8BE68176"/>
    <w:name w:val="TableFootnote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5D0540A9"/>
    <w:multiLevelType w:val="multilevel"/>
    <w:tmpl w:val="E4D434E6"/>
    <w:name w:val="AppendicesNumbering"/>
    <w:lvl w:ilvl="0">
      <w:start w:val="1"/>
      <w:numFmt w:val="upperLetter"/>
      <w:lvlRestart w:val="0"/>
      <w:pStyle w:val="Heading8"/>
      <w:suff w:val="space"/>
      <w:lvlText w:val="Attachment %1"/>
      <w:lvlJc w:val="left"/>
      <w:pPr>
        <w:ind w:left="0" w:firstLine="0"/>
      </w:pPr>
      <w:rPr>
        <w:rFonts w:cs="Times New Roman"/>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9"/>
      <w:suff w:val="nothing"/>
      <w:lvlText w:val=""/>
      <w:lvlJc w:val="left"/>
      <w:pPr>
        <w:tabs>
          <w:tab w:val="num" w:pos="0"/>
        </w:tabs>
        <w:ind w:left="0" w:firstLine="0"/>
      </w:pPr>
      <w:rPr>
        <w:rFonts w:hint="default"/>
        <w:sz w:val="26"/>
      </w:rPr>
    </w:lvl>
    <w:lvl w:ilvl="2">
      <w:start w:val="1"/>
      <w:numFmt w:val="none"/>
      <w:pStyle w:val="AttachmentHeading2"/>
      <w:suff w:val="nothing"/>
      <w:lvlText w:val=""/>
      <w:lvlJc w:val="left"/>
      <w:pPr>
        <w:tabs>
          <w:tab w:val="num" w:pos="0"/>
        </w:tabs>
        <w:ind w:left="0" w:firstLine="0"/>
      </w:pPr>
      <w:rPr>
        <w:rFonts w:hint="default"/>
      </w:rPr>
    </w:lvl>
    <w:lvl w:ilvl="3">
      <w:start w:val="1"/>
      <w:numFmt w:val="none"/>
      <w:lvlRestart w:val="2"/>
      <w:pStyle w:val="AttachmentHeading3"/>
      <w:suff w:val="nothing"/>
      <w:lvlText w:val=""/>
      <w:lvlJc w:val="left"/>
      <w:pPr>
        <w:tabs>
          <w:tab w:val="num" w:pos="0"/>
        </w:tabs>
        <w:ind w:left="0" w:firstLine="0"/>
      </w:pPr>
      <w:rPr>
        <w:rFonts w:hint="default"/>
      </w:rPr>
    </w:lvl>
    <w:lvl w:ilvl="4">
      <w:start w:val="1"/>
      <w:numFmt w:val="decimal"/>
      <w:lvlText w:val="%1%2.%3.%4.%5"/>
      <w:lvlJc w:val="left"/>
      <w:pPr>
        <w:tabs>
          <w:tab w:val="num" w:pos="1134"/>
        </w:tabs>
        <w:ind w:left="765" w:hanging="765"/>
      </w:pPr>
      <w:rPr>
        <w:rFonts w:hint="default"/>
      </w:rPr>
    </w:lvl>
    <w:lvl w:ilvl="5">
      <w:start w:val="1"/>
      <w:numFmt w:val="none"/>
      <w:lvlText w:val=""/>
      <w:lvlJc w:val="righ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right"/>
      <w:pPr>
        <w:ind w:left="765" w:hanging="765"/>
      </w:pPr>
      <w:rPr>
        <w:rFonts w:hint="default"/>
      </w:rPr>
    </w:lvl>
  </w:abstractNum>
  <w:abstractNum w:abstractNumId="9">
    <w:nsid w:val="6C1771C9"/>
    <w:multiLevelType w:val="hybridMultilevel"/>
    <w:tmpl w:val="1CC87A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6D1D40AC"/>
    <w:multiLevelType w:val="multilevel"/>
    <w:tmpl w:val="D18C6390"/>
    <w:name w:val="TableNumbering"/>
    <w:lvl w:ilvl="0">
      <w:start w:val="1"/>
      <w:numFmt w:val="decimal"/>
      <w:pStyle w:val="TableTextNumber"/>
      <w:lvlText w:val="%1"/>
      <w:lvlJc w:val="left"/>
      <w:pPr>
        <w:tabs>
          <w:tab w:val="num" w:pos="397"/>
        </w:tabs>
        <w:ind w:left="397" w:hanging="284"/>
      </w:pPr>
      <w:rPr>
        <w:rFonts w:hint="default"/>
      </w:rPr>
    </w:lvl>
    <w:lvl w:ilvl="1">
      <w:start w:val="1"/>
      <w:numFmt w:val="lowerLetter"/>
      <w:pStyle w:val="TableTextNumber2"/>
      <w:lvlText w:val="%2"/>
      <w:lvlJc w:val="left"/>
      <w:pPr>
        <w:tabs>
          <w:tab w:val="num" w:pos="709"/>
        </w:tabs>
        <w:ind w:left="709" w:hanging="283"/>
      </w:pPr>
      <w:rPr>
        <w:rFonts w:hint="default"/>
      </w:rPr>
    </w:lvl>
    <w:lvl w:ilvl="2">
      <w:start w:val="1"/>
      <w:numFmt w:val="lowerRoman"/>
      <w:pStyle w:val="TableTextNumber3"/>
      <w:lvlText w:val="%3"/>
      <w:lvlJc w:val="left"/>
      <w:pPr>
        <w:tabs>
          <w:tab w:val="num" w:pos="964"/>
        </w:tabs>
        <w:ind w:left="964" w:hanging="284"/>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nsid w:val="70250B03"/>
    <w:multiLevelType w:val="multilevel"/>
    <w:tmpl w:val="5796740A"/>
    <w:name w:val="QuoteBullets"/>
    <w:lvl w:ilvl="0">
      <w:start w:val="1"/>
      <w:numFmt w:val="bullet"/>
      <w:pStyle w:val="QuoteBullet"/>
      <w:lvlText w:val="•"/>
      <w:lvlJc w:val="left"/>
      <w:pPr>
        <w:tabs>
          <w:tab w:val="num" w:pos="567"/>
        </w:tabs>
        <w:ind w:left="567" w:hanging="283"/>
      </w:pPr>
      <w:rPr>
        <w:rFonts w:ascii="Arial" w:hAnsi="Arial" w:hint="default"/>
        <w:color w:val="auto"/>
        <w:sz w:val="18"/>
      </w:rPr>
    </w:lvl>
    <w:lvl w:ilvl="1">
      <w:start w:val="1"/>
      <w:numFmt w:val="bullet"/>
      <w:pStyle w:val="QuoteBullet2"/>
      <w:lvlText w:val="‒"/>
      <w:lvlJc w:val="left"/>
      <w:pPr>
        <w:tabs>
          <w:tab w:val="num" w:pos="851"/>
        </w:tabs>
        <w:ind w:left="851" w:hanging="284"/>
      </w:pPr>
      <w:rPr>
        <w:rFonts w:ascii="Calibri" w:hAnsi="Calibri" w:hint="default"/>
        <w:color w:val="auto"/>
      </w:rPr>
    </w:lvl>
    <w:lvl w:ilvl="2">
      <w:start w:val="1"/>
      <w:numFmt w:val="bullet"/>
      <w:lvlText w:val="‒"/>
      <w:lvlJc w:val="left"/>
      <w:pPr>
        <w:tabs>
          <w:tab w:val="num" w:pos="1418"/>
        </w:tabs>
        <w:ind w:left="1418" w:hanging="283"/>
      </w:pPr>
      <w:rPr>
        <w:rFonts w:ascii="Calibri" w:hAnsi="Calibri" w:hint="default"/>
        <w:color w:val="2B3B5F"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12">
    <w:nsid w:val="7839021E"/>
    <w:multiLevelType w:val="multilevel"/>
    <w:tmpl w:val="C186E662"/>
    <w:name w:val="ListNumbering"/>
    <w:lvl w:ilvl="0">
      <w:start w:val="1"/>
      <w:numFmt w:val="decimal"/>
      <w:pStyle w:val="ListNumber"/>
      <w:lvlText w:val="%1"/>
      <w:lvlJc w:val="left"/>
      <w:pPr>
        <w:tabs>
          <w:tab w:val="num" w:pos="454"/>
        </w:tabs>
        <w:ind w:left="454" w:hanging="454"/>
      </w:pPr>
      <w:rPr>
        <w:rFonts w:hint="default"/>
        <w:color w:val="auto"/>
        <w:spacing w:val="0"/>
        <w:sz w:val="22"/>
      </w:rPr>
    </w:lvl>
    <w:lvl w:ilvl="1">
      <w:start w:val="1"/>
      <w:numFmt w:val="lowerLetter"/>
      <w:pStyle w:val="ListNumber2"/>
      <w:lvlText w:val="%2"/>
      <w:lvlJc w:val="left"/>
      <w:pPr>
        <w:tabs>
          <w:tab w:val="num" w:pos="907"/>
        </w:tabs>
        <w:ind w:left="907" w:hanging="453"/>
      </w:pPr>
      <w:rPr>
        <w:rFonts w:hint="default"/>
        <w:color w:val="auto"/>
        <w:spacing w:val="0"/>
        <w:sz w:val="22"/>
      </w:rPr>
    </w:lvl>
    <w:lvl w:ilvl="2">
      <w:start w:val="1"/>
      <w:numFmt w:val="lowerRoman"/>
      <w:pStyle w:val="ListNumber3"/>
      <w:lvlText w:val="%3"/>
      <w:lvlJc w:val="left"/>
      <w:pPr>
        <w:tabs>
          <w:tab w:val="num" w:pos="1361"/>
        </w:tabs>
        <w:ind w:left="1361" w:hanging="454"/>
      </w:pPr>
      <w:rPr>
        <w:rFonts w:hint="default"/>
        <w:color w:val="auto"/>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num w:numId="1">
    <w:abstractNumId w:val="8"/>
  </w:num>
  <w:num w:numId="2">
    <w:abstractNumId w:val="0"/>
  </w:num>
  <w:num w:numId="3">
    <w:abstractNumId w:val="12"/>
  </w:num>
  <w:num w:numId="4">
    <w:abstractNumId w:val="6"/>
  </w:num>
  <w:num w:numId="5">
    <w:abstractNumId w:val="5"/>
  </w:num>
  <w:num w:numId="6">
    <w:abstractNumId w:val="11"/>
  </w:num>
  <w:num w:numId="7">
    <w:abstractNumId w:val="2"/>
  </w:num>
  <w:num w:numId="8">
    <w:abstractNumId w:val="3"/>
  </w:num>
  <w:num w:numId="9">
    <w:abstractNumId w:val="10"/>
  </w:num>
  <w:num w:numId="10">
    <w:abstractNumId w:val="1"/>
  </w:num>
  <w:num w:numId="11">
    <w:abstractNumId w:val="4"/>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edit="forms" w:enforcement="0"/>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endices" w:val="True"/>
    <w:docVar w:name="AppendixName" w:val="Attachment"/>
    <w:docVar w:name="Disclaimer" w:val="False"/>
    <w:docVar w:name="Foreword" w:val="True"/>
    <w:docVar w:name="Heading1Numbered" w:val="False"/>
    <w:docVar w:name="Heading2Numbered" w:val="False"/>
    <w:docVar w:name="Heading3Numbered" w:val="False"/>
    <w:docVar w:name="IsWordingOverview" w:val="True"/>
    <w:docVar w:name="NumberedBodyText" w:val="False"/>
    <w:docVar w:name="optHeading1OddPage" w:val="False"/>
    <w:docVar w:name="Overview" w:val="False"/>
    <w:docVar w:name="PageSetup" w:val="Double"/>
    <w:docVar w:name="RibbonLabel" w:val="Appendix"/>
    <w:docVar w:name="TOC" w:val="True"/>
    <w:docVar w:name="TOCNew" w:val="True"/>
    <w:docVar w:name="Version" w:val="Version 1"/>
  </w:docVars>
  <w:rsids>
    <w:rsidRoot w:val="007C062F"/>
    <w:rsid w:val="0000071C"/>
    <w:rsid w:val="0000322C"/>
    <w:rsid w:val="00003CDD"/>
    <w:rsid w:val="00007DA0"/>
    <w:rsid w:val="0001406F"/>
    <w:rsid w:val="000156C2"/>
    <w:rsid w:val="000168A7"/>
    <w:rsid w:val="00016D53"/>
    <w:rsid w:val="00023702"/>
    <w:rsid w:val="0002425B"/>
    <w:rsid w:val="000278D0"/>
    <w:rsid w:val="00027E62"/>
    <w:rsid w:val="000307C8"/>
    <w:rsid w:val="00030F73"/>
    <w:rsid w:val="00035ADE"/>
    <w:rsid w:val="0004224B"/>
    <w:rsid w:val="00046226"/>
    <w:rsid w:val="000479BB"/>
    <w:rsid w:val="0005330D"/>
    <w:rsid w:val="000557A7"/>
    <w:rsid w:val="00055805"/>
    <w:rsid w:val="00056CB3"/>
    <w:rsid w:val="00066D54"/>
    <w:rsid w:val="00067A28"/>
    <w:rsid w:val="0007260F"/>
    <w:rsid w:val="0007488E"/>
    <w:rsid w:val="000805D5"/>
    <w:rsid w:val="0008103B"/>
    <w:rsid w:val="00085F97"/>
    <w:rsid w:val="000879B1"/>
    <w:rsid w:val="00090322"/>
    <w:rsid w:val="00092A33"/>
    <w:rsid w:val="000973F9"/>
    <w:rsid w:val="000A0A8F"/>
    <w:rsid w:val="000A2FEC"/>
    <w:rsid w:val="000A348F"/>
    <w:rsid w:val="000A4C46"/>
    <w:rsid w:val="000B4146"/>
    <w:rsid w:val="000B6942"/>
    <w:rsid w:val="000B6D00"/>
    <w:rsid w:val="000C09FA"/>
    <w:rsid w:val="000C1AB0"/>
    <w:rsid w:val="000C37A9"/>
    <w:rsid w:val="000C6728"/>
    <w:rsid w:val="000C702E"/>
    <w:rsid w:val="000D15E9"/>
    <w:rsid w:val="000D1D2B"/>
    <w:rsid w:val="000D3182"/>
    <w:rsid w:val="000D45C4"/>
    <w:rsid w:val="000D46B3"/>
    <w:rsid w:val="000E04A6"/>
    <w:rsid w:val="000E18F3"/>
    <w:rsid w:val="000E266E"/>
    <w:rsid w:val="000E4C7B"/>
    <w:rsid w:val="000F1515"/>
    <w:rsid w:val="000F16B5"/>
    <w:rsid w:val="000F616E"/>
    <w:rsid w:val="000F7D50"/>
    <w:rsid w:val="00110D43"/>
    <w:rsid w:val="001159EA"/>
    <w:rsid w:val="00120A75"/>
    <w:rsid w:val="001214A1"/>
    <w:rsid w:val="00125410"/>
    <w:rsid w:val="00130858"/>
    <w:rsid w:val="00136C26"/>
    <w:rsid w:val="0014059F"/>
    <w:rsid w:val="00141551"/>
    <w:rsid w:val="001417CE"/>
    <w:rsid w:val="0014479F"/>
    <w:rsid w:val="00146B30"/>
    <w:rsid w:val="00146EAD"/>
    <w:rsid w:val="00147D85"/>
    <w:rsid w:val="001541BF"/>
    <w:rsid w:val="00154DC5"/>
    <w:rsid w:val="00160C8D"/>
    <w:rsid w:val="001629C0"/>
    <w:rsid w:val="00165122"/>
    <w:rsid w:val="00165854"/>
    <w:rsid w:val="001738DB"/>
    <w:rsid w:val="00173DFD"/>
    <w:rsid w:val="00180FF9"/>
    <w:rsid w:val="00192D0B"/>
    <w:rsid w:val="00195228"/>
    <w:rsid w:val="00195696"/>
    <w:rsid w:val="00196532"/>
    <w:rsid w:val="001A133E"/>
    <w:rsid w:val="001A1EFC"/>
    <w:rsid w:val="001A48EF"/>
    <w:rsid w:val="001A49CC"/>
    <w:rsid w:val="001A5553"/>
    <w:rsid w:val="001A716E"/>
    <w:rsid w:val="001B2C65"/>
    <w:rsid w:val="001B4255"/>
    <w:rsid w:val="001B7058"/>
    <w:rsid w:val="001C3A4F"/>
    <w:rsid w:val="001C4121"/>
    <w:rsid w:val="001C48DE"/>
    <w:rsid w:val="001D2751"/>
    <w:rsid w:val="001D30C1"/>
    <w:rsid w:val="001D4E90"/>
    <w:rsid w:val="001D52E3"/>
    <w:rsid w:val="001D576F"/>
    <w:rsid w:val="001D7C29"/>
    <w:rsid w:val="001E0475"/>
    <w:rsid w:val="001E33C2"/>
    <w:rsid w:val="001F2AAD"/>
    <w:rsid w:val="001F5C90"/>
    <w:rsid w:val="001F767C"/>
    <w:rsid w:val="00210FCF"/>
    <w:rsid w:val="002179B6"/>
    <w:rsid w:val="00222EFF"/>
    <w:rsid w:val="002240D5"/>
    <w:rsid w:val="002261A7"/>
    <w:rsid w:val="00226AEC"/>
    <w:rsid w:val="00241B2B"/>
    <w:rsid w:val="00241EDB"/>
    <w:rsid w:val="0025109C"/>
    <w:rsid w:val="00254401"/>
    <w:rsid w:val="002545F3"/>
    <w:rsid w:val="00257EB2"/>
    <w:rsid w:val="0026344F"/>
    <w:rsid w:val="00266A17"/>
    <w:rsid w:val="00270372"/>
    <w:rsid w:val="00275534"/>
    <w:rsid w:val="00277075"/>
    <w:rsid w:val="002775D2"/>
    <w:rsid w:val="00281ADD"/>
    <w:rsid w:val="0028563E"/>
    <w:rsid w:val="00293E0D"/>
    <w:rsid w:val="00293E80"/>
    <w:rsid w:val="002973B0"/>
    <w:rsid w:val="00297C14"/>
    <w:rsid w:val="002A0F7A"/>
    <w:rsid w:val="002A220F"/>
    <w:rsid w:val="002A24F1"/>
    <w:rsid w:val="002A43A0"/>
    <w:rsid w:val="002A5778"/>
    <w:rsid w:val="002A6E3B"/>
    <w:rsid w:val="002B1E84"/>
    <w:rsid w:val="002B2085"/>
    <w:rsid w:val="002B209B"/>
    <w:rsid w:val="002B3EC4"/>
    <w:rsid w:val="002B682E"/>
    <w:rsid w:val="002C37D5"/>
    <w:rsid w:val="002C4DA6"/>
    <w:rsid w:val="002D01D7"/>
    <w:rsid w:val="002D0BAB"/>
    <w:rsid w:val="002D0D1A"/>
    <w:rsid w:val="002D18E1"/>
    <w:rsid w:val="002D20F2"/>
    <w:rsid w:val="002D239A"/>
    <w:rsid w:val="002D34DB"/>
    <w:rsid w:val="002D4B11"/>
    <w:rsid w:val="002E09E6"/>
    <w:rsid w:val="002E5633"/>
    <w:rsid w:val="002E5C0D"/>
    <w:rsid w:val="002F1963"/>
    <w:rsid w:val="002F5B6E"/>
    <w:rsid w:val="002F61B5"/>
    <w:rsid w:val="00300066"/>
    <w:rsid w:val="0030209B"/>
    <w:rsid w:val="00304F24"/>
    <w:rsid w:val="003103A0"/>
    <w:rsid w:val="00311ACA"/>
    <w:rsid w:val="003127E4"/>
    <w:rsid w:val="00313215"/>
    <w:rsid w:val="00313DA1"/>
    <w:rsid w:val="003174C3"/>
    <w:rsid w:val="003174CA"/>
    <w:rsid w:val="003230D5"/>
    <w:rsid w:val="0032557A"/>
    <w:rsid w:val="00327E56"/>
    <w:rsid w:val="003318BA"/>
    <w:rsid w:val="003401A3"/>
    <w:rsid w:val="00340778"/>
    <w:rsid w:val="00343205"/>
    <w:rsid w:val="00344D2C"/>
    <w:rsid w:val="003458CE"/>
    <w:rsid w:val="00345A57"/>
    <w:rsid w:val="00346650"/>
    <w:rsid w:val="00346D90"/>
    <w:rsid w:val="00351F62"/>
    <w:rsid w:val="0035792C"/>
    <w:rsid w:val="00357D12"/>
    <w:rsid w:val="003601F4"/>
    <w:rsid w:val="003671E2"/>
    <w:rsid w:val="00372AE6"/>
    <w:rsid w:val="00374FCA"/>
    <w:rsid w:val="00376C3A"/>
    <w:rsid w:val="003837E1"/>
    <w:rsid w:val="00383CEF"/>
    <w:rsid w:val="0038584D"/>
    <w:rsid w:val="00386011"/>
    <w:rsid w:val="0039257F"/>
    <w:rsid w:val="003931DE"/>
    <w:rsid w:val="00395AAA"/>
    <w:rsid w:val="00397D1A"/>
    <w:rsid w:val="003A163C"/>
    <w:rsid w:val="003A2B4E"/>
    <w:rsid w:val="003A2FBB"/>
    <w:rsid w:val="003A3799"/>
    <w:rsid w:val="003A4913"/>
    <w:rsid w:val="003A54A9"/>
    <w:rsid w:val="003A7083"/>
    <w:rsid w:val="003B3103"/>
    <w:rsid w:val="003B38B3"/>
    <w:rsid w:val="003B3A97"/>
    <w:rsid w:val="003B3D44"/>
    <w:rsid w:val="003B47BC"/>
    <w:rsid w:val="003B5234"/>
    <w:rsid w:val="003C6BB5"/>
    <w:rsid w:val="003C7CC2"/>
    <w:rsid w:val="003D50B6"/>
    <w:rsid w:val="003D668E"/>
    <w:rsid w:val="003E05DF"/>
    <w:rsid w:val="003E0A21"/>
    <w:rsid w:val="003E1562"/>
    <w:rsid w:val="003E15A9"/>
    <w:rsid w:val="003E6085"/>
    <w:rsid w:val="003E6CA3"/>
    <w:rsid w:val="003E77BE"/>
    <w:rsid w:val="003F4C96"/>
    <w:rsid w:val="00401C49"/>
    <w:rsid w:val="00404CFE"/>
    <w:rsid w:val="00406002"/>
    <w:rsid w:val="00406AD3"/>
    <w:rsid w:val="00410731"/>
    <w:rsid w:val="004122B7"/>
    <w:rsid w:val="004127E9"/>
    <w:rsid w:val="00412E42"/>
    <w:rsid w:val="00413EC1"/>
    <w:rsid w:val="004206CD"/>
    <w:rsid w:val="0042112A"/>
    <w:rsid w:val="00425C05"/>
    <w:rsid w:val="00426356"/>
    <w:rsid w:val="00426929"/>
    <w:rsid w:val="00433D11"/>
    <w:rsid w:val="00441A6D"/>
    <w:rsid w:val="00442C16"/>
    <w:rsid w:val="00445410"/>
    <w:rsid w:val="00446439"/>
    <w:rsid w:val="00450BDA"/>
    <w:rsid w:val="004534C5"/>
    <w:rsid w:val="00453A3E"/>
    <w:rsid w:val="00453EC8"/>
    <w:rsid w:val="0045452F"/>
    <w:rsid w:val="0045766B"/>
    <w:rsid w:val="00457EA9"/>
    <w:rsid w:val="0046444F"/>
    <w:rsid w:val="004659C8"/>
    <w:rsid w:val="004708A6"/>
    <w:rsid w:val="00474BB7"/>
    <w:rsid w:val="00476133"/>
    <w:rsid w:val="004816D7"/>
    <w:rsid w:val="00481995"/>
    <w:rsid w:val="00482F63"/>
    <w:rsid w:val="0048342E"/>
    <w:rsid w:val="00487478"/>
    <w:rsid w:val="0048782D"/>
    <w:rsid w:val="00494DC1"/>
    <w:rsid w:val="004A3F56"/>
    <w:rsid w:val="004A4F1C"/>
    <w:rsid w:val="004A5E21"/>
    <w:rsid w:val="004A666A"/>
    <w:rsid w:val="004B143F"/>
    <w:rsid w:val="004B3022"/>
    <w:rsid w:val="004B49A0"/>
    <w:rsid w:val="004B591D"/>
    <w:rsid w:val="004B6D79"/>
    <w:rsid w:val="004C6306"/>
    <w:rsid w:val="004C6F5E"/>
    <w:rsid w:val="004C7E94"/>
    <w:rsid w:val="004D014A"/>
    <w:rsid w:val="004D4551"/>
    <w:rsid w:val="004D7CF8"/>
    <w:rsid w:val="004D7EDA"/>
    <w:rsid w:val="004E0E49"/>
    <w:rsid w:val="004E197A"/>
    <w:rsid w:val="004E5D52"/>
    <w:rsid w:val="004F07D7"/>
    <w:rsid w:val="004F1297"/>
    <w:rsid w:val="004F16DB"/>
    <w:rsid w:val="004F4D7E"/>
    <w:rsid w:val="004F5B16"/>
    <w:rsid w:val="004F5D9D"/>
    <w:rsid w:val="004F68E5"/>
    <w:rsid w:val="004F7037"/>
    <w:rsid w:val="004F741B"/>
    <w:rsid w:val="00503253"/>
    <w:rsid w:val="00503BB0"/>
    <w:rsid w:val="00503E03"/>
    <w:rsid w:val="00511F0B"/>
    <w:rsid w:val="00512226"/>
    <w:rsid w:val="005147C6"/>
    <w:rsid w:val="005159B1"/>
    <w:rsid w:val="005203A4"/>
    <w:rsid w:val="00522502"/>
    <w:rsid w:val="00522530"/>
    <w:rsid w:val="005255A1"/>
    <w:rsid w:val="00525825"/>
    <w:rsid w:val="0052641C"/>
    <w:rsid w:val="0053795D"/>
    <w:rsid w:val="0054040E"/>
    <w:rsid w:val="00543114"/>
    <w:rsid w:val="00544522"/>
    <w:rsid w:val="0054577E"/>
    <w:rsid w:val="005468AB"/>
    <w:rsid w:val="005501A0"/>
    <w:rsid w:val="00550831"/>
    <w:rsid w:val="00550DDE"/>
    <w:rsid w:val="00554273"/>
    <w:rsid w:val="0056001A"/>
    <w:rsid w:val="00563987"/>
    <w:rsid w:val="00563B05"/>
    <w:rsid w:val="005642B6"/>
    <w:rsid w:val="00566A97"/>
    <w:rsid w:val="00567EEC"/>
    <w:rsid w:val="00571D5E"/>
    <w:rsid w:val="00575163"/>
    <w:rsid w:val="005814CA"/>
    <w:rsid w:val="005823D0"/>
    <w:rsid w:val="0058249D"/>
    <w:rsid w:val="00583AAF"/>
    <w:rsid w:val="00587AF9"/>
    <w:rsid w:val="005962D5"/>
    <w:rsid w:val="005A2748"/>
    <w:rsid w:val="005A35FC"/>
    <w:rsid w:val="005A443F"/>
    <w:rsid w:val="005A7C26"/>
    <w:rsid w:val="005B0970"/>
    <w:rsid w:val="005B0AD9"/>
    <w:rsid w:val="005B58D4"/>
    <w:rsid w:val="005C07B3"/>
    <w:rsid w:val="005C140B"/>
    <w:rsid w:val="005C284E"/>
    <w:rsid w:val="005C47D4"/>
    <w:rsid w:val="005C6326"/>
    <w:rsid w:val="005C6BED"/>
    <w:rsid w:val="005D2A83"/>
    <w:rsid w:val="005D51D0"/>
    <w:rsid w:val="005D6F83"/>
    <w:rsid w:val="005D706F"/>
    <w:rsid w:val="005D7877"/>
    <w:rsid w:val="005D7CCF"/>
    <w:rsid w:val="005E04CF"/>
    <w:rsid w:val="005E58C4"/>
    <w:rsid w:val="005E5D8F"/>
    <w:rsid w:val="005F5A5C"/>
    <w:rsid w:val="005F5CD9"/>
    <w:rsid w:val="00600870"/>
    <w:rsid w:val="00602664"/>
    <w:rsid w:val="00602C7E"/>
    <w:rsid w:val="00602F1D"/>
    <w:rsid w:val="0061135C"/>
    <w:rsid w:val="006136DD"/>
    <w:rsid w:val="006149F0"/>
    <w:rsid w:val="00620C01"/>
    <w:rsid w:val="006220A5"/>
    <w:rsid w:val="00622D86"/>
    <w:rsid w:val="00624AC8"/>
    <w:rsid w:val="00633812"/>
    <w:rsid w:val="00633C60"/>
    <w:rsid w:val="0064126D"/>
    <w:rsid w:val="006451B8"/>
    <w:rsid w:val="00645722"/>
    <w:rsid w:val="006509C3"/>
    <w:rsid w:val="00652432"/>
    <w:rsid w:val="00657840"/>
    <w:rsid w:val="0066003C"/>
    <w:rsid w:val="0066041E"/>
    <w:rsid w:val="00660947"/>
    <w:rsid w:val="00665D04"/>
    <w:rsid w:val="00673CCC"/>
    <w:rsid w:val="00675C98"/>
    <w:rsid w:val="00676A36"/>
    <w:rsid w:val="006847C9"/>
    <w:rsid w:val="0069026B"/>
    <w:rsid w:val="0069408F"/>
    <w:rsid w:val="006956EA"/>
    <w:rsid w:val="00696C0F"/>
    <w:rsid w:val="006A490C"/>
    <w:rsid w:val="006B4491"/>
    <w:rsid w:val="006B4F7D"/>
    <w:rsid w:val="006B6C37"/>
    <w:rsid w:val="006C114C"/>
    <w:rsid w:val="006C3668"/>
    <w:rsid w:val="006C3864"/>
    <w:rsid w:val="006C5383"/>
    <w:rsid w:val="006C5E72"/>
    <w:rsid w:val="006D2AEC"/>
    <w:rsid w:val="006D438F"/>
    <w:rsid w:val="006D4C8E"/>
    <w:rsid w:val="006E19D1"/>
    <w:rsid w:val="006E1CBB"/>
    <w:rsid w:val="006E20C7"/>
    <w:rsid w:val="006E5E7E"/>
    <w:rsid w:val="006F04EF"/>
    <w:rsid w:val="006F100B"/>
    <w:rsid w:val="006F239A"/>
    <w:rsid w:val="006F2C9D"/>
    <w:rsid w:val="006F4201"/>
    <w:rsid w:val="006F59E7"/>
    <w:rsid w:val="006F6B51"/>
    <w:rsid w:val="007048DB"/>
    <w:rsid w:val="0070637D"/>
    <w:rsid w:val="007071DD"/>
    <w:rsid w:val="0070771F"/>
    <w:rsid w:val="00712A14"/>
    <w:rsid w:val="00713208"/>
    <w:rsid w:val="00716C04"/>
    <w:rsid w:val="00717180"/>
    <w:rsid w:val="007179D2"/>
    <w:rsid w:val="00720750"/>
    <w:rsid w:val="0072346A"/>
    <w:rsid w:val="0072549C"/>
    <w:rsid w:val="00725A80"/>
    <w:rsid w:val="00731285"/>
    <w:rsid w:val="00733970"/>
    <w:rsid w:val="007375FE"/>
    <w:rsid w:val="00741D0B"/>
    <w:rsid w:val="00754C58"/>
    <w:rsid w:val="00760746"/>
    <w:rsid w:val="00763EB0"/>
    <w:rsid w:val="00764744"/>
    <w:rsid w:val="00776E78"/>
    <w:rsid w:val="0078138A"/>
    <w:rsid w:val="00783014"/>
    <w:rsid w:val="007834DC"/>
    <w:rsid w:val="007959D8"/>
    <w:rsid w:val="0079630F"/>
    <w:rsid w:val="007A04C2"/>
    <w:rsid w:val="007A0C6D"/>
    <w:rsid w:val="007A47D0"/>
    <w:rsid w:val="007A5284"/>
    <w:rsid w:val="007B146A"/>
    <w:rsid w:val="007B2DB1"/>
    <w:rsid w:val="007B57C9"/>
    <w:rsid w:val="007B7207"/>
    <w:rsid w:val="007C062F"/>
    <w:rsid w:val="007C0E7C"/>
    <w:rsid w:val="007C0EAA"/>
    <w:rsid w:val="007C19C3"/>
    <w:rsid w:val="007C44B2"/>
    <w:rsid w:val="007C4EB6"/>
    <w:rsid w:val="007C54EE"/>
    <w:rsid w:val="007C6496"/>
    <w:rsid w:val="007C745E"/>
    <w:rsid w:val="007D0ABE"/>
    <w:rsid w:val="007E0E53"/>
    <w:rsid w:val="007E356F"/>
    <w:rsid w:val="007E3F8C"/>
    <w:rsid w:val="007F2058"/>
    <w:rsid w:val="007F357E"/>
    <w:rsid w:val="007F7685"/>
    <w:rsid w:val="0080011D"/>
    <w:rsid w:val="00800EA5"/>
    <w:rsid w:val="00801C01"/>
    <w:rsid w:val="008112CC"/>
    <w:rsid w:val="008130BB"/>
    <w:rsid w:val="00813D7D"/>
    <w:rsid w:val="008147C6"/>
    <w:rsid w:val="00817406"/>
    <w:rsid w:val="008208A7"/>
    <w:rsid w:val="0082229F"/>
    <w:rsid w:val="008237FA"/>
    <w:rsid w:val="00825D37"/>
    <w:rsid w:val="008369B0"/>
    <w:rsid w:val="008372D1"/>
    <w:rsid w:val="0084644D"/>
    <w:rsid w:val="00853900"/>
    <w:rsid w:val="0085732C"/>
    <w:rsid w:val="00860B45"/>
    <w:rsid w:val="00863860"/>
    <w:rsid w:val="008638B5"/>
    <w:rsid w:val="008734DB"/>
    <w:rsid w:val="0087390B"/>
    <w:rsid w:val="008745A1"/>
    <w:rsid w:val="008768E9"/>
    <w:rsid w:val="0087751B"/>
    <w:rsid w:val="0088480C"/>
    <w:rsid w:val="00890995"/>
    <w:rsid w:val="008914FB"/>
    <w:rsid w:val="00892516"/>
    <w:rsid w:val="0089737A"/>
    <w:rsid w:val="00897E99"/>
    <w:rsid w:val="00897F44"/>
    <w:rsid w:val="00897F60"/>
    <w:rsid w:val="008A4829"/>
    <w:rsid w:val="008A7AB9"/>
    <w:rsid w:val="008B2384"/>
    <w:rsid w:val="008B38D6"/>
    <w:rsid w:val="008B4802"/>
    <w:rsid w:val="008B69E3"/>
    <w:rsid w:val="008C1FD1"/>
    <w:rsid w:val="008C24A8"/>
    <w:rsid w:val="008C35EF"/>
    <w:rsid w:val="008C5996"/>
    <w:rsid w:val="008D57E4"/>
    <w:rsid w:val="008D5A11"/>
    <w:rsid w:val="008D5E23"/>
    <w:rsid w:val="008D77AF"/>
    <w:rsid w:val="008D7D24"/>
    <w:rsid w:val="008E6D59"/>
    <w:rsid w:val="008F30C7"/>
    <w:rsid w:val="008F5D66"/>
    <w:rsid w:val="008F6BAF"/>
    <w:rsid w:val="009028AA"/>
    <w:rsid w:val="00903E3F"/>
    <w:rsid w:val="009049C3"/>
    <w:rsid w:val="0090504B"/>
    <w:rsid w:val="009057D9"/>
    <w:rsid w:val="0090774A"/>
    <w:rsid w:val="00910D07"/>
    <w:rsid w:val="00914069"/>
    <w:rsid w:val="00914B2F"/>
    <w:rsid w:val="009150E6"/>
    <w:rsid w:val="00917F89"/>
    <w:rsid w:val="00921C37"/>
    <w:rsid w:val="0092499B"/>
    <w:rsid w:val="009255EE"/>
    <w:rsid w:val="00925603"/>
    <w:rsid w:val="00925F76"/>
    <w:rsid w:val="00930F95"/>
    <w:rsid w:val="00932B09"/>
    <w:rsid w:val="00932E89"/>
    <w:rsid w:val="00932ECF"/>
    <w:rsid w:val="0093359D"/>
    <w:rsid w:val="00933F2B"/>
    <w:rsid w:val="00942EEB"/>
    <w:rsid w:val="0094468E"/>
    <w:rsid w:val="00944B6E"/>
    <w:rsid w:val="00945261"/>
    <w:rsid w:val="00947377"/>
    <w:rsid w:val="009506A5"/>
    <w:rsid w:val="009541CC"/>
    <w:rsid w:val="00956564"/>
    <w:rsid w:val="009567A6"/>
    <w:rsid w:val="00956D5A"/>
    <w:rsid w:val="00961B2C"/>
    <w:rsid w:val="00961DBB"/>
    <w:rsid w:val="0096618E"/>
    <w:rsid w:val="00967B5A"/>
    <w:rsid w:val="009758AE"/>
    <w:rsid w:val="00981433"/>
    <w:rsid w:val="0098222F"/>
    <w:rsid w:val="00985C07"/>
    <w:rsid w:val="00986BA3"/>
    <w:rsid w:val="009901AB"/>
    <w:rsid w:val="00995B4F"/>
    <w:rsid w:val="00995FA3"/>
    <w:rsid w:val="00997582"/>
    <w:rsid w:val="009A2C21"/>
    <w:rsid w:val="009A3282"/>
    <w:rsid w:val="009A3E58"/>
    <w:rsid w:val="009A5F02"/>
    <w:rsid w:val="009A7AB1"/>
    <w:rsid w:val="009B7B56"/>
    <w:rsid w:val="009C6DAA"/>
    <w:rsid w:val="009D0E74"/>
    <w:rsid w:val="009D1A96"/>
    <w:rsid w:val="009D370B"/>
    <w:rsid w:val="009E06BB"/>
    <w:rsid w:val="009E2087"/>
    <w:rsid w:val="009E252B"/>
    <w:rsid w:val="009E3265"/>
    <w:rsid w:val="009E3353"/>
    <w:rsid w:val="009E446D"/>
    <w:rsid w:val="009E7C09"/>
    <w:rsid w:val="009F146D"/>
    <w:rsid w:val="009F34DD"/>
    <w:rsid w:val="009F4F1E"/>
    <w:rsid w:val="009F5D6A"/>
    <w:rsid w:val="00A015E4"/>
    <w:rsid w:val="00A075BC"/>
    <w:rsid w:val="00A11222"/>
    <w:rsid w:val="00A12C39"/>
    <w:rsid w:val="00A134FB"/>
    <w:rsid w:val="00A20802"/>
    <w:rsid w:val="00A231BF"/>
    <w:rsid w:val="00A25B4F"/>
    <w:rsid w:val="00A261B3"/>
    <w:rsid w:val="00A27E8B"/>
    <w:rsid w:val="00A442BF"/>
    <w:rsid w:val="00A46F49"/>
    <w:rsid w:val="00A517D0"/>
    <w:rsid w:val="00A53716"/>
    <w:rsid w:val="00A5629E"/>
    <w:rsid w:val="00A57DC2"/>
    <w:rsid w:val="00A64832"/>
    <w:rsid w:val="00A732DB"/>
    <w:rsid w:val="00A75338"/>
    <w:rsid w:val="00A838D2"/>
    <w:rsid w:val="00A86F04"/>
    <w:rsid w:val="00A9035D"/>
    <w:rsid w:val="00A946C4"/>
    <w:rsid w:val="00A95525"/>
    <w:rsid w:val="00AC01F8"/>
    <w:rsid w:val="00AC059A"/>
    <w:rsid w:val="00AC161B"/>
    <w:rsid w:val="00AC41CF"/>
    <w:rsid w:val="00AD0308"/>
    <w:rsid w:val="00AD377A"/>
    <w:rsid w:val="00AD67BB"/>
    <w:rsid w:val="00AE1CC1"/>
    <w:rsid w:val="00AE3EA4"/>
    <w:rsid w:val="00AF00E9"/>
    <w:rsid w:val="00AF1B02"/>
    <w:rsid w:val="00AF41E4"/>
    <w:rsid w:val="00AF568A"/>
    <w:rsid w:val="00B06450"/>
    <w:rsid w:val="00B06A75"/>
    <w:rsid w:val="00B06BC3"/>
    <w:rsid w:val="00B07D7E"/>
    <w:rsid w:val="00B13201"/>
    <w:rsid w:val="00B15A0F"/>
    <w:rsid w:val="00B20236"/>
    <w:rsid w:val="00B20937"/>
    <w:rsid w:val="00B220A0"/>
    <w:rsid w:val="00B22B64"/>
    <w:rsid w:val="00B22FEA"/>
    <w:rsid w:val="00B24321"/>
    <w:rsid w:val="00B271C4"/>
    <w:rsid w:val="00B30FEB"/>
    <w:rsid w:val="00B311BA"/>
    <w:rsid w:val="00B35B47"/>
    <w:rsid w:val="00B40AA3"/>
    <w:rsid w:val="00B44478"/>
    <w:rsid w:val="00B4609C"/>
    <w:rsid w:val="00B5043F"/>
    <w:rsid w:val="00B508DA"/>
    <w:rsid w:val="00B6002C"/>
    <w:rsid w:val="00B620EE"/>
    <w:rsid w:val="00B65D32"/>
    <w:rsid w:val="00B67B6F"/>
    <w:rsid w:val="00B85366"/>
    <w:rsid w:val="00B87F60"/>
    <w:rsid w:val="00B93D3D"/>
    <w:rsid w:val="00B96341"/>
    <w:rsid w:val="00BA471F"/>
    <w:rsid w:val="00BA53D4"/>
    <w:rsid w:val="00BB5013"/>
    <w:rsid w:val="00BB528E"/>
    <w:rsid w:val="00BB615A"/>
    <w:rsid w:val="00BC2600"/>
    <w:rsid w:val="00BC36F0"/>
    <w:rsid w:val="00BC3E99"/>
    <w:rsid w:val="00BC4FA7"/>
    <w:rsid w:val="00BC5E30"/>
    <w:rsid w:val="00BC7DC0"/>
    <w:rsid w:val="00BD00ED"/>
    <w:rsid w:val="00BD02C5"/>
    <w:rsid w:val="00BD068D"/>
    <w:rsid w:val="00BE0D9A"/>
    <w:rsid w:val="00BE1A50"/>
    <w:rsid w:val="00BE2F0D"/>
    <w:rsid w:val="00BE5E2E"/>
    <w:rsid w:val="00BF0BD5"/>
    <w:rsid w:val="00BF55F8"/>
    <w:rsid w:val="00BF5807"/>
    <w:rsid w:val="00BF7BE0"/>
    <w:rsid w:val="00C051FD"/>
    <w:rsid w:val="00C20C7D"/>
    <w:rsid w:val="00C20DEF"/>
    <w:rsid w:val="00C24B25"/>
    <w:rsid w:val="00C24E89"/>
    <w:rsid w:val="00C32C2F"/>
    <w:rsid w:val="00C3738A"/>
    <w:rsid w:val="00C40859"/>
    <w:rsid w:val="00C4315A"/>
    <w:rsid w:val="00C43F5E"/>
    <w:rsid w:val="00C44074"/>
    <w:rsid w:val="00C4651F"/>
    <w:rsid w:val="00C47F53"/>
    <w:rsid w:val="00C51D0B"/>
    <w:rsid w:val="00C52207"/>
    <w:rsid w:val="00C52A50"/>
    <w:rsid w:val="00C609E8"/>
    <w:rsid w:val="00C642D4"/>
    <w:rsid w:val="00C730F4"/>
    <w:rsid w:val="00C80200"/>
    <w:rsid w:val="00C80E0A"/>
    <w:rsid w:val="00C8270B"/>
    <w:rsid w:val="00C841A9"/>
    <w:rsid w:val="00C8728F"/>
    <w:rsid w:val="00C8760B"/>
    <w:rsid w:val="00C97FBC"/>
    <w:rsid w:val="00CA06C8"/>
    <w:rsid w:val="00CA0B7E"/>
    <w:rsid w:val="00CA4C28"/>
    <w:rsid w:val="00CA5598"/>
    <w:rsid w:val="00CA5EF8"/>
    <w:rsid w:val="00CB28A3"/>
    <w:rsid w:val="00CB50AF"/>
    <w:rsid w:val="00CC00A0"/>
    <w:rsid w:val="00CC0FED"/>
    <w:rsid w:val="00CC3C34"/>
    <w:rsid w:val="00CC5455"/>
    <w:rsid w:val="00CC6C06"/>
    <w:rsid w:val="00CD1526"/>
    <w:rsid w:val="00CD16E4"/>
    <w:rsid w:val="00CD2807"/>
    <w:rsid w:val="00CD5509"/>
    <w:rsid w:val="00CD7B95"/>
    <w:rsid w:val="00CE048E"/>
    <w:rsid w:val="00CE1EB0"/>
    <w:rsid w:val="00CE3DF2"/>
    <w:rsid w:val="00CF0C0F"/>
    <w:rsid w:val="00CF1690"/>
    <w:rsid w:val="00CF1F2A"/>
    <w:rsid w:val="00CF44DD"/>
    <w:rsid w:val="00CF5CE3"/>
    <w:rsid w:val="00CF7412"/>
    <w:rsid w:val="00D030F8"/>
    <w:rsid w:val="00D077B7"/>
    <w:rsid w:val="00D07F76"/>
    <w:rsid w:val="00D20297"/>
    <w:rsid w:val="00D21E6B"/>
    <w:rsid w:val="00D2336A"/>
    <w:rsid w:val="00D23634"/>
    <w:rsid w:val="00D27C4F"/>
    <w:rsid w:val="00D34551"/>
    <w:rsid w:val="00D457D6"/>
    <w:rsid w:val="00D56D6A"/>
    <w:rsid w:val="00D64CE2"/>
    <w:rsid w:val="00D7427B"/>
    <w:rsid w:val="00D7751B"/>
    <w:rsid w:val="00D815DC"/>
    <w:rsid w:val="00D822B5"/>
    <w:rsid w:val="00D83D3C"/>
    <w:rsid w:val="00D867AE"/>
    <w:rsid w:val="00D87BBB"/>
    <w:rsid w:val="00D87C87"/>
    <w:rsid w:val="00D915E0"/>
    <w:rsid w:val="00D921C4"/>
    <w:rsid w:val="00D9296A"/>
    <w:rsid w:val="00D93C23"/>
    <w:rsid w:val="00D95638"/>
    <w:rsid w:val="00D9584C"/>
    <w:rsid w:val="00DA14D9"/>
    <w:rsid w:val="00DA3FE0"/>
    <w:rsid w:val="00DB13AD"/>
    <w:rsid w:val="00DB23F9"/>
    <w:rsid w:val="00DB2EE8"/>
    <w:rsid w:val="00DB58BE"/>
    <w:rsid w:val="00DB6176"/>
    <w:rsid w:val="00DB6AA0"/>
    <w:rsid w:val="00DB7C3A"/>
    <w:rsid w:val="00DD14EE"/>
    <w:rsid w:val="00DD32AB"/>
    <w:rsid w:val="00DD4445"/>
    <w:rsid w:val="00DD5BF6"/>
    <w:rsid w:val="00DD64DC"/>
    <w:rsid w:val="00DE1865"/>
    <w:rsid w:val="00DE6CEF"/>
    <w:rsid w:val="00DF11C2"/>
    <w:rsid w:val="00DF2134"/>
    <w:rsid w:val="00DF26EC"/>
    <w:rsid w:val="00DF4593"/>
    <w:rsid w:val="00DF4BC4"/>
    <w:rsid w:val="00DF5302"/>
    <w:rsid w:val="00E0570B"/>
    <w:rsid w:val="00E10D05"/>
    <w:rsid w:val="00E2223E"/>
    <w:rsid w:val="00E22D98"/>
    <w:rsid w:val="00E24623"/>
    <w:rsid w:val="00E252E3"/>
    <w:rsid w:val="00E25B1B"/>
    <w:rsid w:val="00E25E25"/>
    <w:rsid w:val="00E40505"/>
    <w:rsid w:val="00E42A41"/>
    <w:rsid w:val="00E44080"/>
    <w:rsid w:val="00E45766"/>
    <w:rsid w:val="00E45AC5"/>
    <w:rsid w:val="00E567E5"/>
    <w:rsid w:val="00E64480"/>
    <w:rsid w:val="00E66103"/>
    <w:rsid w:val="00E6708B"/>
    <w:rsid w:val="00E727B6"/>
    <w:rsid w:val="00E73A8C"/>
    <w:rsid w:val="00E75050"/>
    <w:rsid w:val="00E76F42"/>
    <w:rsid w:val="00E77D6D"/>
    <w:rsid w:val="00E915E6"/>
    <w:rsid w:val="00EA3E11"/>
    <w:rsid w:val="00EA6EB3"/>
    <w:rsid w:val="00EB4A8E"/>
    <w:rsid w:val="00EB5EF3"/>
    <w:rsid w:val="00EB695D"/>
    <w:rsid w:val="00EB7C6D"/>
    <w:rsid w:val="00EC38F3"/>
    <w:rsid w:val="00EC6EC4"/>
    <w:rsid w:val="00ED1407"/>
    <w:rsid w:val="00ED39CE"/>
    <w:rsid w:val="00ED4134"/>
    <w:rsid w:val="00EE05F1"/>
    <w:rsid w:val="00EE471A"/>
    <w:rsid w:val="00EE5492"/>
    <w:rsid w:val="00EE583A"/>
    <w:rsid w:val="00EF0A00"/>
    <w:rsid w:val="00EF1319"/>
    <w:rsid w:val="00EF41F1"/>
    <w:rsid w:val="00EF7395"/>
    <w:rsid w:val="00F0183C"/>
    <w:rsid w:val="00F01EBB"/>
    <w:rsid w:val="00F0379D"/>
    <w:rsid w:val="00F07BD5"/>
    <w:rsid w:val="00F122D6"/>
    <w:rsid w:val="00F15BF4"/>
    <w:rsid w:val="00F1660A"/>
    <w:rsid w:val="00F171E0"/>
    <w:rsid w:val="00F17940"/>
    <w:rsid w:val="00F17DC0"/>
    <w:rsid w:val="00F2046C"/>
    <w:rsid w:val="00F20647"/>
    <w:rsid w:val="00F207FC"/>
    <w:rsid w:val="00F31392"/>
    <w:rsid w:val="00F348B5"/>
    <w:rsid w:val="00F3652B"/>
    <w:rsid w:val="00F377B9"/>
    <w:rsid w:val="00F45442"/>
    <w:rsid w:val="00F5145E"/>
    <w:rsid w:val="00F558EA"/>
    <w:rsid w:val="00F56654"/>
    <w:rsid w:val="00F5681C"/>
    <w:rsid w:val="00F60D7B"/>
    <w:rsid w:val="00F613CB"/>
    <w:rsid w:val="00F61F79"/>
    <w:rsid w:val="00F651DD"/>
    <w:rsid w:val="00F656A4"/>
    <w:rsid w:val="00F6665E"/>
    <w:rsid w:val="00F7075F"/>
    <w:rsid w:val="00F71D76"/>
    <w:rsid w:val="00F8349F"/>
    <w:rsid w:val="00F83FB7"/>
    <w:rsid w:val="00F85935"/>
    <w:rsid w:val="00F85D29"/>
    <w:rsid w:val="00F969D3"/>
    <w:rsid w:val="00F9789E"/>
    <w:rsid w:val="00FA190E"/>
    <w:rsid w:val="00FA54D8"/>
    <w:rsid w:val="00FB460E"/>
    <w:rsid w:val="00FC4087"/>
    <w:rsid w:val="00FC4FB7"/>
    <w:rsid w:val="00FD1110"/>
    <w:rsid w:val="00FD1EE0"/>
    <w:rsid w:val="00FD357B"/>
    <w:rsid w:val="00FD38FC"/>
    <w:rsid w:val="00FD6119"/>
    <w:rsid w:val="00FD688E"/>
    <w:rsid w:val="00FD7C0C"/>
    <w:rsid w:val="00FE045C"/>
    <w:rsid w:val="00FE0C52"/>
    <w:rsid w:val="00FE1692"/>
    <w:rsid w:val="00FE3069"/>
    <w:rsid w:val="00FE3B13"/>
    <w:rsid w:val="00FF0566"/>
    <w:rsid w:val="00FF6124"/>
    <w:rsid w:val="00FF62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qFormat="1"/>
    <w:lsdException w:name="heading 3" w:qFormat="1"/>
    <w:lsdException w:name="heading 4"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header" w:uiPriority="99"/>
    <w:lsdException w:name="caption" w:qFormat="1"/>
    <w:lsdException w:name="table of figures" w:semiHidden="0" w:uiPriority="99" w:unhideWhenUsed="0"/>
    <w:lsdException w:name="List Bullet" w:uiPriority="7" w:qFormat="1"/>
    <w:lsdException w:name="List Number" w:qFormat="1"/>
    <w:lsdException w:name="List Bullet 2" w:uiPriority="8" w:qFormat="1"/>
    <w:lsdException w:name="List Bullet 3" w:uiPriority="9" w:qFormat="1"/>
    <w:lsdException w:name="List Number 2" w:qFormat="1"/>
    <w:lsdException w:name="List Number 3" w:qFormat="1"/>
    <w:lsdException w:name="Title" w:semiHidden="0" w:unhideWhenUsed="0" w:qFormat="1"/>
    <w:lsdException w:name="Default Paragraph Font" w:uiPriority="1"/>
    <w:lsdException w:name="Body Text" w:uiPriority="5" w:qFormat="1"/>
    <w:lsdException w:name="List Continue" w:qFormat="1"/>
    <w:lsdException w:name="List Continue 2" w:qFormat="1"/>
    <w:lsdException w:name="Subtitle" w:semiHidden="0" w:unhideWhenUsed="0" w:qFormat="1"/>
    <w:lsdException w:name="Hyperlink" w:uiPriority="99"/>
    <w:lsdException w:name="Strong" w:unhideWhenUsed="0" w:qFormat="1"/>
    <w:lsdException w:name="Emphasis"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9" w:unhideWhenUsed="0"/>
    <w:lsdException w:name="Quote" w:semiHidden="0" w:unhideWhenUsed="0"/>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TOC Heading" w:qFormat="1"/>
  </w:latentStyles>
  <w:style w:type="paragraph" w:default="1" w:styleId="Normal">
    <w:name w:val="Normal"/>
    <w:uiPriority w:val="39"/>
    <w:rsid w:val="0089737A"/>
  </w:style>
  <w:style w:type="paragraph" w:styleId="Heading1">
    <w:name w:val="heading 1"/>
    <w:basedOn w:val="Normal"/>
    <w:next w:val="BodyText"/>
    <w:link w:val="Heading1Char"/>
    <w:uiPriority w:val="1"/>
    <w:qFormat/>
    <w:rsid w:val="0046444F"/>
    <w:pPr>
      <w:keepNext/>
      <w:keepLines/>
      <w:numPr>
        <w:numId w:val="10"/>
      </w:numPr>
      <w:tabs>
        <w:tab w:val="right" w:pos="1418"/>
        <w:tab w:val="right" w:pos="1701"/>
        <w:tab w:val="right" w:pos="1985"/>
      </w:tabs>
      <w:spacing w:before="470" w:after="228"/>
      <w:outlineLvl w:val="0"/>
    </w:pPr>
    <w:rPr>
      <w:rFonts w:asciiTheme="majorHAnsi" w:hAnsiTheme="majorHAnsi"/>
      <w:bCs/>
      <w:color w:val="2B3B5F" w:themeColor="text2"/>
      <w:spacing w:val="-6"/>
      <w:kern w:val="32"/>
      <w:sz w:val="32"/>
      <w:szCs w:val="32"/>
    </w:rPr>
  </w:style>
  <w:style w:type="paragraph" w:styleId="Heading2">
    <w:name w:val="heading 2"/>
    <w:basedOn w:val="Normal"/>
    <w:next w:val="BodyText"/>
    <w:link w:val="Heading2Char"/>
    <w:uiPriority w:val="2"/>
    <w:qFormat/>
    <w:rsid w:val="00CA06C8"/>
    <w:pPr>
      <w:keepNext/>
      <w:keepLines/>
      <w:numPr>
        <w:ilvl w:val="1"/>
        <w:numId w:val="10"/>
      </w:numPr>
      <w:tabs>
        <w:tab w:val="left" w:pos="1418"/>
        <w:tab w:val="left" w:pos="1701"/>
        <w:tab w:val="left" w:pos="1985"/>
      </w:tabs>
      <w:spacing w:before="470" w:after="227"/>
      <w:outlineLvl w:val="1"/>
    </w:pPr>
    <w:rPr>
      <w:rFonts w:ascii="Calibri" w:hAnsi="Calibri"/>
      <w:b/>
      <w:bCs/>
      <w:iCs/>
      <w:color w:val="2B3B5F" w:themeColor="text2"/>
      <w:kern w:val="20"/>
      <w:sz w:val="24"/>
      <w:szCs w:val="28"/>
    </w:rPr>
  </w:style>
  <w:style w:type="paragraph" w:styleId="Heading3">
    <w:name w:val="heading 3"/>
    <w:basedOn w:val="Normal"/>
    <w:next w:val="BodyText"/>
    <w:link w:val="Heading3Char"/>
    <w:uiPriority w:val="3"/>
    <w:qFormat/>
    <w:rsid w:val="00CA06C8"/>
    <w:pPr>
      <w:keepNext/>
      <w:keepLines/>
      <w:numPr>
        <w:ilvl w:val="2"/>
        <w:numId w:val="10"/>
      </w:numPr>
      <w:tabs>
        <w:tab w:val="left" w:pos="1418"/>
        <w:tab w:val="left" w:pos="1701"/>
        <w:tab w:val="left" w:pos="1985"/>
      </w:tabs>
      <w:spacing w:before="470" w:after="227"/>
      <w:outlineLvl w:val="2"/>
    </w:pPr>
    <w:rPr>
      <w:i/>
      <w:color w:val="2B3B5F" w:themeColor="text2"/>
      <w:sz w:val="24"/>
    </w:rPr>
  </w:style>
  <w:style w:type="paragraph" w:styleId="Heading4">
    <w:name w:val="heading 4"/>
    <w:basedOn w:val="Normal"/>
    <w:next w:val="BodyText"/>
    <w:link w:val="Heading4Char"/>
    <w:uiPriority w:val="4"/>
    <w:qFormat/>
    <w:rsid w:val="00CA06C8"/>
    <w:pPr>
      <w:keepNext/>
      <w:keepLines/>
      <w:tabs>
        <w:tab w:val="left" w:pos="1418"/>
        <w:tab w:val="left" w:pos="1701"/>
        <w:tab w:val="left" w:pos="1985"/>
      </w:tabs>
      <w:spacing w:before="227" w:after="113"/>
      <w:outlineLvl w:val="3"/>
    </w:pPr>
    <w:rPr>
      <w:rFonts w:eastAsiaTheme="majorEastAsia" w:cstheme="majorBidi"/>
      <w:bCs/>
      <w:i/>
      <w:iCs/>
      <w:color w:val="788184" w:themeColor="background2"/>
      <w:sz w:val="24"/>
    </w:rPr>
  </w:style>
  <w:style w:type="paragraph" w:styleId="Heading5">
    <w:name w:val="heading 5"/>
    <w:basedOn w:val="Normal"/>
    <w:next w:val="BodyText"/>
    <w:link w:val="Heading5Char"/>
    <w:uiPriority w:val="39"/>
    <w:rsid w:val="00B620EE"/>
    <w:pPr>
      <w:keepNext/>
      <w:keepLines/>
      <w:spacing w:before="180" w:after="60"/>
      <w:outlineLvl w:val="4"/>
    </w:pPr>
    <w:rPr>
      <w:rFonts w:asciiTheme="majorHAnsi" w:eastAsiaTheme="majorEastAsia" w:hAnsiTheme="majorHAnsi" w:cstheme="majorBidi"/>
      <w:i/>
      <w:color w:val="636366"/>
      <w:sz w:val="24"/>
    </w:rPr>
  </w:style>
  <w:style w:type="paragraph" w:styleId="Heading6">
    <w:name w:val="heading 6"/>
    <w:basedOn w:val="Normal"/>
    <w:next w:val="BodyText"/>
    <w:link w:val="Heading6Char"/>
    <w:uiPriority w:val="39"/>
    <w:rsid w:val="00B620EE"/>
    <w:pPr>
      <w:keepNext/>
      <w:keepLines/>
      <w:spacing w:before="280" w:after="240"/>
      <w:outlineLvl w:val="5"/>
    </w:pPr>
    <w:rPr>
      <w:rFonts w:asciiTheme="majorHAnsi" w:eastAsiaTheme="majorEastAsia" w:hAnsiTheme="majorHAnsi" w:cstheme="majorBidi"/>
      <w:i/>
      <w:iCs/>
      <w:color w:val="2B3B5F" w:themeColor="text2"/>
      <w:sz w:val="24"/>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ttachment Title"/>
    <w:basedOn w:val="Normal"/>
    <w:next w:val="BodyText"/>
    <w:link w:val="Heading8Char"/>
    <w:uiPriority w:val="31"/>
    <w:qFormat/>
    <w:rsid w:val="002D239A"/>
    <w:pPr>
      <w:keepNext/>
      <w:keepLines/>
      <w:numPr>
        <w:numId w:val="1"/>
      </w:numPr>
      <w:tabs>
        <w:tab w:val="left" w:pos="4536"/>
      </w:tabs>
      <w:spacing w:before="480" w:after="340"/>
      <w:outlineLvl w:val="7"/>
    </w:pPr>
    <w:rPr>
      <w:rFonts w:asciiTheme="majorHAnsi" w:eastAsiaTheme="majorEastAsia" w:hAnsiTheme="majorHAnsi" w:cstheme="majorBidi"/>
      <w:color w:val="2B3B5F" w:themeColor="text2"/>
      <w:sz w:val="32"/>
    </w:rPr>
  </w:style>
  <w:style w:type="paragraph" w:styleId="Heading9">
    <w:name w:val="heading 9"/>
    <w:aliases w:val="Attachment Heading 1"/>
    <w:basedOn w:val="Normal"/>
    <w:next w:val="BodyText"/>
    <w:link w:val="Heading9Char"/>
    <w:uiPriority w:val="32"/>
    <w:qFormat/>
    <w:rsid w:val="002D239A"/>
    <w:pPr>
      <w:keepNext/>
      <w:keepLines/>
      <w:numPr>
        <w:ilvl w:val="1"/>
        <w:numId w:val="1"/>
      </w:numPr>
      <w:tabs>
        <w:tab w:val="left" w:pos="1559"/>
        <w:tab w:val="left" w:pos="1843"/>
        <w:tab w:val="left" w:pos="2126"/>
        <w:tab w:val="left" w:pos="2410"/>
      </w:tabs>
      <w:spacing w:before="470" w:after="227"/>
      <w:outlineLvl w:val="8"/>
    </w:pPr>
    <w:rPr>
      <w:rFonts w:asciiTheme="majorHAnsi" w:hAnsiTheme="majorHAnsi"/>
      <w:color w:val="2B3B5F" w:themeColor="text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13"/>
    <w:rsid w:val="007834DC"/>
    <w:pPr>
      <w:tabs>
        <w:tab w:val="left" w:pos="425"/>
      </w:tabs>
      <w:spacing w:before="50" w:line="260" w:lineRule="exact"/>
      <w:ind w:left="425" w:hanging="425"/>
    </w:pPr>
    <w:rPr>
      <w:kern w:val="16"/>
      <w:sz w:val="18"/>
    </w:rPr>
  </w:style>
  <w:style w:type="character" w:customStyle="1" w:styleId="FootnoteTextChar">
    <w:name w:val="Footnote Text Char"/>
    <w:basedOn w:val="DefaultParagraphFont"/>
    <w:link w:val="FootnoteText"/>
    <w:uiPriority w:val="13"/>
    <w:rsid w:val="0089737A"/>
    <w:rPr>
      <w:kern w:val="16"/>
      <w:sz w:val="18"/>
    </w:rPr>
  </w:style>
  <w:style w:type="character" w:styleId="FootnoteReference">
    <w:name w:val="footnote reference"/>
    <w:basedOn w:val="DefaultParagraphFont"/>
    <w:uiPriority w:val="39"/>
    <w:rsid w:val="00961DBB"/>
    <w:rPr>
      <w:rFonts w:asciiTheme="minorHAnsi" w:hAnsiTheme="minorHAnsi"/>
      <w:color w:val="auto"/>
      <w:vertAlign w:val="superscript"/>
    </w:rPr>
  </w:style>
  <w:style w:type="paragraph" w:styleId="BodyText">
    <w:name w:val="Body Text"/>
    <w:basedOn w:val="Normal"/>
    <w:link w:val="BodyTextChar"/>
    <w:uiPriority w:val="5"/>
    <w:qFormat/>
    <w:rsid w:val="007C19C3"/>
    <w:pPr>
      <w:spacing w:before="113" w:after="113"/>
    </w:pPr>
    <w:rPr>
      <w:rFonts w:cs="Times New Roman"/>
      <w:spacing w:val="-1"/>
    </w:rPr>
  </w:style>
  <w:style w:type="character" w:customStyle="1" w:styleId="BodyTextChar">
    <w:name w:val="Body Text Char"/>
    <w:basedOn w:val="DefaultParagraphFont"/>
    <w:link w:val="BodyText"/>
    <w:uiPriority w:val="5"/>
    <w:rsid w:val="00AC41CF"/>
    <w:rPr>
      <w:rFonts w:cs="Times New Roman"/>
      <w:spacing w:val="-1"/>
    </w:rPr>
  </w:style>
  <w:style w:type="paragraph" w:customStyle="1" w:styleId="BodyText17ptAbove">
    <w:name w:val="Body Text 17pt Above"/>
    <w:basedOn w:val="BodyText"/>
    <w:next w:val="BodyText"/>
    <w:uiPriority w:val="6"/>
    <w:qFormat/>
    <w:rsid w:val="00CA4C28"/>
    <w:pPr>
      <w:spacing w:before="340"/>
    </w:pPr>
  </w:style>
  <w:style w:type="character" w:customStyle="1" w:styleId="Heading1Char">
    <w:name w:val="Heading 1 Char"/>
    <w:basedOn w:val="DefaultParagraphFont"/>
    <w:link w:val="Heading1"/>
    <w:uiPriority w:val="1"/>
    <w:rsid w:val="00AC41CF"/>
    <w:rPr>
      <w:rFonts w:asciiTheme="majorHAnsi" w:hAnsiTheme="majorHAnsi"/>
      <w:bCs/>
      <w:color w:val="2B3B5F" w:themeColor="text2"/>
      <w:spacing w:val="-6"/>
      <w:kern w:val="32"/>
      <w:sz w:val="32"/>
      <w:szCs w:val="32"/>
    </w:rPr>
  </w:style>
  <w:style w:type="character" w:customStyle="1" w:styleId="Heading2Char">
    <w:name w:val="Heading 2 Char"/>
    <w:basedOn w:val="DefaultParagraphFont"/>
    <w:link w:val="Heading2"/>
    <w:uiPriority w:val="2"/>
    <w:rsid w:val="00AC41CF"/>
    <w:rPr>
      <w:rFonts w:ascii="Calibri" w:hAnsi="Calibri"/>
      <w:b/>
      <w:bCs/>
      <w:iCs/>
      <w:color w:val="2B3B5F" w:themeColor="text2"/>
      <w:kern w:val="20"/>
      <w:sz w:val="24"/>
      <w:szCs w:val="28"/>
    </w:rPr>
  </w:style>
  <w:style w:type="character" w:customStyle="1" w:styleId="Heading3Char">
    <w:name w:val="Heading 3 Char"/>
    <w:basedOn w:val="DefaultParagraphFont"/>
    <w:link w:val="Heading3"/>
    <w:uiPriority w:val="3"/>
    <w:rsid w:val="00AC41CF"/>
    <w:rPr>
      <w:i/>
      <w:color w:val="2B3B5F" w:themeColor="text2"/>
      <w:sz w:val="24"/>
    </w:rPr>
  </w:style>
  <w:style w:type="character" w:customStyle="1" w:styleId="Heading4Char">
    <w:name w:val="Heading 4 Char"/>
    <w:basedOn w:val="DefaultParagraphFont"/>
    <w:link w:val="Heading4"/>
    <w:uiPriority w:val="4"/>
    <w:rsid w:val="00AC41CF"/>
    <w:rPr>
      <w:rFonts w:eastAsiaTheme="majorEastAsia" w:cstheme="majorBidi"/>
      <w:bCs/>
      <w:i/>
      <w:iCs/>
      <w:color w:val="788184" w:themeColor="background2"/>
      <w:sz w:val="24"/>
    </w:rPr>
  </w:style>
  <w:style w:type="character" w:customStyle="1" w:styleId="Heading5Char">
    <w:name w:val="Heading 5 Char"/>
    <w:basedOn w:val="DefaultParagraphFont"/>
    <w:link w:val="Heading5"/>
    <w:uiPriority w:val="39"/>
    <w:rsid w:val="00AC41CF"/>
    <w:rPr>
      <w:rFonts w:asciiTheme="majorHAnsi" w:eastAsiaTheme="majorEastAsia" w:hAnsiTheme="majorHAnsi" w:cstheme="majorBidi"/>
      <w:i/>
      <w:color w:val="636366"/>
      <w:sz w:val="24"/>
    </w:rPr>
  </w:style>
  <w:style w:type="character" w:customStyle="1" w:styleId="Heading6Char">
    <w:name w:val="Heading 6 Char"/>
    <w:basedOn w:val="DefaultParagraphFont"/>
    <w:link w:val="Heading6"/>
    <w:uiPriority w:val="39"/>
    <w:rsid w:val="00AC41CF"/>
    <w:rPr>
      <w:rFonts w:asciiTheme="majorHAnsi" w:eastAsiaTheme="majorEastAsia" w:hAnsiTheme="majorHAnsi" w:cstheme="majorBidi"/>
      <w:i/>
      <w:iCs/>
      <w:color w:val="2B3B5F" w:themeColor="text2"/>
      <w:sz w:val="24"/>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ttachment Title Char"/>
    <w:basedOn w:val="DefaultParagraphFont"/>
    <w:link w:val="Heading8"/>
    <w:uiPriority w:val="31"/>
    <w:rsid w:val="0089737A"/>
    <w:rPr>
      <w:rFonts w:asciiTheme="majorHAnsi" w:eastAsiaTheme="majorEastAsia" w:hAnsiTheme="majorHAnsi" w:cstheme="majorBidi"/>
      <w:color w:val="2B3B5F" w:themeColor="text2"/>
      <w:sz w:val="32"/>
    </w:rPr>
  </w:style>
  <w:style w:type="character" w:customStyle="1" w:styleId="Heading9Char">
    <w:name w:val="Heading 9 Char"/>
    <w:aliases w:val="Attachment Heading 1 Char"/>
    <w:basedOn w:val="DefaultParagraphFont"/>
    <w:link w:val="Heading9"/>
    <w:uiPriority w:val="32"/>
    <w:rsid w:val="0089737A"/>
    <w:rPr>
      <w:rFonts w:asciiTheme="majorHAnsi" w:hAnsiTheme="majorHAnsi"/>
      <w:color w:val="2B3B5F" w:themeColor="text2"/>
      <w:sz w:val="28"/>
    </w:rPr>
  </w:style>
  <w:style w:type="paragraph" w:customStyle="1" w:styleId="AttachmentHeading2">
    <w:name w:val="Attachment Heading 2"/>
    <w:basedOn w:val="Normal"/>
    <w:next w:val="BodyText"/>
    <w:uiPriority w:val="33"/>
    <w:qFormat/>
    <w:rsid w:val="00CA5598"/>
    <w:pPr>
      <w:keepNext/>
      <w:keepLines/>
      <w:numPr>
        <w:ilvl w:val="2"/>
        <w:numId w:val="1"/>
      </w:numPr>
      <w:tabs>
        <w:tab w:val="left" w:pos="1559"/>
        <w:tab w:val="left" w:pos="1843"/>
        <w:tab w:val="left" w:pos="2126"/>
        <w:tab w:val="left" w:pos="2410"/>
      </w:tabs>
      <w:spacing w:before="470" w:after="227"/>
    </w:pPr>
    <w:rPr>
      <w:rFonts w:asciiTheme="majorHAnsi" w:hAnsiTheme="majorHAnsi"/>
      <w:color w:val="2B3B5F" w:themeColor="text2"/>
      <w:sz w:val="28"/>
    </w:rPr>
  </w:style>
  <w:style w:type="paragraph" w:customStyle="1" w:styleId="AttachmentHeading3">
    <w:name w:val="Attachment Heading 3"/>
    <w:basedOn w:val="Normal"/>
    <w:next w:val="BodyText"/>
    <w:uiPriority w:val="34"/>
    <w:qFormat/>
    <w:rsid w:val="00CA5598"/>
    <w:pPr>
      <w:keepNext/>
      <w:keepLines/>
      <w:numPr>
        <w:ilvl w:val="3"/>
        <w:numId w:val="1"/>
      </w:numPr>
      <w:tabs>
        <w:tab w:val="left" w:pos="1559"/>
        <w:tab w:val="left" w:pos="1843"/>
        <w:tab w:val="left" w:pos="2126"/>
        <w:tab w:val="left" w:pos="2410"/>
        <w:tab w:val="left" w:pos="6804"/>
      </w:tabs>
      <w:spacing w:before="227" w:after="113"/>
    </w:pPr>
    <w:rPr>
      <w:b/>
      <w:color w:val="2B3B5F" w:themeColor="text2"/>
    </w:rPr>
  </w:style>
  <w:style w:type="character" w:customStyle="1" w:styleId="Bold">
    <w:name w:val="Bold"/>
    <w:uiPriority w:val="39"/>
    <w:rsid w:val="00961DBB"/>
    <w:rPr>
      <w:b/>
    </w:rPr>
  </w:style>
  <w:style w:type="character" w:customStyle="1" w:styleId="BoldAndItalics">
    <w:name w:val="Bold And Italics"/>
    <w:uiPriority w:val="39"/>
    <w:rsid w:val="00961DBB"/>
    <w:rPr>
      <w:b/>
      <w:i/>
    </w:rPr>
  </w:style>
  <w:style w:type="paragraph" w:styleId="Caption">
    <w:name w:val="caption"/>
    <w:basedOn w:val="Normal"/>
    <w:next w:val="BodyText"/>
    <w:uiPriority w:val="13"/>
    <w:qFormat/>
    <w:rsid w:val="00961DBB"/>
    <w:pPr>
      <w:keepNext/>
      <w:spacing w:before="340" w:after="114"/>
    </w:pPr>
    <w:rPr>
      <w:b/>
      <w:bCs/>
      <w:color w:val="2B3B5F" w:themeColor="text2"/>
      <w:spacing w:val="-4"/>
    </w:rPr>
  </w:style>
  <w:style w:type="paragraph" w:styleId="Footer">
    <w:name w:val="footer"/>
    <w:basedOn w:val="Normal"/>
    <w:link w:val="FooterChar"/>
    <w:uiPriority w:val="39"/>
    <w:rsid w:val="0046444F"/>
    <w:pPr>
      <w:spacing w:line="240" w:lineRule="auto"/>
    </w:pPr>
    <w:rPr>
      <w:b/>
    </w:rPr>
  </w:style>
  <w:style w:type="character" w:customStyle="1" w:styleId="FooterChar">
    <w:name w:val="Footer Char"/>
    <w:basedOn w:val="DefaultParagraphFont"/>
    <w:link w:val="Footer"/>
    <w:uiPriority w:val="39"/>
    <w:rsid w:val="00AC41CF"/>
    <w:rPr>
      <w:b/>
    </w:rPr>
  </w:style>
  <w:style w:type="paragraph" w:customStyle="1" w:styleId="FooterLeft">
    <w:name w:val="Footer Left"/>
    <w:basedOn w:val="Footer"/>
    <w:uiPriority w:val="39"/>
    <w:rsid w:val="00961DBB"/>
    <w:pPr>
      <w:framePr w:wrap="around" w:vAnchor="page" w:hAnchor="margin" w:yAlign="bottom"/>
      <w:spacing w:before="180" w:after="120"/>
      <w:ind w:left="397"/>
    </w:pPr>
    <w:rPr>
      <w:spacing w:val="-2"/>
    </w:rPr>
  </w:style>
  <w:style w:type="paragraph" w:customStyle="1" w:styleId="FooterRight">
    <w:name w:val="Footer Right"/>
    <w:basedOn w:val="FooterLeft"/>
    <w:next w:val="Footer"/>
    <w:uiPriority w:val="39"/>
    <w:unhideWhenUsed/>
    <w:rsid w:val="00961DBB"/>
    <w:pPr>
      <w:framePr w:wrap="around" w:xAlign="right"/>
      <w:ind w:right="397"/>
      <w:jc w:val="right"/>
    </w:pPr>
  </w:style>
  <w:style w:type="paragraph" w:customStyle="1" w:styleId="FooterRightPageNumber">
    <w:name w:val="Footer Right Page Number"/>
    <w:basedOn w:val="Normal"/>
    <w:uiPriority w:val="39"/>
    <w:rsid w:val="00E915E6"/>
    <w:pPr>
      <w:spacing w:before="180" w:after="120" w:line="240" w:lineRule="auto"/>
      <w:jc w:val="right"/>
    </w:pPr>
    <w:rPr>
      <w:b/>
      <w:noProof/>
      <w:color w:val="788184" w:themeColor="background2"/>
    </w:rPr>
  </w:style>
  <w:style w:type="paragraph" w:customStyle="1" w:styleId="FooterLeftPageNumber">
    <w:name w:val="Footer Left Page Number"/>
    <w:basedOn w:val="Footer"/>
    <w:uiPriority w:val="39"/>
    <w:rsid w:val="00961DBB"/>
    <w:pPr>
      <w:framePr w:wrap="around" w:vAnchor="page" w:hAnchor="margin" w:yAlign="bottom"/>
      <w:spacing w:before="180" w:after="120"/>
      <w:ind w:right="57"/>
    </w:pPr>
  </w:style>
  <w:style w:type="paragraph" w:customStyle="1" w:styleId="FootnoteSeparator">
    <w:name w:val="Footnote Separator"/>
    <w:basedOn w:val="Normal"/>
    <w:uiPriority w:val="39"/>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uiPriority w:val="99"/>
    <w:rsid w:val="0046444F"/>
    <w:pPr>
      <w:spacing w:before="240" w:after="120" w:line="240" w:lineRule="auto"/>
    </w:pPr>
  </w:style>
  <w:style w:type="character" w:customStyle="1" w:styleId="HeaderChar">
    <w:name w:val="Header Char"/>
    <w:basedOn w:val="DefaultParagraphFont"/>
    <w:link w:val="Header"/>
    <w:uiPriority w:val="99"/>
    <w:rsid w:val="0046444F"/>
  </w:style>
  <w:style w:type="paragraph" w:customStyle="1" w:styleId="HighlightText">
    <w:name w:val="Highlight Text"/>
    <w:basedOn w:val="Normal"/>
    <w:uiPriority w:val="39"/>
    <w:rsid w:val="00961DBB"/>
    <w:pPr>
      <w:spacing w:before="120" w:after="420"/>
    </w:pPr>
    <w:rPr>
      <w:i/>
      <w:color w:val="2B3B5F" w:themeColor="text2"/>
      <w:spacing w:val="-1"/>
    </w:rPr>
  </w:style>
  <w:style w:type="paragraph" w:customStyle="1" w:styleId="Introduction">
    <w:name w:val="Introduction"/>
    <w:basedOn w:val="Normal"/>
    <w:next w:val="BodyText"/>
    <w:uiPriority w:val="39"/>
    <w:rsid w:val="00961DBB"/>
    <w:pPr>
      <w:spacing w:after="180" w:line="360" w:lineRule="atLeast"/>
    </w:pPr>
    <w:rPr>
      <w:color w:val="2B3B5F" w:themeColor="text2"/>
      <w:spacing w:val="-2"/>
      <w:sz w:val="30"/>
    </w:rPr>
  </w:style>
  <w:style w:type="character" w:customStyle="1" w:styleId="Italics">
    <w:name w:val="Italics"/>
    <w:uiPriority w:val="39"/>
    <w:rsid w:val="00961DBB"/>
    <w:rPr>
      <w:i/>
    </w:rPr>
  </w:style>
  <w:style w:type="paragraph" w:styleId="ListBullet">
    <w:name w:val="List Bullet"/>
    <w:basedOn w:val="Normal"/>
    <w:uiPriority w:val="7"/>
    <w:qFormat/>
    <w:rsid w:val="00476133"/>
    <w:pPr>
      <w:keepLines/>
      <w:numPr>
        <w:numId w:val="2"/>
      </w:numPr>
      <w:spacing w:after="120"/>
    </w:pPr>
    <w:rPr>
      <w:spacing w:val="-1"/>
    </w:rPr>
  </w:style>
  <w:style w:type="paragraph" w:styleId="ListBullet2">
    <w:name w:val="List Bullet 2"/>
    <w:basedOn w:val="ListBullet"/>
    <w:uiPriority w:val="8"/>
    <w:qFormat/>
    <w:rsid w:val="00476133"/>
    <w:pPr>
      <w:numPr>
        <w:ilvl w:val="1"/>
      </w:numPr>
      <w:ind w:left="908" w:hanging="454"/>
    </w:pPr>
  </w:style>
  <w:style w:type="paragraph" w:styleId="ListBullet3">
    <w:name w:val="List Bullet 3"/>
    <w:basedOn w:val="ListBullet2"/>
    <w:uiPriority w:val="9"/>
    <w:qFormat/>
    <w:rsid w:val="00961DBB"/>
    <w:pPr>
      <w:numPr>
        <w:ilvl w:val="2"/>
      </w:numPr>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uiPriority w:val="10"/>
    <w:qFormat/>
    <w:rsid w:val="00476133"/>
    <w:pPr>
      <w:numPr>
        <w:numId w:val="3"/>
      </w:numPr>
      <w:spacing w:before="120" w:after="120"/>
    </w:pPr>
    <w:rPr>
      <w:spacing w:val="-1"/>
    </w:rPr>
  </w:style>
  <w:style w:type="paragraph" w:styleId="ListNumber2">
    <w:name w:val="List Number 2"/>
    <w:basedOn w:val="Normal"/>
    <w:uiPriority w:val="11"/>
    <w:qFormat/>
    <w:rsid w:val="00476133"/>
    <w:pPr>
      <w:numPr>
        <w:ilvl w:val="1"/>
        <w:numId w:val="3"/>
      </w:numPr>
      <w:spacing w:before="120" w:after="120"/>
      <w:ind w:left="908" w:hanging="454"/>
    </w:pPr>
    <w:rPr>
      <w:spacing w:val="-1"/>
    </w:rPr>
  </w:style>
  <w:style w:type="paragraph" w:styleId="ListNumber3">
    <w:name w:val="List Number 3"/>
    <w:basedOn w:val="Normal"/>
    <w:uiPriority w:val="12"/>
    <w:qFormat/>
    <w:rsid w:val="00476133"/>
    <w:pPr>
      <w:numPr>
        <w:ilvl w:val="2"/>
        <w:numId w:val="3"/>
      </w:numPr>
      <w:spacing w:before="120" w:after="120"/>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uiPriority w:val="39"/>
    <w:rsid w:val="00961DBB"/>
    <w:pPr>
      <w:spacing w:line="240" w:lineRule="auto"/>
    </w:pPr>
    <w:rPr>
      <w:rFonts w:eastAsia="Times New Roman" w:cs="Arial"/>
      <w:lang w:eastAsia="en-AU"/>
    </w:rPr>
  </w:style>
  <w:style w:type="paragraph" w:customStyle="1" w:styleId="OverviewBodyText">
    <w:name w:val="Overview Body Text"/>
    <w:basedOn w:val="Normal"/>
    <w:uiPriority w:val="39"/>
    <w:rsid w:val="00512226"/>
    <w:pPr>
      <w:spacing w:after="113"/>
    </w:pPr>
  </w:style>
  <w:style w:type="paragraph" w:customStyle="1" w:styleId="OverviewHeading2">
    <w:name w:val="Overview Heading 2"/>
    <w:basedOn w:val="Normal"/>
    <w:next w:val="OverviewBodyText"/>
    <w:uiPriority w:val="39"/>
    <w:rsid w:val="00512226"/>
    <w:pPr>
      <w:keepNext/>
      <w:keepLines/>
      <w:spacing w:before="470" w:after="227"/>
    </w:pPr>
    <w:rPr>
      <w:rFonts w:asciiTheme="majorHAnsi" w:hAnsiTheme="majorHAnsi"/>
      <w:color w:val="2B3B5F" w:themeColor="text2"/>
      <w:sz w:val="32"/>
    </w:rPr>
  </w:style>
  <w:style w:type="paragraph" w:customStyle="1" w:styleId="OverviewHeading3">
    <w:name w:val="Overview Heading 3"/>
    <w:basedOn w:val="OverviewHeading2"/>
    <w:next w:val="OverviewBodyText"/>
    <w:uiPriority w:val="39"/>
    <w:rsid w:val="00512226"/>
    <w:rPr>
      <w:sz w:val="28"/>
    </w:rPr>
  </w:style>
  <w:style w:type="character" w:styleId="PageNumber">
    <w:name w:val="page number"/>
    <w:basedOn w:val="DefaultParagraphFont"/>
    <w:semiHidden/>
    <w:rsid w:val="00961DBB"/>
    <w:rPr>
      <w:rFonts w:ascii="Arial" w:hAnsi="Arial"/>
      <w:b/>
      <w:color w:val="auto"/>
      <w:sz w:val="16"/>
    </w:rPr>
  </w:style>
  <w:style w:type="paragraph" w:customStyle="1" w:styleId="PageNumberOdd">
    <w:name w:val="Page Number Odd"/>
    <w:semiHidden/>
    <w:rsid w:val="00961DBB"/>
    <w:pPr>
      <w:ind w:right="57"/>
      <w:jc w:val="right"/>
    </w:pPr>
    <w:rPr>
      <w:rFonts w:eastAsia="Times New Roman" w:cs="Arial"/>
      <w:b/>
      <w:color w:val="2B3B5F" w:themeColor="text2"/>
      <w:sz w:val="14"/>
      <w:szCs w:val="28"/>
      <w:lang w:eastAsia="en-AU"/>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basedOn w:val="DefaultParagraphFont"/>
    <w:uiPriority w:val="39"/>
    <w:rsid w:val="00961DBB"/>
    <w:rPr>
      <w:color w:val="808080"/>
    </w:rPr>
  </w:style>
  <w:style w:type="paragraph" w:customStyle="1" w:styleId="PullOutBoxBodyText">
    <w:name w:val="Pull Out Box Body Text"/>
    <w:basedOn w:val="Normal"/>
    <w:uiPriority w:val="24"/>
    <w:qFormat/>
    <w:rsid w:val="00476133"/>
    <w:pPr>
      <w:spacing w:before="120" w:after="120"/>
      <w:ind w:left="57" w:right="57"/>
    </w:pPr>
    <w:rPr>
      <w:spacing w:val="-1"/>
    </w:rPr>
  </w:style>
  <w:style w:type="paragraph" w:customStyle="1" w:styleId="PullOutBoxBullet">
    <w:name w:val="Pull Out Box Bullet"/>
    <w:basedOn w:val="PullOutBoxBodyText"/>
    <w:uiPriority w:val="25"/>
    <w:qFormat/>
    <w:rsid w:val="00476133"/>
    <w:pPr>
      <w:numPr>
        <w:numId w:val="4"/>
      </w:numPr>
      <w:ind w:left="397"/>
    </w:pPr>
  </w:style>
  <w:style w:type="paragraph" w:customStyle="1" w:styleId="PullOutBoxBullet2">
    <w:name w:val="Pull Out Box Bullet 2"/>
    <w:basedOn w:val="PullOutBoxBodyText"/>
    <w:uiPriority w:val="26"/>
    <w:qFormat/>
    <w:rsid w:val="008112CC"/>
    <w:pPr>
      <w:numPr>
        <w:ilvl w:val="1"/>
        <w:numId w:val="4"/>
      </w:numPr>
      <w:ind w:left="737"/>
    </w:pPr>
  </w:style>
  <w:style w:type="paragraph" w:customStyle="1" w:styleId="PullOutBoxBullet3">
    <w:name w:val="Pull Out Box Bullet 3"/>
    <w:basedOn w:val="PullOutBoxBodyText"/>
    <w:uiPriority w:val="27"/>
    <w:qFormat/>
    <w:rsid w:val="00476133"/>
    <w:pPr>
      <w:numPr>
        <w:ilvl w:val="2"/>
        <w:numId w:val="4"/>
      </w:numPr>
      <w:ind w:left="1077"/>
    </w:pPr>
  </w:style>
  <w:style w:type="paragraph" w:customStyle="1" w:styleId="PullOutBoxHeading">
    <w:name w:val="Pull Out Box Heading"/>
    <w:basedOn w:val="PullOutBoxBodyText"/>
    <w:uiPriority w:val="23"/>
    <w:qFormat/>
    <w:rsid w:val="00476133"/>
    <w:pPr>
      <w:keepNext/>
      <w:keepLines/>
    </w:pPr>
    <w:rPr>
      <w:b/>
    </w:rPr>
  </w:style>
  <w:style w:type="paragraph" w:customStyle="1" w:styleId="PullOutBoxNumber">
    <w:name w:val="Pull Out Box Number"/>
    <w:basedOn w:val="PullOutBoxBodyText"/>
    <w:uiPriority w:val="28"/>
    <w:qFormat/>
    <w:rsid w:val="00476133"/>
    <w:pPr>
      <w:numPr>
        <w:numId w:val="5"/>
      </w:numPr>
      <w:ind w:left="397"/>
    </w:pPr>
  </w:style>
  <w:style w:type="paragraph" w:customStyle="1" w:styleId="PullOutBoxNumber2">
    <w:name w:val="Pull Out Box Number 2"/>
    <w:basedOn w:val="PullOutBoxBodyText"/>
    <w:uiPriority w:val="29"/>
    <w:qFormat/>
    <w:rsid w:val="008112CC"/>
    <w:pPr>
      <w:numPr>
        <w:ilvl w:val="1"/>
        <w:numId w:val="5"/>
      </w:numPr>
      <w:ind w:left="737"/>
    </w:pPr>
  </w:style>
  <w:style w:type="paragraph" w:customStyle="1" w:styleId="PullOutBoxNumber3">
    <w:name w:val="Pull Out Box Number 3"/>
    <w:basedOn w:val="PullOutBoxBodyText"/>
    <w:uiPriority w:val="30"/>
    <w:qFormat/>
    <w:rsid w:val="008112CC"/>
    <w:pPr>
      <w:numPr>
        <w:ilvl w:val="2"/>
        <w:numId w:val="5"/>
      </w:numPr>
      <w:ind w:left="1077"/>
    </w:pPr>
  </w:style>
  <w:style w:type="table" w:customStyle="1" w:styleId="PullOutBoxTable">
    <w:name w:val="Pull Out Box Table"/>
    <w:basedOn w:val="TableNormal"/>
    <w:uiPriority w:val="99"/>
    <w:rsid w:val="00961DBB"/>
    <w:pPr>
      <w:spacing w:line="240" w:lineRule="auto"/>
    </w:pPr>
    <w:rPr>
      <w:rFonts w:eastAsia="Times New Roman" w:cs="Arial"/>
      <w:lang w:eastAsia="en-AU"/>
    </w:rPr>
    <w:tblPr>
      <w:tblBorders>
        <w:top w:val="single" w:sz="4" w:space="0" w:color="D7DDE9" w:themeColor="accent3"/>
        <w:left w:val="single" w:sz="4" w:space="0" w:color="D7DDE9" w:themeColor="accent3"/>
        <w:bottom w:val="single" w:sz="4" w:space="0" w:color="D7DDE9" w:themeColor="accent3"/>
        <w:right w:val="single" w:sz="4" w:space="0" w:color="D7DDE9" w:themeColor="accent3"/>
        <w:insideH w:val="single" w:sz="4" w:space="0" w:color="D7DDE9" w:themeColor="accent3"/>
        <w:insideV w:val="single" w:sz="4" w:space="0" w:color="D7DDE9" w:themeColor="accent3"/>
      </w:tblBorders>
      <w:tblCellMar>
        <w:top w:w="28" w:type="dxa"/>
        <w:left w:w="0" w:type="dxa"/>
        <w:bottom w:w="28" w:type="dxa"/>
        <w:right w:w="0" w:type="dxa"/>
      </w:tblCellMar>
    </w:tblPr>
    <w:tcPr>
      <w:shd w:val="clear" w:color="auto" w:fill="D7DDE9" w:themeFill="accent3"/>
    </w:tcPr>
  </w:style>
  <w:style w:type="paragraph" w:styleId="Quote">
    <w:name w:val="Quote"/>
    <w:basedOn w:val="Normal"/>
    <w:link w:val="QuoteChar"/>
    <w:uiPriority w:val="39"/>
    <w:rsid w:val="00961DBB"/>
    <w:pPr>
      <w:tabs>
        <w:tab w:val="left" w:pos="1134"/>
      </w:tabs>
      <w:spacing w:before="240" w:after="240"/>
      <w:ind w:left="284"/>
    </w:pPr>
    <w:rPr>
      <w:i/>
      <w:iCs/>
    </w:rPr>
  </w:style>
  <w:style w:type="character" w:customStyle="1" w:styleId="QuoteChar">
    <w:name w:val="Quote Char"/>
    <w:basedOn w:val="DefaultParagraphFont"/>
    <w:link w:val="Quote"/>
    <w:uiPriority w:val="39"/>
    <w:rsid w:val="00AC41CF"/>
    <w:rPr>
      <w:i/>
      <w:iCs/>
    </w:rPr>
  </w:style>
  <w:style w:type="paragraph" w:customStyle="1" w:styleId="QuoteBullet">
    <w:name w:val="Quote Bullet"/>
    <w:basedOn w:val="Quote"/>
    <w:uiPriority w:val="39"/>
    <w:rsid w:val="00961DBB"/>
    <w:pPr>
      <w:numPr>
        <w:numId w:val="6"/>
      </w:numPr>
    </w:pPr>
  </w:style>
  <w:style w:type="paragraph" w:customStyle="1" w:styleId="QuoteBullet2">
    <w:name w:val="Quote Bullet 2"/>
    <w:basedOn w:val="Quote"/>
    <w:uiPriority w:val="39"/>
    <w:rsid w:val="00961DBB"/>
    <w:pPr>
      <w:numPr>
        <w:ilvl w:val="1"/>
        <w:numId w:val="6"/>
      </w:numPr>
      <w:tabs>
        <w:tab w:val="clear" w:pos="1134"/>
      </w:tabs>
    </w:pPr>
  </w:style>
  <w:style w:type="paragraph" w:customStyle="1" w:styleId="SectionHeading">
    <w:name w:val="Section Heading"/>
    <w:basedOn w:val="Normal"/>
    <w:next w:val="BodyText"/>
    <w:uiPriority w:val="39"/>
    <w:rsid w:val="00E45766"/>
    <w:pPr>
      <w:keepLines/>
      <w:spacing w:before="4320" w:line="360" w:lineRule="auto"/>
      <w:ind w:left="1701"/>
      <w:jc w:val="right"/>
      <w:outlineLvl w:val="0"/>
    </w:pPr>
    <w:rPr>
      <w:rFonts w:asciiTheme="majorHAnsi" w:hAnsiTheme="majorHAnsi"/>
      <w:noProof/>
      <w:color w:val="2B3B5F" w:themeColor="text2"/>
      <w:sz w:val="50"/>
      <w:szCs w:val="40"/>
    </w:rPr>
  </w:style>
  <w:style w:type="character" w:customStyle="1" w:styleId="SectionSubtitle">
    <w:name w:val="Section Subtitle"/>
    <w:uiPriority w:val="39"/>
    <w:rsid w:val="00E45766"/>
    <w:rPr>
      <w:color w:val="751D71" w:themeColor="accent4"/>
      <w:sz w:val="40"/>
    </w:rPr>
  </w:style>
  <w:style w:type="paragraph" w:styleId="Subtitle">
    <w:name w:val="Subtitle"/>
    <w:basedOn w:val="Normal"/>
    <w:next w:val="Normal"/>
    <w:link w:val="SubtitleChar"/>
    <w:uiPriority w:val="39"/>
    <w:rsid w:val="00961DBB"/>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uiPriority w:val="39"/>
    <w:rsid w:val="00AC41CF"/>
    <w:rPr>
      <w:rFonts w:asciiTheme="majorHAnsi" w:eastAsiaTheme="majorEastAsia" w:hAnsiTheme="majorHAnsi" w:cstheme="majorBidi"/>
      <w:iCs/>
      <w:spacing w:val="15"/>
    </w:rPr>
  </w:style>
  <w:style w:type="character" w:customStyle="1" w:styleId="Superscript">
    <w:name w:val="Superscript"/>
    <w:uiPriority w:val="39"/>
    <w:rsid w:val="00961DBB"/>
    <w:rPr>
      <w:vertAlign w:val="superscript"/>
    </w:rPr>
  </w:style>
  <w:style w:type="table" w:customStyle="1" w:styleId="TableAsPlaceholder">
    <w:name w:val="Table As Placeholder"/>
    <w:basedOn w:val="TableNormal"/>
    <w:uiPriority w:val="99"/>
    <w:qFormat/>
    <w:rsid w:val="00961DBB"/>
    <w:rPr>
      <w:rFonts w:eastAsia="Times New Roman" w:cs="Arial"/>
      <w:lang w:eastAsia="en-AU"/>
    </w:rPr>
    <w:tblPr>
      <w:tblCellMar>
        <w:left w:w="0" w:type="dxa"/>
        <w:right w:w="0" w:type="dxa"/>
      </w:tblCellMar>
    </w:tblPr>
  </w:style>
  <w:style w:type="paragraph" w:customStyle="1" w:styleId="TableFootnotes">
    <w:name w:val="Table Footnotes"/>
    <w:basedOn w:val="Normal"/>
    <w:uiPriority w:val="22"/>
    <w:qFormat/>
    <w:rsid w:val="0056001A"/>
    <w:pPr>
      <w:keepLines/>
      <w:numPr>
        <w:numId w:val="7"/>
      </w:numPr>
      <w:spacing w:after="50" w:line="260" w:lineRule="atLeast"/>
      <w:contextualSpacing/>
    </w:pPr>
    <w:rPr>
      <w:sz w:val="20"/>
    </w:rPr>
  </w:style>
  <w:style w:type="table" w:styleId="TableGrid">
    <w:name w:val="Table Grid"/>
    <w:basedOn w:val="TableNormal"/>
    <w:rsid w:val="00F85D29"/>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2B3B5F"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hemeFill="accent3"/>
      </w:tcPr>
    </w:tblStylePr>
    <w:tblStylePr w:type="nwCell">
      <w:pPr>
        <w:jc w:val="left"/>
      </w:pPr>
      <w:tblPr/>
      <w:tcPr>
        <w:vAlign w:val="top"/>
      </w:tcPr>
    </w:tblStylePr>
  </w:style>
  <w:style w:type="paragraph" w:customStyle="1" w:styleId="TableHeading">
    <w:name w:val="Table Heading"/>
    <w:basedOn w:val="Normal"/>
    <w:uiPriority w:val="14"/>
    <w:qFormat/>
    <w:rsid w:val="00476133"/>
    <w:pPr>
      <w:keepNext/>
      <w:keepLines/>
      <w:spacing w:before="70" w:after="70" w:line="260" w:lineRule="atLeast"/>
      <w:ind w:left="57" w:right="57"/>
    </w:pPr>
    <w:rPr>
      <w:rFonts w:ascii="Calibri" w:hAnsi="Calibri" w:cs="Times New Roman"/>
      <w:b/>
      <w:sz w:val="20"/>
    </w:rPr>
  </w:style>
  <w:style w:type="paragraph" w:customStyle="1" w:styleId="TableHeadingCentred">
    <w:name w:val="Table Heading Centred"/>
    <w:basedOn w:val="TableHeading"/>
    <w:uiPriority w:val="15"/>
    <w:qFormat/>
    <w:rsid w:val="005B0970"/>
    <w:pPr>
      <w:jc w:val="center"/>
    </w:pPr>
  </w:style>
  <w:style w:type="paragraph" w:customStyle="1" w:styleId="TableHeadingRight">
    <w:name w:val="Table Heading Right"/>
    <w:basedOn w:val="TableHeading"/>
    <w:uiPriority w:val="16"/>
    <w:qFormat/>
    <w:rsid w:val="00956D5A"/>
    <w:pPr>
      <w:jc w:val="right"/>
    </w:pPr>
  </w:style>
  <w:style w:type="paragraph" w:customStyle="1" w:styleId="Source">
    <w:name w:val="Source"/>
    <w:basedOn w:val="Normal"/>
    <w:next w:val="BodyText17ptAbove"/>
    <w:uiPriority w:val="39"/>
    <w:rsid w:val="00035ADE"/>
    <w:pPr>
      <w:spacing w:before="180" w:after="114"/>
      <w:contextualSpacing/>
    </w:pPr>
    <w:rPr>
      <w:rFonts w:cs="Times New Roman"/>
      <w:color w:val="788184" w:themeColor="background2"/>
      <w:sz w:val="20"/>
      <w:szCs w:val="14"/>
    </w:rPr>
  </w:style>
  <w:style w:type="paragraph" w:customStyle="1" w:styleId="TableText">
    <w:name w:val="Table Text"/>
    <w:basedOn w:val="Normal"/>
    <w:uiPriority w:val="17"/>
    <w:qFormat/>
    <w:rsid w:val="005B0970"/>
    <w:pPr>
      <w:spacing w:before="70" w:after="70" w:line="260" w:lineRule="atLeast"/>
      <w:ind w:left="57" w:right="57"/>
    </w:pPr>
    <w:rPr>
      <w:rFonts w:ascii="Calibri" w:hAnsi="Calibri" w:cs="Times New Roman"/>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uiPriority w:val="39"/>
    <w:rsid w:val="00961DBB"/>
    <w:pPr>
      <w:numPr>
        <w:numId w:val="8"/>
      </w:numPr>
    </w:pPr>
  </w:style>
  <w:style w:type="paragraph" w:customStyle="1" w:styleId="TableTextBullet2">
    <w:name w:val="Table Text Bullet 2"/>
    <w:basedOn w:val="TableTextBullet"/>
    <w:uiPriority w:val="39"/>
    <w:rsid w:val="00961DBB"/>
    <w:pPr>
      <w:numPr>
        <w:ilvl w:val="1"/>
      </w:numPr>
    </w:pPr>
    <w:rPr>
      <w:bCs/>
    </w:rPr>
  </w:style>
  <w:style w:type="paragraph" w:customStyle="1" w:styleId="TableTextBullet3">
    <w:name w:val="Table Text Bullet 3"/>
    <w:basedOn w:val="TableTextBullet2"/>
    <w:uiPriority w:val="39"/>
    <w:rsid w:val="00961DBB"/>
    <w:pPr>
      <w:numPr>
        <w:ilvl w:val="2"/>
      </w:numPr>
    </w:pPr>
    <w:rPr>
      <w:bCs w:val="0"/>
    </w:rPr>
  </w:style>
  <w:style w:type="paragraph" w:customStyle="1" w:styleId="TableTextNumber">
    <w:name w:val="Table Text Number"/>
    <w:basedOn w:val="TableText"/>
    <w:uiPriority w:val="39"/>
    <w:rsid w:val="00961DBB"/>
    <w:pPr>
      <w:numPr>
        <w:numId w:val="9"/>
      </w:numPr>
    </w:pPr>
  </w:style>
  <w:style w:type="paragraph" w:customStyle="1" w:styleId="TableTextNumber2">
    <w:name w:val="Table Text Number 2"/>
    <w:basedOn w:val="TableTextNumber"/>
    <w:uiPriority w:val="39"/>
    <w:rsid w:val="00961DBB"/>
    <w:pPr>
      <w:numPr>
        <w:ilvl w:val="1"/>
      </w:numPr>
      <w:tabs>
        <w:tab w:val="clear" w:pos="709"/>
        <w:tab w:val="num" w:pos="680"/>
      </w:tabs>
      <w:ind w:left="680"/>
    </w:pPr>
  </w:style>
  <w:style w:type="paragraph" w:customStyle="1" w:styleId="TableTextNumber3">
    <w:name w:val="Table Text Number 3"/>
    <w:basedOn w:val="TableTextNumber2"/>
    <w:uiPriority w:val="39"/>
    <w:rsid w:val="00961DBB"/>
    <w:pPr>
      <w:numPr>
        <w:ilvl w:val="2"/>
      </w:numPr>
    </w:pPr>
  </w:style>
  <w:style w:type="paragraph" w:customStyle="1" w:styleId="TableTextRight">
    <w:name w:val="Table Text Right"/>
    <w:basedOn w:val="TableText"/>
    <w:uiPriority w:val="19"/>
    <w:qForma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uiPriority w:val="39"/>
    <w:rsid w:val="00817406"/>
    <w:pPr>
      <w:spacing w:before="480" w:after="340" w:line="240" w:lineRule="auto"/>
    </w:pPr>
    <w:rPr>
      <w:rFonts w:asciiTheme="majorHAnsi" w:eastAsiaTheme="majorEastAsia" w:hAnsiTheme="majorHAnsi" w:cstheme="majorBidi"/>
      <w:color w:val="2B3B5F" w:themeColor="text2"/>
      <w:spacing w:val="-2"/>
      <w:sz w:val="32"/>
      <w:szCs w:val="50"/>
    </w:rPr>
  </w:style>
  <w:style w:type="character" w:customStyle="1" w:styleId="TitleChar">
    <w:name w:val="Title Char"/>
    <w:basedOn w:val="DefaultParagraphFont"/>
    <w:link w:val="Title"/>
    <w:uiPriority w:val="39"/>
    <w:rsid w:val="00AC41CF"/>
    <w:rPr>
      <w:rFonts w:asciiTheme="majorHAnsi" w:eastAsiaTheme="majorEastAsia" w:hAnsiTheme="majorHAnsi" w:cstheme="majorBidi"/>
      <w:color w:val="2B3B5F" w:themeColor="text2"/>
      <w:spacing w:val="-2"/>
      <w:sz w:val="32"/>
      <w:szCs w:val="50"/>
    </w:rPr>
  </w:style>
  <w:style w:type="paragraph" w:customStyle="1" w:styleId="Title2">
    <w:name w:val="Title 2"/>
    <w:basedOn w:val="Normal"/>
    <w:link w:val="Title2Char"/>
    <w:uiPriority w:val="39"/>
    <w:rsid w:val="00C8728F"/>
    <w:pPr>
      <w:spacing w:after="250"/>
      <w:ind w:left="397"/>
      <w:jc w:val="right"/>
    </w:pPr>
    <w:rPr>
      <w:rFonts w:asciiTheme="majorHAnsi" w:hAnsiTheme="majorHAnsi"/>
      <w:color w:val="FFFFFF"/>
      <w:spacing w:val="-2"/>
      <w:sz w:val="32"/>
    </w:rPr>
  </w:style>
  <w:style w:type="character" w:customStyle="1" w:styleId="Title2Char">
    <w:name w:val="Title 2 Char"/>
    <w:basedOn w:val="DefaultParagraphFont"/>
    <w:link w:val="Title2"/>
    <w:uiPriority w:val="39"/>
    <w:rsid w:val="00AC41CF"/>
    <w:rPr>
      <w:rFonts w:asciiTheme="majorHAnsi" w:hAnsiTheme="majorHAnsi"/>
      <w:color w:val="FFFFFF"/>
      <w:spacing w:val="-2"/>
      <w:sz w:val="32"/>
    </w:rPr>
  </w:style>
  <w:style w:type="paragraph" w:customStyle="1" w:styleId="Title3">
    <w:name w:val="Title 3"/>
    <w:basedOn w:val="Title2"/>
    <w:uiPriority w:val="39"/>
    <w:rsid w:val="00195228"/>
    <w:pPr>
      <w:framePr w:wrap="auto" w:vAnchor="page" w:hAnchor="margin" w:y="5779"/>
    </w:pPr>
    <w:rPr>
      <w:rFonts w:eastAsia="Times New Roman" w:cs="Arial"/>
      <w:i/>
      <w:spacing w:val="8"/>
      <w:lang w:eastAsia="en-AU"/>
    </w:rPr>
  </w:style>
  <w:style w:type="paragraph" w:styleId="TOC1">
    <w:name w:val="toc 1"/>
    <w:basedOn w:val="Normal"/>
    <w:next w:val="Normal"/>
    <w:uiPriority w:val="39"/>
    <w:rsid w:val="001B2C65"/>
    <w:pPr>
      <w:tabs>
        <w:tab w:val="right" w:leader="underscore" w:pos="8164"/>
      </w:tabs>
      <w:spacing w:after="227"/>
      <w:ind w:right="851"/>
    </w:pPr>
    <w:rPr>
      <w:b/>
      <w:noProof/>
      <w:color w:val="2B3B5F" w:themeColor="text2"/>
    </w:rPr>
  </w:style>
  <w:style w:type="paragraph" w:styleId="TOC2">
    <w:name w:val="toc 2"/>
    <w:basedOn w:val="Normal"/>
    <w:next w:val="Normal"/>
    <w:uiPriority w:val="39"/>
    <w:rsid w:val="001B2C65"/>
    <w:pPr>
      <w:tabs>
        <w:tab w:val="right" w:leader="underscore" w:pos="8164"/>
      </w:tabs>
      <w:spacing w:after="227"/>
      <w:ind w:left="454" w:right="851"/>
    </w:pPr>
    <w:rPr>
      <w:noProof/>
      <w:szCs w:val="28"/>
    </w:rPr>
  </w:style>
  <w:style w:type="paragraph" w:styleId="TOC3">
    <w:name w:val="toc 3"/>
    <w:basedOn w:val="Normal"/>
    <w:next w:val="Normal"/>
    <w:uiPriority w:val="39"/>
    <w:rsid w:val="001B2C65"/>
    <w:pPr>
      <w:tabs>
        <w:tab w:val="right" w:leader="underscore" w:pos="8164"/>
      </w:tabs>
      <w:spacing w:after="227"/>
      <w:ind w:left="907" w:right="851"/>
    </w:pPr>
    <w:rPr>
      <w:rFonts w:eastAsiaTheme="minorEastAsia"/>
      <w:noProof/>
    </w:rPr>
  </w:style>
  <w:style w:type="paragraph" w:styleId="TOC4">
    <w:name w:val="toc 4"/>
    <w:basedOn w:val="Normal"/>
    <w:uiPriority w:val="39"/>
    <w:rsid w:val="006C5E72"/>
    <w:pPr>
      <w:tabs>
        <w:tab w:val="right" w:leader="underscore" w:pos="8165"/>
      </w:tabs>
      <w:spacing w:after="80"/>
      <w:ind w:right="851"/>
    </w:pPr>
    <w:rPr>
      <w:noProof/>
    </w:rPr>
  </w:style>
  <w:style w:type="paragraph" w:styleId="TOC5">
    <w:name w:val="toc 5"/>
    <w:basedOn w:val="Normal"/>
    <w:next w:val="Normal"/>
    <w:autoRedefine/>
    <w:uiPriority w:val="39"/>
    <w:rsid w:val="0096618E"/>
    <w:pPr>
      <w:tabs>
        <w:tab w:val="right" w:leader="underscore" w:pos="8165"/>
      </w:tabs>
      <w:spacing w:after="227"/>
      <w:ind w:right="851"/>
    </w:pPr>
    <w:rPr>
      <w:b/>
      <w:color w:val="2B3B5F" w:themeColor="text2"/>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uiPriority w:val="39"/>
    <w:rsid w:val="00961DBB"/>
    <w:pPr>
      <w:tabs>
        <w:tab w:val="right" w:leader="dot" w:pos="9582"/>
      </w:tabs>
      <w:spacing w:after="227"/>
      <w:ind w:right="907"/>
    </w:pPr>
    <w:rPr>
      <w:color w:val="2B3B5F" w:themeColor="text2"/>
    </w:rPr>
  </w:style>
  <w:style w:type="paragraph" w:styleId="TOCHeading">
    <w:name w:val="TOC Heading"/>
    <w:basedOn w:val="Normal"/>
    <w:uiPriority w:val="39"/>
    <w:rsid w:val="00733970"/>
    <w:pPr>
      <w:tabs>
        <w:tab w:val="left" w:pos="1134"/>
        <w:tab w:val="left" w:pos="2268"/>
        <w:tab w:val="left" w:pos="3402"/>
        <w:tab w:val="left" w:pos="4536"/>
        <w:tab w:val="left" w:pos="5103"/>
      </w:tabs>
      <w:spacing w:before="480" w:after="340" w:line="240" w:lineRule="auto"/>
    </w:pPr>
    <w:rPr>
      <w:rFonts w:asciiTheme="majorHAnsi" w:hAnsiTheme="majorHAnsi"/>
      <w:color w:val="2B3B5F" w:themeColor="text2"/>
      <w:sz w:val="40"/>
      <w:szCs w:val="40"/>
    </w:rPr>
  </w:style>
  <w:style w:type="paragraph" w:customStyle="1" w:styleId="TOFHeading">
    <w:name w:val="TOF Heading"/>
    <w:basedOn w:val="Normal"/>
    <w:uiPriority w:val="39"/>
    <w:rsid w:val="00961DBB"/>
    <w:pPr>
      <w:keepNext/>
      <w:tabs>
        <w:tab w:val="left" w:pos="2268"/>
      </w:tabs>
      <w:spacing w:before="300" w:after="120"/>
    </w:pPr>
    <w:rPr>
      <w:color w:val="2B3B5F" w:themeColor="text2"/>
      <w:sz w:val="28"/>
      <w:szCs w:val="32"/>
    </w:rPr>
  </w:style>
  <w:style w:type="paragraph" w:customStyle="1" w:styleId="xDisclaimerHeading">
    <w:name w:val="xDisclaimer Heading"/>
    <w:basedOn w:val="Normal"/>
    <w:link w:val="xDisclaimerHeadingChar"/>
    <w:uiPriority w:val="39"/>
    <w:rsid w:val="00961DBB"/>
    <w:pPr>
      <w:framePr w:hSpace="181" w:wrap="around" w:hAnchor="margin" w:y="4310"/>
      <w:spacing w:before="170" w:after="57" w:line="280" w:lineRule="atLeast"/>
      <w:suppressOverlap/>
    </w:pPr>
    <w:rPr>
      <w:b/>
    </w:rPr>
  </w:style>
  <w:style w:type="character" w:customStyle="1" w:styleId="xDisclaimerHeadingChar">
    <w:name w:val="xDisclaimer Heading Char"/>
    <w:basedOn w:val="DefaultParagraphFont"/>
    <w:link w:val="xDisclaimerHeading"/>
    <w:uiPriority w:val="39"/>
    <w:rsid w:val="00AC41CF"/>
    <w:rPr>
      <w:b/>
    </w:rPr>
  </w:style>
  <w:style w:type="paragraph" w:customStyle="1" w:styleId="xDisclaimerText">
    <w:name w:val="xDisclaimer Text"/>
    <w:basedOn w:val="Normal"/>
    <w:uiPriority w:val="39"/>
    <w:rsid w:val="00961DBB"/>
    <w:pPr>
      <w:spacing w:after="57" w:line="302" w:lineRule="atLeast"/>
    </w:pPr>
    <w:rPr>
      <w:rFonts w:cs="Times New Roman"/>
    </w:rPr>
  </w:style>
  <w:style w:type="paragraph" w:customStyle="1" w:styleId="xDisclaimerText2">
    <w:name w:val="xDisclaimer Text 2"/>
    <w:basedOn w:val="xDisclaimerHeading"/>
    <w:uiPriority w:val="39"/>
    <w:rsid w:val="00961DBB"/>
    <w:pPr>
      <w:framePr w:wrap="around"/>
      <w:spacing w:before="0" w:after="170" w:line="302" w:lineRule="atLeast"/>
    </w:pPr>
    <w:rPr>
      <w:b w:val="0"/>
    </w:rPr>
  </w:style>
  <w:style w:type="paragraph" w:customStyle="1" w:styleId="xDisclaimertext3">
    <w:name w:val="xDisclaimer text 3"/>
    <w:basedOn w:val="xDisclaimerText"/>
    <w:uiPriority w:val="39"/>
    <w:rsid w:val="00961DBB"/>
    <w:pPr>
      <w:spacing w:before="170" w:after="170"/>
    </w:pPr>
  </w:style>
  <w:style w:type="paragraph" w:customStyle="1" w:styleId="xInlineShape">
    <w:name w:val="xInlineShape"/>
    <w:basedOn w:val="Normal"/>
    <w:next w:val="BodyText"/>
    <w:uiPriority w:val="39"/>
    <w:rsid w:val="009A3E58"/>
    <w:pPr>
      <w:keepNext/>
      <w:spacing w:before="300" w:after="120" w:line="240" w:lineRule="auto"/>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1400" w:lineRule="exact"/>
      <w:jc w:val="center"/>
    </w:pPr>
    <w:rPr>
      <w:caps/>
      <w:color w:val="EAEAEA"/>
      <w:spacing w:val="40"/>
      <w:sz w:val="140"/>
    </w:rPr>
  </w:style>
  <w:style w:type="paragraph" w:customStyle="1" w:styleId="xDisclaimerHeadingwithxDisclaimerText">
    <w:name w:val="xDisclaimer Heading (with xDisclaimer Text)"/>
    <w:basedOn w:val="xDisclaimerHeading"/>
    <w:link w:val="xDisclaimerHeadingwithxDisclaimerTextChar"/>
    <w:uiPriority w:val="39"/>
    <w:rsid w:val="00961DBB"/>
    <w:pPr>
      <w:framePr w:wrap="around"/>
    </w:pPr>
  </w:style>
  <w:style w:type="character" w:customStyle="1" w:styleId="xDisclaimerHeadingwithxDisclaimerTextChar">
    <w:name w:val="xDisclaimer Heading (with xDisclaimer Text) Char"/>
    <w:basedOn w:val="xDisclaimerHeadingChar"/>
    <w:link w:val="xDisclaimerHeadingwithxDisclaimerText"/>
    <w:uiPriority w:val="39"/>
    <w:rsid w:val="00AC41CF"/>
    <w:rPr>
      <w:b/>
    </w:rPr>
  </w:style>
  <w:style w:type="character" w:styleId="Hyperlink">
    <w:name w:val="Hyperlink"/>
    <w:basedOn w:val="DefaultParagraphFont"/>
    <w:uiPriority w:val="99"/>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CaptionBefore12pt">
    <w:name w:val="Caption + Before: 12pt"/>
    <w:basedOn w:val="Caption"/>
    <w:uiPriority w:val="39"/>
    <w:rsid w:val="00FD6119"/>
    <w:pPr>
      <w:spacing w:before="240"/>
    </w:pPr>
  </w:style>
  <w:style w:type="paragraph" w:customStyle="1" w:styleId="xBackPageWebAddress">
    <w:name w:val="xBack Page Web Address"/>
    <w:basedOn w:val="Normal"/>
    <w:uiPriority w:val="39"/>
    <w:rsid w:val="00F31392"/>
    <w:pPr>
      <w:spacing w:before="140" w:line="240" w:lineRule="atLeast"/>
    </w:pPr>
    <w:rPr>
      <w:rFonts w:asciiTheme="majorHAnsi" w:hAnsiTheme="majorHAnsi"/>
      <w:color w:val="FFFFFF"/>
      <w:spacing w:val="-6"/>
      <w:sz w:val="40"/>
      <w:szCs w:val="36"/>
    </w:rPr>
  </w:style>
  <w:style w:type="paragraph" w:customStyle="1" w:styleId="Heading1NoNumbering">
    <w:name w:val="Heading 1 No Numbering"/>
    <w:basedOn w:val="Heading1"/>
    <w:uiPriority w:val="39"/>
    <w:rsid w:val="00A12C39"/>
    <w:pPr>
      <w:numPr>
        <w:numId w:val="0"/>
      </w:numPr>
    </w:pPr>
  </w:style>
  <w:style w:type="paragraph" w:styleId="TableofFigures">
    <w:name w:val="table of figures"/>
    <w:basedOn w:val="Normal"/>
    <w:next w:val="Normal"/>
    <w:uiPriority w:val="39"/>
    <w:rsid w:val="00D64CE2"/>
    <w:pPr>
      <w:tabs>
        <w:tab w:val="right" w:leader="underscore" w:pos="8165"/>
      </w:tabs>
      <w:spacing w:after="80"/>
      <w:ind w:right="851"/>
    </w:pPr>
  </w:style>
  <w:style w:type="paragraph" w:customStyle="1" w:styleId="SectionHeadingNoTOC">
    <w:name w:val="Section Heading No TOC"/>
    <w:basedOn w:val="SectionHeading"/>
    <w:uiPriority w:val="39"/>
    <w:rsid w:val="00E45766"/>
  </w:style>
  <w:style w:type="paragraph" w:customStyle="1" w:styleId="TableTextCentred">
    <w:name w:val="Table Text Centred"/>
    <w:basedOn w:val="TableText"/>
    <w:uiPriority w:val="18"/>
    <w:qFormat/>
    <w:rsid w:val="00AE1CC1"/>
    <w:pPr>
      <w:jc w:val="center"/>
    </w:pPr>
    <w:rPr>
      <w:rFonts w:eastAsia="Times New Roman"/>
      <w:lang w:eastAsia="en-AU"/>
    </w:rPr>
  </w:style>
  <w:style w:type="paragraph" w:customStyle="1" w:styleId="FooterRightPageNumberLS">
    <w:name w:val="Footer Right Page Number LS"/>
    <w:basedOn w:val="Normal"/>
    <w:uiPriority w:val="39"/>
    <w:rsid w:val="004E0E49"/>
    <w:pPr>
      <w:framePr w:wrap="auto" w:hAnchor="text" w:x="1"/>
      <w:spacing w:before="180" w:after="120" w:line="240" w:lineRule="auto"/>
      <w:ind w:right="283"/>
      <w:jc w:val="right"/>
    </w:pPr>
    <w:rPr>
      <w:rFonts w:eastAsia="Times New Roman" w:cs="Arial"/>
      <w:b/>
      <w:noProof/>
      <w:color w:val="788184" w:themeColor="background2"/>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paragraph" w:customStyle="1" w:styleId="PBOheader">
    <w:name w:val="PBO header"/>
    <w:basedOn w:val="Header"/>
    <w:uiPriority w:val="39"/>
    <w:rsid w:val="0046444F"/>
    <w:pPr>
      <w:spacing w:before="1320" w:after="114"/>
      <w:ind w:left="6521"/>
    </w:pPr>
    <w:rPr>
      <w:rFonts w:ascii="Arial" w:hAnsi="Arial" w:cs="Arial"/>
      <w:b/>
      <w:sz w:val="18"/>
      <w:szCs w:val="18"/>
    </w:rPr>
  </w:style>
  <w:style w:type="paragraph" w:customStyle="1" w:styleId="Letterfooter">
    <w:name w:val="Letter footer"/>
    <w:basedOn w:val="Footer"/>
    <w:uiPriority w:val="39"/>
    <w:rsid w:val="0046444F"/>
    <w:pPr>
      <w:tabs>
        <w:tab w:val="center" w:pos="4513"/>
        <w:tab w:val="right" w:pos="9026"/>
      </w:tabs>
      <w:spacing w:after="113"/>
      <w:ind w:right="-618" w:hanging="709"/>
      <w:jc w:val="center"/>
    </w:pPr>
    <w:rPr>
      <w:rFonts w:ascii="Arial" w:hAnsi="Arial" w:cs="Arial"/>
      <w:b w:val="0"/>
      <w:sz w:val="17"/>
      <w:szCs w:val="17"/>
    </w:rPr>
  </w:style>
  <w:style w:type="table" w:styleId="LightGrid-Accent6">
    <w:name w:val="Light Grid Accent 6"/>
    <w:basedOn w:val="TableNormal"/>
    <w:uiPriority w:val="62"/>
    <w:rsid w:val="00441A6D"/>
    <w:pPr>
      <w:spacing w:line="240" w:lineRule="auto"/>
    </w:pPr>
    <w:tblPr>
      <w:tblStyleRowBandSize w:val="1"/>
      <w:tblStyleColBandSize w:val="1"/>
      <w:tblBorders>
        <w:top w:val="single" w:sz="8" w:space="0" w:color="788184" w:themeColor="accent6"/>
        <w:left w:val="single" w:sz="8" w:space="0" w:color="788184" w:themeColor="accent6"/>
        <w:bottom w:val="single" w:sz="8" w:space="0" w:color="788184" w:themeColor="accent6"/>
        <w:right w:val="single" w:sz="8" w:space="0" w:color="788184" w:themeColor="accent6"/>
        <w:insideH w:val="single" w:sz="8" w:space="0" w:color="788184" w:themeColor="accent6"/>
        <w:insideV w:val="single" w:sz="8" w:space="0" w:color="78818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88184" w:themeColor="accent6"/>
          <w:left w:val="single" w:sz="8" w:space="0" w:color="788184" w:themeColor="accent6"/>
          <w:bottom w:val="single" w:sz="18" w:space="0" w:color="788184" w:themeColor="accent6"/>
          <w:right w:val="single" w:sz="8" w:space="0" w:color="788184" w:themeColor="accent6"/>
          <w:insideH w:val="nil"/>
          <w:insideV w:val="single" w:sz="8" w:space="0" w:color="78818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88184" w:themeColor="accent6"/>
          <w:left w:val="single" w:sz="8" w:space="0" w:color="788184" w:themeColor="accent6"/>
          <w:bottom w:val="single" w:sz="8" w:space="0" w:color="788184" w:themeColor="accent6"/>
          <w:right w:val="single" w:sz="8" w:space="0" w:color="788184" w:themeColor="accent6"/>
          <w:insideH w:val="nil"/>
          <w:insideV w:val="single" w:sz="8" w:space="0" w:color="788184" w:themeColor="accent6"/>
        </w:tcBorders>
      </w:tcPr>
    </w:tblStylePr>
    <w:tblStylePr w:type="firstCol">
      <w:rPr>
        <w:rFonts w:asciiTheme="majorHAnsi" w:eastAsiaTheme="majorEastAsia" w:hAnsiTheme="majorHAnsi" w:cstheme="majorBidi"/>
        <w:b w:val="0"/>
        <w:bCs/>
      </w:rPr>
    </w:tblStylePr>
    <w:tblStylePr w:type="lastCol">
      <w:rPr>
        <w:rFonts w:asciiTheme="majorHAnsi" w:eastAsiaTheme="majorEastAsia" w:hAnsiTheme="majorHAnsi" w:cstheme="majorBidi"/>
        <w:b/>
        <w:bCs/>
      </w:rPr>
      <w:tblPr/>
      <w:tcPr>
        <w:tcBorders>
          <w:top w:val="single" w:sz="8" w:space="0" w:color="788184" w:themeColor="accent6"/>
          <w:left w:val="single" w:sz="8" w:space="0" w:color="788184" w:themeColor="accent6"/>
          <w:bottom w:val="single" w:sz="8" w:space="0" w:color="788184" w:themeColor="accent6"/>
          <w:right w:val="single" w:sz="8" w:space="0" w:color="788184" w:themeColor="accent6"/>
        </w:tcBorders>
      </w:tcPr>
    </w:tblStylePr>
    <w:tblStylePr w:type="band1Vert">
      <w:tblPr/>
      <w:tcPr>
        <w:tcBorders>
          <w:top w:val="single" w:sz="8" w:space="0" w:color="788184" w:themeColor="accent6"/>
          <w:left w:val="single" w:sz="8" w:space="0" w:color="788184" w:themeColor="accent6"/>
          <w:bottom w:val="single" w:sz="8" w:space="0" w:color="788184" w:themeColor="accent6"/>
          <w:right w:val="single" w:sz="8" w:space="0" w:color="788184" w:themeColor="accent6"/>
        </w:tcBorders>
        <w:shd w:val="clear" w:color="auto" w:fill="DDDFE0" w:themeFill="accent6" w:themeFillTint="3F"/>
      </w:tcPr>
    </w:tblStylePr>
    <w:tblStylePr w:type="band1Horz">
      <w:tblPr/>
      <w:tcPr>
        <w:tcBorders>
          <w:top w:val="single" w:sz="8" w:space="0" w:color="788184" w:themeColor="accent6"/>
          <w:left w:val="single" w:sz="8" w:space="0" w:color="788184" w:themeColor="accent6"/>
          <w:bottom w:val="single" w:sz="8" w:space="0" w:color="788184" w:themeColor="accent6"/>
          <w:right w:val="single" w:sz="8" w:space="0" w:color="788184" w:themeColor="accent6"/>
          <w:insideV w:val="single" w:sz="8" w:space="0" w:color="788184" w:themeColor="accent6"/>
        </w:tcBorders>
        <w:shd w:val="clear" w:color="auto" w:fill="DDDFE0" w:themeFill="accent6" w:themeFillTint="3F"/>
      </w:tcPr>
    </w:tblStylePr>
    <w:tblStylePr w:type="band2Horz">
      <w:tblPr/>
      <w:tcPr>
        <w:tcBorders>
          <w:top w:val="single" w:sz="8" w:space="0" w:color="788184" w:themeColor="accent6"/>
          <w:left w:val="single" w:sz="8" w:space="0" w:color="788184" w:themeColor="accent6"/>
          <w:bottom w:val="single" w:sz="8" w:space="0" w:color="788184" w:themeColor="accent6"/>
          <w:right w:val="single" w:sz="8" w:space="0" w:color="788184" w:themeColor="accent6"/>
          <w:insideV w:val="single" w:sz="8" w:space="0" w:color="788184" w:themeColor="accent6"/>
        </w:tcBorders>
      </w:tcPr>
    </w:tblStylePr>
  </w:style>
  <w:style w:type="table" w:styleId="LightGrid-Accent3">
    <w:name w:val="Light Grid Accent 3"/>
    <w:basedOn w:val="TableNormal"/>
    <w:uiPriority w:val="62"/>
    <w:rsid w:val="008112CC"/>
    <w:pPr>
      <w:spacing w:line="240" w:lineRule="auto"/>
    </w:pPr>
    <w:tblPr>
      <w:tblStyleRowBandSize w:val="1"/>
      <w:tblStyleColBandSize w:val="1"/>
      <w:tblBorders>
        <w:top w:val="single" w:sz="8" w:space="0" w:color="D7DDE9" w:themeColor="accent3"/>
        <w:left w:val="single" w:sz="8" w:space="0" w:color="D7DDE9" w:themeColor="accent3"/>
        <w:bottom w:val="single" w:sz="8" w:space="0" w:color="D7DDE9" w:themeColor="accent3"/>
        <w:right w:val="single" w:sz="8" w:space="0" w:color="D7DDE9" w:themeColor="accent3"/>
        <w:insideH w:val="single" w:sz="8" w:space="0" w:color="D7DDE9" w:themeColor="accent3"/>
        <w:insideV w:val="single" w:sz="8" w:space="0" w:color="D7DDE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7DDE9" w:themeColor="accent3"/>
          <w:left w:val="single" w:sz="8" w:space="0" w:color="D7DDE9" w:themeColor="accent3"/>
          <w:bottom w:val="single" w:sz="18" w:space="0" w:color="D7DDE9" w:themeColor="accent3"/>
          <w:right w:val="single" w:sz="8" w:space="0" w:color="D7DDE9" w:themeColor="accent3"/>
          <w:insideH w:val="nil"/>
          <w:insideV w:val="single" w:sz="8" w:space="0" w:color="D7DDE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DDE9" w:themeColor="accent3"/>
          <w:left w:val="single" w:sz="8" w:space="0" w:color="D7DDE9" w:themeColor="accent3"/>
          <w:bottom w:val="single" w:sz="8" w:space="0" w:color="D7DDE9" w:themeColor="accent3"/>
          <w:right w:val="single" w:sz="8" w:space="0" w:color="D7DDE9" w:themeColor="accent3"/>
          <w:insideH w:val="nil"/>
          <w:insideV w:val="single" w:sz="8" w:space="0" w:color="D7DDE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DDE9" w:themeColor="accent3"/>
          <w:left w:val="single" w:sz="8" w:space="0" w:color="D7DDE9" w:themeColor="accent3"/>
          <w:bottom w:val="single" w:sz="8" w:space="0" w:color="D7DDE9" w:themeColor="accent3"/>
          <w:right w:val="single" w:sz="8" w:space="0" w:color="D7DDE9" w:themeColor="accent3"/>
        </w:tcBorders>
      </w:tcPr>
    </w:tblStylePr>
    <w:tblStylePr w:type="band1Vert">
      <w:tblPr/>
      <w:tcPr>
        <w:tcBorders>
          <w:top w:val="single" w:sz="8" w:space="0" w:color="D7DDE9" w:themeColor="accent3"/>
          <w:left w:val="single" w:sz="8" w:space="0" w:color="D7DDE9" w:themeColor="accent3"/>
          <w:bottom w:val="single" w:sz="8" w:space="0" w:color="D7DDE9" w:themeColor="accent3"/>
          <w:right w:val="single" w:sz="8" w:space="0" w:color="D7DDE9" w:themeColor="accent3"/>
        </w:tcBorders>
        <w:shd w:val="clear" w:color="auto" w:fill="F5F6F9" w:themeFill="accent3" w:themeFillTint="3F"/>
      </w:tcPr>
    </w:tblStylePr>
    <w:tblStylePr w:type="band1Horz">
      <w:tblPr/>
      <w:tcPr>
        <w:tcBorders>
          <w:top w:val="single" w:sz="8" w:space="0" w:color="D7DDE9" w:themeColor="accent3"/>
          <w:left w:val="single" w:sz="8" w:space="0" w:color="D7DDE9" w:themeColor="accent3"/>
          <w:bottom w:val="single" w:sz="8" w:space="0" w:color="D7DDE9" w:themeColor="accent3"/>
          <w:right w:val="single" w:sz="8" w:space="0" w:color="D7DDE9" w:themeColor="accent3"/>
          <w:insideV w:val="single" w:sz="8" w:space="0" w:color="D7DDE9" w:themeColor="accent3"/>
        </w:tcBorders>
        <w:shd w:val="clear" w:color="auto" w:fill="F5F6F9" w:themeFill="accent3" w:themeFillTint="3F"/>
      </w:tcPr>
    </w:tblStylePr>
    <w:tblStylePr w:type="band2Horz">
      <w:tblPr/>
      <w:tcPr>
        <w:tcBorders>
          <w:top w:val="single" w:sz="8" w:space="0" w:color="D7DDE9" w:themeColor="accent3"/>
          <w:left w:val="single" w:sz="8" w:space="0" w:color="D7DDE9" w:themeColor="accent3"/>
          <w:bottom w:val="single" w:sz="8" w:space="0" w:color="D7DDE9" w:themeColor="accent3"/>
          <w:right w:val="single" w:sz="8" w:space="0" w:color="D7DDE9" w:themeColor="accent3"/>
          <w:insideV w:val="single" w:sz="8" w:space="0" w:color="D7DDE9" w:themeColor="accent3"/>
        </w:tcBorders>
      </w:tcPr>
    </w:tblStylePr>
  </w:style>
  <w:style w:type="paragraph" w:customStyle="1" w:styleId="Lettertext">
    <w:name w:val="Letter text"/>
    <w:basedOn w:val="BodyText"/>
    <w:qFormat/>
    <w:rsid w:val="00B96341"/>
    <w:pPr>
      <w:spacing w:before="240" w:after="0"/>
    </w:pPr>
    <w:rPr>
      <w:rFonts w:ascii="Calibri" w:hAnsi="Calibri"/>
      <w:spacing w:val="0"/>
    </w:rPr>
  </w:style>
  <w:style w:type="paragraph" w:customStyle="1" w:styleId="TableTextRightItalic">
    <w:name w:val="Table Text Right Italic"/>
    <w:basedOn w:val="TableTextRight"/>
    <w:uiPriority w:val="21"/>
    <w:qFormat/>
    <w:rsid w:val="00120A75"/>
    <w:rPr>
      <w:i/>
    </w:rPr>
  </w:style>
  <w:style w:type="character" w:styleId="FollowedHyperlink">
    <w:name w:val="FollowedHyperlink"/>
    <w:basedOn w:val="DefaultParagraphFont"/>
    <w:semiHidden/>
    <w:unhideWhenUsed/>
    <w:rsid w:val="003B47BC"/>
    <w:rPr>
      <w:color w:val="000000" w:themeColor="followedHyperlink"/>
      <w:u w:val="single"/>
    </w:rPr>
  </w:style>
  <w:style w:type="paragraph" w:customStyle="1" w:styleId="TableTextRightBold">
    <w:name w:val="Table Text Right Bold"/>
    <w:basedOn w:val="TableTextRight"/>
    <w:uiPriority w:val="20"/>
    <w:qFormat/>
    <w:rsid w:val="00066D54"/>
    <w:rPr>
      <w:b/>
    </w:rPr>
  </w:style>
  <w:style w:type="paragraph" w:styleId="Bibliography">
    <w:name w:val="Bibliography"/>
    <w:basedOn w:val="Normal"/>
    <w:next w:val="Normal"/>
    <w:uiPriority w:val="39"/>
    <w:unhideWhenUsed/>
    <w:rsid w:val="00DF2134"/>
  </w:style>
  <w:style w:type="paragraph" w:customStyle="1" w:styleId="Heading1spacebefore">
    <w:name w:val="Heading 1 space before"/>
    <w:basedOn w:val="Heading1"/>
    <w:link w:val="Heading1spacebeforeChar"/>
    <w:uiPriority w:val="39"/>
    <w:qFormat/>
    <w:rsid w:val="00482F63"/>
    <w:pPr>
      <w:spacing w:before="720"/>
    </w:pPr>
  </w:style>
  <w:style w:type="character" w:customStyle="1" w:styleId="Heading1spacebeforeChar">
    <w:name w:val="Heading 1 space before Char"/>
    <w:basedOn w:val="Heading1Char"/>
    <w:link w:val="Heading1spacebefore"/>
    <w:uiPriority w:val="39"/>
    <w:rsid w:val="00482F63"/>
    <w:rPr>
      <w:rFonts w:asciiTheme="majorHAnsi" w:hAnsiTheme="majorHAnsi"/>
      <w:bCs/>
      <w:color w:val="2B3B5F" w:themeColor="text2"/>
      <w:spacing w:val="-6"/>
      <w:kern w:val="32"/>
      <w:sz w:val="32"/>
      <w:szCs w:val="32"/>
    </w:rPr>
  </w:style>
  <w:style w:type="character" w:styleId="CommentReference">
    <w:name w:val="annotation reference"/>
    <w:basedOn w:val="DefaultParagraphFont"/>
    <w:semiHidden/>
    <w:unhideWhenUsed/>
    <w:rsid w:val="009758AE"/>
    <w:rPr>
      <w:sz w:val="16"/>
      <w:szCs w:val="16"/>
    </w:rPr>
  </w:style>
  <w:style w:type="paragraph" w:styleId="CommentText">
    <w:name w:val="annotation text"/>
    <w:basedOn w:val="Normal"/>
    <w:link w:val="CommentTextChar"/>
    <w:semiHidden/>
    <w:unhideWhenUsed/>
    <w:rsid w:val="009758AE"/>
    <w:pPr>
      <w:spacing w:line="240" w:lineRule="auto"/>
    </w:pPr>
    <w:rPr>
      <w:sz w:val="20"/>
      <w:szCs w:val="20"/>
    </w:rPr>
  </w:style>
  <w:style w:type="character" w:customStyle="1" w:styleId="CommentTextChar">
    <w:name w:val="Comment Text Char"/>
    <w:basedOn w:val="DefaultParagraphFont"/>
    <w:link w:val="CommentText"/>
    <w:semiHidden/>
    <w:rsid w:val="009758AE"/>
    <w:rPr>
      <w:sz w:val="20"/>
      <w:szCs w:val="20"/>
    </w:rPr>
  </w:style>
  <w:style w:type="paragraph" w:styleId="CommentSubject">
    <w:name w:val="annotation subject"/>
    <w:basedOn w:val="CommentText"/>
    <w:next w:val="CommentText"/>
    <w:link w:val="CommentSubjectChar"/>
    <w:semiHidden/>
    <w:unhideWhenUsed/>
    <w:rsid w:val="009758AE"/>
    <w:rPr>
      <w:b/>
      <w:bCs/>
    </w:rPr>
  </w:style>
  <w:style w:type="character" w:customStyle="1" w:styleId="CommentSubjectChar">
    <w:name w:val="Comment Subject Char"/>
    <w:basedOn w:val="CommentTextChar"/>
    <w:link w:val="CommentSubject"/>
    <w:semiHidden/>
    <w:rsid w:val="009758A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qFormat="1"/>
    <w:lsdException w:name="heading 3" w:qFormat="1"/>
    <w:lsdException w:name="heading 4"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header" w:uiPriority="99"/>
    <w:lsdException w:name="caption" w:qFormat="1"/>
    <w:lsdException w:name="table of figures" w:semiHidden="0" w:uiPriority="99" w:unhideWhenUsed="0"/>
    <w:lsdException w:name="List Bullet" w:uiPriority="7" w:qFormat="1"/>
    <w:lsdException w:name="List Number" w:qFormat="1"/>
    <w:lsdException w:name="List Bullet 2" w:uiPriority="8" w:qFormat="1"/>
    <w:lsdException w:name="List Bullet 3" w:uiPriority="9" w:qFormat="1"/>
    <w:lsdException w:name="List Number 2" w:qFormat="1"/>
    <w:lsdException w:name="List Number 3" w:qFormat="1"/>
    <w:lsdException w:name="Title" w:semiHidden="0" w:unhideWhenUsed="0" w:qFormat="1"/>
    <w:lsdException w:name="Default Paragraph Font" w:uiPriority="1"/>
    <w:lsdException w:name="Body Text" w:uiPriority="5" w:qFormat="1"/>
    <w:lsdException w:name="List Continue" w:qFormat="1"/>
    <w:lsdException w:name="List Continue 2" w:qFormat="1"/>
    <w:lsdException w:name="Subtitle" w:semiHidden="0" w:unhideWhenUsed="0" w:qFormat="1"/>
    <w:lsdException w:name="Hyperlink" w:uiPriority="99"/>
    <w:lsdException w:name="Strong" w:unhideWhenUsed="0" w:qFormat="1"/>
    <w:lsdException w:name="Emphasis"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9" w:unhideWhenUsed="0"/>
    <w:lsdException w:name="Quote" w:semiHidden="0" w:unhideWhenUsed="0"/>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TOC Heading" w:qFormat="1"/>
  </w:latentStyles>
  <w:style w:type="paragraph" w:default="1" w:styleId="Normal">
    <w:name w:val="Normal"/>
    <w:uiPriority w:val="39"/>
    <w:rsid w:val="0089737A"/>
  </w:style>
  <w:style w:type="paragraph" w:styleId="Heading1">
    <w:name w:val="heading 1"/>
    <w:basedOn w:val="Normal"/>
    <w:next w:val="BodyText"/>
    <w:link w:val="Heading1Char"/>
    <w:uiPriority w:val="1"/>
    <w:qFormat/>
    <w:rsid w:val="0046444F"/>
    <w:pPr>
      <w:keepNext/>
      <w:keepLines/>
      <w:numPr>
        <w:numId w:val="10"/>
      </w:numPr>
      <w:tabs>
        <w:tab w:val="right" w:pos="1418"/>
        <w:tab w:val="right" w:pos="1701"/>
        <w:tab w:val="right" w:pos="1985"/>
      </w:tabs>
      <w:spacing w:before="470" w:after="228"/>
      <w:outlineLvl w:val="0"/>
    </w:pPr>
    <w:rPr>
      <w:rFonts w:asciiTheme="majorHAnsi" w:hAnsiTheme="majorHAnsi"/>
      <w:bCs/>
      <w:color w:val="2B3B5F" w:themeColor="text2"/>
      <w:spacing w:val="-6"/>
      <w:kern w:val="32"/>
      <w:sz w:val="32"/>
      <w:szCs w:val="32"/>
    </w:rPr>
  </w:style>
  <w:style w:type="paragraph" w:styleId="Heading2">
    <w:name w:val="heading 2"/>
    <w:basedOn w:val="Normal"/>
    <w:next w:val="BodyText"/>
    <w:link w:val="Heading2Char"/>
    <w:uiPriority w:val="2"/>
    <w:qFormat/>
    <w:rsid w:val="00CA06C8"/>
    <w:pPr>
      <w:keepNext/>
      <w:keepLines/>
      <w:numPr>
        <w:ilvl w:val="1"/>
        <w:numId w:val="10"/>
      </w:numPr>
      <w:tabs>
        <w:tab w:val="left" w:pos="1418"/>
        <w:tab w:val="left" w:pos="1701"/>
        <w:tab w:val="left" w:pos="1985"/>
      </w:tabs>
      <w:spacing w:before="470" w:after="227"/>
      <w:outlineLvl w:val="1"/>
    </w:pPr>
    <w:rPr>
      <w:rFonts w:ascii="Calibri" w:hAnsi="Calibri"/>
      <w:b/>
      <w:bCs/>
      <w:iCs/>
      <w:color w:val="2B3B5F" w:themeColor="text2"/>
      <w:kern w:val="20"/>
      <w:sz w:val="24"/>
      <w:szCs w:val="28"/>
    </w:rPr>
  </w:style>
  <w:style w:type="paragraph" w:styleId="Heading3">
    <w:name w:val="heading 3"/>
    <w:basedOn w:val="Normal"/>
    <w:next w:val="BodyText"/>
    <w:link w:val="Heading3Char"/>
    <w:uiPriority w:val="3"/>
    <w:qFormat/>
    <w:rsid w:val="00CA06C8"/>
    <w:pPr>
      <w:keepNext/>
      <w:keepLines/>
      <w:numPr>
        <w:ilvl w:val="2"/>
        <w:numId w:val="10"/>
      </w:numPr>
      <w:tabs>
        <w:tab w:val="left" w:pos="1418"/>
        <w:tab w:val="left" w:pos="1701"/>
        <w:tab w:val="left" w:pos="1985"/>
      </w:tabs>
      <w:spacing w:before="470" w:after="227"/>
      <w:outlineLvl w:val="2"/>
    </w:pPr>
    <w:rPr>
      <w:i/>
      <w:color w:val="2B3B5F" w:themeColor="text2"/>
      <w:sz w:val="24"/>
    </w:rPr>
  </w:style>
  <w:style w:type="paragraph" w:styleId="Heading4">
    <w:name w:val="heading 4"/>
    <w:basedOn w:val="Normal"/>
    <w:next w:val="BodyText"/>
    <w:link w:val="Heading4Char"/>
    <w:uiPriority w:val="4"/>
    <w:qFormat/>
    <w:rsid w:val="00CA06C8"/>
    <w:pPr>
      <w:keepNext/>
      <w:keepLines/>
      <w:tabs>
        <w:tab w:val="left" w:pos="1418"/>
        <w:tab w:val="left" w:pos="1701"/>
        <w:tab w:val="left" w:pos="1985"/>
      </w:tabs>
      <w:spacing w:before="227" w:after="113"/>
      <w:outlineLvl w:val="3"/>
    </w:pPr>
    <w:rPr>
      <w:rFonts w:eastAsiaTheme="majorEastAsia" w:cstheme="majorBidi"/>
      <w:bCs/>
      <w:i/>
      <w:iCs/>
      <w:color w:val="788184" w:themeColor="background2"/>
      <w:sz w:val="24"/>
    </w:rPr>
  </w:style>
  <w:style w:type="paragraph" w:styleId="Heading5">
    <w:name w:val="heading 5"/>
    <w:basedOn w:val="Normal"/>
    <w:next w:val="BodyText"/>
    <w:link w:val="Heading5Char"/>
    <w:uiPriority w:val="39"/>
    <w:rsid w:val="00B620EE"/>
    <w:pPr>
      <w:keepNext/>
      <w:keepLines/>
      <w:spacing w:before="180" w:after="60"/>
      <w:outlineLvl w:val="4"/>
    </w:pPr>
    <w:rPr>
      <w:rFonts w:asciiTheme="majorHAnsi" w:eastAsiaTheme="majorEastAsia" w:hAnsiTheme="majorHAnsi" w:cstheme="majorBidi"/>
      <w:i/>
      <w:color w:val="636366"/>
      <w:sz w:val="24"/>
    </w:rPr>
  </w:style>
  <w:style w:type="paragraph" w:styleId="Heading6">
    <w:name w:val="heading 6"/>
    <w:basedOn w:val="Normal"/>
    <w:next w:val="BodyText"/>
    <w:link w:val="Heading6Char"/>
    <w:uiPriority w:val="39"/>
    <w:rsid w:val="00B620EE"/>
    <w:pPr>
      <w:keepNext/>
      <w:keepLines/>
      <w:spacing w:before="280" w:after="240"/>
      <w:outlineLvl w:val="5"/>
    </w:pPr>
    <w:rPr>
      <w:rFonts w:asciiTheme="majorHAnsi" w:eastAsiaTheme="majorEastAsia" w:hAnsiTheme="majorHAnsi" w:cstheme="majorBidi"/>
      <w:i/>
      <w:iCs/>
      <w:color w:val="2B3B5F" w:themeColor="text2"/>
      <w:sz w:val="24"/>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ttachment Title"/>
    <w:basedOn w:val="Normal"/>
    <w:next w:val="BodyText"/>
    <w:link w:val="Heading8Char"/>
    <w:uiPriority w:val="31"/>
    <w:qFormat/>
    <w:rsid w:val="002D239A"/>
    <w:pPr>
      <w:keepNext/>
      <w:keepLines/>
      <w:numPr>
        <w:numId w:val="1"/>
      </w:numPr>
      <w:tabs>
        <w:tab w:val="left" w:pos="4536"/>
      </w:tabs>
      <w:spacing w:before="480" w:after="340"/>
      <w:outlineLvl w:val="7"/>
    </w:pPr>
    <w:rPr>
      <w:rFonts w:asciiTheme="majorHAnsi" w:eastAsiaTheme="majorEastAsia" w:hAnsiTheme="majorHAnsi" w:cstheme="majorBidi"/>
      <w:color w:val="2B3B5F" w:themeColor="text2"/>
      <w:sz w:val="32"/>
    </w:rPr>
  </w:style>
  <w:style w:type="paragraph" w:styleId="Heading9">
    <w:name w:val="heading 9"/>
    <w:aliases w:val="Attachment Heading 1"/>
    <w:basedOn w:val="Normal"/>
    <w:next w:val="BodyText"/>
    <w:link w:val="Heading9Char"/>
    <w:uiPriority w:val="32"/>
    <w:qFormat/>
    <w:rsid w:val="002D239A"/>
    <w:pPr>
      <w:keepNext/>
      <w:keepLines/>
      <w:numPr>
        <w:ilvl w:val="1"/>
        <w:numId w:val="1"/>
      </w:numPr>
      <w:tabs>
        <w:tab w:val="left" w:pos="1559"/>
        <w:tab w:val="left" w:pos="1843"/>
        <w:tab w:val="left" w:pos="2126"/>
        <w:tab w:val="left" w:pos="2410"/>
      </w:tabs>
      <w:spacing w:before="470" w:after="227"/>
      <w:outlineLvl w:val="8"/>
    </w:pPr>
    <w:rPr>
      <w:rFonts w:asciiTheme="majorHAnsi" w:hAnsiTheme="majorHAnsi"/>
      <w:color w:val="2B3B5F" w:themeColor="text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13"/>
    <w:rsid w:val="007834DC"/>
    <w:pPr>
      <w:tabs>
        <w:tab w:val="left" w:pos="425"/>
      </w:tabs>
      <w:spacing w:before="50" w:line="260" w:lineRule="exact"/>
      <w:ind w:left="425" w:hanging="425"/>
    </w:pPr>
    <w:rPr>
      <w:kern w:val="16"/>
      <w:sz w:val="18"/>
    </w:rPr>
  </w:style>
  <w:style w:type="character" w:customStyle="1" w:styleId="FootnoteTextChar">
    <w:name w:val="Footnote Text Char"/>
    <w:basedOn w:val="DefaultParagraphFont"/>
    <w:link w:val="FootnoteText"/>
    <w:uiPriority w:val="13"/>
    <w:rsid w:val="0089737A"/>
    <w:rPr>
      <w:kern w:val="16"/>
      <w:sz w:val="18"/>
    </w:rPr>
  </w:style>
  <w:style w:type="character" w:styleId="FootnoteReference">
    <w:name w:val="footnote reference"/>
    <w:basedOn w:val="DefaultParagraphFont"/>
    <w:uiPriority w:val="39"/>
    <w:rsid w:val="00961DBB"/>
    <w:rPr>
      <w:rFonts w:asciiTheme="minorHAnsi" w:hAnsiTheme="minorHAnsi"/>
      <w:color w:val="auto"/>
      <w:vertAlign w:val="superscript"/>
    </w:rPr>
  </w:style>
  <w:style w:type="paragraph" w:styleId="BodyText">
    <w:name w:val="Body Text"/>
    <w:basedOn w:val="Normal"/>
    <w:link w:val="BodyTextChar"/>
    <w:uiPriority w:val="5"/>
    <w:qFormat/>
    <w:rsid w:val="007C19C3"/>
    <w:pPr>
      <w:spacing w:before="113" w:after="113"/>
    </w:pPr>
    <w:rPr>
      <w:rFonts w:cs="Times New Roman"/>
      <w:spacing w:val="-1"/>
    </w:rPr>
  </w:style>
  <w:style w:type="character" w:customStyle="1" w:styleId="BodyTextChar">
    <w:name w:val="Body Text Char"/>
    <w:basedOn w:val="DefaultParagraphFont"/>
    <w:link w:val="BodyText"/>
    <w:uiPriority w:val="5"/>
    <w:rsid w:val="00AC41CF"/>
    <w:rPr>
      <w:rFonts w:cs="Times New Roman"/>
      <w:spacing w:val="-1"/>
    </w:rPr>
  </w:style>
  <w:style w:type="paragraph" w:customStyle="1" w:styleId="BodyText17ptAbove">
    <w:name w:val="Body Text 17pt Above"/>
    <w:basedOn w:val="BodyText"/>
    <w:next w:val="BodyText"/>
    <w:uiPriority w:val="6"/>
    <w:qFormat/>
    <w:rsid w:val="00CA4C28"/>
    <w:pPr>
      <w:spacing w:before="340"/>
    </w:pPr>
  </w:style>
  <w:style w:type="character" w:customStyle="1" w:styleId="Heading1Char">
    <w:name w:val="Heading 1 Char"/>
    <w:basedOn w:val="DefaultParagraphFont"/>
    <w:link w:val="Heading1"/>
    <w:uiPriority w:val="1"/>
    <w:rsid w:val="00AC41CF"/>
    <w:rPr>
      <w:rFonts w:asciiTheme="majorHAnsi" w:hAnsiTheme="majorHAnsi"/>
      <w:bCs/>
      <w:color w:val="2B3B5F" w:themeColor="text2"/>
      <w:spacing w:val="-6"/>
      <w:kern w:val="32"/>
      <w:sz w:val="32"/>
      <w:szCs w:val="32"/>
    </w:rPr>
  </w:style>
  <w:style w:type="character" w:customStyle="1" w:styleId="Heading2Char">
    <w:name w:val="Heading 2 Char"/>
    <w:basedOn w:val="DefaultParagraphFont"/>
    <w:link w:val="Heading2"/>
    <w:uiPriority w:val="2"/>
    <w:rsid w:val="00AC41CF"/>
    <w:rPr>
      <w:rFonts w:ascii="Calibri" w:hAnsi="Calibri"/>
      <w:b/>
      <w:bCs/>
      <w:iCs/>
      <w:color w:val="2B3B5F" w:themeColor="text2"/>
      <w:kern w:val="20"/>
      <w:sz w:val="24"/>
      <w:szCs w:val="28"/>
    </w:rPr>
  </w:style>
  <w:style w:type="character" w:customStyle="1" w:styleId="Heading3Char">
    <w:name w:val="Heading 3 Char"/>
    <w:basedOn w:val="DefaultParagraphFont"/>
    <w:link w:val="Heading3"/>
    <w:uiPriority w:val="3"/>
    <w:rsid w:val="00AC41CF"/>
    <w:rPr>
      <w:i/>
      <w:color w:val="2B3B5F" w:themeColor="text2"/>
      <w:sz w:val="24"/>
    </w:rPr>
  </w:style>
  <w:style w:type="character" w:customStyle="1" w:styleId="Heading4Char">
    <w:name w:val="Heading 4 Char"/>
    <w:basedOn w:val="DefaultParagraphFont"/>
    <w:link w:val="Heading4"/>
    <w:uiPriority w:val="4"/>
    <w:rsid w:val="00AC41CF"/>
    <w:rPr>
      <w:rFonts w:eastAsiaTheme="majorEastAsia" w:cstheme="majorBidi"/>
      <w:bCs/>
      <w:i/>
      <w:iCs/>
      <w:color w:val="788184" w:themeColor="background2"/>
      <w:sz w:val="24"/>
    </w:rPr>
  </w:style>
  <w:style w:type="character" w:customStyle="1" w:styleId="Heading5Char">
    <w:name w:val="Heading 5 Char"/>
    <w:basedOn w:val="DefaultParagraphFont"/>
    <w:link w:val="Heading5"/>
    <w:uiPriority w:val="39"/>
    <w:rsid w:val="00AC41CF"/>
    <w:rPr>
      <w:rFonts w:asciiTheme="majorHAnsi" w:eastAsiaTheme="majorEastAsia" w:hAnsiTheme="majorHAnsi" w:cstheme="majorBidi"/>
      <w:i/>
      <w:color w:val="636366"/>
      <w:sz w:val="24"/>
    </w:rPr>
  </w:style>
  <w:style w:type="character" w:customStyle="1" w:styleId="Heading6Char">
    <w:name w:val="Heading 6 Char"/>
    <w:basedOn w:val="DefaultParagraphFont"/>
    <w:link w:val="Heading6"/>
    <w:uiPriority w:val="39"/>
    <w:rsid w:val="00AC41CF"/>
    <w:rPr>
      <w:rFonts w:asciiTheme="majorHAnsi" w:eastAsiaTheme="majorEastAsia" w:hAnsiTheme="majorHAnsi" w:cstheme="majorBidi"/>
      <w:i/>
      <w:iCs/>
      <w:color w:val="2B3B5F" w:themeColor="text2"/>
      <w:sz w:val="24"/>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ttachment Title Char"/>
    <w:basedOn w:val="DefaultParagraphFont"/>
    <w:link w:val="Heading8"/>
    <w:uiPriority w:val="31"/>
    <w:rsid w:val="0089737A"/>
    <w:rPr>
      <w:rFonts w:asciiTheme="majorHAnsi" w:eastAsiaTheme="majorEastAsia" w:hAnsiTheme="majorHAnsi" w:cstheme="majorBidi"/>
      <w:color w:val="2B3B5F" w:themeColor="text2"/>
      <w:sz w:val="32"/>
    </w:rPr>
  </w:style>
  <w:style w:type="character" w:customStyle="1" w:styleId="Heading9Char">
    <w:name w:val="Heading 9 Char"/>
    <w:aliases w:val="Attachment Heading 1 Char"/>
    <w:basedOn w:val="DefaultParagraphFont"/>
    <w:link w:val="Heading9"/>
    <w:uiPriority w:val="32"/>
    <w:rsid w:val="0089737A"/>
    <w:rPr>
      <w:rFonts w:asciiTheme="majorHAnsi" w:hAnsiTheme="majorHAnsi"/>
      <w:color w:val="2B3B5F" w:themeColor="text2"/>
      <w:sz w:val="28"/>
    </w:rPr>
  </w:style>
  <w:style w:type="paragraph" w:customStyle="1" w:styleId="AttachmentHeading2">
    <w:name w:val="Attachment Heading 2"/>
    <w:basedOn w:val="Normal"/>
    <w:next w:val="BodyText"/>
    <w:uiPriority w:val="33"/>
    <w:qFormat/>
    <w:rsid w:val="00CA5598"/>
    <w:pPr>
      <w:keepNext/>
      <w:keepLines/>
      <w:numPr>
        <w:ilvl w:val="2"/>
        <w:numId w:val="1"/>
      </w:numPr>
      <w:tabs>
        <w:tab w:val="left" w:pos="1559"/>
        <w:tab w:val="left" w:pos="1843"/>
        <w:tab w:val="left" w:pos="2126"/>
        <w:tab w:val="left" w:pos="2410"/>
      </w:tabs>
      <w:spacing w:before="470" w:after="227"/>
    </w:pPr>
    <w:rPr>
      <w:rFonts w:asciiTheme="majorHAnsi" w:hAnsiTheme="majorHAnsi"/>
      <w:color w:val="2B3B5F" w:themeColor="text2"/>
      <w:sz w:val="28"/>
    </w:rPr>
  </w:style>
  <w:style w:type="paragraph" w:customStyle="1" w:styleId="AttachmentHeading3">
    <w:name w:val="Attachment Heading 3"/>
    <w:basedOn w:val="Normal"/>
    <w:next w:val="BodyText"/>
    <w:uiPriority w:val="34"/>
    <w:qFormat/>
    <w:rsid w:val="00CA5598"/>
    <w:pPr>
      <w:keepNext/>
      <w:keepLines/>
      <w:numPr>
        <w:ilvl w:val="3"/>
        <w:numId w:val="1"/>
      </w:numPr>
      <w:tabs>
        <w:tab w:val="left" w:pos="1559"/>
        <w:tab w:val="left" w:pos="1843"/>
        <w:tab w:val="left" w:pos="2126"/>
        <w:tab w:val="left" w:pos="2410"/>
        <w:tab w:val="left" w:pos="6804"/>
      </w:tabs>
      <w:spacing w:before="227" w:after="113"/>
    </w:pPr>
    <w:rPr>
      <w:b/>
      <w:color w:val="2B3B5F" w:themeColor="text2"/>
    </w:rPr>
  </w:style>
  <w:style w:type="character" w:customStyle="1" w:styleId="Bold">
    <w:name w:val="Bold"/>
    <w:uiPriority w:val="39"/>
    <w:rsid w:val="00961DBB"/>
    <w:rPr>
      <w:b/>
    </w:rPr>
  </w:style>
  <w:style w:type="character" w:customStyle="1" w:styleId="BoldAndItalics">
    <w:name w:val="Bold And Italics"/>
    <w:uiPriority w:val="39"/>
    <w:rsid w:val="00961DBB"/>
    <w:rPr>
      <w:b/>
      <w:i/>
    </w:rPr>
  </w:style>
  <w:style w:type="paragraph" w:styleId="Caption">
    <w:name w:val="caption"/>
    <w:basedOn w:val="Normal"/>
    <w:next w:val="BodyText"/>
    <w:uiPriority w:val="13"/>
    <w:qFormat/>
    <w:rsid w:val="00961DBB"/>
    <w:pPr>
      <w:keepNext/>
      <w:spacing w:before="340" w:after="114"/>
    </w:pPr>
    <w:rPr>
      <w:b/>
      <w:bCs/>
      <w:color w:val="2B3B5F" w:themeColor="text2"/>
      <w:spacing w:val="-4"/>
    </w:rPr>
  </w:style>
  <w:style w:type="paragraph" w:styleId="Footer">
    <w:name w:val="footer"/>
    <w:basedOn w:val="Normal"/>
    <w:link w:val="FooterChar"/>
    <w:uiPriority w:val="39"/>
    <w:rsid w:val="0046444F"/>
    <w:pPr>
      <w:spacing w:line="240" w:lineRule="auto"/>
    </w:pPr>
    <w:rPr>
      <w:b/>
    </w:rPr>
  </w:style>
  <w:style w:type="character" w:customStyle="1" w:styleId="FooterChar">
    <w:name w:val="Footer Char"/>
    <w:basedOn w:val="DefaultParagraphFont"/>
    <w:link w:val="Footer"/>
    <w:uiPriority w:val="39"/>
    <w:rsid w:val="00AC41CF"/>
    <w:rPr>
      <w:b/>
    </w:rPr>
  </w:style>
  <w:style w:type="paragraph" w:customStyle="1" w:styleId="FooterLeft">
    <w:name w:val="Footer Left"/>
    <w:basedOn w:val="Footer"/>
    <w:uiPriority w:val="39"/>
    <w:rsid w:val="00961DBB"/>
    <w:pPr>
      <w:framePr w:wrap="around" w:vAnchor="page" w:hAnchor="margin" w:yAlign="bottom"/>
      <w:spacing w:before="180" w:after="120"/>
      <w:ind w:left="397"/>
    </w:pPr>
    <w:rPr>
      <w:spacing w:val="-2"/>
    </w:rPr>
  </w:style>
  <w:style w:type="paragraph" w:customStyle="1" w:styleId="FooterRight">
    <w:name w:val="Footer Right"/>
    <w:basedOn w:val="FooterLeft"/>
    <w:next w:val="Footer"/>
    <w:uiPriority w:val="39"/>
    <w:unhideWhenUsed/>
    <w:rsid w:val="00961DBB"/>
    <w:pPr>
      <w:framePr w:wrap="around" w:xAlign="right"/>
      <w:ind w:right="397"/>
      <w:jc w:val="right"/>
    </w:pPr>
  </w:style>
  <w:style w:type="paragraph" w:customStyle="1" w:styleId="FooterRightPageNumber">
    <w:name w:val="Footer Right Page Number"/>
    <w:basedOn w:val="Normal"/>
    <w:uiPriority w:val="39"/>
    <w:rsid w:val="00E915E6"/>
    <w:pPr>
      <w:spacing w:before="180" w:after="120" w:line="240" w:lineRule="auto"/>
      <w:jc w:val="right"/>
    </w:pPr>
    <w:rPr>
      <w:b/>
      <w:noProof/>
      <w:color w:val="788184" w:themeColor="background2"/>
    </w:rPr>
  </w:style>
  <w:style w:type="paragraph" w:customStyle="1" w:styleId="FooterLeftPageNumber">
    <w:name w:val="Footer Left Page Number"/>
    <w:basedOn w:val="Footer"/>
    <w:uiPriority w:val="39"/>
    <w:rsid w:val="00961DBB"/>
    <w:pPr>
      <w:framePr w:wrap="around" w:vAnchor="page" w:hAnchor="margin" w:yAlign="bottom"/>
      <w:spacing w:before="180" w:after="120"/>
      <w:ind w:right="57"/>
    </w:pPr>
  </w:style>
  <w:style w:type="paragraph" w:customStyle="1" w:styleId="FootnoteSeparator">
    <w:name w:val="Footnote Separator"/>
    <w:basedOn w:val="Normal"/>
    <w:uiPriority w:val="39"/>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uiPriority w:val="99"/>
    <w:rsid w:val="0046444F"/>
    <w:pPr>
      <w:spacing w:before="240" w:after="120" w:line="240" w:lineRule="auto"/>
    </w:pPr>
  </w:style>
  <w:style w:type="character" w:customStyle="1" w:styleId="HeaderChar">
    <w:name w:val="Header Char"/>
    <w:basedOn w:val="DefaultParagraphFont"/>
    <w:link w:val="Header"/>
    <w:uiPriority w:val="99"/>
    <w:rsid w:val="0046444F"/>
  </w:style>
  <w:style w:type="paragraph" w:customStyle="1" w:styleId="HighlightText">
    <w:name w:val="Highlight Text"/>
    <w:basedOn w:val="Normal"/>
    <w:uiPriority w:val="39"/>
    <w:rsid w:val="00961DBB"/>
    <w:pPr>
      <w:spacing w:before="120" w:after="420"/>
    </w:pPr>
    <w:rPr>
      <w:i/>
      <w:color w:val="2B3B5F" w:themeColor="text2"/>
      <w:spacing w:val="-1"/>
    </w:rPr>
  </w:style>
  <w:style w:type="paragraph" w:customStyle="1" w:styleId="Introduction">
    <w:name w:val="Introduction"/>
    <w:basedOn w:val="Normal"/>
    <w:next w:val="BodyText"/>
    <w:uiPriority w:val="39"/>
    <w:rsid w:val="00961DBB"/>
    <w:pPr>
      <w:spacing w:after="180" w:line="360" w:lineRule="atLeast"/>
    </w:pPr>
    <w:rPr>
      <w:color w:val="2B3B5F" w:themeColor="text2"/>
      <w:spacing w:val="-2"/>
      <w:sz w:val="30"/>
    </w:rPr>
  </w:style>
  <w:style w:type="character" w:customStyle="1" w:styleId="Italics">
    <w:name w:val="Italics"/>
    <w:uiPriority w:val="39"/>
    <w:rsid w:val="00961DBB"/>
    <w:rPr>
      <w:i/>
    </w:rPr>
  </w:style>
  <w:style w:type="paragraph" w:styleId="ListBullet">
    <w:name w:val="List Bullet"/>
    <w:basedOn w:val="Normal"/>
    <w:uiPriority w:val="7"/>
    <w:qFormat/>
    <w:rsid w:val="00476133"/>
    <w:pPr>
      <w:keepLines/>
      <w:numPr>
        <w:numId w:val="2"/>
      </w:numPr>
      <w:spacing w:after="120"/>
    </w:pPr>
    <w:rPr>
      <w:spacing w:val="-1"/>
    </w:rPr>
  </w:style>
  <w:style w:type="paragraph" w:styleId="ListBullet2">
    <w:name w:val="List Bullet 2"/>
    <w:basedOn w:val="ListBullet"/>
    <w:uiPriority w:val="8"/>
    <w:qFormat/>
    <w:rsid w:val="00476133"/>
    <w:pPr>
      <w:numPr>
        <w:ilvl w:val="1"/>
      </w:numPr>
      <w:ind w:left="908" w:hanging="454"/>
    </w:pPr>
  </w:style>
  <w:style w:type="paragraph" w:styleId="ListBullet3">
    <w:name w:val="List Bullet 3"/>
    <w:basedOn w:val="ListBullet2"/>
    <w:uiPriority w:val="9"/>
    <w:qFormat/>
    <w:rsid w:val="00961DBB"/>
    <w:pPr>
      <w:numPr>
        <w:ilvl w:val="2"/>
      </w:numPr>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uiPriority w:val="10"/>
    <w:qFormat/>
    <w:rsid w:val="00476133"/>
    <w:pPr>
      <w:numPr>
        <w:numId w:val="3"/>
      </w:numPr>
      <w:spacing w:before="120" w:after="120"/>
    </w:pPr>
    <w:rPr>
      <w:spacing w:val="-1"/>
    </w:rPr>
  </w:style>
  <w:style w:type="paragraph" w:styleId="ListNumber2">
    <w:name w:val="List Number 2"/>
    <w:basedOn w:val="Normal"/>
    <w:uiPriority w:val="11"/>
    <w:qFormat/>
    <w:rsid w:val="00476133"/>
    <w:pPr>
      <w:numPr>
        <w:ilvl w:val="1"/>
        <w:numId w:val="3"/>
      </w:numPr>
      <w:spacing w:before="120" w:after="120"/>
      <w:ind w:left="908" w:hanging="454"/>
    </w:pPr>
    <w:rPr>
      <w:spacing w:val="-1"/>
    </w:rPr>
  </w:style>
  <w:style w:type="paragraph" w:styleId="ListNumber3">
    <w:name w:val="List Number 3"/>
    <w:basedOn w:val="Normal"/>
    <w:uiPriority w:val="12"/>
    <w:qFormat/>
    <w:rsid w:val="00476133"/>
    <w:pPr>
      <w:numPr>
        <w:ilvl w:val="2"/>
        <w:numId w:val="3"/>
      </w:numPr>
      <w:spacing w:before="120" w:after="120"/>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uiPriority w:val="39"/>
    <w:rsid w:val="00961DBB"/>
    <w:pPr>
      <w:spacing w:line="240" w:lineRule="auto"/>
    </w:pPr>
    <w:rPr>
      <w:rFonts w:eastAsia="Times New Roman" w:cs="Arial"/>
      <w:lang w:eastAsia="en-AU"/>
    </w:rPr>
  </w:style>
  <w:style w:type="paragraph" w:customStyle="1" w:styleId="OverviewBodyText">
    <w:name w:val="Overview Body Text"/>
    <w:basedOn w:val="Normal"/>
    <w:uiPriority w:val="39"/>
    <w:rsid w:val="00512226"/>
    <w:pPr>
      <w:spacing w:after="113"/>
    </w:pPr>
  </w:style>
  <w:style w:type="paragraph" w:customStyle="1" w:styleId="OverviewHeading2">
    <w:name w:val="Overview Heading 2"/>
    <w:basedOn w:val="Normal"/>
    <w:next w:val="OverviewBodyText"/>
    <w:uiPriority w:val="39"/>
    <w:rsid w:val="00512226"/>
    <w:pPr>
      <w:keepNext/>
      <w:keepLines/>
      <w:spacing w:before="470" w:after="227"/>
    </w:pPr>
    <w:rPr>
      <w:rFonts w:asciiTheme="majorHAnsi" w:hAnsiTheme="majorHAnsi"/>
      <w:color w:val="2B3B5F" w:themeColor="text2"/>
      <w:sz w:val="32"/>
    </w:rPr>
  </w:style>
  <w:style w:type="paragraph" w:customStyle="1" w:styleId="OverviewHeading3">
    <w:name w:val="Overview Heading 3"/>
    <w:basedOn w:val="OverviewHeading2"/>
    <w:next w:val="OverviewBodyText"/>
    <w:uiPriority w:val="39"/>
    <w:rsid w:val="00512226"/>
    <w:rPr>
      <w:sz w:val="28"/>
    </w:rPr>
  </w:style>
  <w:style w:type="character" w:styleId="PageNumber">
    <w:name w:val="page number"/>
    <w:basedOn w:val="DefaultParagraphFont"/>
    <w:semiHidden/>
    <w:rsid w:val="00961DBB"/>
    <w:rPr>
      <w:rFonts w:ascii="Arial" w:hAnsi="Arial"/>
      <w:b/>
      <w:color w:val="auto"/>
      <w:sz w:val="16"/>
    </w:rPr>
  </w:style>
  <w:style w:type="paragraph" w:customStyle="1" w:styleId="PageNumberOdd">
    <w:name w:val="Page Number Odd"/>
    <w:semiHidden/>
    <w:rsid w:val="00961DBB"/>
    <w:pPr>
      <w:ind w:right="57"/>
      <w:jc w:val="right"/>
    </w:pPr>
    <w:rPr>
      <w:rFonts w:eastAsia="Times New Roman" w:cs="Arial"/>
      <w:b/>
      <w:color w:val="2B3B5F" w:themeColor="text2"/>
      <w:sz w:val="14"/>
      <w:szCs w:val="28"/>
      <w:lang w:eastAsia="en-AU"/>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basedOn w:val="DefaultParagraphFont"/>
    <w:uiPriority w:val="39"/>
    <w:rsid w:val="00961DBB"/>
    <w:rPr>
      <w:color w:val="808080"/>
    </w:rPr>
  </w:style>
  <w:style w:type="paragraph" w:customStyle="1" w:styleId="PullOutBoxBodyText">
    <w:name w:val="Pull Out Box Body Text"/>
    <w:basedOn w:val="Normal"/>
    <w:uiPriority w:val="24"/>
    <w:qFormat/>
    <w:rsid w:val="00476133"/>
    <w:pPr>
      <w:spacing w:before="120" w:after="120"/>
      <w:ind w:left="57" w:right="57"/>
    </w:pPr>
    <w:rPr>
      <w:spacing w:val="-1"/>
    </w:rPr>
  </w:style>
  <w:style w:type="paragraph" w:customStyle="1" w:styleId="PullOutBoxBullet">
    <w:name w:val="Pull Out Box Bullet"/>
    <w:basedOn w:val="PullOutBoxBodyText"/>
    <w:uiPriority w:val="25"/>
    <w:qFormat/>
    <w:rsid w:val="00476133"/>
    <w:pPr>
      <w:numPr>
        <w:numId w:val="4"/>
      </w:numPr>
      <w:ind w:left="397"/>
    </w:pPr>
  </w:style>
  <w:style w:type="paragraph" w:customStyle="1" w:styleId="PullOutBoxBullet2">
    <w:name w:val="Pull Out Box Bullet 2"/>
    <w:basedOn w:val="PullOutBoxBodyText"/>
    <w:uiPriority w:val="26"/>
    <w:qFormat/>
    <w:rsid w:val="008112CC"/>
    <w:pPr>
      <w:numPr>
        <w:ilvl w:val="1"/>
        <w:numId w:val="4"/>
      </w:numPr>
      <w:ind w:left="737"/>
    </w:pPr>
  </w:style>
  <w:style w:type="paragraph" w:customStyle="1" w:styleId="PullOutBoxBullet3">
    <w:name w:val="Pull Out Box Bullet 3"/>
    <w:basedOn w:val="PullOutBoxBodyText"/>
    <w:uiPriority w:val="27"/>
    <w:qFormat/>
    <w:rsid w:val="00476133"/>
    <w:pPr>
      <w:numPr>
        <w:ilvl w:val="2"/>
        <w:numId w:val="4"/>
      </w:numPr>
      <w:ind w:left="1077"/>
    </w:pPr>
  </w:style>
  <w:style w:type="paragraph" w:customStyle="1" w:styleId="PullOutBoxHeading">
    <w:name w:val="Pull Out Box Heading"/>
    <w:basedOn w:val="PullOutBoxBodyText"/>
    <w:uiPriority w:val="23"/>
    <w:qFormat/>
    <w:rsid w:val="00476133"/>
    <w:pPr>
      <w:keepNext/>
      <w:keepLines/>
    </w:pPr>
    <w:rPr>
      <w:b/>
    </w:rPr>
  </w:style>
  <w:style w:type="paragraph" w:customStyle="1" w:styleId="PullOutBoxNumber">
    <w:name w:val="Pull Out Box Number"/>
    <w:basedOn w:val="PullOutBoxBodyText"/>
    <w:uiPriority w:val="28"/>
    <w:qFormat/>
    <w:rsid w:val="00476133"/>
    <w:pPr>
      <w:numPr>
        <w:numId w:val="5"/>
      </w:numPr>
      <w:ind w:left="397"/>
    </w:pPr>
  </w:style>
  <w:style w:type="paragraph" w:customStyle="1" w:styleId="PullOutBoxNumber2">
    <w:name w:val="Pull Out Box Number 2"/>
    <w:basedOn w:val="PullOutBoxBodyText"/>
    <w:uiPriority w:val="29"/>
    <w:qFormat/>
    <w:rsid w:val="008112CC"/>
    <w:pPr>
      <w:numPr>
        <w:ilvl w:val="1"/>
        <w:numId w:val="5"/>
      </w:numPr>
      <w:ind w:left="737"/>
    </w:pPr>
  </w:style>
  <w:style w:type="paragraph" w:customStyle="1" w:styleId="PullOutBoxNumber3">
    <w:name w:val="Pull Out Box Number 3"/>
    <w:basedOn w:val="PullOutBoxBodyText"/>
    <w:uiPriority w:val="30"/>
    <w:qFormat/>
    <w:rsid w:val="008112CC"/>
    <w:pPr>
      <w:numPr>
        <w:ilvl w:val="2"/>
        <w:numId w:val="5"/>
      </w:numPr>
      <w:ind w:left="1077"/>
    </w:pPr>
  </w:style>
  <w:style w:type="table" w:customStyle="1" w:styleId="PullOutBoxTable">
    <w:name w:val="Pull Out Box Table"/>
    <w:basedOn w:val="TableNormal"/>
    <w:uiPriority w:val="99"/>
    <w:rsid w:val="00961DBB"/>
    <w:pPr>
      <w:spacing w:line="240" w:lineRule="auto"/>
    </w:pPr>
    <w:rPr>
      <w:rFonts w:eastAsia="Times New Roman" w:cs="Arial"/>
      <w:lang w:eastAsia="en-AU"/>
    </w:rPr>
    <w:tblPr>
      <w:tblBorders>
        <w:top w:val="single" w:sz="4" w:space="0" w:color="D7DDE9" w:themeColor="accent3"/>
        <w:left w:val="single" w:sz="4" w:space="0" w:color="D7DDE9" w:themeColor="accent3"/>
        <w:bottom w:val="single" w:sz="4" w:space="0" w:color="D7DDE9" w:themeColor="accent3"/>
        <w:right w:val="single" w:sz="4" w:space="0" w:color="D7DDE9" w:themeColor="accent3"/>
        <w:insideH w:val="single" w:sz="4" w:space="0" w:color="D7DDE9" w:themeColor="accent3"/>
        <w:insideV w:val="single" w:sz="4" w:space="0" w:color="D7DDE9" w:themeColor="accent3"/>
      </w:tblBorders>
      <w:tblCellMar>
        <w:top w:w="28" w:type="dxa"/>
        <w:left w:w="0" w:type="dxa"/>
        <w:bottom w:w="28" w:type="dxa"/>
        <w:right w:w="0" w:type="dxa"/>
      </w:tblCellMar>
    </w:tblPr>
    <w:tcPr>
      <w:shd w:val="clear" w:color="auto" w:fill="D7DDE9" w:themeFill="accent3"/>
    </w:tcPr>
  </w:style>
  <w:style w:type="paragraph" w:styleId="Quote">
    <w:name w:val="Quote"/>
    <w:basedOn w:val="Normal"/>
    <w:link w:val="QuoteChar"/>
    <w:uiPriority w:val="39"/>
    <w:rsid w:val="00961DBB"/>
    <w:pPr>
      <w:tabs>
        <w:tab w:val="left" w:pos="1134"/>
      </w:tabs>
      <w:spacing w:before="240" w:after="240"/>
      <w:ind w:left="284"/>
    </w:pPr>
    <w:rPr>
      <w:i/>
      <w:iCs/>
    </w:rPr>
  </w:style>
  <w:style w:type="character" w:customStyle="1" w:styleId="QuoteChar">
    <w:name w:val="Quote Char"/>
    <w:basedOn w:val="DefaultParagraphFont"/>
    <w:link w:val="Quote"/>
    <w:uiPriority w:val="39"/>
    <w:rsid w:val="00AC41CF"/>
    <w:rPr>
      <w:i/>
      <w:iCs/>
    </w:rPr>
  </w:style>
  <w:style w:type="paragraph" w:customStyle="1" w:styleId="QuoteBullet">
    <w:name w:val="Quote Bullet"/>
    <w:basedOn w:val="Quote"/>
    <w:uiPriority w:val="39"/>
    <w:rsid w:val="00961DBB"/>
    <w:pPr>
      <w:numPr>
        <w:numId w:val="6"/>
      </w:numPr>
    </w:pPr>
  </w:style>
  <w:style w:type="paragraph" w:customStyle="1" w:styleId="QuoteBullet2">
    <w:name w:val="Quote Bullet 2"/>
    <w:basedOn w:val="Quote"/>
    <w:uiPriority w:val="39"/>
    <w:rsid w:val="00961DBB"/>
    <w:pPr>
      <w:numPr>
        <w:ilvl w:val="1"/>
        <w:numId w:val="6"/>
      </w:numPr>
      <w:tabs>
        <w:tab w:val="clear" w:pos="1134"/>
      </w:tabs>
    </w:pPr>
  </w:style>
  <w:style w:type="paragraph" w:customStyle="1" w:styleId="SectionHeading">
    <w:name w:val="Section Heading"/>
    <w:basedOn w:val="Normal"/>
    <w:next w:val="BodyText"/>
    <w:uiPriority w:val="39"/>
    <w:rsid w:val="00E45766"/>
    <w:pPr>
      <w:keepLines/>
      <w:spacing w:before="4320" w:line="360" w:lineRule="auto"/>
      <w:ind w:left="1701"/>
      <w:jc w:val="right"/>
      <w:outlineLvl w:val="0"/>
    </w:pPr>
    <w:rPr>
      <w:rFonts w:asciiTheme="majorHAnsi" w:hAnsiTheme="majorHAnsi"/>
      <w:noProof/>
      <w:color w:val="2B3B5F" w:themeColor="text2"/>
      <w:sz w:val="50"/>
      <w:szCs w:val="40"/>
    </w:rPr>
  </w:style>
  <w:style w:type="character" w:customStyle="1" w:styleId="SectionSubtitle">
    <w:name w:val="Section Subtitle"/>
    <w:uiPriority w:val="39"/>
    <w:rsid w:val="00E45766"/>
    <w:rPr>
      <w:color w:val="751D71" w:themeColor="accent4"/>
      <w:sz w:val="40"/>
    </w:rPr>
  </w:style>
  <w:style w:type="paragraph" w:styleId="Subtitle">
    <w:name w:val="Subtitle"/>
    <w:basedOn w:val="Normal"/>
    <w:next w:val="Normal"/>
    <w:link w:val="SubtitleChar"/>
    <w:uiPriority w:val="39"/>
    <w:rsid w:val="00961DBB"/>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uiPriority w:val="39"/>
    <w:rsid w:val="00AC41CF"/>
    <w:rPr>
      <w:rFonts w:asciiTheme="majorHAnsi" w:eastAsiaTheme="majorEastAsia" w:hAnsiTheme="majorHAnsi" w:cstheme="majorBidi"/>
      <w:iCs/>
      <w:spacing w:val="15"/>
    </w:rPr>
  </w:style>
  <w:style w:type="character" w:customStyle="1" w:styleId="Superscript">
    <w:name w:val="Superscript"/>
    <w:uiPriority w:val="39"/>
    <w:rsid w:val="00961DBB"/>
    <w:rPr>
      <w:vertAlign w:val="superscript"/>
    </w:rPr>
  </w:style>
  <w:style w:type="table" w:customStyle="1" w:styleId="TableAsPlaceholder">
    <w:name w:val="Table As Placeholder"/>
    <w:basedOn w:val="TableNormal"/>
    <w:uiPriority w:val="99"/>
    <w:qFormat/>
    <w:rsid w:val="00961DBB"/>
    <w:rPr>
      <w:rFonts w:eastAsia="Times New Roman" w:cs="Arial"/>
      <w:lang w:eastAsia="en-AU"/>
    </w:rPr>
    <w:tblPr>
      <w:tblCellMar>
        <w:left w:w="0" w:type="dxa"/>
        <w:right w:w="0" w:type="dxa"/>
      </w:tblCellMar>
    </w:tblPr>
  </w:style>
  <w:style w:type="paragraph" w:customStyle="1" w:styleId="TableFootnotes">
    <w:name w:val="Table Footnotes"/>
    <w:basedOn w:val="Normal"/>
    <w:uiPriority w:val="22"/>
    <w:qFormat/>
    <w:rsid w:val="0056001A"/>
    <w:pPr>
      <w:keepLines/>
      <w:numPr>
        <w:numId w:val="7"/>
      </w:numPr>
      <w:spacing w:after="50" w:line="260" w:lineRule="atLeast"/>
      <w:contextualSpacing/>
    </w:pPr>
    <w:rPr>
      <w:sz w:val="20"/>
    </w:rPr>
  </w:style>
  <w:style w:type="table" w:styleId="TableGrid">
    <w:name w:val="Table Grid"/>
    <w:basedOn w:val="TableNormal"/>
    <w:rsid w:val="00F85D29"/>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2B3B5F"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hemeFill="accent3"/>
      </w:tcPr>
    </w:tblStylePr>
    <w:tblStylePr w:type="nwCell">
      <w:pPr>
        <w:jc w:val="left"/>
      </w:pPr>
      <w:tblPr/>
      <w:tcPr>
        <w:vAlign w:val="top"/>
      </w:tcPr>
    </w:tblStylePr>
  </w:style>
  <w:style w:type="paragraph" w:customStyle="1" w:styleId="TableHeading">
    <w:name w:val="Table Heading"/>
    <w:basedOn w:val="Normal"/>
    <w:uiPriority w:val="14"/>
    <w:qFormat/>
    <w:rsid w:val="00476133"/>
    <w:pPr>
      <w:keepNext/>
      <w:keepLines/>
      <w:spacing w:before="70" w:after="70" w:line="260" w:lineRule="atLeast"/>
      <w:ind w:left="57" w:right="57"/>
    </w:pPr>
    <w:rPr>
      <w:rFonts w:ascii="Calibri" w:hAnsi="Calibri" w:cs="Times New Roman"/>
      <w:b/>
      <w:sz w:val="20"/>
    </w:rPr>
  </w:style>
  <w:style w:type="paragraph" w:customStyle="1" w:styleId="TableHeadingCentred">
    <w:name w:val="Table Heading Centred"/>
    <w:basedOn w:val="TableHeading"/>
    <w:uiPriority w:val="15"/>
    <w:qFormat/>
    <w:rsid w:val="005B0970"/>
    <w:pPr>
      <w:jc w:val="center"/>
    </w:pPr>
  </w:style>
  <w:style w:type="paragraph" w:customStyle="1" w:styleId="TableHeadingRight">
    <w:name w:val="Table Heading Right"/>
    <w:basedOn w:val="TableHeading"/>
    <w:uiPriority w:val="16"/>
    <w:qFormat/>
    <w:rsid w:val="00956D5A"/>
    <w:pPr>
      <w:jc w:val="right"/>
    </w:pPr>
  </w:style>
  <w:style w:type="paragraph" w:customStyle="1" w:styleId="Source">
    <w:name w:val="Source"/>
    <w:basedOn w:val="Normal"/>
    <w:next w:val="BodyText17ptAbove"/>
    <w:uiPriority w:val="39"/>
    <w:rsid w:val="00035ADE"/>
    <w:pPr>
      <w:spacing w:before="180" w:after="114"/>
      <w:contextualSpacing/>
    </w:pPr>
    <w:rPr>
      <w:rFonts w:cs="Times New Roman"/>
      <w:color w:val="788184" w:themeColor="background2"/>
      <w:sz w:val="20"/>
      <w:szCs w:val="14"/>
    </w:rPr>
  </w:style>
  <w:style w:type="paragraph" w:customStyle="1" w:styleId="TableText">
    <w:name w:val="Table Text"/>
    <w:basedOn w:val="Normal"/>
    <w:uiPriority w:val="17"/>
    <w:qFormat/>
    <w:rsid w:val="005B0970"/>
    <w:pPr>
      <w:spacing w:before="70" w:after="70" w:line="260" w:lineRule="atLeast"/>
      <w:ind w:left="57" w:right="57"/>
    </w:pPr>
    <w:rPr>
      <w:rFonts w:ascii="Calibri" w:hAnsi="Calibri" w:cs="Times New Roman"/>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uiPriority w:val="39"/>
    <w:rsid w:val="00961DBB"/>
    <w:pPr>
      <w:numPr>
        <w:numId w:val="8"/>
      </w:numPr>
    </w:pPr>
  </w:style>
  <w:style w:type="paragraph" w:customStyle="1" w:styleId="TableTextBullet2">
    <w:name w:val="Table Text Bullet 2"/>
    <w:basedOn w:val="TableTextBullet"/>
    <w:uiPriority w:val="39"/>
    <w:rsid w:val="00961DBB"/>
    <w:pPr>
      <w:numPr>
        <w:ilvl w:val="1"/>
      </w:numPr>
    </w:pPr>
    <w:rPr>
      <w:bCs/>
    </w:rPr>
  </w:style>
  <w:style w:type="paragraph" w:customStyle="1" w:styleId="TableTextBullet3">
    <w:name w:val="Table Text Bullet 3"/>
    <w:basedOn w:val="TableTextBullet2"/>
    <w:uiPriority w:val="39"/>
    <w:rsid w:val="00961DBB"/>
    <w:pPr>
      <w:numPr>
        <w:ilvl w:val="2"/>
      </w:numPr>
    </w:pPr>
    <w:rPr>
      <w:bCs w:val="0"/>
    </w:rPr>
  </w:style>
  <w:style w:type="paragraph" w:customStyle="1" w:styleId="TableTextNumber">
    <w:name w:val="Table Text Number"/>
    <w:basedOn w:val="TableText"/>
    <w:uiPriority w:val="39"/>
    <w:rsid w:val="00961DBB"/>
    <w:pPr>
      <w:numPr>
        <w:numId w:val="9"/>
      </w:numPr>
    </w:pPr>
  </w:style>
  <w:style w:type="paragraph" w:customStyle="1" w:styleId="TableTextNumber2">
    <w:name w:val="Table Text Number 2"/>
    <w:basedOn w:val="TableTextNumber"/>
    <w:uiPriority w:val="39"/>
    <w:rsid w:val="00961DBB"/>
    <w:pPr>
      <w:numPr>
        <w:ilvl w:val="1"/>
      </w:numPr>
      <w:tabs>
        <w:tab w:val="clear" w:pos="709"/>
        <w:tab w:val="num" w:pos="680"/>
      </w:tabs>
      <w:ind w:left="680"/>
    </w:pPr>
  </w:style>
  <w:style w:type="paragraph" w:customStyle="1" w:styleId="TableTextNumber3">
    <w:name w:val="Table Text Number 3"/>
    <w:basedOn w:val="TableTextNumber2"/>
    <w:uiPriority w:val="39"/>
    <w:rsid w:val="00961DBB"/>
    <w:pPr>
      <w:numPr>
        <w:ilvl w:val="2"/>
      </w:numPr>
    </w:pPr>
  </w:style>
  <w:style w:type="paragraph" w:customStyle="1" w:styleId="TableTextRight">
    <w:name w:val="Table Text Right"/>
    <w:basedOn w:val="TableText"/>
    <w:uiPriority w:val="19"/>
    <w:qForma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uiPriority w:val="39"/>
    <w:rsid w:val="00817406"/>
    <w:pPr>
      <w:spacing w:before="480" w:after="340" w:line="240" w:lineRule="auto"/>
    </w:pPr>
    <w:rPr>
      <w:rFonts w:asciiTheme="majorHAnsi" w:eastAsiaTheme="majorEastAsia" w:hAnsiTheme="majorHAnsi" w:cstheme="majorBidi"/>
      <w:color w:val="2B3B5F" w:themeColor="text2"/>
      <w:spacing w:val="-2"/>
      <w:sz w:val="32"/>
      <w:szCs w:val="50"/>
    </w:rPr>
  </w:style>
  <w:style w:type="character" w:customStyle="1" w:styleId="TitleChar">
    <w:name w:val="Title Char"/>
    <w:basedOn w:val="DefaultParagraphFont"/>
    <w:link w:val="Title"/>
    <w:uiPriority w:val="39"/>
    <w:rsid w:val="00AC41CF"/>
    <w:rPr>
      <w:rFonts w:asciiTheme="majorHAnsi" w:eastAsiaTheme="majorEastAsia" w:hAnsiTheme="majorHAnsi" w:cstheme="majorBidi"/>
      <w:color w:val="2B3B5F" w:themeColor="text2"/>
      <w:spacing w:val="-2"/>
      <w:sz w:val="32"/>
      <w:szCs w:val="50"/>
    </w:rPr>
  </w:style>
  <w:style w:type="paragraph" w:customStyle="1" w:styleId="Title2">
    <w:name w:val="Title 2"/>
    <w:basedOn w:val="Normal"/>
    <w:link w:val="Title2Char"/>
    <w:uiPriority w:val="39"/>
    <w:rsid w:val="00C8728F"/>
    <w:pPr>
      <w:spacing w:after="250"/>
      <w:ind w:left="397"/>
      <w:jc w:val="right"/>
    </w:pPr>
    <w:rPr>
      <w:rFonts w:asciiTheme="majorHAnsi" w:hAnsiTheme="majorHAnsi"/>
      <w:color w:val="FFFFFF"/>
      <w:spacing w:val="-2"/>
      <w:sz w:val="32"/>
    </w:rPr>
  </w:style>
  <w:style w:type="character" w:customStyle="1" w:styleId="Title2Char">
    <w:name w:val="Title 2 Char"/>
    <w:basedOn w:val="DefaultParagraphFont"/>
    <w:link w:val="Title2"/>
    <w:uiPriority w:val="39"/>
    <w:rsid w:val="00AC41CF"/>
    <w:rPr>
      <w:rFonts w:asciiTheme="majorHAnsi" w:hAnsiTheme="majorHAnsi"/>
      <w:color w:val="FFFFFF"/>
      <w:spacing w:val="-2"/>
      <w:sz w:val="32"/>
    </w:rPr>
  </w:style>
  <w:style w:type="paragraph" w:customStyle="1" w:styleId="Title3">
    <w:name w:val="Title 3"/>
    <w:basedOn w:val="Title2"/>
    <w:uiPriority w:val="39"/>
    <w:rsid w:val="00195228"/>
    <w:pPr>
      <w:framePr w:wrap="auto" w:vAnchor="page" w:hAnchor="margin" w:y="5779"/>
    </w:pPr>
    <w:rPr>
      <w:rFonts w:eastAsia="Times New Roman" w:cs="Arial"/>
      <w:i/>
      <w:spacing w:val="8"/>
      <w:lang w:eastAsia="en-AU"/>
    </w:rPr>
  </w:style>
  <w:style w:type="paragraph" w:styleId="TOC1">
    <w:name w:val="toc 1"/>
    <w:basedOn w:val="Normal"/>
    <w:next w:val="Normal"/>
    <w:uiPriority w:val="39"/>
    <w:rsid w:val="001B2C65"/>
    <w:pPr>
      <w:tabs>
        <w:tab w:val="right" w:leader="underscore" w:pos="8164"/>
      </w:tabs>
      <w:spacing w:after="227"/>
      <w:ind w:right="851"/>
    </w:pPr>
    <w:rPr>
      <w:b/>
      <w:noProof/>
      <w:color w:val="2B3B5F" w:themeColor="text2"/>
    </w:rPr>
  </w:style>
  <w:style w:type="paragraph" w:styleId="TOC2">
    <w:name w:val="toc 2"/>
    <w:basedOn w:val="Normal"/>
    <w:next w:val="Normal"/>
    <w:uiPriority w:val="39"/>
    <w:rsid w:val="001B2C65"/>
    <w:pPr>
      <w:tabs>
        <w:tab w:val="right" w:leader="underscore" w:pos="8164"/>
      </w:tabs>
      <w:spacing w:after="227"/>
      <w:ind w:left="454" w:right="851"/>
    </w:pPr>
    <w:rPr>
      <w:noProof/>
      <w:szCs w:val="28"/>
    </w:rPr>
  </w:style>
  <w:style w:type="paragraph" w:styleId="TOC3">
    <w:name w:val="toc 3"/>
    <w:basedOn w:val="Normal"/>
    <w:next w:val="Normal"/>
    <w:uiPriority w:val="39"/>
    <w:rsid w:val="001B2C65"/>
    <w:pPr>
      <w:tabs>
        <w:tab w:val="right" w:leader="underscore" w:pos="8164"/>
      </w:tabs>
      <w:spacing w:after="227"/>
      <w:ind w:left="907" w:right="851"/>
    </w:pPr>
    <w:rPr>
      <w:rFonts w:eastAsiaTheme="minorEastAsia"/>
      <w:noProof/>
    </w:rPr>
  </w:style>
  <w:style w:type="paragraph" w:styleId="TOC4">
    <w:name w:val="toc 4"/>
    <w:basedOn w:val="Normal"/>
    <w:uiPriority w:val="39"/>
    <w:rsid w:val="006C5E72"/>
    <w:pPr>
      <w:tabs>
        <w:tab w:val="right" w:leader="underscore" w:pos="8165"/>
      </w:tabs>
      <w:spacing w:after="80"/>
      <w:ind w:right="851"/>
    </w:pPr>
    <w:rPr>
      <w:noProof/>
    </w:rPr>
  </w:style>
  <w:style w:type="paragraph" w:styleId="TOC5">
    <w:name w:val="toc 5"/>
    <w:basedOn w:val="Normal"/>
    <w:next w:val="Normal"/>
    <w:autoRedefine/>
    <w:uiPriority w:val="39"/>
    <w:rsid w:val="0096618E"/>
    <w:pPr>
      <w:tabs>
        <w:tab w:val="right" w:leader="underscore" w:pos="8165"/>
      </w:tabs>
      <w:spacing w:after="227"/>
      <w:ind w:right="851"/>
    </w:pPr>
    <w:rPr>
      <w:b/>
      <w:color w:val="2B3B5F" w:themeColor="text2"/>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uiPriority w:val="39"/>
    <w:rsid w:val="00961DBB"/>
    <w:pPr>
      <w:tabs>
        <w:tab w:val="right" w:leader="dot" w:pos="9582"/>
      </w:tabs>
      <w:spacing w:after="227"/>
      <w:ind w:right="907"/>
    </w:pPr>
    <w:rPr>
      <w:color w:val="2B3B5F" w:themeColor="text2"/>
    </w:rPr>
  </w:style>
  <w:style w:type="paragraph" w:styleId="TOCHeading">
    <w:name w:val="TOC Heading"/>
    <w:basedOn w:val="Normal"/>
    <w:uiPriority w:val="39"/>
    <w:rsid w:val="00733970"/>
    <w:pPr>
      <w:tabs>
        <w:tab w:val="left" w:pos="1134"/>
        <w:tab w:val="left" w:pos="2268"/>
        <w:tab w:val="left" w:pos="3402"/>
        <w:tab w:val="left" w:pos="4536"/>
        <w:tab w:val="left" w:pos="5103"/>
      </w:tabs>
      <w:spacing w:before="480" w:after="340" w:line="240" w:lineRule="auto"/>
    </w:pPr>
    <w:rPr>
      <w:rFonts w:asciiTheme="majorHAnsi" w:hAnsiTheme="majorHAnsi"/>
      <w:color w:val="2B3B5F" w:themeColor="text2"/>
      <w:sz w:val="40"/>
      <w:szCs w:val="40"/>
    </w:rPr>
  </w:style>
  <w:style w:type="paragraph" w:customStyle="1" w:styleId="TOFHeading">
    <w:name w:val="TOF Heading"/>
    <w:basedOn w:val="Normal"/>
    <w:uiPriority w:val="39"/>
    <w:rsid w:val="00961DBB"/>
    <w:pPr>
      <w:keepNext/>
      <w:tabs>
        <w:tab w:val="left" w:pos="2268"/>
      </w:tabs>
      <w:spacing w:before="300" w:after="120"/>
    </w:pPr>
    <w:rPr>
      <w:color w:val="2B3B5F" w:themeColor="text2"/>
      <w:sz w:val="28"/>
      <w:szCs w:val="32"/>
    </w:rPr>
  </w:style>
  <w:style w:type="paragraph" w:customStyle="1" w:styleId="xDisclaimerHeading">
    <w:name w:val="xDisclaimer Heading"/>
    <w:basedOn w:val="Normal"/>
    <w:link w:val="xDisclaimerHeadingChar"/>
    <w:uiPriority w:val="39"/>
    <w:rsid w:val="00961DBB"/>
    <w:pPr>
      <w:framePr w:hSpace="181" w:wrap="around" w:hAnchor="margin" w:y="4310"/>
      <w:spacing w:before="170" w:after="57" w:line="280" w:lineRule="atLeast"/>
      <w:suppressOverlap/>
    </w:pPr>
    <w:rPr>
      <w:b/>
    </w:rPr>
  </w:style>
  <w:style w:type="character" w:customStyle="1" w:styleId="xDisclaimerHeadingChar">
    <w:name w:val="xDisclaimer Heading Char"/>
    <w:basedOn w:val="DefaultParagraphFont"/>
    <w:link w:val="xDisclaimerHeading"/>
    <w:uiPriority w:val="39"/>
    <w:rsid w:val="00AC41CF"/>
    <w:rPr>
      <w:b/>
    </w:rPr>
  </w:style>
  <w:style w:type="paragraph" w:customStyle="1" w:styleId="xDisclaimerText">
    <w:name w:val="xDisclaimer Text"/>
    <w:basedOn w:val="Normal"/>
    <w:uiPriority w:val="39"/>
    <w:rsid w:val="00961DBB"/>
    <w:pPr>
      <w:spacing w:after="57" w:line="302" w:lineRule="atLeast"/>
    </w:pPr>
    <w:rPr>
      <w:rFonts w:cs="Times New Roman"/>
    </w:rPr>
  </w:style>
  <w:style w:type="paragraph" w:customStyle="1" w:styleId="xDisclaimerText2">
    <w:name w:val="xDisclaimer Text 2"/>
    <w:basedOn w:val="xDisclaimerHeading"/>
    <w:uiPriority w:val="39"/>
    <w:rsid w:val="00961DBB"/>
    <w:pPr>
      <w:framePr w:wrap="around"/>
      <w:spacing w:before="0" w:after="170" w:line="302" w:lineRule="atLeast"/>
    </w:pPr>
    <w:rPr>
      <w:b w:val="0"/>
    </w:rPr>
  </w:style>
  <w:style w:type="paragraph" w:customStyle="1" w:styleId="xDisclaimertext3">
    <w:name w:val="xDisclaimer text 3"/>
    <w:basedOn w:val="xDisclaimerText"/>
    <w:uiPriority w:val="39"/>
    <w:rsid w:val="00961DBB"/>
    <w:pPr>
      <w:spacing w:before="170" w:after="170"/>
    </w:pPr>
  </w:style>
  <w:style w:type="paragraph" w:customStyle="1" w:styleId="xInlineShape">
    <w:name w:val="xInlineShape"/>
    <w:basedOn w:val="Normal"/>
    <w:next w:val="BodyText"/>
    <w:uiPriority w:val="39"/>
    <w:rsid w:val="009A3E58"/>
    <w:pPr>
      <w:keepNext/>
      <w:spacing w:before="300" w:after="120" w:line="240" w:lineRule="auto"/>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1400" w:lineRule="exact"/>
      <w:jc w:val="center"/>
    </w:pPr>
    <w:rPr>
      <w:caps/>
      <w:color w:val="EAEAEA"/>
      <w:spacing w:val="40"/>
      <w:sz w:val="140"/>
    </w:rPr>
  </w:style>
  <w:style w:type="paragraph" w:customStyle="1" w:styleId="xDisclaimerHeadingwithxDisclaimerText">
    <w:name w:val="xDisclaimer Heading (with xDisclaimer Text)"/>
    <w:basedOn w:val="xDisclaimerHeading"/>
    <w:link w:val="xDisclaimerHeadingwithxDisclaimerTextChar"/>
    <w:uiPriority w:val="39"/>
    <w:rsid w:val="00961DBB"/>
    <w:pPr>
      <w:framePr w:wrap="around"/>
    </w:pPr>
  </w:style>
  <w:style w:type="character" w:customStyle="1" w:styleId="xDisclaimerHeadingwithxDisclaimerTextChar">
    <w:name w:val="xDisclaimer Heading (with xDisclaimer Text) Char"/>
    <w:basedOn w:val="xDisclaimerHeadingChar"/>
    <w:link w:val="xDisclaimerHeadingwithxDisclaimerText"/>
    <w:uiPriority w:val="39"/>
    <w:rsid w:val="00AC41CF"/>
    <w:rPr>
      <w:b/>
    </w:rPr>
  </w:style>
  <w:style w:type="character" w:styleId="Hyperlink">
    <w:name w:val="Hyperlink"/>
    <w:basedOn w:val="DefaultParagraphFont"/>
    <w:uiPriority w:val="99"/>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CaptionBefore12pt">
    <w:name w:val="Caption + Before: 12pt"/>
    <w:basedOn w:val="Caption"/>
    <w:uiPriority w:val="39"/>
    <w:rsid w:val="00FD6119"/>
    <w:pPr>
      <w:spacing w:before="240"/>
    </w:pPr>
  </w:style>
  <w:style w:type="paragraph" w:customStyle="1" w:styleId="xBackPageWebAddress">
    <w:name w:val="xBack Page Web Address"/>
    <w:basedOn w:val="Normal"/>
    <w:uiPriority w:val="39"/>
    <w:rsid w:val="00F31392"/>
    <w:pPr>
      <w:spacing w:before="140" w:line="240" w:lineRule="atLeast"/>
    </w:pPr>
    <w:rPr>
      <w:rFonts w:asciiTheme="majorHAnsi" w:hAnsiTheme="majorHAnsi"/>
      <w:color w:val="FFFFFF"/>
      <w:spacing w:val="-6"/>
      <w:sz w:val="40"/>
      <w:szCs w:val="36"/>
    </w:rPr>
  </w:style>
  <w:style w:type="paragraph" w:customStyle="1" w:styleId="Heading1NoNumbering">
    <w:name w:val="Heading 1 No Numbering"/>
    <w:basedOn w:val="Heading1"/>
    <w:uiPriority w:val="39"/>
    <w:rsid w:val="00A12C39"/>
    <w:pPr>
      <w:numPr>
        <w:numId w:val="0"/>
      </w:numPr>
    </w:pPr>
  </w:style>
  <w:style w:type="paragraph" w:styleId="TableofFigures">
    <w:name w:val="table of figures"/>
    <w:basedOn w:val="Normal"/>
    <w:next w:val="Normal"/>
    <w:uiPriority w:val="39"/>
    <w:rsid w:val="00D64CE2"/>
    <w:pPr>
      <w:tabs>
        <w:tab w:val="right" w:leader="underscore" w:pos="8165"/>
      </w:tabs>
      <w:spacing w:after="80"/>
      <w:ind w:right="851"/>
    </w:pPr>
  </w:style>
  <w:style w:type="paragraph" w:customStyle="1" w:styleId="SectionHeadingNoTOC">
    <w:name w:val="Section Heading No TOC"/>
    <w:basedOn w:val="SectionHeading"/>
    <w:uiPriority w:val="39"/>
    <w:rsid w:val="00E45766"/>
  </w:style>
  <w:style w:type="paragraph" w:customStyle="1" w:styleId="TableTextCentred">
    <w:name w:val="Table Text Centred"/>
    <w:basedOn w:val="TableText"/>
    <w:uiPriority w:val="18"/>
    <w:qFormat/>
    <w:rsid w:val="00AE1CC1"/>
    <w:pPr>
      <w:jc w:val="center"/>
    </w:pPr>
    <w:rPr>
      <w:rFonts w:eastAsia="Times New Roman"/>
      <w:lang w:eastAsia="en-AU"/>
    </w:rPr>
  </w:style>
  <w:style w:type="paragraph" w:customStyle="1" w:styleId="FooterRightPageNumberLS">
    <w:name w:val="Footer Right Page Number LS"/>
    <w:basedOn w:val="Normal"/>
    <w:uiPriority w:val="39"/>
    <w:rsid w:val="004E0E49"/>
    <w:pPr>
      <w:framePr w:wrap="auto" w:hAnchor="text" w:x="1"/>
      <w:spacing w:before="180" w:after="120" w:line="240" w:lineRule="auto"/>
      <w:ind w:right="283"/>
      <w:jc w:val="right"/>
    </w:pPr>
    <w:rPr>
      <w:rFonts w:eastAsia="Times New Roman" w:cs="Arial"/>
      <w:b/>
      <w:noProof/>
      <w:color w:val="788184" w:themeColor="background2"/>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paragraph" w:customStyle="1" w:styleId="PBOheader">
    <w:name w:val="PBO header"/>
    <w:basedOn w:val="Header"/>
    <w:uiPriority w:val="39"/>
    <w:rsid w:val="0046444F"/>
    <w:pPr>
      <w:spacing w:before="1320" w:after="114"/>
      <w:ind w:left="6521"/>
    </w:pPr>
    <w:rPr>
      <w:rFonts w:ascii="Arial" w:hAnsi="Arial" w:cs="Arial"/>
      <w:b/>
      <w:sz w:val="18"/>
      <w:szCs w:val="18"/>
    </w:rPr>
  </w:style>
  <w:style w:type="paragraph" w:customStyle="1" w:styleId="Letterfooter">
    <w:name w:val="Letter footer"/>
    <w:basedOn w:val="Footer"/>
    <w:uiPriority w:val="39"/>
    <w:rsid w:val="0046444F"/>
    <w:pPr>
      <w:tabs>
        <w:tab w:val="center" w:pos="4513"/>
        <w:tab w:val="right" w:pos="9026"/>
      </w:tabs>
      <w:spacing w:after="113"/>
      <w:ind w:right="-618" w:hanging="709"/>
      <w:jc w:val="center"/>
    </w:pPr>
    <w:rPr>
      <w:rFonts w:ascii="Arial" w:hAnsi="Arial" w:cs="Arial"/>
      <w:b w:val="0"/>
      <w:sz w:val="17"/>
      <w:szCs w:val="17"/>
    </w:rPr>
  </w:style>
  <w:style w:type="table" w:styleId="LightGrid-Accent6">
    <w:name w:val="Light Grid Accent 6"/>
    <w:basedOn w:val="TableNormal"/>
    <w:uiPriority w:val="62"/>
    <w:rsid w:val="00441A6D"/>
    <w:pPr>
      <w:spacing w:line="240" w:lineRule="auto"/>
    </w:pPr>
    <w:tblPr>
      <w:tblStyleRowBandSize w:val="1"/>
      <w:tblStyleColBandSize w:val="1"/>
      <w:tblBorders>
        <w:top w:val="single" w:sz="8" w:space="0" w:color="788184" w:themeColor="accent6"/>
        <w:left w:val="single" w:sz="8" w:space="0" w:color="788184" w:themeColor="accent6"/>
        <w:bottom w:val="single" w:sz="8" w:space="0" w:color="788184" w:themeColor="accent6"/>
        <w:right w:val="single" w:sz="8" w:space="0" w:color="788184" w:themeColor="accent6"/>
        <w:insideH w:val="single" w:sz="8" w:space="0" w:color="788184" w:themeColor="accent6"/>
        <w:insideV w:val="single" w:sz="8" w:space="0" w:color="78818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88184" w:themeColor="accent6"/>
          <w:left w:val="single" w:sz="8" w:space="0" w:color="788184" w:themeColor="accent6"/>
          <w:bottom w:val="single" w:sz="18" w:space="0" w:color="788184" w:themeColor="accent6"/>
          <w:right w:val="single" w:sz="8" w:space="0" w:color="788184" w:themeColor="accent6"/>
          <w:insideH w:val="nil"/>
          <w:insideV w:val="single" w:sz="8" w:space="0" w:color="78818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88184" w:themeColor="accent6"/>
          <w:left w:val="single" w:sz="8" w:space="0" w:color="788184" w:themeColor="accent6"/>
          <w:bottom w:val="single" w:sz="8" w:space="0" w:color="788184" w:themeColor="accent6"/>
          <w:right w:val="single" w:sz="8" w:space="0" w:color="788184" w:themeColor="accent6"/>
          <w:insideH w:val="nil"/>
          <w:insideV w:val="single" w:sz="8" w:space="0" w:color="788184" w:themeColor="accent6"/>
        </w:tcBorders>
      </w:tcPr>
    </w:tblStylePr>
    <w:tblStylePr w:type="firstCol">
      <w:rPr>
        <w:rFonts w:asciiTheme="majorHAnsi" w:eastAsiaTheme="majorEastAsia" w:hAnsiTheme="majorHAnsi" w:cstheme="majorBidi"/>
        <w:b w:val="0"/>
        <w:bCs/>
      </w:rPr>
    </w:tblStylePr>
    <w:tblStylePr w:type="lastCol">
      <w:rPr>
        <w:rFonts w:asciiTheme="majorHAnsi" w:eastAsiaTheme="majorEastAsia" w:hAnsiTheme="majorHAnsi" w:cstheme="majorBidi"/>
        <w:b/>
        <w:bCs/>
      </w:rPr>
      <w:tblPr/>
      <w:tcPr>
        <w:tcBorders>
          <w:top w:val="single" w:sz="8" w:space="0" w:color="788184" w:themeColor="accent6"/>
          <w:left w:val="single" w:sz="8" w:space="0" w:color="788184" w:themeColor="accent6"/>
          <w:bottom w:val="single" w:sz="8" w:space="0" w:color="788184" w:themeColor="accent6"/>
          <w:right w:val="single" w:sz="8" w:space="0" w:color="788184" w:themeColor="accent6"/>
        </w:tcBorders>
      </w:tcPr>
    </w:tblStylePr>
    <w:tblStylePr w:type="band1Vert">
      <w:tblPr/>
      <w:tcPr>
        <w:tcBorders>
          <w:top w:val="single" w:sz="8" w:space="0" w:color="788184" w:themeColor="accent6"/>
          <w:left w:val="single" w:sz="8" w:space="0" w:color="788184" w:themeColor="accent6"/>
          <w:bottom w:val="single" w:sz="8" w:space="0" w:color="788184" w:themeColor="accent6"/>
          <w:right w:val="single" w:sz="8" w:space="0" w:color="788184" w:themeColor="accent6"/>
        </w:tcBorders>
        <w:shd w:val="clear" w:color="auto" w:fill="DDDFE0" w:themeFill="accent6" w:themeFillTint="3F"/>
      </w:tcPr>
    </w:tblStylePr>
    <w:tblStylePr w:type="band1Horz">
      <w:tblPr/>
      <w:tcPr>
        <w:tcBorders>
          <w:top w:val="single" w:sz="8" w:space="0" w:color="788184" w:themeColor="accent6"/>
          <w:left w:val="single" w:sz="8" w:space="0" w:color="788184" w:themeColor="accent6"/>
          <w:bottom w:val="single" w:sz="8" w:space="0" w:color="788184" w:themeColor="accent6"/>
          <w:right w:val="single" w:sz="8" w:space="0" w:color="788184" w:themeColor="accent6"/>
          <w:insideV w:val="single" w:sz="8" w:space="0" w:color="788184" w:themeColor="accent6"/>
        </w:tcBorders>
        <w:shd w:val="clear" w:color="auto" w:fill="DDDFE0" w:themeFill="accent6" w:themeFillTint="3F"/>
      </w:tcPr>
    </w:tblStylePr>
    <w:tblStylePr w:type="band2Horz">
      <w:tblPr/>
      <w:tcPr>
        <w:tcBorders>
          <w:top w:val="single" w:sz="8" w:space="0" w:color="788184" w:themeColor="accent6"/>
          <w:left w:val="single" w:sz="8" w:space="0" w:color="788184" w:themeColor="accent6"/>
          <w:bottom w:val="single" w:sz="8" w:space="0" w:color="788184" w:themeColor="accent6"/>
          <w:right w:val="single" w:sz="8" w:space="0" w:color="788184" w:themeColor="accent6"/>
          <w:insideV w:val="single" w:sz="8" w:space="0" w:color="788184" w:themeColor="accent6"/>
        </w:tcBorders>
      </w:tcPr>
    </w:tblStylePr>
  </w:style>
  <w:style w:type="table" w:styleId="LightGrid-Accent3">
    <w:name w:val="Light Grid Accent 3"/>
    <w:basedOn w:val="TableNormal"/>
    <w:uiPriority w:val="62"/>
    <w:rsid w:val="008112CC"/>
    <w:pPr>
      <w:spacing w:line="240" w:lineRule="auto"/>
    </w:pPr>
    <w:tblPr>
      <w:tblStyleRowBandSize w:val="1"/>
      <w:tblStyleColBandSize w:val="1"/>
      <w:tblBorders>
        <w:top w:val="single" w:sz="8" w:space="0" w:color="D7DDE9" w:themeColor="accent3"/>
        <w:left w:val="single" w:sz="8" w:space="0" w:color="D7DDE9" w:themeColor="accent3"/>
        <w:bottom w:val="single" w:sz="8" w:space="0" w:color="D7DDE9" w:themeColor="accent3"/>
        <w:right w:val="single" w:sz="8" w:space="0" w:color="D7DDE9" w:themeColor="accent3"/>
        <w:insideH w:val="single" w:sz="8" w:space="0" w:color="D7DDE9" w:themeColor="accent3"/>
        <w:insideV w:val="single" w:sz="8" w:space="0" w:color="D7DDE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7DDE9" w:themeColor="accent3"/>
          <w:left w:val="single" w:sz="8" w:space="0" w:color="D7DDE9" w:themeColor="accent3"/>
          <w:bottom w:val="single" w:sz="18" w:space="0" w:color="D7DDE9" w:themeColor="accent3"/>
          <w:right w:val="single" w:sz="8" w:space="0" w:color="D7DDE9" w:themeColor="accent3"/>
          <w:insideH w:val="nil"/>
          <w:insideV w:val="single" w:sz="8" w:space="0" w:color="D7DDE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DDE9" w:themeColor="accent3"/>
          <w:left w:val="single" w:sz="8" w:space="0" w:color="D7DDE9" w:themeColor="accent3"/>
          <w:bottom w:val="single" w:sz="8" w:space="0" w:color="D7DDE9" w:themeColor="accent3"/>
          <w:right w:val="single" w:sz="8" w:space="0" w:color="D7DDE9" w:themeColor="accent3"/>
          <w:insideH w:val="nil"/>
          <w:insideV w:val="single" w:sz="8" w:space="0" w:color="D7DDE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DDE9" w:themeColor="accent3"/>
          <w:left w:val="single" w:sz="8" w:space="0" w:color="D7DDE9" w:themeColor="accent3"/>
          <w:bottom w:val="single" w:sz="8" w:space="0" w:color="D7DDE9" w:themeColor="accent3"/>
          <w:right w:val="single" w:sz="8" w:space="0" w:color="D7DDE9" w:themeColor="accent3"/>
        </w:tcBorders>
      </w:tcPr>
    </w:tblStylePr>
    <w:tblStylePr w:type="band1Vert">
      <w:tblPr/>
      <w:tcPr>
        <w:tcBorders>
          <w:top w:val="single" w:sz="8" w:space="0" w:color="D7DDE9" w:themeColor="accent3"/>
          <w:left w:val="single" w:sz="8" w:space="0" w:color="D7DDE9" w:themeColor="accent3"/>
          <w:bottom w:val="single" w:sz="8" w:space="0" w:color="D7DDE9" w:themeColor="accent3"/>
          <w:right w:val="single" w:sz="8" w:space="0" w:color="D7DDE9" w:themeColor="accent3"/>
        </w:tcBorders>
        <w:shd w:val="clear" w:color="auto" w:fill="F5F6F9" w:themeFill="accent3" w:themeFillTint="3F"/>
      </w:tcPr>
    </w:tblStylePr>
    <w:tblStylePr w:type="band1Horz">
      <w:tblPr/>
      <w:tcPr>
        <w:tcBorders>
          <w:top w:val="single" w:sz="8" w:space="0" w:color="D7DDE9" w:themeColor="accent3"/>
          <w:left w:val="single" w:sz="8" w:space="0" w:color="D7DDE9" w:themeColor="accent3"/>
          <w:bottom w:val="single" w:sz="8" w:space="0" w:color="D7DDE9" w:themeColor="accent3"/>
          <w:right w:val="single" w:sz="8" w:space="0" w:color="D7DDE9" w:themeColor="accent3"/>
          <w:insideV w:val="single" w:sz="8" w:space="0" w:color="D7DDE9" w:themeColor="accent3"/>
        </w:tcBorders>
        <w:shd w:val="clear" w:color="auto" w:fill="F5F6F9" w:themeFill="accent3" w:themeFillTint="3F"/>
      </w:tcPr>
    </w:tblStylePr>
    <w:tblStylePr w:type="band2Horz">
      <w:tblPr/>
      <w:tcPr>
        <w:tcBorders>
          <w:top w:val="single" w:sz="8" w:space="0" w:color="D7DDE9" w:themeColor="accent3"/>
          <w:left w:val="single" w:sz="8" w:space="0" w:color="D7DDE9" w:themeColor="accent3"/>
          <w:bottom w:val="single" w:sz="8" w:space="0" w:color="D7DDE9" w:themeColor="accent3"/>
          <w:right w:val="single" w:sz="8" w:space="0" w:color="D7DDE9" w:themeColor="accent3"/>
          <w:insideV w:val="single" w:sz="8" w:space="0" w:color="D7DDE9" w:themeColor="accent3"/>
        </w:tcBorders>
      </w:tcPr>
    </w:tblStylePr>
  </w:style>
  <w:style w:type="paragraph" w:customStyle="1" w:styleId="Lettertext">
    <w:name w:val="Letter text"/>
    <w:basedOn w:val="BodyText"/>
    <w:qFormat/>
    <w:rsid w:val="00B96341"/>
    <w:pPr>
      <w:spacing w:before="240" w:after="0"/>
    </w:pPr>
    <w:rPr>
      <w:rFonts w:ascii="Calibri" w:hAnsi="Calibri"/>
      <w:spacing w:val="0"/>
    </w:rPr>
  </w:style>
  <w:style w:type="paragraph" w:customStyle="1" w:styleId="TableTextRightItalic">
    <w:name w:val="Table Text Right Italic"/>
    <w:basedOn w:val="TableTextRight"/>
    <w:uiPriority w:val="21"/>
    <w:qFormat/>
    <w:rsid w:val="00120A75"/>
    <w:rPr>
      <w:i/>
    </w:rPr>
  </w:style>
  <w:style w:type="character" w:styleId="FollowedHyperlink">
    <w:name w:val="FollowedHyperlink"/>
    <w:basedOn w:val="DefaultParagraphFont"/>
    <w:semiHidden/>
    <w:unhideWhenUsed/>
    <w:rsid w:val="003B47BC"/>
    <w:rPr>
      <w:color w:val="000000" w:themeColor="followedHyperlink"/>
      <w:u w:val="single"/>
    </w:rPr>
  </w:style>
  <w:style w:type="paragraph" w:customStyle="1" w:styleId="TableTextRightBold">
    <w:name w:val="Table Text Right Bold"/>
    <w:basedOn w:val="TableTextRight"/>
    <w:uiPriority w:val="20"/>
    <w:qFormat/>
    <w:rsid w:val="00066D54"/>
    <w:rPr>
      <w:b/>
    </w:rPr>
  </w:style>
  <w:style w:type="paragraph" w:styleId="Bibliography">
    <w:name w:val="Bibliography"/>
    <w:basedOn w:val="Normal"/>
    <w:next w:val="Normal"/>
    <w:uiPriority w:val="39"/>
    <w:unhideWhenUsed/>
    <w:rsid w:val="00DF2134"/>
  </w:style>
  <w:style w:type="paragraph" w:customStyle="1" w:styleId="Heading1spacebefore">
    <w:name w:val="Heading 1 space before"/>
    <w:basedOn w:val="Heading1"/>
    <w:link w:val="Heading1spacebeforeChar"/>
    <w:uiPriority w:val="39"/>
    <w:qFormat/>
    <w:rsid w:val="00482F63"/>
    <w:pPr>
      <w:spacing w:before="720"/>
    </w:pPr>
  </w:style>
  <w:style w:type="character" w:customStyle="1" w:styleId="Heading1spacebeforeChar">
    <w:name w:val="Heading 1 space before Char"/>
    <w:basedOn w:val="Heading1Char"/>
    <w:link w:val="Heading1spacebefore"/>
    <w:uiPriority w:val="39"/>
    <w:rsid w:val="00482F63"/>
    <w:rPr>
      <w:rFonts w:asciiTheme="majorHAnsi" w:hAnsiTheme="majorHAnsi"/>
      <w:bCs/>
      <w:color w:val="2B3B5F" w:themeColor="text2"/>
      <w:spacing w:val="-6"/>
      <w:kern w:val="32"/>
      <w:sz w:val="32"/>
      <w:szCs w:val="32"/>
    </w:rPr>
  </w:style>
  <w:style w:type="character" w:styleId="CommentReference">
    <w:name w:val="annotation reference"/>
    <w:basedOn w:val="DefaultParagraphFont"/>
    <w:semiHidden/>
    <w:unhideWhenUsed/>
    <w:rsid w:val="009758AE"/>
    <w:rPr>
      <w:sz w:val="16"/>
      <w:szCs w:val="16"/>
    </w:rPr>
  </w:style>
  <w:style w:type="paragraph" w:styleId="CommentText">
    <w:name w:val="annotation text"/>
    <w:basedOn w:val="Normal"/>
    <w:link w:val="CommentTextChar"/>
    <w:semiHidden/>
    <w:unhideWhenUsed/>
    <w:rsid w:val="009758AE"/>
    <w:pPr>
      <w:spacing w:line="240" w:lineRule="auto"/>
    </w:pPr>
    <w:rPr>
      <w:sz w:val="20"/>
      <w:szCs w:val="20"/>
    </w:rPr>
  </w:style>
  <w:style w:type="character" w:customStyle="1" w:styleId="CommentTextChar">
    <w:name w:val="Comment Text Char"/>
    <w:basedOn w:val="DefaultParagraphFont"/>
    <w:link w:val="CommentText"/>
    <w:semiHidden/>
    <w:rsid w:val="009758AE"/>
    <w:rPr>
      <w:sz w:val="20"/>
      <w:szCs w:val="20"/>
    </w:rPr>
  </w:style>
  <w:style w:type="paragraph" w:styleId="CommentSubject">
    <w:name w:val="annotation subject"/>
    <w:basedOn w:val="CommentText"/>
    <w:next w:val="CommentText"/>
    <w:link w:val="CommentSubjectChar"/>
    <w:semiHidden/>
    <w:unhideWhenUsed/>
    <w:rsid w:val="009758AE"/>
    <w:rPr>
      <w:b/>
      <w:bCs/>
    </w:rPr>
  </w:style>
  <w:style w:type="character" w:customStyle="1" w:styleId="CommentSubjectChar">
    <w:name w:val="Comment Subject Char"/>
    <w:basedOn w:val="CommentTextChar"/>
    <w:link w:val="CommentSubject"/>
    <w:semiHidden/>
    <w:rsid w:val="009758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234839">
      <w:bodyDiv w:val="1"/>
      <w:marLeft w:val="0"/>
      <w:marRight w:val="0"/>
      <w:marTop w:val="0"/>
      <w:marBottom w:val="0"/>
      <w:divBdr>
        <w:top w:val="none" w:sz="0" w:space="0" w:color="auto"/>
        <w:left w:val="none" w:sz="0" w:space="0" w:color="auto"/>
        <w:bottom w:val="none" w:sz="0" w:space="0" w:color="auto"/>
        <w:right w:val="none" w:sz="0" w:space="0" w:color="auto"/>
      </w:divBdr>
    </w:div>
    <w:div w:id="1382709790">
      <w:bodyDiv w:val="1"/>
      <w:marLeft w:val="0"/>
      <w:marRight w:val="0"/>
      <w:marTop w:val="0"/>
      <w:marBottom w:val="0"/>
      <w:divBdr>
        <w:top w:val="none" w:sz="0" w:space="0" w:color="auto"/>
        <w:left w:val="none" w:sz="0" w:space="0" w:color="auto"/>
        <w:bottom w:val="none" w:sz="0" w:space="0" w:color="auto"/>
        <w:right w:val="none" w:sz="0" w:space="0" w:color="auto"/>
      </w:divBdr>
    </w:div>
    <w:div w:id="204243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PBO\CLC%20and%20CM%20-%20non-caretaker.DOTM" TargetMode="External"/></Relationships>
</file>

<file path=word/theme/theme1.xml><?xml version="1.0" encoding="utf-8"?>
<a:theme xmlns:a="http://schemas.openxmlformats.org/drawingml/2006/main" name="Office Theme">
  <a:themeElements>
    <a:clrScheme name="PBO v1">
      <a:dk1>
        <a:srgbClr val="000000"/>
      </a:dk1>
      <a:lt1>
        <a:srgbClr val="FFFFFF"/>
      </a:lt1>
      <a:dk2>
        <a:srgbClr val="2B3B5F"/>
      </a:dk2>
      <a:lt2>
        <a:srgbClr val="788184"/>
      </a:lt2>
      <a:accent1>
        <a:srgbClr val="2B3B5F"/>
      </a:accent1>
      <a:accent2>
        <a:srgbClr val="95A4C6"/>
      </a:accent2>
      <a:accent3>
        <a:srgbClr val="D7DDE9"/>
      </a:accent3>
      <a:accent4>
        <a:srgbClr val="751D71"/>
      </a:accent4>
      <a:accent5>
        <a:srgbClr val="B267B3"/>
      </a:accent5>
      <a:accent6>
        <a:srgbClr val="788184"/>
      </a:accent6>
      <a:hlink>
        <a:srgbClr val="000000"/>
      </a:hlink>
      <a:folHlink>
        <a:srgbClr val="000000"/>
      </a:folHlink>
    </a:clrScheme>
    <a:fontScheme name="PBO v1">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b:Source>
    <b:Tag>Com17</b:Tag>
    <b:SourceType>Report</b:SourceType>
    <b:Guid>{5D22630B-20D5-45CA-BA98-CA8033D5E870}</b:Guid>
    <b:Author>
      <b:Author>
        <b:Corporate>Commonwealth of Australia</b:Corporate>
      </b:Author>
    </b:Author>
    <b:Title>2017-18 Budget</b:Title>
    <b:Year>2017</b:Year>
    <b:Publisher>Commonwealth of Australia</b:Publisher>
    <b:City>Canberra</b:City>
    <b:RefOrder>1</b:RefOrder>
  </b:Source>
</b:Sources>
</file>

<file path=customXml/itemProps1.xml><?xml version="1.0" encoding="utf-8"?>
<ds:datastoreItem xmlns:ds="http://schemas.openxmlformats.org/officeDocument/2006/customXml" ds:itemID="{8F23DD8D-BF36-45E7-98D7-3CAF19CE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CLC and CM - non-caretaker.DOTM</Template>
  <TotalTime>2</TotalTime>
  <Pages>6</Pages>
  <Words>1749</Words>
  <Characters>9971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GST-Free Electricity</vt:lpstr>
    </vt:vector>
  </TitlesOfParts>
  <Company>Parliament of Australia</Company>
  <LinksUpToDate>false</LinksUpToDate>
  <CharactersWithSpaces>11697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GST-Free Electricity</dc:title>
  <dc:creator>Parliamentary Budget Office</dc:creator>
  <cp:lastModifiedBy>Pratley, Lauren (PBO)</cp:lastModifiedBy>
  <cp:revision>7</cp:revision>
  <cp:lastPrinted>2017-08-04T01:11:00Z</cp:lastPrinted>
  <dcterms:created xsi:type="dcterms:W3CDTF">2017-08-25T01:28:00Z</dcterms:created>
  <dcterms:modified xsi:type="dcterms:W3CDTF">2017-09-08T05:22:00Z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Status">
    <vt:lpwstr/>
  </property>
  <property fmtid="{D5CDD505-2E9C-101B-9397-08002B2CF9AE}" pid="3" name="xTOCH2">
    <vt:lpwstr>Y</vt:lpwstr>
  </property>
  <property fmtid="{D5CDD505-2E9C-101B-9397-08002B2CF9AE}" pid="4" name="xTOCH3">
    <vt:lpwstr>N</vt:lpwstr>
  </property>
  <property fmtid="{D5CDD505-2E9C-101B-9397-08002B2CF9AE}" pid="5" name="xTOCTable">
    <vt:lpwstr>H</vt:lpwstr>
  </property>
  <property fmtid="{D5CDD505-2E9C-101B-9397-08002B2CF9AE}" pid="6" name="xTOCFigure">
    <vt:lpwstr>H</vt:lpwstr>
  </property>
  <property fmtid="{D5CDD505-2E9C-101B-9397-08002B2CF9AE}" pid="7" name="xTOCApp">
    <vt:lpwstr>H</vt:lpwstr>
  </property>
  <property fmtid="{D5CDD505-2E9C-101B-9397-08002B2CF9AE}" pid="8" name="xNumberedBodyText">
    <vt:lpwstr>False</vt:lpwstr>
  </property>
  <property fmtid="{D5CDD505-2E9C-101B-9397-08002B2CF9AE}" pid="9" name="xCR">
    <vt:lpwstr>Heading</vt:lpwstr>
  </property>
  <property fmtid="{D5CDD505-2E9C-101B-9397-08002B2CF9AE}" pid="10" name="xHeadingsNumbered">
    <vt:lpwstr>0</vt:lpwstr>
  </property>
  <property fmtid="{D5CDD505-2E9C-101B-9397-08002B2CF9AE}" pid="11" name="xAppendixName">
    <vt:lpwstr>Attachment</vt:lpwstr>
  </property>
  <property fmtid="{D5CDD505-2E9C-101B-9397-08002B2CF9AE}" pid="12" name="_MarkAsFinal">
    <vt:bool>true</vt:bool>
  </property>
</Properties>
</file>