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83" w:rsidRDefault="00AE6B83" w:rsidP="006A158E">
      <w:pPr>
        <w:spacing w:before="480"/>
      </w:pPr>
      <w:r>
        <w:t>Mr Andrew Laming MP</w:t>
      </w:r>
    </w:p>
    <w:p w:rsidR="00AE6B83" w:rsidRPr="00634AFD" w:rsidRDefault="00AE6B83" w:rsidP="00AE6B83">
      <w:r>
        <w:t>Federal Member for Bowman</w:t>
      </w:r>
    </w:p>
    <w:p w:rsidR="00AE6B83" w:rsidRDefault="00AE6B83" w:rsidP="00AE6B83">
      <w:r>
        <w:t>Liberal</w:t>
      </w:r>
      <w:r w:rsidRPr="00634AFD">
        <w:t xml:space="preserve"> Party</w:t>
      </w:r>
      <w:r>
        <w:t xml:space="preserve"> of Australia</w:t>
      </w:r>
    </w:p>
    <w:p w:rsidR="00AE6B83" w:rsidRDefault="00AE6B83" w:rsidP="00AE6B83">
      <w:r>
        <w:t>Parliament House</w:t>
      </w:r>
    </w:p>
    <w:p w:rsidR="00AE6B83" w:rsidRDefault="00AE6B83" w:rsidP="00AE6B83">
      <w:proofErr w:type="gramStart"/>
      <w:r>
        <w:t>CANBERRA  ACT</w:t>
      </w:r>
      <w:proofErr w:type="gramEnd"/>
      <w:r>
        <w:t xml:space="preserve">  2600 </w:t>
      </w:r>
    </w:p>
    <w:p w:rsidR="00AE6B83" w:rsidRDefault="00AE6B83" w:rsidP="006A158E">
      <w:pPr>
        <w:spacing w:before="480"/>
      </w:pPr>
      <w:r>
        <w:t>Dear Mr Laming</w:t>
      </w:r>
    </w:p>
    <w:p w:rsidR="00AE6B83" w:rsidRDefault="00AE6B83" w:rsidP="006A158E">
      <w:pPr>
        <w:spacing w:before="240"/>
      </w:pPr>
      <w:r>
        <w:t>Please find attached a response to your request for updated budget analysis on major spending measures yet to be legislated (correspondence of 24 February 2015).</w:t>
      </w:r>
    </w:p>
    <w:p w:rsidR="00AE6B83" w:rsidRPr="0017049D" w:rsidRDefault="00AE6B83" w:rsidP="006A158E">
      <w:pPr>
        <w:spacing w:before="240"/>
      </w:pPr>
      <w:r>
        <w:t xml:space="preserve">If you have any queries about this response, please do not hesitate to contact Tim Pyne on </w:t>
      </w:r>
      <w:r>
        <w:br/>
      </w:r>
      <w:r w:rsidRPr="006C65C6">
        <w:t>(02) 6277 95</w:t>
      </w:r>
      <w:r>
        <w:t>60.</w:t>
      </w:r>
    </w:p>
    <w:p w:rsidR="00AE6B83" w:rsidRDefault="00AE6B83" w:rsidP="006A158E">
      <w:pPr>
        <w:spacing w:before="240"/>
      </w:pPr>
      <w:r>
        <w:t>Yours sincerely</w:t>
      </w:r>
    </w:p>
    <w:p w:rsidR="00AE6B83" w:rsidRDefault="00AE6B83" w:rsidP="006A158E">
      <w:pPr>
        <w:spacing w:before="960"/>
      </w:pPr>
      <w:r>
        <w:t>Phil Bowen</w:t>
      </w:r>
    </w:p>
    <w:p w:rsidR="00AE6B83" w:rsidRDefault="00AE6B83" w:rsidP="00AE6B83">
      <w:pPr>
        <w:spacing w:before="120"/>
      </w:pPr>
      <w:r>
        <w:t>27 February</w:t>
      </w:r>
      <w:r w:rsidRPr="003B05EE">
        <w:t xml:space="preserve"> 2015</w:t>
      </w:r>
    </w:p>
    <w:p w:rsidR="00AE6B83" w:rsidRPr="00E82EFE" w:rsidRDefault="00AE6B83" w:rsidP="00AE6B83"/>
    <w:p w:rsidR="00AE6B83" w:rsidRDefault="00AE6B83" w:rsidP="00A564D3">
      <w:pPr>
        <w:spacing w:before="240" w:after="240"/>
        <w:jc w:val="center"/>
        <w:rPr>
          <w:rFonts w:ascii="Arial" w:hAnsi="Arial" w:cs="Arial"/>
          <w:b/>
          <w:sz w:val="30"/>
          <w:szCs w:val="30"/>
        </w:rPr>
        <w:sectPr w:rsidR="00AE6B83" w:rsidSect="002F5B52">
          <w:headerReference w:type="default" r:id="rId9"/>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pPr>
    </w:p>
    <w:p w:rsidR="00DA1000" w:rsidRPr="00DA1000" w:rsidRDefault="00DA1000" w:rsidP="00A564D3">
      <w:pPr>
        <w:spacing w:before="240" w:after="240"/>
        <w:jc w:val="center"/>
        <w:rPr>
          <w:rFonts w:ascii="Arial" w:hAnsi="Arial" w:cs="Arial"/>
          <w:b/>
          <w:sz w:val="30"/>
          <w:szCs w:val="30"/>
        </w:rPr>
      </w:pPr>
      <w:r w:rsidRPr="00DA1000">
        <w:rPr>
          <w:rFonts w:ascii="Arial" w:hAnsi="Arial" w:cs="Arial"/>
          <w:b/>
          <w:sz w:val="30"/>
          <w:szCs w:val="30"/>
        </w:rPr>
        <w:lastRenderedPageBreak/>
        <w:t xml:space="preserve">RESPONSE TO REQUEST </w:t>
      </w:r>
      <w:r w:rsidR="00724A82">
        <w:rPr>
          <w:rFonts w:ascii="Arial" w:hAnsi="Arial" w:cs="Arial"/>
          <w:b/>
          <w:sz w:val="30"/>
          <w:szCs w:val="30"/>
        </w:rPr>
        <w:t xml:space="preserve">FOR BUDGET ANALYSIS </w:t>
      </w:r>
      <w:r w:rsidRPr="00DA1000">
        <w:rPr>
          <w:rFonts w:ascii="Arial" w:hAnsi="Arial" w:cs="Arial"/>
          <w:b/>
          <w:sz w:val="30"/>
          <w:szCs w:val="30"/>
        </w:rPr>
        <w:t>– OUTSIDE THE CARETAKER PERIOD</w:t>
      </w:r>
    </w:p>
    <w:tbl>
      <w:tblPr>
        <w:tblStyle w:val="TableGrid"/>
        <w:tblW w:w="0" w:type="auto"/>
        <w:tblLook w:val="04A0" w:firstRow="1" w:lastRow="0" w:firstColumn="1" w:lastColumn="0" w:noHBand="0" w:noVBand="1"/>
      </w:tblPr>
      <w:tblGrid>
        <w:gridCol w:w="3969"/>
        <w:gridCol w:w="5783"/>
      </w:tblGrid>
      <w:tr w:rsidR="00DA1000" w:rsidTr="00DA1000">
        <w:tc>
          <w:tcPr>
            <w:tcW w:w="3969" w:type="dxa"/>
            <w:shd w:val="clear" w:color="auto" w:fill="D9D9D9" w:themeFill="background1" w:themeFillShade="D9"/>
          </w:tcPr>
          <w:p w:rsidR="00DA1000" w:rsidRPr="00DA1000" w:rsidRDefault="00DA1000" w:rsidP="002F5B52">
            <w:pPr>
              <w:spacing w:before="120" w:after="120"/>
              <w:rPr>
                <w:b/>
              </w:rPr>
            </w:pPr>
            <w:r>
              <w:rPr>
                <w:b/>
              </w:rPr>
              <w:t>Name of information request:</w:t>
            </w:r>
          </w:p>
        </w:tc>
        <w:tc>
          <w:tcPr>
            <w:tcW w:w="5783" w:type="dxa"/>
            <w:shd w:val="clear" w:color="auto" w:fill="D9D9D9" w:themeFill="background1" w:themeFillShade="D9"/>
          </w:tcPr>
          <w:p w:rsidR="00DA1000" w:rsidRPr="00DA1000" w:rsidRDefault="003C3F39" w:rsidP="00B621C7">
            <w:pPr>
              <w:spacing w:before="120" w:after="120"/>
              <w:rPr>
                <w:b/>
              </w:rPr>
            </w:pPr>
            <w:r>
              <w:rPr>
                <w:b/>
              </w:rPr>
              <w:t xml:space="preserve">Update of major yet to be </w:t>
            </w:r>
            <w:r w:rsidR="00B621C7">
              <w:rPr>
                <w:b/>
              </w:rPr>
              <w:t>legislated payment measures</w:t>
            </w:r>
          </w:p>
        </w:tc>
      </w:tr>
      <w:tr w:rsidR="00DA1000" w:rsidTr="00DA1000">
        <w:tc>
          <w:tcPr>
            <w:tcW w:w="3969" w:type="dxa"/>
          </w:tcPr>
          <w:p w:rsidR="00DA1000" w:rsidRDefault="00CF57E4" w:rsidP="002F5B52">
            <w:pPr>
              <w:spacing w:before="120" w:after="120"/>
            </w:pPr>
            <w:r>
              <w:t>Summary of request:</w:t>
            </w:r>
          </w:p>
        </w:tc>
        <w:tc>
          <w:tcPr>
            <w:tcW w:w="5783" w:type="dxa"/>
          </w:tcPr>
          <w:p w:rsidR="00C90571" w:rsidRDefault="00DA1000" w:rsidP="003C3F39">
            <w:pPr>
              <w:spacing w:before="120" w:after="120"/>
            </w:pPr>
            <w:r>
              <w:t xml:space="preserve">The request sought </w:t>
            </w:r>
            <w:r w:rsidR="00B621C7">
              <w:t>information on major</w:t>
            </w:r>
            <w:r w:rsidR="003C3F39">
              <w:t xml:space="preserve"> yet to be </w:t>
            </w:r>
            <w:r w:rsidR="00B621C7">
              <w:t xml:space="preserve">legislated </w:t>
            </w:r>
            <w:r w:rsidR="003C3F39">
              <w:t>spending</w:t>
            </w:r>
            <w:r w:rsidR="00B621C7">
              <w:t xml:space="preserve"> measures.</w:t>
            </w:r>
          </w:p>
        </w:tc>
      </w:tr>
      <w:tr w:rsidR="00DA1000" w:rsidTr="00DA1000">
        <w:tc>
          <w:tcPr>
            <w:tcW w:w="3969" w:type="dxa"/>
          </w:tcPr>
          <w:p w:rsidR="00DA1000" w:rsidRDefault="00DA1000" w:rsidP="002F5B52">
            <w:pPr>
              <w:spacing w:before="120" w:after="120"/>
            </w:pPr>
            <w:r>
              <w:t>Pers</w:t>
            </w:r>
            <w:r w:rsidR="00CF57E4">
              <w:t>on/party requesting information:</w:t>
            </w:r>
          </w:p>
        </w:tc>
        <w:tc>
          <w:tcPr>
            <w:tcW w:w="5783" w:type="dxa"/>
          </w:tcPr>
          <w:p w:rsidR="00DA1000" w:rsidRDefault="00B621C7" w:rsidP="002F5B52">
            <w:pPr>
              <w:spacing w:before="120" w:after="120"/>
            </w:pPr>
            <w:r>
              <w:t>Mr Andrew Laming MP, Member for Bowman</w:t>
            </w:r>
          </w:p>
        </w:tc>
      </w:tr>
      <w:tr w:rsidR="00DA1000" w:rsidTr="00DA1000">
        <w:tc>
          <w:tcPr>
            <w:tcW w:w="3969" w:type="dxa"/>
          </w:tcPr>
          <w:p w:rsidR="00DA1000" w:rsidRDefault="00DA1000" w:rsidP="002F5B52">
            <w:pPr>
              <w:spacing w:before="120" w:after="120"/>
            </w:pPr>
            <w:r>
              <w:t>Da</w:t>
            </w:r>
            <w:r w:rsidR="00CF57E4">
              <w:t>te information request received:</w:t>
            </w:r>
          </w:p>
        </w:tc>
        <w:tc>
          <w:tcPr>
            <w:tcW w:w="5783" w:type="dxa"/>
          </w:tcPr>
          <w:p w:rsidR="00DA1000" w:rsidRDefault="00B621C7" w:rsidP="00B621C7">
            <w:pPr>
              <w:spacing w:before="120" w:after="120"/>
            </w:pPr>
            <w:r>
              <w:t>24 February 2015</w:t>
            </w:r>
          </w:p>
        </w:tc>
      </w:tr>
      <w:tr w:rsidR="00DA1000" w:rsidTr="00DA1000">
        <w:tc>
          <w:tcPr>
            <w:tcW w:w="3969" w:type="dxa"/>
          </w:tcPr>
          <w:p w:rsidR="00DA1000" w:rsidRDefault="00CF57E4" w:rsidP="007144ED">
            <w:pPr>
              <w:spacing w:before="120" w:after="120"/>
            </w:pPr>
            <w:r>
              <w:t>Date response provided:</w:t>
            </w:r>
          </w:p>
        </w:tc>
        <w:tc>
          <w:tcPr>
            <w:tcW w:w="5783" w:type="dxa"/>
          </w:tcPr>
          <w:p w:rsidR="00DA1000" w:rsidRDefault="007144ED" w:rsidP="0006776B">
            <w:pPr>
              <w:spacing w:before="120" w:after="120"/>
            </w:pPr>
            <w:r>
              <w:t>27</w:t>
            </w:r>
            <w:r w:rsidR="00B621C7">
              <w:t xml:space="preserve"> February 2015</w:t>
            </w:r>
          </w:p>
        </w:tc>
      </w:tr>
      <w:tr w:rsidR="00DA1000" w:rsidTr="00DA1000">
        <w:tc>
          <w:tcPr>
            <w:tcW w:w="3969" w:type="dxa"/>
          </w:tcPr>
          <w:p w:rsidR="00DA1000" w:rsidRDefault="00DA1000" w:rsidP="002F5B52">
            <w:pPr>
              <w:spacing w:before="120" w:after="120"/>
            </w:pPr>
            <w:r>
              <w:t>Did the applicant ask for the information request to be confidential?</w:t>
            </w:r>
          </w:p>
        </w:tc>
        <w:tc>
          <w:tcPr>
            <w:tcW w:w="5783" w:type="dxa"/>
          </w:tcPr>
          <w:p w:rsidR="00DA1000" w:rsidRDefault="00EC61DC" w:rsidP="002F5B52">
            <w:pPr>
              <w:spacing w:before="120" w:after="120"/>
            </w:pPr>
            <w:r>
              <w:t>No</w:t>
            </w:r>
          </w:p>
        </w:tc>
      </w:tr>
      <w:tr w:rsidR="008F225E" w:rsidTr="00DA1000">
        <w:tc>
          <w:tcPr>
            <w:tcW w:w="3969" w:type="dxa"/>
          </w:tcPr>
          <w:p w:rsidR="008F225E" w:rsidRDefault="008F225E" w:rsidP="00CF57E4">
            <w:pPr>
              <w:spacing w:before="120" w:after="120"/>
            </w:pPr>
            <w:r>
              <w:t xml:space="preserve">Expiry </w:t>
            </w:r>
            <w:r w:rsidR="00CF57E4">
              <w:t>d</w:t>
            </w:r>
            <w:r>
              <w:t>ate for the information</w:t>
            </w:r>
            <w:r w:rsidR="00CF57E4">
              <w:t>:</w:t>
            </w:r>
          </w:p>
        </w:tc>
        <w:tc>
          <w:tcPr>
            <w:tcW w:w="5783" w:type="dxa"/>
          </w:tcPr>
          <w:p w:rsidR="008F225E" w:rsidRPr="008F225E" w:rsidRDefault="00B621C7" w:rsidP="00EC61DC">
            <w:pPr>
              <w:spacing w:before="120" w:after="120"/>
            </w:pPr>
            <w:r>
              <w:t xml:space="preserve">When </w:t>
            </w:r>
            <w:r w:rsidR="00B53513">
              <w:t xml:space="preserve">any of the </w:t>
            </w:r>
            <w:r>
              <w:t>measures listed are legislated, or after the release of the 2015-16 Budget.</w:t>
            </w:r>
          </w:p>
        </w:tc>
      </w:tr>
    </w:tbl>
    <w:p w:rsidR="00DA1000" w:rsidRPr="00D55A1D" w:rsidRDefault="0098631A" w:rsidP="009D7FAD">
      <w:pPr>
        <w:spacing w:before="240"/>
        <w:rPr>
          <w:b/>
        </w:rPr>
      </w:pPr>
      <w:r>
        <w:rPr>
          <w:b/>
        </w:rPr>
        <w:t>O</w:t>
      </w:r>
      <w:r w:rsidR="00D55A1D" w:rsidRPr="00D55A1D">
        <w:rPr>
          <w:b/>
        </w:rPr>
        <w:t>verview</w:t>
      </w:r>
    </w:p>
    <w:p w:rsidR="00B53513" w:rsidRDefault="00B53513" w:rsidP="009D7FAD">
      <w:pPr>
        <w:spacing w:before="240"/>
      </w:pPr>
      <w:r>
        <w:t xml:space="preserve">In the Parliamentary Budget Office (PBO) report </w:t>
      </w:r>
      <w:r w:rsidRPr="00B53513">
        <w:rPr>
          <w:i/>
        </w:rPr>
        <w:t>Projections of Government spending over the medium term</w:t>
      </w:r>
      <w:r>
        <w:t xml:space="preserve"> (02/2014), </w:t>
      </w:r>
      <w:r w:rsidR="00EC61DC">
        <w:t>A</w:t>
      </w:r>
      <w:r>
        <w:t>ttachment B at page 38 provides a table of the major spending measures that were yet to be legislated as at August 2014.</w:t>
      </w:r>
    </w:p>
    <w:p w:rsidR="00B53513" w:rsidRDefault="00B53513" w:rsidP="009D7FAD">
      <w:pPr>
        <w:spacing w:before="240"/>
      </w:pPr>
      <w:r>
        <w:t>Th</w:t>
      </w:r>
      <w:r w:rsidR="00867190">
        <w:t xml:space="preserve">e table at </w:t>
      </w:r>
      <w:r w:rsidR="00867190" w:rsidRPr="007144ED">
        <w:rPr>
          <w:u w:val="single"/>
        </w:rPr>
        <w:t>Attachment A</w:t>
      </w:r>
      <w:r w:rsidR="00867190">
        <w:t xml:space="preserve"> </w:t>
      </w:r>
      <w:r w:rsidR="007144ED">
        <w:t xml:space="preserve">to this advice </w:t>
      </w:r>
      <w:r>
        <w:t>provides an updated version of that table to take into account the legislation of any of those measures since the publication of the report, and new measures contained in the 2014-15 Mid-</w:t>
      </w:r>
      <w:r w:rsidR="00EC61DC">
        <w:t xml:space="preserve">Year Economic and Fiscal </w:t>
      </w:r>
      <w:r w:rsidR="00900C6B">
        <w:t>Outlook (MYEFO)</w:t>
      </w:r>
      <w:r w:rsidR="00EC61DC">
        <w:t xml:space="preserve"> that affect those measures listed.</w:t>
      </w:r>
    </w:p>
    <w:p w:rsidR="00123DB6" w:rsidRDefault="00123DB6" w:rsidP="009D7FAD">
      <w:pPr>
        <w:spacing w:before="240"/>
        <w:rPr>
          <w:b/>
        </w:rPr>
      </w:pPr>
      <w:r>
        <w:rPr>
          <w:b/>
        </w:rPr>
        <w:t>Notes on table</w:t>
      </w:r>
    </w:p>
    <w:p w:rsidR="005D671E" w:rsidRPr="005D671E" w:rsidRDefault="005D671E" w:rsidP="009D7FAD">
      <w:pPr>
        <w:pStyle w:val="Bullet"/>
        <w:widowControl w:val="0"/>
        <w:numPr>
          <w:ilvl w:val="0"/>
          <w:numId w:val="25"/>
        </w:numPr>
        <w:spacing w:before="240" w:after="0" w:line="240" w:lineRule="auto"/>
        <w:ind w:left="357" w:hanging="357"/>
        <w:rPr>
          <w:rFonts w:ascii="Times New Roman" w:hAnsi="Times New Roman" w:cs="Times New Roman"/>
          <w:b/>
          <w:sz w:val="24"/>
          <w:szCs w:val="24"/>
        </w:rPr>
      </w:pPr>
      <w:r w:rsidRPr="009D7FAD">
        <w:rPr>
          <w:rFonts w:ascii="Times New Roman" w:hAnsi="Times New Roman" w:cs="Times New Roman"/>
          <w:sz w:val="24"/>
          <w:szCs w:val="24"/>
        </w:rPr>
        <w:t xml:space="preserve">The table </w:t>
      </w:r>
      <w:r w:rsidR="006C37C7" w:rsidRPr="009D7FAD">
        <w:rPr>
          <w:rFonts w:ascii="Times New Roman" w:hAnsi="Times New Roman" w:cs="Times New Roman"/>
          <w:sz w:val="24"/>
          <w:szCs w:val="24"/>
        </w:rPr>
        <w:t xml:space="preserve">at </w:t>
      </w:r>
      <w:r w:rsidR="006C37C7" w:rsidRPr="009D7FAD">
        <w:rPr>
          <w:rFonts w:ascii="Times New Roman" w:hAnsi="Times New Roman" w:cs="Times New Roman"/>
          <w:sz w:val="24"/>
          <w:szCs w:val="24"/>
          <w:u w:val="single"/>
        </w:rPr>
        <w:t>Attachment A</w:t>
      </w:r>
      <w:r w:rsidRPr="009D7FAD">
        <w:rPr>
          <w:rFonts w:ascii="Times New Roman" w:hAnsi="Times New Roman" w:cs="Times New Roman"/>
          <w:sz w:val="24"/>
          <w:szCs w:val="24"/>
        </w:rPr>
        <w:t xml:space="preserve"> shows the impact of key measures yet to be legislated on spending</w:t>
      </w:r>
      <w:r w:rsidRPr="005D671E">
        <w:rPr>
          <w:rFonts w:ascii="Times New Roman" w:hAnsi="Times New Roman" w:cs="Times New Roman"/>
          <w:sz w:val="24"/>
          <w:szCs w:val="24"/>
        </w:rPr>
        <w:t xml:space="preserve"> programs covered in the PBO report </w:t>
      </w:r>
      <w:r w:rsidRPr="005D671E">
        <w:rPr>
          <w:rFonts w:ascii="Times New Roman" w:hAnsi="Times New Roman" w:cs="Times New Roman"/>
          <w:i/>
          <w:sz w:val="24"/>
          <w:szCs w:val="24"/>
        </w:rPr>
        <w:t>Projections of government spending over the medium term</w:t>
      </w:r>
      <w:r w:rsidRPr="005D671E">
        <w:rPr>
          <w:rFonts w:ascii="Times New Roman" w:hAnsi="Times New Roman" w:cs="Times New Roman"/>
          <w:sz w:val="24"/>
          <w:szCs w:val="24"/>
        </w:rPr>
        <w:t xml:space="preserve">. This information underlies Table B.2 in the PBO report. </w:t>
      </w:r>
    </w:p>
    <w:p w:rsidR="005D671E" w:rsidRPr="005D671E" w:rsidRDefault="005D671E" w:rsidP="009D7FAD">
      <w:pPr>
        <w:pStyle w:val="Bullet"/>
        <w:widowControl w:val="0"/>
        <w:numPr>
          <w:ilvl w:val="0"/>
          <w:numId w:val="25"/>
        </w:numPr>
        <w:spacing w:before="240" w:after="0" w:line="240" w:lineRule="auto"/>
        <w:ind w:left="357" w:hanging="357"/>
        <w:rPr>
          <w:rFonts w:ascii="Times New Roman" w:hAnsi="Times New Roman" w:cs="Times New Roman"/>
          <w:b/>
          <w:sz w:val="24"/>
          <w:szCs w:val="24"/>
        </w:rPr>
      </w:pPr>
      <w:r w:rsidRPr="005D671E">
        <w:rPr>
          <w:rFonts w:ascii="Times New Roman" w:hAnsi="Times New Roman" w:cs="Times New Roman"/>
          <w:sz w:val="24"/>
          <w:szCs w:val="24"/>
        </w:rPr>
        <w:t xml:space="preserve">The table includes major measures yet to be legislated but </w:t>
      </w:r>
      <w:r w:rsidRPr="005D671E">
        <w:rPr>
          <w:rFonts w:ascii="Times New Roman" w:hAnsi="Times New Roman" w:cs="Times New Roman"/>
          <w:i/>
          <w:sz w:val="24"/>
          <w:szCs w:val="24"/>
        </w:rPr>
        <w:t>is not</w:t>
      </w:r>
      <w:r w:rsidRPr="005D671E">
        <w:rPr>
          <w:rFonts w:ascii="Times New Roman" w:hAnsi="Times New Roman" w:cs="Times New Roman"/>
          <w:sz w:val="24"/>
          <w:szCs w:val="24"/>
        </w:rPr>
        <w:t xml:space="preserve"> a comprehensive list of all measures yet to be legislated. </w:t>
      </w:r>
      <w:r w:rsidRPr="005D671E">
        <w:rPr>
          <w:rFonts w:ascii="Times New Roman" w:hAnsi="Times New Roman" w:cs="Times New Roman"/>
          <w:b/>
          <w:sz w:val="24"/>
          <w:szCs w:val="24"/>
        </w:rPr>
        <w:t xml:space="preserve"> </w:t>
      </w:r>
      <w:r w:rsidRPr="005D671E">
        <w:rPr>
          <w:rFonts w:ascii="Times New Roman" w:hAnsi="Times New Roman" w:cs="Times New Roman"/>
          <w:sz w:val="24"/>
          <w:szCs w:val="24"/>
        </w:rPr>
        <w:t xml:space="preserve">The large majority of yet to be legislated measures included were contained in the 2014-15 Budget, with changes to the Medicare and higher education measures announced in the 2014-15 </w:t>
      </w:r>
      <w:r w:rsidR="00195F8A">
        <w:rPr>
          <w:rFonts w:ascii="Times New Roman" w:hAnsi="Times New Roman" w:cs="Times New Roman"/>
          <w:sz w:val="24"/>
          <w:szCs w:val="24"/>
        </w:rPr>
        <w:t>MYEFO</w:t>
      </w:r>
      <w:r w:rsidRPr="005D671E">
        <w:rPr>
          <w:rFonts w:ascii="Times New Roman" w:hAnsi="Times New Roman" w:cs="Times New Roman"/>
          <w:sz w:val="24"/>
          <w:szCs w:val="24"/>
        </w:rPr>
        <w:t xml:space="preserve">. </w:t>
      </w:r>
    </w:p>
    <w:p w:rsidR="005D671E" w:rsidRPr="005D671E" w:rsidRDefault="005D671E" w:rsidP="009D7FAD">
      <w:pPr>
        <w:pStyle w:val="Bullet"/>
        <w:widowControl w:val="0"/>
        <w:numPr>
          <w:ilvl w:val="0"/>
          <w:numId w:val="25"/>
        </w:numPr>
        <w:spacing w:before="240" w:after="0" w:line="240" w:lineRule="auto"/>
        <w:ind w:left="357" w:hanging="357"/>
        <w:rPr>
          <w:rFonts w:ascii="Times New Roman" w:hAnsi="Times New Roman" w:cs="Times New Roman"/>
          <w:sz w:val="24"/>
          <w:szCs w:val="24"/>
        </w:rPr>
      </w:pPr>
      <w:r w:rsidRPr="005D671E">
        <w:rPr>
          <w:rFonts w:ascii="Times New Roman" w:hAnsi="Times New Roman" w:cs="Times New Roman"/>
          <w:sz w:val="24"/>
          <w:szCs w:val="24"/>
        </w:rPr>
        <w:t xml:space="preserve">The expense measure related to the Fuel Tax Credits Scheme included in the PBO report has been removed, </w:t>
      </w:r>
      <w:r w:rsidR="00BE2757">
        <w:rPr>
          <w:rFonts w:ascii="Times New Roman" w:hAnsi="Times New Roman" w:cs="Times New Roman"/>
          <w:sz w:val="24"/>
          <w:szCs w:val="24"/>
        </w:rPr>
        <w:t>as this measure has been implemented by an excise tariff proposal.</w:t>
      </w:r>
    </w:p>
    <w:p w:rsidR="00123DB6" w:rsidRDefault="00123DB6">
      <w:pPr>
        <w:rPr>
          <w:b/>
        </w:rPr>
      </w:pPr>
    </w:p>
    <w:p w:rsidR="00123DB6" w:rsidRPr="00123DB6" w:rsidRDefault="00123DB6">
      <w:pPr>
        <w:sectPr w:rsidR="00123DB6" w:rsidRPr="00123DB6" w:rsidSect="002F5B52">
          <w:headerReference w:type="first" r:id="rId13"/>
          <w:footerReference w:type="first" r:id="rId14"/>
          <w:pgSz w:w="11906" w:h="16838" w:code="9"/>
          <w:pgMar w:top="1418" w:right="1134" w:bottom="1134" w:left="1134" w:header="709" w:footer="709" w:gutter="0"/>
          <w:cols w:space="708"/>
          <w:titlePg/>
          <w:docGrid w:linePitch="360"/>
        </w:sectPr>
      </w:pPr>
    </w:p>
    <w:p w:rsidR="0064175B" w:rsidRDefault="002F5B52" w:rsidP="00973828">
      <w:pPr>
        <w:spacing w:before="480" w:after="240"/>
        <w:rPr>
          <w:rFonts w:ascii="Arial" w:hAnsi="Arial" w:cs="Arial"/>
          <w:b/>
          <w:sz w:val="26"/>
          <w:szCs w:val="26"/>
        </w:rPr>
      </w:pPr>
      <w:r w:rsidRPr="000643BA">
        <w:rPr>
          <w:rFonts w:ascii="Arial" w:hAnsi="Arial" w:cs="Arial"/>
          <w:b/>
          <w:sz w:val="26"/>
          <w:szCs w:val="26"/>
        </w:rPr>
        <w:lastRenderedPageBreak/>
        <w:t>ATTACHMENT A</w:t>
      </w:r>
      <w:r w:rsidR="00B53513" w:rsidRPr="000643BA">
        <w:rPr>
          <w:rFonts w:ascii="Arial" w:hAnsi="Arial" w:cs="Arial"/>
          <w:b/>
          <w:sz w:val="26"/>
          <w:szCs w:val="26"/>
        </w:rPr>
        <w:t xml:space="preserve">: </w:t>
      </w:r>
      <w:r w:rsidR="000643BA" w:rsidRPr="000643BA">
        <w:rPr>
          <w:rFonts w:ascii="Arial" w:hAnsi="Arial" w:cs="Arial"/>
          <w:b/>
          <w:sz w:val="26"/>
          <w:szCs w:val="26"/>
        </w:rPr>
        <w:t xml:space="preserve">STATUS OF MAJOR YET TO BE LEGISLATED MEASURES INCLUDED IN </w:t>
      </w:r>
      <w:r w:rsidR="000643BA" w:rsidRPr="000643BA">
        <w:rPr>
          <w:rFonts w:ascii="Arial" w:hAnsi="Arial" w:cs="Arial"/>
          <w:b/>
          <w:i/>
          <w:sz w:val="26"/>
          <w:szCs w:val="26"/>
        </w:rPr>
        <w:t>PROJECTIONS OF GOVERNMENT SPENDING OVER THE MEDIUM TERM</w:t>
      </w:r>
      <w:r w:rsidRPr="000643BA">
        <w:rPr>
          <w:rFonts w:ascii="Arial" w:hAnsi="Arial" w:cs="Arial"/>
          <w:b/>
          <w:sz w:val="26"/>
          <w:szCs w:val="26"/>
        </w:rPr>
        <w:t xml:space="preserve"> </w:t>
      </w:r>
    </w:p>
    <w:tbl>
      <w:tblPr>
        <w:tblW w:w="21400" w:type="dxa"/>
        <w:tblInd w:w="93" w:type="dxa"/>
        <w:tblLook w:val="04A0" w:firstRow="1" w:lastRow="0" w:firstColumn="1" w:lastColumn="0" w:noHBand="0" w:noVBand="1"/>
      </w:tblPr>
      <w:tblGrid>
        <w:gridCol w:w="2440"/>
        <w:gridCol w:w="5678"/>
        <w:gridCol w:w="1660"/>
        <w:gridCol w:w="855"/>
        <w:gridCol w:w="855"/>
        <w:gridCol w:w="855"/>
        <w:gridCol w:w="855"/>
        <w:gridCol w:w="855"/>
        <w:gridCol w:w="855"/>
        <w:gridCol w:w="855"/>
        <w:gridCol w:w="855"/>
        <w:gridCol w:w="855"/>
        <w:gridCol w:w="855"/>
        <w:gridCol w:w="855"/>
        <w:gridCol w:w="917"/>
        <w:gridCol w:w="1300"/>
      </w:tblGrid>
      <w:tr w:rsidR="008D3075" w:rsidRPr="00A17F37" w:rsidTr="008D3075">
        <w:trPr>
          <w:trHeight w:val="284"/>
        </w:trPr>
        <w:tc>
          <w:tcPr>
            <w:tcW w:w="2440" w:type="dxa"/>
            <w:tcBorders>
              <w:top w:val="nil"/>
              <w:left w:val="nil"/>
              <w:bottom w:val="nil"/>
              <w:right w:val="nil"/>
            </w:tcBorders>
            <w:shd w:val="clear" w:color="000000" w:fill="D9D9D9"/>
            <w:noWrap/>
            <w:vAlign w:val="bottom"/>
            <w:hideMark/>
          </w:tcPr>
          <w:p w:rsidR="008D3075" w:rsidRPr="00A17F37" w:rsidRDefault="008D3075" w:rsidP="007B6D5C">
            <w:pPr>
              <w:rPr>
                <w:rFonts w:eastAsia="Times New Roman"/>
                <w:b/>
                <w:bCs/>
                <w:color w:val="000000"/>
                <w:sz w:val="16"/>
                <w:szCs w:val="16"/>
                <w:lang w:eastAsia="en-AU"/>
              </w:rPr>
            </w:pPr>
            <w:bookmarkStart w:id="0" w:name="_GoBack"/>
            <w:bookmarkEnd w:id="0"/>
            <w:r w:rsidRPr="00A17F37">
              <w:rPr>
                <w:rFonts w:eastAsia="Times New Roman"/>
                <w:b/>
                <w:bCs/>
                <w:color w:val="000000"/>
                <w:sz w:val="16"/>
                <w:szCs w:val="16"/>
                <w:lang w:eastAsia="en-AU"/>
              </w:rPr>
              <w:t>Program</w:t>
            </w:r>
          </w:p>
        </w:tc>
        <w:tc>
          <w:tcPr>
            <w:tcW w:w="5678" w:type="dxa"/>
            <w:tcBorders>
              <w:top w:val="nil"/>
              <w:left w:val="nil"/>
              <w:bottom w:val="nil"/>
              <w:right w:val="nil"/>
            </w:tcBorders>
            <w:shd w:val="clear" w:color="000000" w:fill="D9D9D9"/>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Measure</w:t>
            </w:r>
          </w:p>
        </w:tc>
        <w:tc>
          <w:tcPr>
            <w:tcW w:w="1660"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Status of measure</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2014-15</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2015-16</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2016-17</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2017-18</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2018-19</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2019-20</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2020-21</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2021-22</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2022-23</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2023-24</w:t>
            </w:r>
          </w:p>
        </w:tc>
        <w:tc>
          <w:tcPr>
            <w:tcW w:w="855"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2024-25</w:t>
            </w:r>
          </w:p>
        </w:tc>
        <w:tc>
          <w:tcPr>
            <w:tcW w:w="917"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Total</w:t>
            </w:r>
          </w:p>
        </w:tc>
        <w:tc>
          <w:tcPr>
            <w:tcW w:w="1300" w:type="dxa"/>
            <w:tcBorders>
              <w:top w:val="nil"/>
              <w:left w:val="nil"/>
              <w:bottom w:val="nil"/>
              <w:right w:val="nil"/>
            </w:tcBorders>
            <w:shd w:val="clear" w:color="000000" w:fill="D9D9D9"/>
            <w:noWrap/>
            <w:vAlign w:val="bottom"/>
            <w:hideMark/>
          </w:tcPr>
          <w:p w:rsidR="008D3075" w:rsidRPr="00A17F37" w:rsidRDefault="008D3075" w:rsidP="007B6D5C">
            <w:pPr>
              <w:jc w:val="center"/>
              <w:rPr>
                <w:rFonts w:eastAsia="Times New Roman"/>
                <w:b/>
                <w:bCs/>
                <w:color w:val="000000"/>
                <w:sz w:val="16"/>
                <w:szCs w:val="16"/>
                <w:lang w:eastAsia="en-AU"/>
              </w:rPr>
            </w:pPr>
            <w:r w:rsidRPr="00A17F37">
              <w:rPr>
                <w:rFonts w:eastAsia="Times New Roman"/>
                <w:b/>
                <w:bCs/>
                <w:color w:val="000000"/>
                <w:sz w:val="16"/>
                <w:szCs w:val="16"/>
                <w:lang w:eastAsia="en-AU"/>
              </w:rPr>
              <w:t>Published source</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917"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Age Pension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Index Pension and Equivalent Payments by the CPI</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-612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-1,365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-1,908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-2,793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-4,051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-5,114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-6,782</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-22,803</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203</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Age Pension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Reset the assets test deeming rate thresholds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-74</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-496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208</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Carer Income Support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Maintain eligibility thresholds for Australian Government payments for three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-98</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Carer Income Support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Education Entry Supplement - cessation</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197</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Carer Income Support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Reset the assets test deeming rate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208</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Carer Income Support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Index Pension and Equivalent Payments by the CPI</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-475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-607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-793</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-2,686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203</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Child Care</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Maintain eligibility thresholds for Australian Government payments for three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-112</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-893</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DSP</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Maintain eligibility thresholds for Australian Government payments for three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DSP</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Education entry supplement - cessation of indexation</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-64</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197</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DSP</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Reset the assets test deeming rate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208</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DSP</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Index Pension and equivalent payments by the CPI</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-194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-404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-594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-875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-1,243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-1,576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-2,046</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-6,988</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203</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Tax Benefit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Payment Reform package - Maintain FTB payment rates for two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-399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-719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-730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-741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-779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-815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-849.8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-888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-930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-962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-996</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-8,808</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Tax Benefit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Payment Reform package - Revise FTB end-of-year supplements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-399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-425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-487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-554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-623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-693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-775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-857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-941</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-6,162</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200</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Tax Benefit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Payment Reform package - Limit FTB B to families with children under six years of age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-1,579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-1,646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-1,718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-1,792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-1,871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-1,952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-2,037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-2,124</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-15,051</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198</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Family Tax Benefit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Maintain eligibility thresholds for Australian Government payments for three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-317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-329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-341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-354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-371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-383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-401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-414</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-3,549</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199</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 Reforms — amendments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426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592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755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1,074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1,262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1,483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1,743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2,048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2,407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2,828</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15,532</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MYEFO p. 151</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A Sustainable Higher Education Loan Programme - Repayment thresholds and indexation</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-349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-459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-583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-731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-904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-1,100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-1,504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-1,605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-1,718</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-11,672</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77</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Expanding Opportunity - Expansion of the demand driven system and sharing the cost fairly</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-399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-532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-474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-375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-373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-351</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-3,903</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84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Expanding Opportunity - A more effective Higher Education Participation Programme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-35</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-241</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84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Expanding Opportunity - Higher Education Indexation — revised arrangements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-179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-209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-236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-265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-297</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-1,675</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84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Higher education</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A Sustainable Higher Education Loan Programme -  Research Training Scheme — student contributions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-68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-90</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-735</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79</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Medicare Benefits Schedule</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A strong and sustainable Medicare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-184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354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-291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-323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-317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-309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-302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-294</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-2,343</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MYEFO p. 166</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Medicare Benefits Schedule</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Introducing patient contributions for general practitioner, pathology and diagnostic imaging services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-1,164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-1,182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-1,227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-1,278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-1,331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-1,385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-1,441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-1,499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-1,560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-1,623</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-13,689</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84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Medicare Benefits Schedule</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Simplifying Medicare safety net arrangements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-128</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-1,148</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145</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Medicare Benefits Schedule</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Pausing indexation of some Medicare Benefits Schedule fees and the Medicare Levy Surcharge and Private Health Insurance Rebate thresholds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-132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-280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-291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-307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-328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-346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-388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-433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-455</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-3,736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139</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Newstart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Increasing the eligibility age for Newstart allowance and sickness allowance</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-121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-831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-1,069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-1,016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-1,008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-993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-1,007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-1,037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-1,067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-1,100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-1,138</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-10,386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203</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Newstart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Maintain eligibility thresholds for Australian Government payments for three years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-8</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-71</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204</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Newstart</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Stronger participation incentives for job seekers under 30</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-111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-237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-244</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-239</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-242</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-250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-260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-271</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-281</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-2,616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210</w:t>
            </w:r>
          </w:p>
        </w:tc>
      </w:tr>
      <w:tr w:rsidR="008D3075" w:rsidRPr="00A17F37" w:rsidTr="008D3075">
        <w:trPr>
          <w:trHeight w:val="284"/>
        </w:trPr>
        <w:tc>
          <w:tcPr>
            <w:tcW w:w="244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PBS</w:t>
            </w:r>
          </w:p>
        </w:tc>
        <w:tc>
          <w:tcPr>
            <w:tcW w:w="5678" w:type="dxa"/>
            <w:tcBorders>
              <w:top w:val="nil"/>
              <w:left w:val="nil"/>
              <w:bottom w:val="nil"/>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Increase in co-payments and safety net thresholds</w:t>
            </w:r>
          </w:p>
        </w:tc>
        <w:tc>
          <w:tcPr>
            <w:tcW w:w="1660" w:type="dxa"/>
            <w:tcBorders>
              <w:top w:val="nil"/>
              <w:left w:val="nil"/>
              <w:bottom w:val="nil"/>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-145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-306</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-447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-487</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-495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-503</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-510</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-518</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-525</w:t>
            </w:r>
          </w:p>
        </w:tc>
        <w:tc>
          <w:tcPr>
            <w:tcW w:w="855"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-535</w:t>
            </w:r>
          </w:p>
        </w:tc>
        <w:tc>
          <w:tcPr>
            <w:tcW w:w="917" w:type="dxa"/>
            <w:tcBorders>
              <w:top w:val="nil"/>
              <w:left w:val="nil"/>
              <w:bottom w:val="nil"/>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-4,836</w:t>
            </w:r>
          </w:p>
        </w:tc>
        <w:tc>
          <w:tcPr>
            <w:tcW w:w="1300" w:type="dxa"/>
            <w:tcBorders>
              <w:top w:val="nil"/>
              <w:left w:val="nil"/>
              <w:bottom w:val="nil"/>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140</w:t>
            </w:r>
          </w:p>
        </w:tc>
      </w:tr>
      <w:tr w:rsidR="008D3075" w:rsidRPr="00A17F37" w:rsidTr="008D3075">
        <w:trPr>
          <w:trHeight w:val="284"/>
        </w:trPr>
        <w:tc>
          <w:tcPr>
            <w:tcW w:w="244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Private Health Insurance Rebate</w:t>
            </w:r>
          </w:p>
        </w:tc>
        <w:tc>
          <w:tcPr>
            <w:tcW w:w="5678" w:type="dxa"/>
            <w:tcBorders>
              <w:top w:val="nil"/>
              <w:left w:val="nil"/>
              <w:bottom w:val="single" w:sz="4" w:space="0" w:color="auto"/>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Pausing indexation of some Medicare Benefits Schedule fees and the Medicare Levy Surcharge and Private Health Insurance Rebate thresholds</w:t>
            </w:r>
          </w:p>
        </w:tc>
        <w:tc>
          <w:tcPr>
            <w:tcW w:w="166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Unlegislated</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 </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-99</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-189</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-290</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-312</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-336</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-361</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-389</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-418</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-450</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-484</w:t>
            </w:r>
          </w:p>
        </w:tc>
        <w:tc>
          <w:tcPr>
            <w:tcW w:w="917"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color w:val="000000"/>
                <w:sz w:val="16"/>
                <w:szCs w:val="16"/>
                <w:lang w:eastAsia="en-AU"/>
              </w:rPr>
            </w:pPr>
            <w:r w:rsidRPr="00A17F37">
              <w:rPr>
                <w:rFonts w:eastAsia="Times New Roman"/>
                <w:color w:val="000000"/>
                <w:sz w:val="16"/>
                <w:szCs w:val="16"/>
                <w:lang w:eastAsia="en-AU"/>
              </w:rPr>
              <w:t>-3,329</w:t>
            </w:r>
          </w:p>
        </w:tc>
        <w:tc>
          <w:tcPr>
            <w:tcW w:w="130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BP2 p. 139</w:t>
            </w:r>
          </w:p>
        </w:tc>
      </w:tr>
      <w:tr w:rsidR="008D3075" w:rsidRPr="00A17F37" w:rsidTr="008D3075">
        <w:trPr>
          <w:trHeight w:val="284"/>
        </w:trPr>
        <w:tc>
          <w:tcPr>
            <w:tcW w:w="244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Total unlegislated</w:t>
            </w:r>
          </w:p>
        </w:tc>
        <w:tc>
          <w:tcPr>
            <w:tcW w:w="5678" w:type="dxa"/>
            <w:tcBorders>
              <w:top w:val="nil"/>
              <w:left w:val="nil"/>
              <w:bottom w:val="single" w:sz="4" w:space="0" w:color="auto"/>
              <w:right w:val="nil"/>
            </w:tcBorders>
            <w:shd w:val="clear" w:color="auto" w:fill="auto"/>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 </w:t>
            </w:r>
          </w:p>
        </w:tc>
        <w:tc>
          <w:tcPr>
            <w:tcW w:w="166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b/>
                <w:bCs/>
                <w:color w:val="000000"/>
                <w:sz w:val="16"/>
                <w:szCs w:val="16"/>
                <w:lang w:eastAsia="en-AU"/>
              </w:rPr>
            </w:pPr>
            <w:r w:rsidRPr="00A17F37">
              <w:rPr>
                <w:rFonts w:eastAsia="Times New Roman"/>
                <w:b/>
                <w:bCs/>
                <w:color w:val="000000"/>
                <w:sz w:val="16"/>
                <w:szCs w:val="16"/>
                <w:lang w:eastAsia="en-AU"/>
              </w:rPr>
              <w:t> </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-1,173</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-4,203</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-5,590</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-7,920</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-9,022</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-10,316</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-11,346</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-12,850</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-14,814</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-16,499</w:t>
            </w:r>
          </w:p>
        </w:tc>
        <w:tc>
          <w:tcPr>
            <w:tcW w:w="855"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-18,942</w:t>
            </w:r>
          </w:p>
        </w:tc>
        <w:tc>
          <w:tcPr>
            <w:tcW w:w="917" w:type="dxa"/>
            <w:tcBorders>
              <w:top w:val="nil"/>
              <w:left w:val="nil"/>
              <w:bottom w:val="single" w:sz="4" w:space="0" w:color="auto"/>
              <w:right w:val="nil"/>
            </w:tcBorders>
            <w:shd w:val="clear" w:color="auto" w:fill="auto"/>
            <w:noWrap/>
            <w:hideMark/>
          </w:tcPr>
          <w:p w:rsidR="008D3075" w:rsidRPr="00A17F37" w:rsidRDefault="008D3075" w:rsidP="007B6D5C">
            <w:pPr>
              <w:jc w:val="right"/>
              <w:rPr>
                <w:rFonts w:eastAsia="Times New Roman"/>
                <w:b/>
                <w:bCs/>
                <w:color w:val="000000"/>
                <w:sz w:val="16"/>
                <w:szCs w:val="16"/>
                <w:lang w:eastAsia="en-AU"/>
              </w:rPr>
            </w:pPr>
            <w:r w:rsidRPr="00A17F37">
              <w:rPr>
                <w:rFonts w:eastAsia="Times New Roman"/>
                <w:b/>
                <w:bCs/>
                <w:color w:val="000000"/>
                <w:sz w:val="16"/>
                <w:szCs w:val="16"/>
                <w:lang w:eastAsia="en-AU"/>
              </w:rPr>
              <w:t>-112,673</w:t>
            </w:r>
          </w:p>
        </w:tc>
        <w:tc>
          <w:tcPr>
            <w:tcW w:w="1300" w:type="dxa"/>
            <w:tcBorders>
              <w:top w:val="nil"/>
              <w:left w:val="nil"/>
              <w:bottom w:val="single" w:sz="4" w:space="0" w:color="auto"/>
              <w:right w:val="nil"/>
            </w:tcBorders>
            <w:shd w:val="clear" w:color="auto" w:fill="auto"/>
            <w:noWrap/>
            <w:hideMark/>
          </w:tcPr>
          <w:p w:rsidR="008D3075" w:rsidRPr="00A17F37" w:rsidRDefault="008D3075" w:rsidP="007B6D5C">
            <w:pPr>
              <w:rPr>
                <w:rFonts w:eastAsia="Times New Roman"/>
                <w:color w:val="000000"/>
                <w:sz w:val="16"/>
                <w:szCs w:val="16"/>
                <w:lang w:eastAsia="en-AU"/>
              </w:rPr>
            </w:pPr>
            <w:r w:rsidRPr="00A17F37">
              <w:rPr>
                <w:rFonts w:eastAsia="Times New Roman"/>
                <w:color w:val="000000"/>
                <w:sz w:val="16"/>
                <w:szCs w:val="16"/>
                <w:lang w:eastAsia="en-AU"/>
              </w:rPr>
              <w:t> </w:t>
            </w:r>
          </w:p>
        </w:tc>
      </w:tr>
    </w:tbl>
    <w:p w:rsidR="008D3075" w:rsidRPr="000643BA" w:rsidRDefault="008D3075" w:rsidP="0064175B">
      <w:pPr>
        <w:rPr>
          <w:rFonts w:ascii="Arial" w:hAnsi="Arial" w:cs="Arial"/>
          <w:b/>
          <w:sz w:val="26"/>
          <w:szCs w:val="26"/>
        </w:rPr>
      </w:pPr>
    </w:p>
    <w:sectPr w:rsidR="008D3075" w:rsidRPr="000643BA" w:rsidSect="007B4012">
      <w:headerReference w:type="first" r:id="rId15"/>
      <w:footerReference w:type="first" r:id="rId16"/>
      <w:pgSz w:w="23814" w:h="16839" w:orient="landscape" w:code="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07" w:rsidRDefault="00186907" w:rsidP="00DA1000">
      <w:r>
        <w:separator/>
      </w:r>
    </w:p>
  </w:endnote>
  <w:endnote w:type="continuationSeparator" w:id="0">
    <w:p w:rsidR="00186907" w:rsidRDefault="00186907" w:rsidP="00DA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3717318"/>
      <w:docPartObj>
        <w:docPartGallery w:val="Page Numbers (Bottom of Page)"/>
        <w:docPartUnique/>
      </w:docPartObj>
    </w:sdtPr>
    <w:sdtEndPr/>
    <w:sdtContent>
      <w:sdt>
        <w:sdtPr>
          <w:rPr>
            <w:sz w:val="20"/>
            <w:szCs w:val="20"/>
          </w:rPr>
          <w:id w:val="2027906765"/>
          <w:docPartObj>
            <w:docPartGallery w:val="Page Numbers (Top of Page)"/>
            <w:docPartUnique/>
          </w:docPartObj>
        </w:sdtPr>
        <w:sdtEndPr/>
        <w:sdtContent>
          <w:p w:rsidR="00186907" w:rsidRPr="002F5B52" w:rsidRDefault="00186907" w:rsidP="00A564D3">
            <w:pPr>
              <w:pStyle w:val="Footer"/>
              <w:spacing w:before="120"/>
              <w:jc w:val="center"/>
              <w:rPr>
                <w:sz w:val="20"/>
                <w:szCs w:val="20"/>
              </w:rPr>
            </w:pPr>
            <w:r w:rsidRPr="002F5B52">
              <w:rPr>
                <w:sz w:val="20"/>
                <w:szCs w:val="20"/>
              </w:rPr>
              <w:t xml:space="preserve">Page </w:t>
            </w:r>
            <w:r w:rsidRPr="002F5B52">
              <w:rPr>
                <w:bCs/>
                <w:sz w:val="20"/>
                <w:szCs w:val="20"/>
              </w:rPr>
              <w:fldChar w:fldCharType="begin"/>
            </w:r>
            <w:r w:rsidRPr="002F5B52">
              <w:rPr>
                <w:bCs/>
                <w:sz w:val="20"/>
                <w:szCs w:val="20"/>
              </w:rPr>
              <w:instrText xml:space="preserve"> PAGE </w:instrText>
            </w:r>
            <w:r w:rsidRPr="002F5B52">
              <w:rPr>
                <w:bCs/>
                <w:sz w:val="20"/>
                <w:szCs w:val="20"/>
              </w:rPr>
              <w:fldChar w:fldCharType="separate"/>
            </w:r>
            <w:r w:rsidR="00CF57E4">
              <w:rPr>
                <w:bCs/>
                <w:noProof/>
                <w:sz w:val="20"/>
                <w:szCs w:val="20"/>
              </w:rPr>
              <w:t>1</w:t>
            </w:r>
            <w:r w:rsidRPr="002F5B52">
              <w:rPr>
                <w:bCs/>
                <w:sz w:val="20"/>
                <w:szCs w:val="20"/>
              </w:rPr>
              <w:fldChar w:fldCharType="end"/>
            </w:r>
            <w:r w:rsidRPr="002F5B52">
              <w:rPr>
                <w:sz w:val="20"/>
                <w:szCs w:val="20"/>
              </w:rPr>
              <w:t xml:space="preserve"> of </w:t>
            </w:r>
            <w:r w:rsidRPr="002F5B52">
              <w:rPr>
                <w:bCs/>
                <w:sz w:val="20"/>
                <w:szCs w:val="20"/>
              </w:rPr>
              <w:fldChar w:fldCharType="begin"/>
            </w:r>
            <w:r w:rsidRPr="002F5B52">
              <w:rPr>
                <w:bCs/>
                <w:sz w:val="20"/>
                <w:szCs w:val="20"/>
              </w:rPr>
              <w:instrText xml:space="preserve"> NUMPAGES  </w:instrText>
            </w:r>
            <w:r w:rsidRPr="002F5B52">
              <w:rPr>
                <w:bCs/>
                <w:sz w:val="20"/>
                <w:szCs w:val="20"/>
              </w:rPr>
              <w:fldChar w:fldCharType="separate"/>
            </w:r>
            <w:r w:rsidR="00CF57E4">
              <w:rPr>
                <w:bCs/>
                <w:noProof/>
                <w:sz w:val="20"/>
                <w:szCs w:val="20"/>
              </w:rPr>
              <w:t>2</w:t>
            </w:r>
            <w:r w:rsidRPr="002F5B52">
              <w:rPr>
                <w:bCs/>
                <w:sz w:val="20"/>
                <w:szCs w:val="20"/>
              </w:rPr>
              <w:fldChar w:fldCharType="end"/>
            </w:r>
          </w:p>
        </w:sdtContent>
      </w:sdt>
    </w:sdtContent>
  </w:sdt>
  <w:p w:rsidR="00186907" w:rsidRPr="00A564D3" w:rsidRDefault="00186907" w:rsidP="00A564D3">
    <w:pPr>
      <w:pStyle w:val="Footer"/>
      <w:spacing w:before="120"/>
      <w:jc w:val="center"/>
      <w:rPr>
        <w:rFonts w:ascii="Arial" w:hAnsi="Arial" w:cs="Arial"/>
        <w:b/>
        <w:color w:val="FF0000"/>
        <w:sz w:val="28"/>
        <w:szCs w:val="28"/>
      </w:rPr>
    </w:pPr>
    <w:r w:rsidRPr="002F5B52">
      <w:rPr>
        <w:rFonts w:ascii="Arial" w:hAnsi="Arial" w:cs="Arial"/>
        <w:b/>
        <w:color w:val="FF0000"/>
        <w:sz w:val="28"/>
        <w:szCs w:val="28"/>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07" w:rsidRPr="006A158E" w:rsidRDefault="00AE6B83" w:rsidP="006A158E">
    <w:pPr>
      <w:pStyle w:val="Footer"/>
      <w:spacing w:after="480"/>
      <w:ind w:right="-619" w:hanging="709"/>
      <w:jc w:val="center"/>
      <w:rPr>
        <w:rFonts w:ascii="Arial" w:hAnsi="Arial" w:cs="Arial"/>
        <w:sz w:val="17"/>
        <w:szCs w:val="17"/>
      </w:rPr>
    </w:pPr>
    <w:r w:rsidRPr="00EF6EEC">
      <w:rPr>
        <w:rFonts w:ascii="Arial" w:hAnsi="Arial" w:cs="Arial"/>
        <w:sz w:val="17"/>
        <w:szCs w:val="17"/>
      </w:rPr>
      <w:t>Parliamentary Budget Office</w:t>
    </w:r>
    <w:r>
      <w:rPr>
        <w:rFonts w:ascii="Arial" w:hAnsi="Arial" w:cs="Arial"/>
        <w:sz w:val="17"/>
        <w:szCs w:val="17"/>
      </w:rPr>
      <w:t xml:space="preserve"> </w:t>
    </w:r>
    <w:r w:rsidRPr="00EF6EEC">
      <w:rPr>
        <w:rFonts w:ascii="Arial" w:hAnsi="Arial" w:cs="Arial"/>
        <w:sz w:val="17"/>
        <w:szCs w:val="17"/>
      </w:rPr>
      <w:t xml:space="preserve">  PO Box 6010</w:t>
    </w:r>
    <w:r>
      <w:rPr>
        <w:rFonts w:ascii="Arial" w:hAnsi="Arial" w:cs="Arial"/>
        <w:sz w:val="17"/>
        <w:szCs w:val="17"/>
      </w:rPr>
      <w:t xml:space="preserve"> </w:t>
    </w:r>
    <w:r w:rsidRPr="00EF6EEC">
      <w:rPr>
        <w:rFonts w:ascii="Arial" w:hAnsi="Arial" w:cs="Arial"/>
        <w:sz w:val="17"/>
        <w:szCs w:val="17"/>
      </w:rPr>
      <w:t xml:space="preserve">  Parliament House </w:t>
    </w:r>
    <w:r>
      <w:rPr>
        <w:rFonts w:ascii="Arial" w:hAnsi="Arial" w:cs="Arial"/>
        <w:sz w:val="17"/>
        <w:szCs w:val="17"/>
      </w:rPr>
      <w:t xml:space="preserve"> </w:t>
    </w:r>
    <w:r w:rsidRPr="00EF6EEC">
      <w:rPr>
        <w:rFonts w:ascii="Arial" w:hAnsi="Arial" w:cs="Arial"/>
        <w:sz w:val="17"/>
        <w:szCs w:val="17"/>
      </w:rPr>
      <w:t xml:space="preserve"> Canberra ACT 2600 </w:t>
    </w:r>
    <w:r>
      <w:rPr>
        <w:rFonts w:ascii="Arial" w:hAnsi="Arial" w:cs="Arial"/>
        <w:sz w:val="17"/>
        <w:szCs w:val="17"/>
      </w:rPr>
      <w:t xml:space="preserve"> </w:t>
    </w:r>
    <w:r w:rsidRPr="00EF6EEC">
      <w:rPr>
        <w:rFonts w:ascii="Arial" w:hAnsi="Arial" w:cs="Arial"/>
        <w:sz w:val="17"/>
        <w:szCs w:val="17"/>
      </w:rPr>
      <w:t xml:space="preserve"> Tel: 02 6277 9500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3" w:rsidRPr="00AE6B83" w:rsidRDefault="00AE6B83" w:rsidP="00A564D3">
    <w:pPr>
      <w:pStyle w:val="Footer"/>
      <w:spacing w:before="240"/>
      <w:jc w:val="center"/>
      <w:rPr>
        <w:rFonts w:ascii="Arial" w:hAnsi="Arial" w:cs="Arial"/>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94374498"/>
      <w:docPartObj>
        <w:docPartGallery w:val="Page Numbers (Bottom of Page)"/>
        <w:docPartUnique/>
      </w:docPartObj>
    </w:sdtPr>
    <w:sdtEndPr/>
    <w:sdtContent>
      <w:sdt>
        <w:sdtPr>
          <w:rPr>
            <w:sz w:val="20"/>
            <w:szCs w:val="20"/>
          </w:rPr>
          <w:id w:val="-30108857"/>
          <w:docPartObj>
            <w:docPartGallery w:val="Page Numbers (Top of Page)"/>
            <w:docPartUnique/>
          </w:docPartObj>
        </w:sdtPr>
        <w:sdtEndPr/>
        <w:sdtContent>
          <w:p w:rsidR="00186907" w:rsidRPr="00973828" w:rsidRDefault="00186907" w:rsidP="00973828">
            <w:pPr>
              <w:pStyle w:val="Footer"/>
              <w:spacing w:before="120" w:after="360"/>
              <w:jc w:val="center"/>
              <w:rPr>
                <w:sz w:val="20"/>
                <w:szCs w:val="20"/>
              </w:rPr>
            </w:pPr>
            <w:r w:rsidRPr="002F5B52">
              <w:rPr>
                <w:sz w:val="20"/>
                <w:szCs w:val="20"/>
              </w:rPr>
              <w:t xml:space="preserve">Page </w:t>
            </w:r>
            <w:r w:rsidRPr="002F5B52">
              <w:rPr>
                <w:bCs/>
                <w:sz w:val="20"/>
                <w:szCs w:val="20"/>
              </w:rPr>
              <w:fldChar w:fldCharType="begin"/>
            </w:r>
            <w:r w:rsidRPr="002F5B52">
              <w:rPr>
                <w:bCs/>
                <w:sz w:val="20"/>
                <w:szCs w:val="20"/>
              </w:rPr>
              <w:instrText xml:space="preserve"> PAGE </w:instrText>
            </w:r>
            <w:r w:rsidRPr="002F5B52">
              <w:rPr>
                <w:bCs/>
                <w:sz w:val="20"/>
                <w:szCs w:val="20"/>
              </w:rPr>
              <w:fldChar w:fldCharType="separate"/>
            </w:r>
            <w:r w:rsidR="00AA598F">
              <w:rPr>
                <w:bCs/>
                <w:noProof/>
                <w:sz w:val="20"/>
                <w:szCs w:val="20"/>
              </w:rPr>
              <w:t>3</w:t>
            </w:r>
            <w:r w:rsidRPr="002F5B52">
              <w:rPr>
                <w:bCs/>
                <w:sz w:val="20"/>
                <w:szCs w:val="20"/>
              </w:rPr>
              <w:fldChar w:fldCharType="end"/>
            </w:r>
            <w:r w:rsidRPr="002F5B52">
              <w:rPr>
                <w:sz w:val="20"/>
                <w:szCs w:val="20"/>
              </w:rPr>
              <w:t xml:space="preserve"> of </w:t>
            </w:r>
            <w:r w:rsidRPr="002F5B52">
              <w:rPr>
                <w:bCs/>
                <w:sz w:val="20"/>
                <w:szCs w:val="20"/>
              </w:rPr>
              <w:fldChar w:fldCharType="begin"/>
            </w:r>
            <w:r w:rsidRPr="002F5B52">
              <w:rPr>
                <w:bCs/>
                <w:sz w:val="20"/>
                <w:szCs w:val="20"/>
              </w:rPr>
              <w:instrText xml:space="preserve"> NUMPAGES  </w:instrText>
            </w:r>
            <w:r w:rsidRPr="002F5B52">
              <w:rPr>
                <w:bCs/>
                <w:sz w:val="20"/>
                <w:szCs w:val="20"/>
              </w:rPr>
              <w:fldChar w:fldCharType="separate"/>
            </w:r>
            <w:r w:rsidR="00AA598F">
              <w:rPr>
                <w:bCs/>
                <w:noProof/>
                <w:sz w:val="20"/>
                <w:szCs w:val="20"/>
              </w:rPr>
              <w:t>3</w:t>
            </w:r>
            <w:r w:rsidRPr="002F5B5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07" w:rsidRDefault="00186907" w:rsidP="00DA1000">
      <w:r>
        <w:separator/>
      </w:r>
    </w:p>
  </w:footnote>
  <w:footnote w:type="continuationSeparator" w:id="0">
    <w:p w:rsidR="00186907" w:rsidRDefault="00186907" w:rsidP="00DA1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07" w:rsidRDefault="00186907" w:rsidP="00DA1000">
    <w:pPr>
      <w:pStyle w:val="Footer"/>
      <w:jc w:val="center"/>
      <w:rPr>
        <w:rStyle w:val="IntenseReference"/>
      </w:rPr>
    </w:pPr>
    <w:r w:rsidRPr="0047605C">
      <w:rPr>
        <w:rStyle w:val="IntenseReference"/>
      </w:rPr>
      <w:t>Sensitive</w:t>
    </w:r>
  </w:p>
  <w:p w:rsidR="00186907" w:rsidRPr="00A564D3" w:rsidRDefault="00186907" w:rsidP="005A23DC">
    <w:pPr>
      <w:pStyle w:val="Header"/>
      <w:spacing w:before="120" w:after="240"/>
      <w:jc w:val="center"/>
      <w:rPr>
        <w:rFonts w:ascii="Arial" w:hAnsi="Arial" w:cs="Arial"/>
        <w:b/>
      </w:rPr>
    </w:pPr>
    <w:r w:rsidRPr="002F5B52">
      <w:rPr>
        <w:rFonts w:ascii="Arial" w:hAnsi="Arial" w:cs="Arial"/>
        <w:b/>
      </w:rPr>
      <w:t>RESPONSE TO INFORMATION REQUEST – OUTSIDE THE CARETAKER 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3" w:rsidRDefault="00AE6B83" w:rsidP="006A158E">
    <w:pPr>
      <w:pStyle w:val="Header"/>
      <w:spacing w:after="480"/>
    </w:pPr>
    <w:r>
      <w:rPr>
        <w:noProof/>
        <w:lang w:eastAsia="en-AU"/>
      </w:rPr>
      <w:drawing>
        <wp:inline distT="0" distB="0" distL="0" distR="0" wp14:anchorId="166EAA1D" wp14:editId="2E80CB8A">
          <wp:extent cx="3132000" cy="6660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0" cy="666000"/>
                  </a:xfrm>
                  <a:prstGeom prst="rect">
                    <a:avLst/>
                  </a:prstGeom>
                </pic:spPr>
              </pic:pic>
            </a:graphicData>
          </a:graphic>
        </wp:inline>
      </w:drawing>
    </w:r>
  </w:p>
  <w:p w:rsidR="00AE6B83" w:rsidRPr="009030A0" w:rsidRDefault="00AE6B83" w:rsidP="00AE6B83">
    <w:pPr>
      <w:pStyle w:val="Header"/>
      <w:tabs>
        <w:tab w:val="clear" w:pos="4513"/>
        <w:tab w:val="clear" w:pos="9026"/>
      </w:tabs>
      <w:ind w:left="5954"/>
      <w:rPr>
        <w:rFonts w:ascii="Arial" w:hAnsi="Arial" w:cs="Arial"/>
        <w:b/>
        <w:sz w:val="18"/>
        <w:szCs w:val="18"/>
      </w:rPr>
    </w:pPr>
    <w:r w:rsidRPr="009030A0">
      <w:rPr>
        <w:rFonts w:ascii="Arial" w:hAnsi="Arial" w:cs="Arial"/>
        <w:b/>
        <w:sz w:val="18"/>
        <w:szCs w:val="18"/>
      </w:rPr>
      <w:t>Phil Bowen PSM FCPA</w:t>
    </w:r>
  </w:p>
  <w:p w:rsidR="00186907" w:rsidRPr="00AE6B83" w:rsidRDefault="00AE6B83" w:rsidP="006A158E">
    <w:pPr>
      <w:pStyle w:val="Header"/>
      <w:tabs>
        <w:tab w:val="clear" w:pos="4513"/>
        <w:tab w:val="clear" w:pos="9026"/>
      </w:tabs>
      <w:spacing w:after="480"/>
      <w:ind w:left="5954"/>
      <w:rPr>
        <w:rFonts w:ascii="Calibri" w:hAnsi="Calibri"/>
        <w:sz w:val="22"/>
        <w:szCs w:val="22"/>
      </w:rPr>
    </w:pPr>
    <w:r w:rsidRPr="009030A0">
      <w:rPr>
        <w:rFonts w:ascii="Arial" w:hAnsi="Arial" w:cs="Arial"/>
        <w:b/>
        <w:sz w:val="18"/>
        <w:szCs w:val="18"/>
      </w:rPr>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83" w:rsidRPr="00AE6B83" w:rsidRDefault="00AE6B83" w:rsidP="002F5B52">
    <w:pPr>
      <w:pStyle w:val="Footer"/>
      <w:jc w:val="center"/>
      <w:rPr>
        <w:rStyle w:val="IntenseReference"/>
        <w:color w:val="auto"/>
      </w:rPr>
    </w:pPr>
    <w:r w:rsidRPr="00AE6B83">
      <w:rPr>
        <w:rStyle w:val="CommentTextChar"/>
        <w:noProof/>
        <w:lang w:eastAsia="en-AU"/>
      </w:rPr>
      <w:drawing>
        <wp:anchor distT="0" distB="0" distL="114300" distR="114300" simplePos="0" relativeHeight="251663360" behindDoc="0" locked="0" layoutInCell="1" allowOverlap="1" wp14:anchorId="5AC9868E" wp14:editId="003BE59C">
          <wp:simplePos x="0" y="0"/>
          <wp:positionH relativeFrom="column">
            <wp:posOffset>-251460</wp:posOffset>
          </wp:positionH>
          <wp:positionV relativeFrom="paragraph">
            <wp:posOffset>-188595</wp:posOffset>
          </wp:positionV>
          <wp:extent cx="2696845" cy="5721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anchor>
      </w:drawing>
    </w:r>
  </w:p>
  <w:p w:rsidR="00AE6B83" w:rsidRPr="00AE6B83" w:rsidRDefault="00AE6B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07" w:rsidRPr="002F5B52" w:rsidRDefault="00724A82" w:rsidP="005A23DC">
    <w:pPr>
      <w:pStyle w:val="Header"/>
      <w:spacing w:before="120" w:after="240"/>
      <w:jc w:val="center"/>
      <w:rPr>
        <w:rFonts w:ascii="Arial" w:hAnsi="Arial" w:cs="Arial"/>
        <w:b/>
      </w:rPr>
    </w:pPr>
    <w:r w:rsidRPr="00724A82">
      <w:rPr>
        <w:rFonts w:ascii="Arial" w:hAnsi="Arial" w:cs="Arial"/>
        <w:b/>
      </w:rPr>
      <w:t xml:space="preserve">RESPONSE TO REQUEST FOR BUDGET ANALYSIS – OUTSIDE THE CARETAKER </w:t>
    </w:r>
    <w:r>
      <w:rPr>
        <w:rFonts w:ascii="Arial" w:hAnsi="Arial" w:cs="Arial"/>
        <w:b/>
      </w:rP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BA1"/>
    <w:multiLevelType w:val="hybridMultilevel"/>
    <w:tmpl w:val="97309BE6"/>
    <w:lvl w:ilvl="0" w:tplc="09F2D4B6">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34839"/>
    <w:multiLevelType w:val="hybridMultilevel"/>
    <w:tmpl w:val="E5BAB754"/>
    <w:lvl w:ilvl="0" w:tplc="723CF3F2">
      <w:start w:val="1"/>
      <w:numFmt w:val="bullet"/>
      <w:pStyle w:val="Bullet4"/>
      <w:lvlText w:val="="/>
      <w:lvlJc w:val="left"/>
      <w:pPr>
        <w:ind w:left="1571" w:hanging="360"/>
      </w:pPr>
      <w:rPr>
        <w:rFonts w:ascii="Times New Roman" w:hAnsi="Times New Roman"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F8E65BA"/>
    <w:multiLevelType w:val="hybridMultilevel"/>
    <w:tmpl w:val="F24E3022"/>
    <w:lvl w:ilvl="0" w:tplc="FEB63F6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30EB7"/>
    <w:multiLevelType w:val="hybridMultilevel"/>
    <w:tmpl w:val="2F54FE9E"/>
    <w:lvl w:ilvl="0" w:tplc="32D20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370A37"/>
    <w:multiLevelType w:val="hybridMultilevel"/>
    <w:tmpl w:val="081EAC38"/>
    <w:lvl w:ilvl="0" w:tplc="7A2EC62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21186F"/>
    <w:multiLevelType w:val="hybridMultilevel"/>
    <w:tmpl w:val="18ACE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42452E"/>
    <w:multiLevelType w:val="hybridMultilevel"/>
    <w:tmpl w:val="C0D0683E"/>
    <w:lvl w:ilvl="0" w:tplc="89F4C158">
      <w:start w:val="1"/>
      <w:numFmt w:val="bullet"/>
      <w:lvlText w:val=":"/>
      <w:lvlJc w:val="left"/>
      <w:pPr>
        <w:ind w:left="927" w:hanging="360"/>
      </w:pPr>
      <w:rPr>
        <w:rFonts w:ascii="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3F2A5C78"/>
    <w:multiLevelType w:val="hybridMultilevel"/>
    <w:tmpl w:val="9C585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687943"/>
    <w:multiLevelType w:val="hybridMultilevel"/>
    <w:tmpl w:val="DE6ECF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C26CAA"/>
    <w:multiLevelType w:val="hybridMultilevel"/>
    <w:tmpl w:val="1A520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A91965"/>
    <w:multiLevelType w:val="hybridMultilevel"/>
    <w:tmpl w:val="DFBCC5E6"/>
    <w:lvl w:ilvl="0" w:tplc="ACDCEF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EF2EFE"/>
    <w:multiLevelType w:val="hybridMultilevel"/>
    <w:tmpl w:val="F2C630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D4C7CB3"/>
    <w:multiLevelType w:val="hybridMultilevel"/>
    <w:tmpl w:val="F3048BBA"/>
    <w:lvl w:ilvl="0" w:tplc="0BAACD7E">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64444626"/>
    <w:multiLevelType w:val="hybridMultilevel"/>
    <w:tmpl w:val="DFC2D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65E7B5A"/>
    <w:multiLevelType w:val="hybridMultilevel"/>
    <w:tmpl w:val="F2C28104"/>
    <w:lvl w:ilvl="0" w:tplc="926CBE88">
      <w:start w:val="1"/>
      <w:numFmt w:val="bullet"/>
      <w:pStyle w:val="Heading1"/>
      <w:lvlText w:val=""/>
      <w:lvlJc w:val="left"/>
      <w:pPr>
        <w:ind w:left="360" w:hanging="360"/>
      </w:pPr>
      <w:rPr>
        <w:rFonts w:ascii="Symbol" w:hAnsi="Symbol" w:hint="default"/>
      </w:rPr>
    </w:lvl>
    <w:lvl w:ilvl="1" w:tplc="9CA266AC">
      <w:start w:val="1"/>
      <w:numFmt w:val="bullet"/>
      <w:pStyle w:val="Bullet2"/>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6674EEB"/>
    <w:multiLevelType w:val="hybridMultilevel"/>
    <w:tmpl w:val="9F2E3D64"/>
    <w:lvl w:ilvl="0" w:tplc="ED38FF8E">
      <w:start w:val="1"/>
      <w:numFmt w:val="bullet"/>
      <w:pStyle w:val="Bullet3"/>
      <w:lvlText w:val=":"/>
      <w:lvlJc w:val="left"/>
      <w:pPr>
        <w:ind w:left="927" w:hanging="360"/>
      </w:pPr>
      <w:rPr>
        <w:rFonts w:ascii="Times New Roman" w:hAnsi="Times New Roman"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6ACE2AD6"/>
    <w:multiLevelType w:val="hybridMultilevel"/>
    <w:tmpl w:val="3C04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A06F0E"/>
    <w:multiLevelType w:val="hybridMultilevel"/>
    <w:tmpl w:val="BC6CEBC4"/>
    <w:lvl w:ilvl="0" w:tplc="B90EFC5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7"/>
  </w:num>
  <w:num w:numId="4">
    <w:abstractNumId w:val="14"/>
  </w:num>
  <w:num w:numId="5">
    <w:abstractNumId w:val="6"/>
  </w:num>
  <w:num w:numId="6">
    <w:abstractNumId w:val="14"/>
  </w:num>
  <w:num w:numId="7">
    <w:abstractNumId w:val="0"/>
  </w:num>
  <w:num w:numId="8">
    <w:abstractNumId w:val="10"/>
  </w:num>
  <w:num w:numId="9">
    <w:abstractNumId w:val="0"/>
  </w:num>
  <w:num w:numId="10">
    <w:abstractNumId w:val="10"/>
  </w:num>
  <w:num w:numId="11">
    <w:abstractNumId w:val="4"/>
  </w:num>
  <w:num w:numId="12">
    <w:abstractNumId w:val="3"/>
  </w:num>
  <w:num w:numId="13">
    <w:abstractNumId w:val="14"/>
  </w:num>
  <w:num w:numId="14">
    <w:abstractNumId w:val="12"/>
  </w:num>
  <w:num w:numId="15">
    <w:abstractNumId w:val="15"/>
  </w:num>
  <w:num w:numId="16">
    <w:abstractNumId w:val="1"/>
  </w:num>
  <w:num w:numId="17">
    <w:abstractNumId w:val="5"/>
  </w:num>
  <w:num w:numId="18">
    <w:abstractNumId w:val="18"/>
  </w:num>
  <w:num w:numId="19">
    <w:abstractNumId w:val="2"/>
  </w:num>
  <w:num w:numId="20">
    <w:abstractNumId w:val="11"/>
  </w:num>
  <w:num w:numId="21">
    <w:abstractNumId w:val="9"/>
  </w:num>
  <w:num w:numId="22">
    <w:abstractNumId w:val="7"/>
  </w:num>
  <w:num w:numId="23">
    <w:abstractNumId w:val="8"/>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00"/>
    <w:rsid w:val="00011B63"/>
    <w:rsid w:val="00017776"/>
    <w:rsid w:val="0003571A"/>
    <w:rsid w:val="0004046F"/>
    <w:rsid w:val="000643BA"/>
    <w:rsid w:val="0006776B"/>
    <w:rsid w:val="00072E61"/>
    <w:rsid w:val="00085613"/>
    <w:rsid w:val="00085E3B"/>
    <w:rsid w:val="00090BB5"/>
    <w:rsid w:val="000D1D53"/>
    <w:rsid w:val="000D5CF7"/>
    <w:rsid w:val="000F672A"/>
    <w:rsid w:val="000F756B"/>
    <w:rsid w:val="001156D7"/>
    <w:rsid w:val="00123DB6"/>
    <w:rsid w:val="00135303"/>
    <w:rsid w:val="0013790E"/>
    <w:rsid w:val="00165FC6"/>
    <w:rsid w:val="00183299"/>
    <w:rsid w:val="001840D7"/>
    <w:rsid w:val="00184E4E"/>
    <w:rsid w:val="00186907"/>
    <w:rsid w:val="001875AE"/>
    <w:rsid w:val="00187893"/>
    <w:rsid w:val="00195F8A"/>
    <w:rsid w:val="001C4351"/>
    <w:rsid w:val="001D3877"/>
    <w:rsid w:val="001F28BE"/>
    <w:rsid w:val="00227DF4"/>
    <w:rsid w:val="00237A38"/>
    <w:rsid w:val="00250E13"/>
    <w:rsid w:val="00256EF4"/>
    <w:rsid w:val="00261905"/>
    <w:rsid w:val="00266F69"/>
    <w:rsid w:val="002678D4"/>
    <w:rsid w:val="00273532"/>
    <w:rsid w:val="0027588B"/>
    <w:rsid w:val="00277187"/>
    <w:rsid w:val="002A50B2"/>
    <w:rsid w:val="002B5E23"/>
    <w:rsid w:val="002F0E16"/>
    <w:rsid w:val="002F3398"/>
    <w:rsid w:val="002F3B5F"/>
    <w:rsid w:val="002F5B52"/>
    <w:rsid w:val="00304683"/>
    <w:rsid w:val="00311394"/>
    <w:rsid w:val="00311D38"/>
    <w:rsid w:val="003127E0"/>
    <w:rsid w:val="00320B98"/>
    <w:rsid w:val="00336047"/>
    <w:rsid w:val="00337B44"/>
    <w:rsid w:val="003446D3"/>
    <w:rsid w:val="00350146"/>
    <w:rsid w:val="00350D85"/>
    <w:rsid w:val="00354441"/>
    <w:rsid w:val="00356FD5"/>
    <w:rsid w:val="0035742D"/>
    <w:rsid w:val="003629A2"/>
    <w:rsid w:val="00363F72"/>
    <w:rsid w:val="003A10F6"/>
    <w:rsid w:val="003A7054"/>
    <w:rsid w:val="003C3361"/>
    <w:rsid w:val="003C3F39"/>
    <w:rsid w:val="003D0F41"/>
    <w:rsid w:val="003D4A49"/>
    <w:rsid w:val="003E67F5"/>
    <w:rsid w:val="003F701D"/>
    <w:rsid w:val="004042C7"/>
    <w:rsid w:val="00412F34"/>
    <w:rsid w:val="0042796B"/>
    <w:rsid w:val="00427D3A"/>
    <w:rsid w:val="00430AF2"/>
    <w:rsid w:val="00442E77"/>
    <w:rsid w:val="004514CD"/>
    <w:rsid w:val="00452284"/>
    <w:rsid w:val="004578FB"/>
    <w:rsid w:val="004675CB"/>
    <w:rsid w:val="00471C44"/>
    <w:rsid w:val="004811B6"/>
    <w:rsid w:val="004876F9"/>
    <w:rsid w:val="004A182A"/>
    <w:rsid w:val="004B5F61"/>
    <w:rsid w:val="004D00C9"/>
    <w:rsid w:val="004E6B0A"/>
    <w:rsid w:val="005011CE"/>
    <w:rsid w:val="0052454D"/>
    <w:rsid w:val="00526442"/>
    <w:rsid w:val="00544494"/>
    <w:rsid w:val="005634BE"/>
    <w:rsid w:val="0056660D"/>
    <w:rsid w:val="00592427"/>
    <w:rsid w:val="00594EEB"/>
    <w:rsid w:val="005A23DC"/>
    <w:rsid w:val="005B3CC7"/>
    <w:rsid w:val="005D671E"/>
    <w:rsid w:val="005E1EDB"/>
    <w:rsid w:val="005E30E0"/>
    <w:rsid w:val="005E6463"/>
    <w:rsid w:val="00611B0A"/>
    <w:rsid w:val="00634CA5"/>
    <w:rsid w:val="00641423"/>
    <w:rsid w:val="0064175B"/>
    <w:rsid w:val="00642CE8"/>
    <w:rsid w:val="00645FD7"/>
    <w:rsid w:val="00654D23"/>
    <w:rsid w:val="0066195B"/>
    <w:rsid w:val="00664CBD"/>
    <w:rsid w:val="006716FA"/>
    <w:rsid w:val="00673828"/>
    <w:rsid w:val="00682975"/>
    <w:rsid w:val="00691321"/>
    <w:rsid w:val="00692CC3"/>
    <w:rsid w:val="006A158E"/>
    <w:rsid w:val="006A372F"/>
    <w:rsid w:val="006C189B"/>
    <w:rsid w:val="006C37C7"/>
    <w:rsid w:val="006E40C6"/>
    <w:rsid w:val="006E7E39"/>
    <w:rsid w:val="00701433"/>
    <w:rsid w:val="0071126B"/>
    <w:rsid w:val="00713F82"/>
    <w:rsid w:val="007144ED"/>
    <w:rsid w:val="00716F3E"/>
    <w:rsid w:val="00724A82"/>
    <w:rsid w:val="007300C4"/>
    <w:rsid w:val="007409DA"/>
    <w:rsid w:val="007424F6"/>
    <w:rsid w:val="00782E5C"/>
    <w:rsid w:val="00791976"/>
    <w:rsid w:val="00792B09"/>
    <w:rsid w:val="00796DF3"/>
    <w:rsid w:val="007A2F4E"/>
    <w:rsid w:val="007B4012"/>
    <w:rsid w:val="007D02C6"/>
    <w:rsid w:val="007D6FF6"/>
    <w:rsid w:val="00867190"/>
    <w:rsid w:val="0087455A"/>
    <w:rsid w:val="008767A2"/>
    <w:rsid w:val="00881FE8"/>
    <w:rsid w:val="00887884"/>
    <w:rsid w:val="00891B38"/>
    <w:rsid w:val="00892EE2"/>
    <w:rsid w:val="00894DAF"/>
    <w:rsid w:val="008A7F1B"/>
    <w:rsid w:val="008B6392"/>
    <w:rsid w:val="008B7CC6"/>
    <w:rsid w:val="008D3075"/>
    <w:rsid w:val="008E0588"/>
    <w:rsid w:val="008F225E"/>
    <w:rsid w:val="00900C6B"/>
    <w:rsid w:val="00906504"/>
    <w:rsid w:val="00917901"/>
    <w:rsid w:val="009302D5"/>
    <w:rsid w:val="0093061C"/>
    <w:rsid w:val="0093494F"/>
    <w:rsid w:val="009360AC"/>
    <w:rsid w:val="009531B0"/>
    <w:rsid w:val="00973828"/>
    <w:rsid w:val="00981903"/>
    <w:rsid w:val="0098631A"/>
    <w:rsid w:val="0099655E"/>
    <w:rsid w:val="009D7FAD"/>
    <w:rsid w:val="009E0F17"/>
    <w:rsid w:val="009E3612"/>
    <w:rsid w:val="00A040C1"/>
    <w:rsid w:val="00A13643"/>
    <w:rsid w:val="00A21487"/>
    <w:rsid w:val="00A33D3F"/>
    <w:rsid w:val="00A358A7"/>
    <w:rsid w:val="00A53A49"/>
    <w:rsid w:val="00A55388"/>
    <w:rsid w:val="00A564D3"/>
    <w:rsid w:val="00A706A6"/>
    <w:rsid w:val="00A96427"/>
    <w:rsid w:val="00AA598F"/>
    <w:rsid w:val="00AA69AE"/>
    <w:rsid w:val="00AC19A5"/>
    <w:rsid w:val="00AD32AE"/>
    <w:rsid w:val="00AD63AC"/>
    <w:rsid w:val="00AE629D"/>
    <w:rsid w:val="00AE6B83"/>
    <w:rsid w:val="00AF0B2A"/>
    <w:rsid w:val="00AF417F"/>
    <w:rsid w:val="00AF4E8C"/>
    <w:rsid w:val="00AF72A6"/>
    <w:rsid w:val="00B05AA4"/>
    <w:rsid w:val="00B12578"/>
    <w:rsid w:val="00B26B90"/>
    <w:rsid w:val="00B3010F"/>
    <w:rsid w:val="00B40DD1"/>
    <w:rsid w:val="00B53513"/>
    <w:rsid w:val="00B621C7"/>
    <w:rsid w:val="00B637FA"/>
    <w:rsid w:val="00B824F4"/>
    <w:rsid w:val="00B85E05"/>
    <w:rsid w:val="00B94E8E"/>
    <w:rsid w:val="00BA0C65"/>
    <w:rsid w:val="00BD18E8"/>
    <w:rsid w:val="00BE2757"/>
    <w:rsid w:val="00BE6735"/>
    <w:rsid w:val="00BF318A"/>
    <w:rsid w:val="00C124A1"/>
    <w:rsid w:val="00C20135"/>
    <w:rsid w:val="00C26538"/>
    <w:rsid w:val="00C35804"/>
    <w:rsid w:val="00C35CD3"/>
    <w:rsid w:val="00C37D76"/>
    <w:rsid w:val="00C440B5"/>
    <w:rsid w:val="00C50B7B"/>
    <w:rsid w:val="00C53DA2"/>
    <w:rsid w:val="00C55B5E"/>
    <w:rsid w:val="00C57BD0"/>
    <w:rsid w:val="00C64735"/>
    <w:rsid w:val="00C71F3E"/>
    <w:rsid w:val="00C80F05"/>
    <w:rsid w:val="00C90571"/>
    <w:rsid w:val="00CB4C0E"/>
    <w:rsid w:val="00CD6BFD"/>
    <w:rsid w:val="00CE247D"/>
    <w:rsid w:val="00CE2B0C"/>
    <w:rsid w:val="00CE4CE9"/>
    <w:rsid w:val="00CE6FBF"/>
    <w:rsid w:val="00CF057A"/>
    <w:rsid w:val="00CF398F"/>
    <w:rsid w:val="00CF5187"/>
    <w:rsid w:val="00CF57E4"/>
    <w:rsid w:val="00D15BC4"/>
    <w:rsid w:val="00D175AD"/>
    <w:rsid w:val="00D333C5"/>
    <w:rsid w:val="00D523C3"/>
    <w:rsid w:val="00D55A1D"/>
    <w:rsid w:val="00D92906"/>
    <w:rsid w:val="00D9314A"/>
    <w:rsid w:val="00DA1000"/>
    <w:rsid w:val="00DA3C71"/>
    <w:rsid w:val="00DB1E1F"/>
    <w:rsid w:val="00DB7218"/>
    <w:rsid w:val="00DC0B39"/>
    <w:rsid w:val="00DD3CE9"/>
    <w:rsid w:val="00DD6123"/>
    <w:rsid w:val="00DE5C11"/>
    <w:rsid w:val="00E16BBE"/>
    <w:rsid w:val="00E20E60"/>
    <w:rsid w:val="00E275BF"/>
    <w:rsid w:val="00E35F5B"/>
    <w:rsid w:val="00E45455"/>
    <w:rsid w:val="00E473B1"/>
    <w:rsid w:val="00E514A4"/>
    <w:rsid w:val="00E56DD2"/>
    <w:rsid w:val="00E8100E"/>
    <w:rsid w:val="00E9514D"/>
    <w:rsid w:val="00EB1851"/>
    <w:rsid w:val="00EB224B"/>
    <w:rsid w:val="00EB7885"/>
    <w:rsid w:val="00EC5C92"/>
    <w:rsid w:val="00EC61DC"/>
    <w:rsid w:val="00ED06A2"/>
    <w:rsid w:val="00EF1945"/>
    <w:rsid w:val="00EF7438"/>
    <w:rsid w:val="00F016A0"/>
    <w:rsid w:val="00F05BF1"/>
    <w:rsid w:val="00F06D2C"/>
    <w:rsid w:val="00F339FE"/>
    <w:rsid w:val="00F3784D"/>
    <w:rsid w:val="00F41873"/>
    <w:rsid w:val="00F451F2"/>
    <w:rsid w:val="00F452B2"/>
    <w:rsid w:val="00F624D8"/>
    <w:rsid w:val="00F77021"/>
    <w:rsid w:val="00F81BD3"/>
    <w:rsid w:val="00F82F89"/>
    <w:rsid w:val="00F8608F"/>
    <w:rsid w:val="00FA3E0A"/>
    <w:rsid w:val="00FC1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00"/>
    <w:rPr>
      <w:rFonts w:ascii="Times New Roman" w:hAnsi="Times New Roman" w:cs="Times New Roman"/>
      <w:sz w:val="24"/>
      <w:szCs w:val="24"/>
    </w:rPr>
  </w:style>
  <w:style w:type="paragraph" w:styleId="Heading1">
    <w:name w:val="heading 1"/>
    <w:aliases w:val="dot point2"/>
    <w:basedOn w:val="Normal"/>
    <w:next w:val="Normal"/>
    <w:link w:val="Heading1Char"/>
    <w:uiPriority w:val="9"/>
    <w:qFormat/>
    <w:rsid w:val="00692CC3"/>
    <w:pPr>
      <w:keepNext/>
      <w:keepLines/>
      <w:numPr>
        <w:numId w:val="13"/>
      </w:numPr>
      <w:spacing w:before="120"/>
      <w:outlineLvl w:val="0"/>
    </w:pPr>
    <w:rPr>
      <w:rFonts w:eastAsiaTheme="majorEastAsia" w:cstheme="majorBidi"/>
      <w:bCs/>
      <w:szCs w:val="28"/>
    </w:rPr>
  </w:style>
  <w:style w:type="paragraph" w:styleId="Heading2">
    <w:name w:val="heading 2"/>
    <w:aliases w:val="dot point3"/>
    <w:basedOn w:val="Normal"/>
    <w:next w:val="Normal"/>
    <w:link w:val="Heading2Char"/>
    <w:uiPriority w:val="9"/>
    <w:unhideWhenUsed/>
    <w:qFormat/>
    <w:rsid w:val="003E67F5"/>
    <w:pPr>
      <w:keepNext/>
      <w:keepLines/>
      <w:spacing w:before="120"/>
      <w:ind w:left="1135" w:hanging="284"/>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qFormat/>
    <w:rsid w:val="00DA1000"/>
    <w:pPr>
      <w:keepNext/>
      <w:keepLines/>
      <w:numPr>
        <w:numId w:val="14"/>
      </w:numPr>
      <w:spacing w:before="120"/>
      <w:ind w:left="284" w:hanging="284"/>
      <w:contextualSpacing w:val="0"/>
    </w:pPr>
  </w:style>
  <w:style w:type="character" w:customStyle="1" w:styleId="Bullet1Char">
    <w:name w:val="Bullet 1 Char"/>
    <w:basedOn w:val="DefaultParagraphFont"/>
    <w:link w:val="Bullet1"/>
    <w:rsid w:val="00DA1000"/>
    <w:rPr>
      <w:rFonts w:ascii="Times New Roman" w:hAnsi="Times New Roman" w:cs="Times New Roman"/>
      <w:sz w:val="24"/>
      <w:szCs w:val="24"/>
    </w:rPr>
  </w:style>
  <w:style w:type="paragraph" w:styleId="ListParagraph">
    <w:name w:val="List Paragraph"/>
    <w:basedOn w:val="Normal"/>
    <w:uiPriority w:val="34"/>
    <w:qFormat/>
    <w:rsid w:val="00AF0B2A"/>
    <w:pPr>
      <w:ind w:left="720"/>
      <w:contextualSpacing/>
    </w:pPr>
  </w:style>
  <w:style w:type="paragraph" w:customStyle="1" w:styleId="Bullet2">
    <w:name w:val="Bullet 2"/>
    <w:basedOn w:val="Normal"/>
    <w:link w:val="Bullet2Char"/>
    <w:qFormat/>
    <w:rsid w:val="00DA1000"/>
    <w:pPr>
      <w:numPr>
        <w:ilvl w:val="1"/>
        <w:numId w:val="6"/>
      </w:numPr>
      <w:spacing w:before="120"/>
      <w:ind w:left="568" w:hanging="284"/>
    </w:pPr>
    <w:rPr>
      <w:rFonts w:eastAsia="Times New Roman"/>
      <w:szCs w:val="20"/>
      <w:lang w:eastAsia="en-AU"/>
    </w:rPr>
  </w:style>
  <w:style w:type="character" w:customStyle="1" w:styleId="Bullet2Char">
    <w:name w:val="Bullet 2 Char"/>
    <w:basedOn w:val="DefaultParagraphFont"/>
    <w:link w:val="Bullet2"/>
    <w:rsid w:val="00DA1000"/>
    <w:rPr>
      <w:rFonts w:ascii="Times New Roman" w:eastAsia="Times New Roman" w:hAnsi="Times New Roman" w:cs="Times New Roman"/>
      <w:sz w:val="24"/>
      <w:szCs w:val="20"/>
      <w:lang w:eastAsia="en-AU"/>
    </w:rPr>
  </w:style>
  <w:style w:type="paragraph" w:customStyle="1" w:styleId="Bullet3">
    <w:name w:val="Bullet 3"/>
    <w:basedOn w:val="Normal"/>
    <w:link w:val="Bullet3Char"/>
    <w:qFormat/>
    <w:rsid w:val="00DA1000"/>
    <w:pPr>
      <w:numPr>
        <w:numId w:val="15"/>
      </w:numPr>
      <w:spacing w:before="120"/>
      <w:ind w:left="851" w:hanging="284"/>
    </w:pPr>
    <w:rPr>
      <w:rFonts w:eastAsia="Times New Roman"/>
      <w:szCs w:val="20"/>
      <w:lang w:eastAsia="en-AU"/>
    </w:rPr>
  </w:style>
  <w:style w:type="character" w:customStyle="1" w:styleId="Bullet3Char">
    <w:name w:val="Bullet 3 Char"/>
    <w:basedOn w:val="DefaultParagraphFont"/>
    <w:link w:val="Bullet3"/>
    <w:rsid w:val="00DA1000"/>
    <w:rPr>
      <w:rFonts w:ascii="Times New Roman" w:eastAsia="Times New Roman" w:hAnsi="Times New Roman" w:cs="Times New Roman"/>
      <w:sz w:val="24"/>
      <w:szCs w:val="20"/>
      <w:lang w:eastAsia="en-AU"/>
    </w:rPr>
  </w:style>
  <w:style w:type="paragraph" w:customStyle="1" w:styleId="Bullet4">
    <w:name w:val="Bullet 4"/>
    <w:basedOn w:val="Normal"/>
    <w:link w:val="Bullet4Char"/>
    <w:qFormat/>
    <w:rsid w:val="00DA1000"/>
    <w:pPr>
      <w:numPr>
        <w:numId w:val="16"/>
      </w:numPr>
      <w:spacing w:before="120"/>
      <w:ind w:left="1135" w:hanging="284"/>
    </w:pPr>
    <w:rPr>
      <w:rFonts w:eastAsia="Times New Roman"/>
      <w:szCs w:val="20"/>
      <w:lang w:eastAsia="en-AU"/>
    </w:rPr>
  </w:style>
  <w:style w:type="character" w:customStyle="1" w:styleId="Bullet4Char">
    <w:name w:val="Bullet 4 Char"/>
    <w:basedOn w:val="DefaultParagraphFont"/>
    <w:link w:val="Bullet4"/>
    <w:rsid w:val="00DA1000"/>
    <w:rPr>
      <w:rFonts w:ascii="Times New Roman" w:eastAsia="Times New Roman" w:hAnsi="Times New Roman" w:cs="Times New Roman"/>
      <w:sz w:val="24"/>
      <w:szCs w:val="20"/>
      <w:lang w:eastAsia="en-AU"/>
    </w:rPr>
  </w:style>
  <w:style w:type="paragraph" w:styleId="Title">
    <w:name w:val="Title"/>
    <w:aliases w:val="Dot point 1"/>
    <w:basedOn w:val="Normal"/>
    <w:next w:val="Normal"/>
    <w:link w:val="TitleChar"/>
    <w:autoRedefine/>
    <w:uiPriority w:val="10"/>
    <w:qFormat/>
    <w:rsid w:val="00FA3E0A"/>
    <w:pPr>
      <w:pBdr>
        <w:bottom w:val="single" w:sz="8" w:space="4" w:color="4F81BD" w:themeColor="accent1"/>
      </w:pBdr>
      <w:spacing w:before="120" w:after="120"/>
      <w:ind w:left="284" w:hanging="284"/>
    </w:pPr>
    <w:rPr>
      <w:rFonts w:eastAsiaTheme="majorEastAsia" w:cstheme="majorBidi"/>
      <w:szCs w:val="52"/>
    </w:rPr>
  </w:style>
  <w:style w:type="character" w:customStyle="1" w:styleId="TitleChar">
    <w:name w:val="Title Char"/>
    <w:aliases w:val="Dot point 1 Char"/>
    <w:basedOn w:val="DefaultParagraphFont"/>
    <w:link w:val="Title"/>
    <w:uiPriority w:val="10"/>
    <w:rsid w:val="00FA3E0A"/>
    <w:rPr>
      <w:rFonts w:ascii="Times New Roman" w:eastAsiaTheme="majorEastAsia" w:hAnsi="Times New Roman" w:cstheme="majorBidi"/>
      <w:sz w:val="24"/>
      <w:szCs w:val="52"/>
    </w:rPr>
  </w:style>
  <w:style w:type="paragraph" w:styleId="NoSpacing">
    <w:name w:val="No Spacing"/>
    <w:aliases w:val="dot point1"/>
    <w:uiPriority w:val="1"/>
    <w:qFormat/>
    <w:rsid w:val="003E67F5"/>
    <w:pPr>
      <w:numPr>
        <w:numId w:val="9"/>
      </w:numPr>
      <w:spacing w:before="240"/>
    </w:pPr>
    <w:rPr>
      <w:rFonts w:ascii="Times New Roman" w:eastAsiaTheme="minorEastAsia" w:hAnsi="Times New Roman"/>
      <w:sz w:val="24"/>
      <w:lang w:eastAsia="en-AU"/>
    </w:rPr>
  </w:style>
  <w:style w:type="character" w:customStyle="1" w:styleId="Heading1Char">
    <w:name w:val="Heading 1 Char"/>
    <w:aliases w:val="dot point2 Char"/>
    <w:basedOn w:val="DefaultParagraphFont"/>
    <w:link w:val="Heading1"/>
    <w:uiPriority w:val="9"/>
    <w:rsid w:val="003E67F5"/>
    <w:rPr>
      <w:rFonts w:ascii="Times New Roman" w:eastAsiaTheme="majorEastAsia" w:hAnsi="Times New Roman" w:cstheme="majorBidi"/>
      <w:bCs/>
      <w:sz w:val="24"/>
      <w:szCs w:val="28"/>
    </w:rPr>
  </w:style>
  <w:style w:type="character" w:customStyle="1" w:styleId="Heading2Char">
    <w:name w:val="Heading 2 Char"/>
    <w:aliases w:val="dot point3 Char"/>
    <w:basedOn w:val="DefaultParagraphFont"/>
    <w:link w:val="Heading2"/>
    <w:uiPriority w:val="9"/>
    <w:rsid w:val="003E67F5"/>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DA1000"/>
    <w:pPr>
      <w:tabs>
        <w:tab w:val="center" w:pos="4513"/>
        <w:tab w:val="right" w:pos="9026"/>
      </w:tabs>
    </w:pPr>
  </w:style>
  <w:style w:type="character" w:customStyle="1" w:styleId="HeaderChar">
    <w:name w:val="Header Char"/>
    <w:basedOn w:val="DefaultParagraphFont"/>
    <w:link w:val="Header"/>
    <w:uiPriority w:val="99"/>
    <w:rsid w:val="00DA1000"/>
    <w:rPr>
      <w:rFonts w:ascii="Times New Roman" w:hAnsi="Times New Roman" w:cs="Times New Roman"/>
      <w:sz w:val="24"/>
      <w:szCs w:val="24"/>
    </w:rPr>
  </w:style>
  <w:style w:type="paragraph" w:styleId="Footer">
    <w:name w:val="footer"/>
    <w:basedOn w:val="Normal"/>
    <w:link w:val="FooterChar"/>
    <w:uiPriority w:val="99"/>
    <w:unhideWhenUsed/>
    <w:rsid w:val="00DA1000"/>
    <w:pPr>
      <w:tabs>
        <w:tab w:val="center" w:pos="4513"/>
        <w:tab w:val="right" w:pos="9026"/>
      </w:tabs>
    </w:pPr>
  </w:style>
  <w:style w:type="character" w:customStyle="1" w:styleId="FooterChar">
    <w:name w:val="Footer Char"/>
    <w:basedOn w:val="DefaultParagraphFont"/>
    <w:link w:val="Footer"/>
    <w:uiPriority w:val="99"/>
    <w:rsid w:val="00DA1000"/>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A1000"/>
    <w:pPr>
      <w:spacing w:before="240"/>
    </w:pPr>
    <w:rPr>
      <w:sz w:val="20"/>
      <w:szCs w:val="20"/>
    </w:rPr>
  </w:style>
  <w:style w:type="character" w:customStyle="1" w:styleId="CommentTextChar">
    <w:name w:val="Comment Text Char"/>
    <w:basedOn w:val="DefaultParagraphFont"/>
    <w:link w:val="CommentText"/>
    <w:uiPriority w:val="99"/>
    <w:semiHidden/>
    <w:rsid w:val="00DA100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DA1000"/>
    <w:rPr>
      <w:rFonts w:ascii="Arial" w:hAnsi="Arial"/>
      <w:b/>
      <w:bCs/>
      <w:color w:val="FF0000"/>
      <w:spacing w:val="5"/>
      <w:sz w:val="28"/>
      <w:szCs w:val="28"/>
    </w:rPr>
  </w:style>
  <w:style w:type="table" w:styleId="TableGrid">
    <w:name w:val="Table Grid"/>
    <w:basedOn w:val="TableNormal"/>
    <w:uiPriority w:val="59"/>
    <w:rsid w:val="00DA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00"/>
    <w:rPr>
      <w:rFonts w:ascii="Tahoma" w:hAnsi="Tahoma" w:cs="Tahoma"/>
      <w:sz w:val="16"/>
      <w:szCs w:val="16"/>
    </w:rPr>
  </w:style>
  <w:style w:type="character" w:customStyle="1" w:styleId="BalloonTextChar">
    <w:name w:val="Balloon Text Char"/>
    <w:basedOn w:val="DefaultParagraphFont"/>
    <w:link w:val="BalloonText"/>
    <w:uiPriority w:val="99"/>
    <w:semiHidden/>
    <w:rsid w:val="00DA1000"/>
    <w:rPr>
      <w:rFonts w:ascii="Tahoma" w:hAnsi="Tahoma" w:cs="Tahoma"/>
      <w:sz w:val="16"/>
      <w:szCs w:val="16"/>
    </w:rPr>
  </w:style>
  <w:style w:type="character" w:styleId="CommentReference">
    <w:name w:val="annotation reference"/>
    <w:basedOn w:val="DefaultParagraphFont"/>
    <w:uiPriority w:val="99"/>
    <w:semiHidden/>
    <w:unhideWhenUsed/>
    <w:rsid w:val="00DA1000"/>
    <w:rPr>
      <w:sz w:val="16"/>
      <w:szCs w:val="16"/>
    </w:rPr>
  </w:style>
  <w:style w:type="paragraph" w:styleId="CommentSubject">
    <w:name w:val="annotation subject"/>
    <w:basedOn w:val="CommentText"/>
    <w:next w:val="CommentText"/>
    <w:link w:val="CommentSubjectChar"/>
    <w:uiPriority w:val="99"/>
    <w:semiHidden/>
    <w:unhideWhenUsed/>
    <w:rsid w:val="00DA1000"/>
    <w:pPr>
      <w:spacing w:before="0"/>
    </w:pPr>
    <w:rPr>
      <w:b/>
      <w:bCs/>
    </w:rPr>
  </w:style>
  <w:style w:type="character" w:customStyle="1" w:styleId="CommentSubjectChar">
    <w:name w:val="Comment Subject Char"/>
    <w:basedOn w:val="CommentTextChar"/>
    <w:link w:val="CommentSubject"/>
    <w:uiPriority w:val="99"/>
    <w:semiHidden/>
    <w:rsid w:val="00DA1000"/>
    <w:rPr>
      <w:rFonts w:ascii="Times New Roman" w:hAnsi="Times New Roman" w:cs="Times New Roman"/>
      <w:b/>
      <w:bCs/>
      <w:sz w:val="20"/>
      <w:szCs w:val="20"/>
    </w:rPr>
  </w:style>
  <w:style w:type="character" w:styleId="Hyperlink">
    <w:name w:val="Hyperlink"/>
    <w:basedOn w:val="DefaultParagraphFont"/>
    <w:uiPriority w:val="99"/>
    <w:unhideWhenUsed/>
    <w:rsid w:val="00A96427"/>
    <w:rPr>
      <w:color w:val="0000FF" w:themeColor="hyperlink"/>
      <w:u w:val="single"/>
    </w:rPr>
  </w:style>
  <w:style w:type="paragraph" w:styleId="Revision">
    <w:name w:val="Revision"/>
    <w:hidden/>
    <w:uiPriority w:val="99"/>
    <w:semiHidden/>
    <w:rsid w:val="005E1ED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E40C6"/>
    <w:rPr>
      <w:color w:val="800080" w:themeColor="followedHyperlink"/>
      <w:u w:val="single"/>
    </w:rPr>
  </w:style>
  <w:style w:type="paragraph" w:customStyle="1" w:styleId="Bullet">
    <w:name w:val="Bullet"/>
    <w:basedOn w:val="Normal"/>
    <w:link w:val="BulletChar"/>
    <w:rsid w:val="005D671E"/>
    <w:pPr>
      <w:spacing w:after="200" w:line="276" w:lineRule="auto"/>
    </w:pPr>
    <w:rPr>
      <w:rFonts w:asciiTheme="minorHAnsi" w:hAnsiTheme="minorHAnsi" w:cstheme="minorBidi"/>
      <w:sz w:val="22"/>
      <w:szCs w:val="22"/>
    </w:rPr>
  </w:style>
  <w:style w:type="character" w:customStyle="1" w:styleId="BulletChar">
    <w:name w:val="Bullet Char"/>
    <w:basedOn w:val="DefaultParagraphFont"/>
    <w:link w:val="Bullet"/>
    <w:rsid w:val="005D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00"/>
    <w:rPr>
      <w:rFonts w:ascii="Times New Roman" w:hAnsi="Times New Roman" w:cs="Times New Roman"/>
      <w:sz w:val="24"/>
      <w:szCs w:val="24"/>
    </w:rPr>
  </w:style>
  <w:style w:type="paragraph" w:styleId="Heading1">
    <w:name w:val="heading 1"/>
    <w:aliases w:val="dot point2"/>
    <w:basedOn w:val="Normal"/>
    <w:next w:val="Normal"/>
    <w:link w:val="Heading1Char"/>
    <w:uiPriority w:val="9"/>
    <w:qFormat/>
    <w:rsid w:val="00692CC3"/>
    <w:pPr>
      <w:keepNext/>
      <w:keepLines/>
      <w:numPr>
        <w:numId w:val="13"/>
      </w:numPr>
      <w:spacing w:before="120"/>
      <w:outlineLvl w:val="0"/>
    </w:pPr>
    <w:rPr>
      <w:rFonts w:eastAsiaTheme="majorEastAsia" w:cstheme="majorBidi"/>
      <w:bCs/>
      <w:szCs w:val="28"/>
    </w:rPr>
  </w:style>
  <w:style w:type="paragraph" w:styleId="Heading2">
    <w:name w:val="heading 2"/>
    <w:aliases w:val="dot point3"/>
    <w:basedOn w:val="Normal"/>
    <w:next w:val="Normal"/>
    <w:link w:val="Heading2Char"/>
    <w:uiPriority w:val="9"/>
    <w:unhideWhenUsed/>
    <w:qFormat/>
    <w:rsid w:val="003E67F5"/>
    <w:pPr>
      <w:keepNext/>
      <w:keepLines/>
      <w:spacing w:before="120"/>
      <w:ind w:left="1135" w:hanging="284"/>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qFormat/>
    <w:rsid w:val="00DA1000"/>
    <w:pPr>
      <w:keepNext/>
      <w:keepLines/>
      <w:numPr>
        <w:numId w:val="14"/>
      </w:numPr>
      <w:spacing w:before="120"/>
      <w:ind w:left="284" w:hanging="284"/>
      <w:contextualSpacing w:val="0"/>
    </w:pPr>
  </w:style>
  <w:style w:type="character" w:customStyle="1" w:styleId="Bullet1Char">
    <w:name w:val="Bullet 1 Char"/>
    <w:basedOn w:val="DefaultParagraphFont"/>
    <w:link w:val="Bullet1"/>
    <w:rsid w:val="00DA1000"/>
    <w:rPr>
      <w:rFonts w:ascii="Times New Roman" w:hAnsi="Times New Roman" w:cs="Times New Roman"/>
      <w:sz w:val="24"/>
      <w:szCs w:val="24"/>
    </w:rPr>
  </w:style>
  <w:style w:type="paragraph" w:styleId="ListParagraph">
    <w:name w:val="List Paragraph"/>
    <w:basedOn w:val="Normal"/>
    <w:uiPriority w:val="34"/>
    <w:qFormat/>
    <w:rsid w:val="00AF0B2A"/>
    <w:pPr>
      <w:ind w:left="720"/>
      <w:contextualSpacing/>
    </w:pPr>
  </w:style>
  <w:style w:type="paragraph" w:customStyle="1" w:styleId="Bullet2">
    <w:name w:val="Bullet 2"/>
    <w:basedOn w:val="Normal"/>
    <w:link w:val="Bullet2Char"/>
    <w:qFormat/>
    <w:rsid w:val="00DA1000"/>
    <w:pPr>
      <w:numPr>
        <w:ilvl w:val="1"/>
        <w:numId w:val="6"/>
      </w:numPr>
      <w:spacing w:before="120"/>
      <w:ind w:left="568" w:hanging="284"/>
    </w:pPr>
    <w:rPr>
      <w:rFonts w:eastAsia="Times New Roman"/>
      <w:szCs w:val="20"/>
      <w:lang w:eastAsia="en-AU"/>
    </w:rPr>
  </w:style>
  <w:style w:type="character" w:customStyle="1" w:styleId="Bullet2Char">
    <w:name w:val="Bullet 2 Char"/>
    <w:basedOn w:val="DefaultParagraphFont"/>
    <w:link w:val="Bullet2"/>
    <w:rsid w:val="00DA1000"/>
    <w:rPr>
      <w:rFonts w:ascii="Times New Roman" w:eastAsia="Times New Roman" w:hAnsi="Times New Roman" w:cs="Times New Roman"/>
      <w:sz w:val="24"/>
      <w:szCs w:val="20"/>
      <w:lang w:eastAsia="en-AU"/>
    </w:rPr>
  </w:style>
  <w:style w:type="paragraph" w:customStyle="1" w:styleId="Bullet3">
    <w:name w:val="Bullet 3"/>
    <w:basedOn w:val="Normal"/>
    <w:link w:val="Bullet3Char"/>
    <w:qFormat/>
    <w:rsid w:val="00DA1000"/>
    <w:pPr>
      <w:numPr>
        <w:numId w:val="15"/>
      </w:numPr>
      <w:spacing w:before="120"/>
      <w:ind w:left="851" w:hanging="284"/>
    </w:pPr>
    <w:rPr>
      <w:rFonts w:eastAsia="Times New Roman"/>
      <w:szCs w:val="20"/>
      <w:lang w:eastAsia="en-AU"/>
    </w:rPr>
  </w:style>
  <w:style w:type="character" w:customStyle="1" w:styleId="Bullet3Char">
    <w:name w:val="Bullet 3 Char"/>
    <w:basedOn w:val="DefaultParagraphFont"/>
    <w:link w:val="Bullet3"/>
    <w:rsid w:val="00DA1000"/>
    <w:rPr>
      <w:rFonts w:ascii="Times New Roman" w:eastAsia="Times New Roman" w:hAnsi="Times New Roman" w:cs="Times New Roman"/>
      <w:sz w:val="24"/>
      <w:szCs w:val="20"/>
      <w:lang w:eastAsia="en-AU"/>
    </w:rPr>
  </w:style>
  <w:style w:type="paragraph" w:customStyle="1" w:styleId="Bullet4">
    <w:name w:val="Bullet 4"/>
    <w:basedOn w:val="Normal"/>
    <w:link w:val="Bullet4Char"/>
    <w:qFormat/>
    <w:rsid w:val="00DA1000"/>
    <w:pPr>
      <w:numPr>
        <w:numId w:val="16"/>
      </w:numPr>
      <w:spacing w:before="120"/>
      <w:ind w:left="1135" w:hanging="284"/>
    </w:pPr>
    <w:rPr>
      <w:rFonts w:eastAsia="Times New Roman"/>
      <w:szCs w:val="20"/>
      <w:lang w:eastAsia="en-AU"/>
    </w:rPr>
  </w:style>
  <w:style w:type="character" w:customStyle="1" w:styleId="Bullet4Char">
    <w:name w:val="Bullet 4 Char"/>
    <w:basedOn w:val="DefaultParagraphFont"/>
    <w:link w:val="Bullet4"/>
    <w:rsid w:val="00DA1000"/>
    <w:rPr>
      <w:rFonts w:ascii="Times New Roman" w:eastAsia="Times New Roman" w:hAnsi="Times New Roman" w:cs="Times New Roman"/>
      <w:sz w:val="24"/>
      <w:szCs w:val="20"/>
      <w:lang w:eastAsia="en-AU"/>
    </w:rPr>
  </w:style>
  <w:style w:type="paragraph" w:styleId="Title">
    <w:name w:val="Title"/>
    <w:aliases w:val="Dot point 1"/>
    <w:basedOn w:val="Normal"/>
    <w:next w:val="Normal"/>
    <w:link w:val="TitleChar"/>
    <w:autoRedefine/>
    <w:uiPriority w:val="10"/>
    <w:qFormat/>
    <w:rsid w:val="00FA3E0A"/>
    <w:pPr>
      <w:pBdr>
        <w:bottom w:val="single" w:sz="8" w:space="4" w:color="4F81BD" w:themeColor="accent1"/>
      </w:pBdr>
      <w:spacing w:before="120" w:after="120"/>
      <w:ind w:left="284" w:hanging="284"/>
    </w:pPr>
    <w:rPr>
      <w:rFonts w:eastAsiaTheme="majorEastAsia" w:cstheme="majorBidi"/>
      <w:szCs w:val="52"/>
    </w:rPr>
  </w:style>
  <w:style w:type="character" w:customStyle="1" w:styleId="TitleChar">
    <w:name w:val="Title Char"/>
    <w:aliases w:val="Dot point 1 Char"/>
    <w:basedOn w:val="DefaultParagraphFont"/>
    <w:link w:val="Title"/>
    <w:uiPriority w:val="10"/>
    <w:rsid w:val="00FA3E0A"/>
    <w:rPr>
      <w:rFonts w:ascii="Times New Roman" w:eastAsiaTheme="majorEastAsia" w:hAnsi="Times New Roman" w:cstheme="majorBidi"/>
      <w:sz w:val="24"/>
      <w:szCs w:val="52"/>
    </w:rPr>
  </w:style>
  <w:style w:type="paragraph" w:styleId="NoSpacing">
    <w:name w:val="No Spacing"/>
    <w:aliases w:val="dot point1"/>
    <w:uiPriority w:val="1"/>
    <w:qFormat/>
    <w:rsid w:val="003E67F5"/>
    <w:pPr>
      <w:numPr>
        <w:numId w:val="9"/>
      </w:numPr>
      <w:spacing w:before="240"/>
    </w:pPr>
    <w:rPr>
      <w:rFonts w:ascii="Times New Roman" w:eastAsiaTheme="minorEastAsia" w:hAnsi="Times New Roman"/>
      <w:sz w:val="24"/>
      <w:lang w:eastAsia="en-AU"/>
    </w:rPr>
  </w:style>
  <w:style w:type="character" w:customStyle="1" w:styleId="Heading1Char">
    <w:name w:val="Heading 1 Char"/>
    <w:aliases w:val="dot point2 Char"/>
    <w:basedOn w:val="DefaultParagraphFont"/>
    <w:link w:val="Heading1"/>
    <w:uiPriority w:val="9"/>
    <w:rsid w:val="003E67F5"/>
    <w:rPr>
      <w:rFonts w:ascii="Times New Roman" w:eastAsiaTheme="majorEastAsia" w:hAnsi="Times New Roman" w:cstheme="majorBidi"/>
      <w:bCs/>
      <w:sz w:val="24"/>
      <w:szCs w:val="28"/>
    </w:rPr>
  </w:style>
  <w:style w:type="character" w:customStyle="1" w:styleId="Heading2Char">
    <w:name w:val="Heading 2 Char"/>
    <w:aliases w:val="dot point3 Char"/>
    <w:basedOn w:val="DefaultParagraphFont"/>
    <w:link w:val="Heading2"/>
    <w:uiPriority w:val="9"/>
    <w:rsid w:val="003E67F5"/>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DA1000"/>
    <w:pPr>
      <w:tabs>
        <w:tab w:val="center" w:pos="4513"/>
        <w:tab w:val="right" w:pos="9026"/>
      </w:tabs>
    </w:pPr>
  </w:style>
  <w:style w:type="character" w:customStyle="1" w:styleId="HeaderChar">
    <w:name w:val="Header Char"/>
    <w:basedOn w:val="DefaultParagraphFont"/>
    <w:link w:val="Header"/>
    <w:uiPriority w:val="99"/>
    <w:rsid w:val="00DA1000"/>
    <w:rPr>
      <w:rFonts w:ascii="Times New Roman" w:hAnsi="Times New Roman" w:cs="Times New Roman"/>
      <w:sz w:val="24"/>
      <w:szCs w:val="24"/>
    </w:rPr>
  </w:style>
  <w:style w:type="paragraph" w:styleId="Footer">
    <w:name w:val="footer"/>
    <w:basedOn w:val="Normal"/>
    <w:link w:val="FooterChar"/>
    <w:uiPriority w:val="99"/>
    <w:unhideWhenUsed/>
    <w:rsid w:val="00DA1000"/>
    <w:pPr>
      <w:tabs>
        <w:tab w:val="center" w:pos="4513"/>
        <w:tab w:val="right" w:pos="9026"/>
      </w:tabs>
    </w:pPr>
  </w:style>
  <w:style w:type="character" w:customStyle="1" w:styleId="FooterChar">
    <w:name w:val="Footer Char"/>
    <w:basedOn w:val="DefaultParagraphFont"/>
    <w:link w:val="Footer"/>
    <w:uiPriority w:val="99"/>
    <w:rsid w:val="00DA1000"/>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A1000"/>
    <w:pPr>
      <w:spacing w:before="240"/>
    </w:pPr>
    <w:rPr>
      <w:sz w:val="20"/>
      <w:szCs w:val="20"/>
    </w:rPr>
  </w:style>
  <w:style w:type="character" w:customStyle="1" w:styleId="CommentTextChar">
    <w:name w:val="Comment Text Char"/>
    <w:basedOn w:val="DefaultParagraphFont"/>
    <w:link w:val="CommentText"/>
    <w:uiPriority w:val="99"/>
    <w:semiHidden/>
    <w:rsid w:val="00DA1000"/>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DA1000"/>
    <w:rPr>
      <w:rFonts w:ascii="Arial" w:hAnsi="Arial"/>
      <w:b/>
      <w:bCs/>
      <w:color w:val="FF0000"/>
      <w:spacing w:val="5"/>
      <w:sz w:val="28"/>
      <w:szCs w:val="28"/>
    </w:rPr>
  </w:style>
  <w:style w:type="table" w:styleId="TableGrid">
    <w:name w:val="Table Grid"/>
    <w:basedOn w:val="TableNormal"/>
    <w:uiPriority w:val="59"/>
    <w:rsid w:val="00DA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00"/>
    <w:rPr>
      <w:rFonts w:ascii="Tahoma" w:hAnsi="Tahoma" w:cs="Tahoma"/>
      <w:sz w:val="16"/>
      <w:szCs w:val="16"/>
    </w:rPr>
  </w:style>
  <w:style w:type="character" w:customStyle="1" w:styleId="BalloonTextChar">
    <w:name w:val="Balloon Text Char"/>
    <w:basedOn w:val="DefaultParagraphFont"/>
    <w:link w:val="BalloonText"/>
    <w:uiPriority w:val="99"/>
    <w:semiHidden/>
    <w:rsid w:val="00DA1000"/>
    <w:rPr>
      <w:rFonts w:ascii="Tahoma" w:hAnsi="Tahoma" w:cs="Tahoma"/>
      <w:sz w:val="16"/>
      <w:szCs w:val="16"/>
    </w:rPr>
  </w:style>
  <w:style w:type="character" w:styleId="CommentReference">
    <w:name w:val="annotation reference"/>
    <w:basedOn w:val="DefaultParagraphFont"/>
    <w:uiPriority w:val="99"/>
    <w:semiHidden/>
    <w:unhideWhenUsed/>
    <w:rsid w:val="00DA1000"/>
    <w:rPr>
      <w:sz w:val="16"/>
      <w:szCs w:val="16"/>
    </w:rPr>
  </w:style>
  <w:style w:type="paragraph" w:styleId="CommentSubject">
    <w:name w:val="annotation subject"/>
    <w:basedOn w:val="CommentText"/>
    <w:next w:val="CommentText"/>
    <w:link w:val="CommentSubjectChar"/>
    <w:uiPriority w:val="99"/>
    <w:semiHidden/>
    <w:unhideWhenUsed/>
    <w:rsid w:val="00DA1000"/>
    <w:pPr>
      <w:spacing w:before="0"/>
    </w:pPr>
    <w:rPr>
      <w:b/>
      <w:bCs/>
    </w:rPr>
  </w:style>
  <w:style w:type="character" w:customStyle="1" w:styleId="CommentSubjectChar">
    <w:name w:val="Comment Subject Char"/>
    <w:basedOn w:val="CommentTextChar"/>
    <w:link w:val="CommentSubject"/>
    <w:uiPriority w:val="99"/>
    <w:semiHidden/>
    <w:rsid w:val="00DA1000"/>
    <w:rPr>
      <w:rFonts w:ascii="Times New Roman" w:hAnsi="Times New Roman" w:cs="Times New Roman"/>
      <w:b/>
      <w:bCs/>
      <w:sz w:val="20"/>
      <w:szCs w:val="20"/>
    </w:rPr>
  </w:style>
  <w:style w:type="character" w:styleId="Hyperlink">
    <w:name w:val="Hyperlink"/>
    <w:basedOn w:val="DefaultParagraphFont"/>
    <w:uiPriority w:val="99"/>
    <w:unhideWhenUsed/>
    <w:rsid w:val="00A96427"/>
    <w:rPr>
      <w:color w:val="0000FF" w:themeColor="hyperlink"/>
      <w:u w:val="single"/>
    </w:rPr>
  </w:style>
  <w:style w:type="paragraph" w:styleId="Revision">
    <w:name w:val="Revision"/>
    <w:hidden/>
    <w:uiPriority w:val="99"/>
    <w:semiHidden/>
    <w:rsid w:val="005E1ED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E40C6"/>
    <w:rPr>
      <w:color w:val="800080" w:themeColor="followedHyperlink"/>
      <w:u w:val="single"/>
    </w:rPr>
  </w:style>
  <w:style w:type="paragraph" w:customStyle="1" w:styleId="Bullet">
    <w:name w:val="Bullet"/>
    <w:basedOn w:val="Normal"/>
    <w:link w:val="BulletChar"/>
    <w:rsid w:val="005D671E"/>
    <w:pPr>
      <w:spacing w:after="200" w:line="276" w:lineRule="auto"/>
    </w:pPr>
    <w:rPr>
      <w:rFonts w:asciiTheme="minorHAnsi" w:hAnsiTheme="minorHAnsi" w:cstheme="minorBidi"/>
      <w:sz w:val="22"/>
      <w:szCs w:val="22"/>
    </w:rPr>
  </w:style>
  <w:style w:type="character" w:customStyle="1" w:styleId="BulletChar">
    <w:name w:val="Bullet Char"/>
    <w:basedOn w:val="DefaultParagraphFont"/>
    <w:link w:val="Bullet"/>
    <w:rsid w:val="005D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4849">
      <w:bodyDiv w:val="1"/>
      <w:marLeft w:val="0"/>
      <w:marRight w:val="0"/>
      <w:marTop w:val="0"/>
      <w:marBottom w:val="0"/>
      <w:divBdr>
        <w:top w:val="none" w:sz="0" w:space="0" w:color="auto"/>
        <w:left w:val="none" w:sz="0" w:space="0" w:color="auto"/>
        <w:bottom w:val="none" w:sz="0" w:space="0" w:color="auto"/>
        <w:right w:val="none" w:sz="0" w:space="0" w:color="auto"/>
      </w:divBdr>
    </w:div>
    <w:div w:id="350450080">
      <w:bodyDiv w:val="1"/>
      <w:marLeft w:val="0"/>
      <w:marRight w:val="0"/>
      <w:marTop w:val="0"/>
      <w:marBottom w:val="0"/>
      <w:divBdr>
        <w:top w:val="none" w:sz="0" w:space="0" w:color="auto"/>
        <w:left w:val="none" w:sz="0" w:space="0" w:color="auto"/>
        <w:bottom w:val="none" w:sz="0" w:space="0" w:color="auto"/>
        <w:right w:val="none" w:sz="0" w:space="0" w:color="auto"/>
      </w:divBdr>
    </w:div>
    <w:div w:id="425657152">
      <w:bodyDiv w:val="1"/>
      <w:marLeft w:val="0"/>
      <w:marRight w:val="0"/>
      <w:marTop w:val="0"/>
      <w:marBottom w:val="0"/>
      <w:divBdr>
        <w:top w:val="none" w:sz="0" w:space="0" w:color="auto"/>
        <w:left w:val="none" w:sz="0" w:space="0" w:color="auto"/>
        <w:bottom w:val="none" w:sz="0" w:space="0" w:color="auto"/>
        <w:right w:val="none" w:sz="0" w:space="0" w:color="auto"/>
      </w:divBdr>
    </w:div>
    <w:div w:id="427384311">
      <w:bodyDiv w:val="1"/>
      <w:marLeft w:val="0"/>
      <w:marRight w:val="0"/>
      <w:marTop w:val="0"/>
      <w:marBottom w:val="0"/>
      <w:divBdr>
        <w:top w:val="none" w:sz="0" w:space="0" w:color="auto"/>
        <w:left w:val="none" w:sz="0" w:space="0" w:color="auto"/>
        <w:bottom w:val="none" w:sz="0" w:space="0" w:color="auto"/>
        <w:right w:val="none" w:sz="0" w:space="0" w:color="auto"/>
      </w:divBdr>
    </w:div>
    <w:div w:id="483005844">
      <w:bodyDiv w:val="1"/>
      <w:marLeft w:val="0"/>
      <w:marRight w:val="0"/>
      <w:marTop w:val="0"/>
      <w:marBottom w:val="0"/>
      <w:divBdr>
        <w:top w:val="none" w:sz="0" w:space="0" w:color="auto"/>
        <w:left w:val="none" w:sz="0" w:space="0" w:color="auto"/>
        <w:bottom w:val="none" w:sz="0" w:space="0" w:color="auto"/>
        <w:right w:val="none" w:sz="0" w:space="0" w:color="auto"/>
      </w:divBdr>
    </w:div>
    <w:div w:id="554463723">
      <w:bodyDiv w:val="1"/>
      <w:marLeft w:val="0"/>
      <w:marRight w:val="0"/>
      <w:marTop w:val="0"/>
      <w:marBottom w:val="0"/>
      <w:divBdr>
        <w:top w:val="none" w:sz="0" w:space="0" w:color="auto"/>
        <w:left w:val="none" w:sz="0" w:space="0" w:color="auto"/>
        <w:bottom w:val="none" w:sz="0" w:space="0" w:color="auto"/>
        <w:right w:val="none" w:sz="0" w:space="0" w:color="auto"/>
      </w:divBdr>
    </w:div>
    <w:div w:id="652948538">
      <w:bodyDiv w:val="1"/>
      <w:marLeft w:val="0"/>
      <w:marRight w:val="0"/>
      <w:marTop w:val="0"/>
      <w:marBottom w:val="0"/>
      <w:divBdr>
        <w:top w:val="none" w:sz="0" w:space="0" w:color="auto"/>
        <w:left w:val="none" w:sz="0" w:space="0" w:color="auto"/>
        <w:bottom w:val="none" w:sz="0" w:space="0" w:color="auto"/>
        <w:right w:val="none" w:sz="0" w:space="0" w:color="auto"/>
      </w:divBdr>
    </w:div>
    <w:div w:id="655189623">
      <w:bodyDiv w:val="1"/>
      <w:marLeft w:val="0"/>
      <w:marRight w:val="0"/>
      <w:marTop w:val="0"/>
      <w:marBottom w:val="0"/>
      <w:divBdr>
        <w:top w:val="none" w:sz="0" w:space="0" w:color="auto"/>
        <w:left w:val="none" w:sz="0" w:space="0" w:color="auto"/>
        <w:bottom w:val="none" w:sz="0" w:space="0" w:color="auto"/>
        <w:right w:val="none" w:sz="0" w:space="0" w:color="auto"/>
      </w:divBdr>
    </w:div>
    <w:div w:id="782649944">
      <w:bodyDiv w:val="1"/>
      <w:marLeft w:val="0"/>
      <w:marRight w:val="0"/>
      <w:marTop w:val="0"/>
      <w:marBottom w:val="0"/>
      <w:divBdr>
        <w:top w:val="none" w:sz="0" w:space="0" w:color="auto"/>
        <w:left w:val="none" w:sz="0" w:space="0" w:color="auto"/>
        <w:bottom w:val="none" w:sz="0" w:space="0" w:color="auto"/>
        <w:right w:val="none" w:sz="0" w:space="0" w:color="auto"/>
      </w:divBdr>
    </w:div>
    <w:div w:id="864294146">
      <w:bodyDiv w:val="1"/>
      <w:marLeft w:val="0"/>
      <w:marRight w:val="0"/>
      <w:marTop w:val="0"/>
      <w:marBottom w:val="0"/>
      <w:divBdr>
        <w:top w:val="none" w:sz="0" w:space="0" w:color="auto"/>
        <w:left w:val="none" w:sz="0" w:space="0" w:color="auto"/>
        <w:bottom w:val="none" w:sz="0" w:space="0" w:color="auto"/>
        <w:right w:val="none" w:sz="0" w:space="0" w:color="auto"/>
      </w:divBdr>
    </w:div>
    <w:div w:id="928545329">
      <w:bodyDiv w:val="1"/>
      <w:marLeft w:val="0"/>
      <w:marRight w:val="0"/>
      <w:marTop w:val="0"/>
      <w:marBottom w:val="0"/>
      <w:divBdr>
        <w:top w:val="none" w:sz="0" w:space="0" w:color="auto"/>
        <w:left w:val="none" w:sz="0" w:space="0" w:color="auto"/>
        <w:bottom w:val="none" w:sz="0" w:space="0" w:color="auto"/>
        <w:right w:val="none" w:sz="0" w:space="0" w:color="auto"/>
      </w:divBdr>
    </w:div>
    <w:div w:id="999505525">
      <w:bodyDiv w:val="1"/>
      <w:marLeft w:val="0"/>
      <w:marRight w:val="0"/>
      <w:marTop w:val="0"/>
      <w:marBottom w:val="0"/>
      <w:divBdr>
        <w:top w:val="none" w:sz="0" w:space="0" w:color="auto"/>
        <w:left w:val="none" w:sz="0" w:space="0" w:color="auto"/>
        <w:bottom w:val="none" w:sz="0" w:space="0" w:color="auto"/>
        <w:right w:val="none" w:sz="0" w:space="0" w:color="auto"/>
      </w:divBdr>
    </w:div>
    <w:div w:id="1025983379">
      <w:bodyDiv w:val="1"/>
      <w:marLeft w:val="0"/>
      <w:marRight w:val="0"/>
      <w:marTop w:val="0"/>
      <w:marBottom w:val="0"/>
      <w:divBdr>
        <w:top w:val="none" w:sz="0" w:space="0" w:color="auto"/>
        <w:left w:val="none" w:sz="0" w:space="0" w:color="auto"/>
        <w:bottom w:val="none" w:sz="0" w:space="0" w:color="auto"/>
        <w:right w:val="none" w:sz="0" w:space="0" w:color="auto"/>
      </w:divBdr>
    </w:div>
    <w:div w:id="1255867714">
      <w:bodyDiv w:val="1"/>
      <w:marLeft w:val="0"/>
      <w:marRight w:val="0"/>
      <w:marTop w:val="0"/>
      <w:marBottom w:val="0"/>
      <w:divBdr>
        <w:top w:val="none" w:sz="0" w:space="0" w:color="auto"/>
        <w:left w:val="none" w:sz="0" w:space="0" w:color="auto"/>
        <w:bottom w:val="none" w:sz="0" w:space="0" w:color="auto"/>
        <w:right w:val="none" w:sz="0" w:space="0" w:color="auto"/>
      </w:divBdr>
    </w:div>
    <w:div w:id="1303342520">
      <w:bodyDiv w:val="1"/>
      <w:marLeft w:val="0"/>
      <w:marRight w:val="0"/>
      <w:marTop w:val="0"/>
      <w:marBottom w:val="0"/>
      <w:divBdr>
        <w:top w:val="none" w:sz="0" w:space="0" w:color="auto"/>
        <w:left w:val="none" w:sz="0" w:space="0" w:color="auto"/>
        <w:bottom w:val="none" w:sz="0" w:space="0" w:color="auto"/>
        <w:right w:val="none" w:sz="0" w:space="0" w:color="auto"/>
      </w:divBdr>
    </w:div>
    <w:div w:id="1376806709">
      <w:bodyDiv w:val="1"/>
      <w:marLeft w:val="0"/>
      <w:marRight w:val="0"/>
      <w:marTop w:val="0"/>
      <w:marBottom w:val="0"/>
      <w:divBdr>
        <w:top w:val="none" w:sz="0" w:space="0" w:color="auto"/>
        <w:left w:val="none" w:sz="0" w:space="0" w:color="auto"/>
        <w:bottom w:val="none" w:sz="0" w:space="0" w:color="auto"/>
        <w:right w:val="none" w:sz="0" w:space="0" w:color="auto"/>
      </w:divBdr>
    </w:div>
    <w:div w:id="1450971397">
      <w:bodyDiv w:val="1"/>
      <w:marLeft w:val="0"/>
      <w:marRight w:val="0"/>
      <w:marTop w:val="0"/>
      <w:marBottom w:val="0"/>
      <w:divBdr>
        <w:top w:val="none" w:sz="0" w:space="0" w:color="auto"/>
        <w:left w:val="none" w:sz="0" w:space="0" w:color="auto"/>
        <w:bottom w:val="none" w:sz="0" w:space="0" w:color="auto"/>
        <w:right w:val="none" w:sz="0" w:space="0" w:color="auto"/>
      </w:divBdr>
    </w:div>
    <w:div w:id="1495610906">
      <w:bodyDiv w:val="1"/>
      <w:marLeft w:val="0"/>
      <w:marRight w:val="0"/>
      <w:marTop w:val="0"/>
      <w:marBottom w:val="0"/>
      <w:divBdr>
        <w:top w:val="none" w:sz="0" w:space="0" w:color="auto"/>
        <w:left w:val="none" w:sz="0" w:space="0" w:color="auto"/>
        <w:bottom w:val="none" w:sz="0" w:space="0" w:color="auto"/>
        <w:right w:val="none" w:sz="0" w:space="0" w:color="auto"/>
      </w:divBdr>
    </w:div>
    <w:div w:id="1583837793">
      <w:bodyDiv w:val="1"/>
      <w:marLeft w:val="0"/>
      <w:marRight w:val="0"/>
      <w:marTop w:val="0"/>
      <w:marBottom w:val="0"/>
      <w:divBdr>
        <w:top w:val="none" w:sz="0" w:space="0" w:color="auto"/>
        <w:left w:val="none" w:sz="0" w:space="0" w:color="auto"/>
        <w:bottom w:val="none" w:sz="0" w:space="0" w:color="auto"/>
        <w:right w:val="none" w:sz="0" w:space="0" w:color="auto"/>
      </w:divBdr>
    </w:div>
    <w:div w:id="1604219084">
      <w:bodyDiv w:val="1"/>
      <w:marLeft w:val="0"/>
      <w:marRight w:val="0"/>
      <w:marTop w:val="0"/>
      <w:marBottom w:val="0"/>
      <w:divBdr>
        <w:top w:val="none" w:sz="0" w:space="0" w:color="auto"/>
        <w:left w:val="none" w:sz="0" w:space="0" w:color="auto"/>
        <w:bottom w:val="none" w:sz="0" w:space="0" w:color="auto"/>
        <w:right w:val="none" w:sz="0" w:space="0" w:color="auto"/>
      </w:divBdr>
    </w:div>
    <w:div w:id="1634483375">
      <w:bodyDiv w:val="1"/>
      <w:marLeft w:val="0"/>
      <w:marRight w:val="0"/>
      <w:marTop w:val="0"/>
      <w:marBottom w:val="0"/>
      <w:divBdr>
        <w:top w:val="none" w:sz="0" w:space="0" w:color="auto"/>
        <w:left w:val="none" w:sz="0" w:space="0" w:color="auto"/>
        <w:bottom w:val="none" w:sz="0" w:space="0" w:color="auto"/>
        <w:right w:val="none" w:sz="0" w:space="0" w:color="auto"/>
      </w:divBdr>
    </w:div>
    <w:div w:id="1644430107">
      <w:bodyDiv w:val="1"/>
      <w:marLeft w:val="0"/>
      <w:marRight w:val="0"/>
      <w:marTop w:val="0"/>
      <w:marBottom w:val="0"/>
      <w:divBdr>
        <w:top w:val="none" w:sz="0" w:space="0" w:color="auto"/>
        <w:left w:val="none" w:sz="0" w:space="0" w:color="auto"/>
        <w:bottom w:val="none" w:sz="0" w:space="0" w:color="auto"/>
        <w:right w:val="none" w:sz="0" w:space="0" w:color="auto"/>
      </w:divBdr>
    </w:div>
    <w:div w:id="1669483075">
      <w:bodyDiv w:val="1"/>
      <w:marLeft w:val="0"/>
      <w:marRight w:val="0"/>
      <w:marTop w:val="0"/>
      <w:marBottom w:val="0"/>
      <w:divBdr>
        <w:top w:val="none" w:sz="0" w:space="0" w:color="auto"/>
        <w:left w:val="none" w:sz="0" w:space="0" w:color="auto"/>
        <w:bottom w:val="none" w:sz="0" w:space="0" w:color="auto"/>
        <w:right w:val="none" w:sz="0" w:space="0" w:color="auto"/>
      </w:divBdr>
    </w:div>
    <w:div w:id="1679499814">
      <w:bodyDiv w:val="1"/>
      <w:marLeft w:val="0"/>
      <w:marRight w:val="0"/>
      <w:marTop w:val="0"/>
      <w:marBottom w:val="0"/>
      <w:divBdr>
        <w:top w:val="none" w:sz="0" w:space="0" w:color="auto"/>
        <w:left w:val="none" w:sz="0" w:space="0" w:color="auto"/>
        <w:bottom w:val="none" w:sz="0" w:space="0" w:color="auto"/>
        <w:right w:val="none" w:sz="0" w:space="0" w:color="auto"/>
      </w:divBdr>
    </w:div>
    <w:div w:id="1706980325">
      <w:bodyDiv w:val="1"/>
      <w:marLeft w:val="0"/>
      <w:marRight w:val="0"/>
      <w:marTop w:val="0"/>
      <w:marBottom w:val="0"/>
      <w:divBdr>
        <w:top w:val="none" w:sz="0" w:space="0" w:color="auto"/>
        <w:left w:val="none" w:sz="0" w:space="0" w:color="auto"/>
        <w:bottom w:val="none" w:sz="0" w:space="0" w:color="auto"/>
        <w:right w:val="none" w:sz="0" w:space="0" w:color="auto"/>
      </w:divBdr>
    </w:div>
    <w:div w:id="1818572836">
      <w:bodyDiv w:val="1"/>
      <w:marLeft w:val="0"/>
      <w:marRight w:val="0"/>
      <w:marTop w:val="0"/>
      <w:marBottom w:val="0"/>
      <w:divBdr>
        <w:top w:val="none" w:sz="0" w:space="0" w:color="auto"/>
        <w:left w:val="none" w:sz="0" w:space="0" w:color="auto"/>
        <w:bottom w:val="none" w:sz="0" w:space="0" w:color="auto"/>
        <w:right w:val="none" w:sz="0" w:space="0" w:color="auto"/>
      </w:divBdr>
    </w:div>
    <w:div w:id="1819954010">
      <w:bodyDiv w:val="1"/>
      <w:marLeft w:val="0"/>
      <w:marRight w:val="0"/>
      <w:marTop w:val="0"/>
      <w:marBottom w:val="0"/>
      <w:divBdr>
        <w:top w:val="none" w:sz="0" w:space="0" w:color="auto"/>
        <w:left w:val="none" w:sz="0" w:space="0" w:color="auto"/>
        <w:bottom w:val="none" w:sz="0" w:space="0" w:color="auto"/>
        <w:right w:val="none" w:sz="0" w:space="0" w:color="auto"/>
      </w:divBdr>
    </w:div>
    <w:div w:id="1850022385">
      <w:bodyDiv w:val="1"/>
      <w:marLeft w:val="0"/>
      <w:marRight w:val="0"/>
      <w:marTop w:val="0"/>
      <w:marBottom w:val="0"/>
      <w:divBdr>
        <w:top w:val="none" w:sz="0" w:space="0" w:color="auto"/>
        <w:left w:val="none" w:sz="0" w:space="0" w:color="auto"/>
        <w:bottom w:val="none" w:sz="0" w:space="0" w:color="auto"/>
        <w:right w:val="none" w:sz="0" w:space="0" w:color="auto"/>
      </w:divBdr>
    </w:div>
    <w:div w:id="1867870347">
      <w:bodyDiv w:val="1"/>
      <w:marLeft w:val="0"/>
      <w:marRight w:val="0"/>
      <w:marTop w:val="0"/>
      <w:marBottom w:val="0"/>
      <w:divBdr>
        <w:top w:val="none" w:sz="0" w:space="0" w:color="auto"/>
        <w:left w:val="none" w:sz="0" w:space="0" w:color="auto"/>
        <w:bottom w:val="none" w:sz="0" w:space="0" w:color="auto"/>
        <w:right w:val="none" w:sz="0" w:space="0" w:color="auto"/>
      </w:divBdr>
    </w:div>
    <w:div w:id="1870873252">
      <w:bodyDiv w:val="1"/>
      <w:marLeft w:val="0"/>
      <w:marRight w:val="0"/>
      <w:marTop w:val="0"/>
      <w:marBottom w:val="0"/>
      <w:divBdr>
        <w:top w:val="none" w:sz="0" w:space="0" w:color="auto"/>
        <w:left w:val="none" w:sz="0" w:space="0" w:color="auto"/>
        <w:bottom w:val="none" w:sz="0" w:space="0" w:color="auto"/>
        <w:right w:val="none" w:sz="0" w:space="0" w:color="auto"/>
      </w:divBdr>
    </w:div>
    <w:div w:id="1885556127">
      <w:bodyDiv w:val="1"/>
      <w:marLeft w:val="0"/>
      <w:marRight w:val="0"/>
      <w:marTop w:val="0"/>
      <w:marBottom w:val="0"/>
      <w:divBdr>
        <w:top w:val="none" w:sz="0" w:space="0" w:color="auto"/>
        <w:left w:val="none" w:sz="0" w:space="0" w:color="auto"/>
        <w:bottom w:val="none" w:sz="0" w:space="0" w:color="auto"/>
        <w:right w:val="none" w:sz="0" w:space="0" w:color="auto"/>
      </w:divBdr>
    </w:div>
    <w:div w:id="2024355774">
      <w:bodyDiv w:val="1"/>
      <w:marLeft w:val="0"/>
      <w:marRight w:val="0"/>
      <w:marTop w:val="0"/>
      <w:marBottom w:val="0"/>
      <w:divBdr>
        <w:top w:val="none" w:sz="0" w:space="0" w:color="auto"/>
        <w:left w:val="none" w:sz="0" w:space="0" w:color="auto"/>
        <w:bottom w:val="none" w:sz="0" w:space="0" w:color="auto"/>
        <w:right w:val="none" w:sz="0" w:space="0" w:color="auto"/>
      </w:divBdr>
    </w:div>
    <w:div w:id="2077120413">
      <w:bodyDiv w:val="1"/>
      <w:marLeft w:val="0"/>
      <w:marRight w:val="0"/>
      <w:marTop w:val="0"/>
      <w:marBottom w:val="0"/>
      <w:divBdr>
        <w:top w:val="none" w:sz="0" w:space="0" w:color="auto"/>
        <w:left w:val="none" w:sz="0" w:space="0" w:color="auto"/>
        <w:bottom w:val="none" w:sz="0" w:space="0" w:color="auto"/>
        <w:right w:val="none" w:sz="0" w:space="0" w:color="auto"/>
      </w:divBdr>
    </w:div>
    <w:div w:id="21409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9E1ED2-B023-4E2B-AB88-58BB82B2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PBO response for budget analysis 27022015</vt:lpstr>
    </vt:vector>
  </TitlesOfParts>
  <Company>Parliament of Australia</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response for budget analysis 27022015</dc:title>
  <dc:creator>Parliamentary Budget Office</dc:creator>
  <cp:lastModifiedBy>Milligan, Louise (PBO)</cp:lastModifiedBy>
  <cp:revision>7</cp:revision>
  <cp:lastPrinted>2015-02-26T23:38:00Z</cp:lastPrinted>
  <dcterms:created xsi:type="dcterms:W3CDTF">2016-05-20T05:50:00Z</dcterms:created>
  <dcterms:modified xsi:type="dcterms:W3CDTF">2016-06-09T05:53:00Z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