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8FF3" w14:textId="77777777"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43290106"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7A484FC4" w14:textId="186D442D" w:rsidR="00AA478E" w:rsidRPr="004F5F28" w:rsidRDefault="00F27CBA" w:rsidP="002E0CD6">
            <w:pPr>
              <w:pStyle w:val="NameofProposal"/>
              <w:spacing w:before="120" w:line="260" w:lineRule="atLeast"/>
            </w:pPr>
            <w:r>
              <w:t xml:space="preserve">Suburb Zero </w:t>
            </w:r>
            <w:r w:rsidR="007B2090">
              <w:t>p</w:t>
            </w:r>
            <w:r>
              <w:t>ilot in the ACT</w:t>
            </w:r>
          </w:p>
        </w:tc>
      </w:tr>
      <w:tr w:rsidR="00AA478E" w:rsidRPr="004F5F28" w14:paraId="3931927B" w14:textId="77777777" w:rsidTr="00D674A5">
        <w:tc>
          <w:tcPr>
            <w:tcW w:w="1957" w:type="pct"/>
          </w:tcPr>
          <w:p w14:paraId="17190F89" w14:textId="77777777" w:rsidR="00AA478E" w:rsidRPr="004F5F28" w:rsidRDefault="00AA478E" w:rsidP="002E0CD6">
            <w:pPr>
              <w:spacing w:before="120" w:line="260" w:lineRule="atLeast"/>
            </w:pPr>
            <w:r w:rsidRPr="004F5F28">
              <w:t>Person/party requesting the costing:</w:t>
            </w:r>
          </w:p>
        </w:tc>
        <w:tc>
          <w:tcPr>
            <w:tcW w:w="3043" w:type="pct"/>
            <w:gridSpan w:val="2"/>
          </w:tcPr>
          <w:p w14:paraId="3775B1C5" w14:textId="271DF34E" w:rsidR="00AA478E" w:rsidRPr="004F5F28" w:rsidRDefault="001378F5" w:rsidP="002E0CD6">
            <w:pPr>
              <w:spacing w:before="120" w:line="260" w:lineRule="atLeast"/>
            </w:pPr>
            <w:r>
              <w:t>Senator David Pocock, Senator for the Australian Capital Territory</w:t>
            </w:r>
          </w:p>
        </w:tc>
      </w:tr>
      <w:tr w:rsidR="00AA478E" w:rsidRPr="004F5F28" w14:paraId="476A7379" w14:textId="77777777" w:rsidTr="00D674A5">
        <w:tc>
          <w:tcPr>
            <w:tcW w:w="1957" w:type="pct"/>
          </w:tcPr>
          <w:p w14:paraId="3DCD5033" w14:textId="77777777" w:rsidR="00AA478E" w:rsidRPr="004F5F28" w:rsidRDefault="00AA478E" w:rsidP="002E0CD6">
            <w:pPr>
              <w:spacing w:before="120" w:line="260" w:lineRule="atLeast"/>
            </w:pPr>
            <w:r w:rsidRPr="004F5F28">
              <w:t>Date costing completed:</w:t>
            </w:r>
          </w:p>
        </w:tc>
        <w:tc>
          <w:tcPr>
            <w:tcW w:w="3043" w:type="pct"/>
            <w:gridSpan w:val="2"/>
          </w:tcPr>
          <w:p w14:paraId="088A945D" w14:textId="75AFEF77" w:rsidR="00AA478E" w:rsidRPr="004F5F28" w:rsidRDefault="00474626" w:rsidP="002E0CD6">
            <w:pPr>
              <w:spacing w:before="120" w:line="260" w:lineRule="atLeast"/>
            </w:pPr>
            <w:r>
              <w:t>1 September</w:t>
            </w:r>
            <w:r w:rsidR="00BD26DA">
              <w:t xml:space="preserve"> 2022</w:t>
            </w:r>
          </w:p>
        </w:tc>
      </w:tr>
      <w:tr w:rsidR="00AA478E" w:rsidRPr="004F5F28" w14:paraId="35BDA8F6" w14:textId="77777777" w:rsidTr="00D674A5">
        <w:tc>
          <w:tcPr>
            <w:tcW w:w="1957" w:type="pct"/>
          </w:tcPr>
          <w:p w14:paraId="59DCD1EE" w14:textId="77777777" w:rsidR="00AA478E" w:rsidRPr="004F5F28" w:rsidRDefault="00AA478E" w:rsidP="002E0CD6">
            <w:pPr>
              <w:spacing w:before="120" w:line="260" w:lineRule="atLeast"/>
            </w:pPr>
            <w:r w:rsidRPr="004F5F28">
              <w:t>Expiry date of the costing:</w:t>
            </w:r>
          </w:p>
        </w:tc>
        <w:tc>
          <w:tcPr>
            <w:tcW w:w="3043" w:type="pct"/>
            <w:gridSpan w:val="2"/>
          </w:tcPr>
          <w:p w14:paraId="076E83A9" w14:textId="77777777" w:rsidR="00AA478E" w:rsidRPr="004F5F28" w:rsidRDefault="00AA478E" w:rsidP="002E0CD6">
            <w:pPr>
              <w:spacing w:before="120" w:line="260" w:lineRule="atLeast"/>
            </w:pPr>
            <w:r w:rsidRPr="004F5F28">
              <w:t>Release of the next economic and fiscal outlook report.</w:t>
            </w:r>
          </w:p>
        </w:tc>
      </w:tr>
      <w:tr w:rsidR="00AA478E" w:rsidRPr="004F5F28" w14:paraId="0122E6F8" w14:textId="77777777" w:rsidTr="00D674A5">
        <w:tc>
          <w:tcPr>
            <w:tcW w:w="1957" w:type="pct"/>
            <w:vMerge w:val="restart"/>
          </w:tcPr>
          <w:p w14:paraId="4807B28B" w14:textId="77777777" w:rsidR="00AA478E" w:rsidRPr="004F5F28" w:rsidRDefault="00AA478E" w:rsidP="002E0CD6">
            <w:pPr>
              <w:spacing w:before="120" w:line="260" w:lineRule="atLeast"/>
            </w:pPr>
            <w:r w:rsidRPr="004F5F28">
              <w:t>Status at time of request:</w:t>
            </w:r>
          </w:p>
        </w:tc>
        <w:tc>
          <w:tcPr>
            <w:tcW w:w="3043" w:type="pct"/>
            <w:gridSpan w:val="2"/>
          </w:tcPr>
          <w:p w14:paraId="6A595BC8" w14:textId="77777777" w:rsidR="00AA478E" w:rsidRPr="004F5F28" w:rsidRDefault="00AA478E" w:rsidP="002E0CD6">
            <w:pPr>
              <w:spacing w:before="120" w:line="260" w:lineRule="atLeast"/>
            </w:pPr>
            <w:r w:rsidRPr="004F5F28">
              <w:t>Submitted outside the caretaker period</w:t>
            </w:r>
          </w:p>
        </w:tc>
      </w:tr>
      <w:tr w:rsidR="00AA478E" w:rsidRPr="004F5F28" w14:paraId="537F2677" w14:textId="77777777" w:rsidTr="00D674A5">
        <w:tc>
          <w:tcPr>
            <w:tcW w:w="1957" w:type="pct"/>
            <w:vMerge/>
          </w:tcPr>
          <w:p w14:paraId="33036D5E" w14:textId="77777777" w:rsidR="00AA478E" w:rsidRPr="004F5F28" w:rsidRDefault="00AA478E" w:rsidP="002E0CD6">
            <w:pPr>
              <w:spacing w:before="120" w:line="260" w:lineRule="atLeast"/>
            </w:pPr>
          </w:p>
        </w:tc>
        <w:tc>
          <w:tcPr>
            <w:tcW w:w="1529" w:type="pct"/>
          </w:tcPr>
          <w:p w14:paraId="25878E9C" w14:textId="69DE6C70" w:rsidR="00AA478E" w:rsidRPr="00F87B4B" w:rsidRDefault="00000000" w:rsidP="002E0CD6">
            <w:pPr>
              <w:spacing w:before="120" w:line="260" w:lineRule="atLeast"/>
            </w:pPr>
            <w:sdt>
              <w:sdtPr>
                <w:id w:val="-901915855"/>
                <w14:checkbox>
                  <w14:checked w14:val="1"/>
                  <w14:checkedState w14:val="2612" w14:font="MS Gothic"/>
                  <w14:uncheckedState w14:val="2610" w14:font="MS Gothic"/>
                </w14:checkbox>
              </w:sdtPr>
              <w:sdtContent>
                <w:r w:rsidR="008217C5">
                  <w:rPr>
                    <w:rFonts w:ascii="MS Gothic" w:eastAsia="MS Gothic" w:hAnsi="MS Gothic" w:hint="eastAsia"/>
                  </w:rPr>
                  <w:t>☒</w:t>
                </w:r>
              </w:sdtContent>
            </w:sdt>
            <w:r w:rsidR="00AA478E" w:rsidRPr="004F5F28">
              <w:t xml:space="preserve"> </w:t>
            </w:r>
            <w:r w:rsidR="00AA478E" w:rsidRPr="00F87B4B">
              <w:rPr>
                <w:strike/>
              </w:rPr>
              <w:t>Confidential</w:t>
            </w:r>
            <w:r w:rsidR="00F87B4B" w:rsidRPr="00B62EF8">
              <w:t xml:space="preserve"> </w:t>
            </w:r>
            <w:r w:rsidR="00F87B4B" w:rsidRPr="00B62EF8">
              <w:rPr>
                <w:i/>
                <w:iCs/>
              </w:rPr>
              <w:t>Authorised for public release 24</w:t>
            </w:r>
            <w:r w:rsidR="00B62EF8" w:rsidRPr="00B62EF8">
              <w:rPr>
                <w:i/>
                <w:iCs/>
              </w:rPr>
              <w:t xml:space="preserve"> February </w:t>
            </w:r>
            <w:r w:rsidR="00F87B4B" w:rsidRPr="00B62EF8">
              <w:rPr>
                <w:i/>
                <w:iCs/>
              </w:rPr>
              <w:t>2023</w:t>
            </w:r>
          </w:p>
        </w:tc>
        <w:tc>
          <w:tcPr>
            <w:tcW w:w="1514" w:type="pct"/>
          </w:tcPr>
          <w:p w14:paraId="5C76C562" w14:textId="77777777" w:rsidR="00AA478E" w:rsidRPr="004F5F28" w:rsidRDefault="00000000" w:rsidP="002E0CD6">
            <w:pPr>
              <w:spacing w:before="120" w:line="260" w:lineRule="atLeast"/>
            </w:pPr>
            <w:sdt>
              <w:sdtPr>
                <w:id w:val="1635065970"/>
                <w14:checkbox>
                  <w14:checked w14:val="0"/>
                  <w14:checkedState w14:val="2612" w14:font="MS Gothic"/>
                  <w14:uncheckedState w14:val="2610" w14:font="MS Gothic"/>
                </w14:checkbox>
              </w:sdtPr>
              <w:sdtContent>
                <w:r w:rsidR="0002159A">
                  <w:rPr>
                    <w:rFonts w:ascii="MS Gothic" w:eastAsia="MS Gothic" w:hAnsi="MS Gothic" w:hint="eastAsia"/>
                  </w:rPr>
                  <w:t>☐</w:t>
                </w:r>
              </w:sdtContent>
            </w:sdt>
            <w:r w:rsidR="00AA478E" w:rsidRPr="004F5F28">
              <w:t xml:space="preserve"> Not confidential</w:t>
            </w:r>
          </w:p>
        </w:tc>
      </w:tr>
      <w:tr w:rsidR="00AA478E" w:rsidRPr="004F5F28" w14:paraId="738D3A92" w14:textId="77777777" w:rsidTr="00D674A5">
        <w:tc>
          <w:tcPr>
            <w:tcW w:w="5000" w:type="pct"/>
            <w:gridSpan w:val="3"/>
          </w:tcPr>
          <w:p w14:paraId="4FF38DED" w14:textId="77777777" w:rsidR="00AA478E" w:rsidRDefault="00AA478E" w:rsidP="002E0CD6">
            <w:pPr>
              <w:spacing w:before="120" w:line="260" w:lineRule="atLeast"/>
            </w:pPr>
            <w:r w:rsidRPr="004F5F28">
              <w:t>Summary of proposal:</w:t>
            </w:r>
          </w:p>
          <w:p w14:paraId="12FFD687" w14:textId="77777777" w:rsidR="00592232" w:rsidRDefault="00850EA0" w:rsidP="00EA74CB">
            <w:pPr>
              <w:spacing w:before="120" w:line="260" w:lineRule="atLeast"/>
            </w:pPr>
            <w:r>
              <w:t xml:space="preserve">The </w:t>
            </w:r>
            <w:r w:rsidR="00EA74CB">
              <w:t>proposal would</w:t>
            </w:r>
            <w:r w:rsidR="003C01B2">
              <w:t xml:space="preserve"> </w:t>
            </w:r>
            <w:r w:rsidR="00D02648">
              <w:t>electri</w:t>
            </w:r>
            <w:r w:rsidR="00903B25">
              <w:t xml:space="preserve">fy a suburb of Canberra, resulting in net zero greenhouse gas emissions for that community. The </w:t>
            </w:r>
            <w:r w:rsidR="00C054B7">
              <w:t xml:space="preserve">proposal </w:t>
            </w:r>
            <w:r w:rsidR="00592232">
              <w:t>consists of 2 options:</w:t>
            </w:r>
          </w:p>
          <w:p w14:paraId="1D3A3C6D" w14:textId="076B4F87" w:rsidR="0089399A" w:rsidRDefault="00592232" w:rsidP="00724DE7">
            <w:pPr>
              <w:pStyle w:val="Bullet1"/>
              <w:ind w:left="363" w:hanging="363"/>
            </w:pPr>
            <w:r w:rsidRPr="00FB15B0">
              <w:rPr>
                <w:b/>
                <w:bCs/>
              </w:rPr>
              <w:t>Option 1</w:t>
            </w:r>
            <w:r>
              <w:t xml:space="preserve"> </w:t>
            </w:r>
            <w:r w:rsidR="005F51E0">
              <w:t xml:space="preserve">would provide financial support </w:t>
            </w:r>
            <w:r w:rsidR="005A347F">
              <w:t>for</w:t>
            </w:r>
            <w:r w:rsidR="005F51E0">
              <w:t xml:space="preserve"> 500 house</w:t>
            </w:r>
            <w:r w:rsidR="00140B29">
              <w:t xml:space="preserve">holds within a </w:t>
            </w:r>
            <w:r w:rsidR="0089399A">
              <w:t>small geographical area</w:t>
            </w:r>
            <w:r w:rsidR="00FE2390">
              <w:t>.</w:t>
            </w:r>
          </w:p>
          <w:p w14:paraId="23615797" w14:textId="61582998" w:rsidR="006701F0" w:rsidRDefault="006701F0" w:rsidP="00724DE7">
            <w:pPr>
              <w:pStyle w:val="Bullet1"/>
              <w:ind w:left="363" w:hanging="363"/>
            </w:pPr>
            <w:r w:rsidRPr="00FB15B0">
              <w:rPr>
                <w:b/>
                <w:bCs/>
              </w:rPr>
              <w:t>Option 2</w:t>
            </w:r>
            <w:r>
              <w:t xml:space="preserve"> would provide financial support</w:t>
            </w:r>
            <w:r w:rsidR="005A347F">
              <w:t xml:space="preserve"> for</w:t>
            </w:r>
            <w:r w:rsidDel="005A347F">
              <w:t xml:space="preserve"> </w:t>
            </w:r>
            <w:r>
              <w:t>1,000 households within a small geographical area</w:t>
            </w:r>
            <w:r w:rsidR="00FE2390">
              <w:t>.</w:t>
            </w:r>
          </w:p>
          <w:p w14:paraId="4A4A9347" w14:textId="7EB6F510" w:rsidR="006701F0" w:rsidRPr="00541F84" w:rsidRDefault="00921929" w:rsidP="00203037">
            <w:r w:rsidRPr="00541F84">
              <w:t xml:space="preserve">Households would </w:t>
            </w:r>
            <w:r w:rsidR="00BE6FE7">
              <w:t xml:space="preserve">be able to apply for </w:t>
            </w:r>
            <w:r w:rsidR="009E3F08">
              <w:t xml:space="preserve">subsidies </w:t>
            </w:r>
            <w:r w:rsidR="00A66AEA" w:rsidRPr="00541F84">
              <w:t>and</w:t>
            </w:r>
            <w:r w:rsidR="00942787">
              <w:t>/or</w:t>
            </w:r>
            <w:r w:rsidR="00A66AEA" w:rsidRPr="00541F84">
              <w:t xml:space="preserve"> concessional loans </w:t>
            </w:r>
            <w:r w:rsidR="00A3143C" w:rsidRPr="00541F84">
              <w:t>for the following aspects of</w:t>
            </w:r>
            <w:r w:rsidRPr="00541F84">
              <w:t xml:space="preserve"> electrification:</w:t>
            </w:r>
          </w:p>
          <w:p w14:paraId="744B5BA3" w14:textId="0A2B969E" w:rsidR="00921929" w:rsidRPr="005E1F48" w:rsidRDefault="003B2914" w:rsidP="00724DE7">
            <w:pPr>
              <w:pStyle w:val="Bullet1"/>
              <w:ind w:left="363" w:hanging="363"/>
            </w:pPr>
            <w:r w:rsidRPr="00541F84">
              <w:t xml:space="preserve">Installing </w:t>
            </w:r>
            <w:r w:rsidRPr="005E1F48">
              <w:t>solar PV</w:t>
            </w:r>
            <w:r w:rsidR="00942787">
              <w:t>.</w:t>
            </w:r>
          </w:p>
          <w:p w14:paraId="4385EADD" w14:textId="7BF34656" w:rsidR="0004769A" w:rsidRPr="005E1F48" w:rsidRDefault="003B2914" w:rsidP="00724DE7">
            <w:pPr>
              <w:pStyle w:val="Bullet1"/>
              <w:ind w:left="363" w:hanging="363"/>
            </w:pPr>
            <w:r w:rsidRPr="00541F84">
              <w:t xml:space="preserve">Installing </w:t>
            </w:r>
            <w:r w:rsidR="002A3E38">
              <w:t xml:space="preserve">a </w:t>
            </w:r>
            <w:r w:rsidRPr="005E1F48">
              <w:t>solar battery</w:t>
            </w:r>
            <w:r w:rsidR="00942787">
              <w:t>.</w:t>
            </w:r>
          </w:p>
          <w:p w14:paraId="4F260C15" w14:textId="7E35C591" w:rsidR="003B2914" w:rsidRPr="00541F84" w:rsidRDefault="003B2914" w:rsidP="00724DE7">
            <w:pPr>
              <w:pStyle w:val="Bullet1"/>
              <w:ind w:left="363" w:hanging="363"/>
            </w:pPr>
            <w:r w:rsidRPr="00541F84">
              <w:t xml:space="preserve">Replacing </w:t>
            </w:r>
            <w:r w:rsidR="002A3E38">
              <w:t>a</w:t>
            </w:r>
            <w:r w:rsidRPr="00541F84">
              <w:t xml:space="preserve"> gas </w:t>
            </w:r>
            <w:r w:rsidRPr="005E1F48">
              <w:t>heating</w:t>
            </w:r>
            <w:r w:rsidRPr="00541F84">
              <w:t xml:space="preserve"> system with </w:t>
            </w:r>
            <w:r w:rsidR="006511C0">
              <w:t xml:space="preserve">an </w:t>
            </w:r>
            <w:r w:rsidRPr="00541F84">
              <w:t xml:space="preserve">electric </w:t>
            </w:r>
            <w:r w:rsidR="006511C0">
              <w:t>reverse-cycle air-</w:t>
            </w:r>
            <w:r w:rsidRPr="00541F84">
              <w:t>conditioning system</w:t>
            </w:r>
            <w:r w:rsidR="00942787">
              <w:t>.</w:t>
            </w:r>
          </w:p>
          <w:p w14:paraId="217DEF44" w14:textId="1E284688" w:rsidR="003B2914" w:rsidRPr="00541F84" w:rsidRDefault="003B2914" w:rsidP="00724DE7">
            <w:pPr>
              <w:pStyle w:val="Bullet1"/>
              <w:ind w:left="363" w:hanging="363"/>
            </w:pPr>
            <w:r w:rsidRPr="00541F84">
              <w:t xml:space="preserve">Replacing </w:t>
            </w:r>
            <w:r w:rsidR="006511C0">
              <w:t>a</w:t>
            </w:r>
            <w:r w:rsidRPr="00541F84">
              <w:t xml:space="preserve"> gas </w:t>
            </w:r>
            <w:r w:rsidRPr="005E1F48">
              <w:t>hot water</w:t>
            </w:r>
            <w:r w:rsidRPr="00541F84">
              <w:t xml:space="preserve"> heater with </w:t>
            </w:r>
            <w:r w:rsidR="006F43FD">
              <w:t xml:space="preserve">a </w:t>
            </w:r>
            <w:r w:rsidRPr="00541F84">
              <w:t>heat pump water heater</w:t>
            </w:r>
            <w:r w:rsidR="00942787">
              <w:t>.</w:t>
            </w:r>
          </w:p>
          <w:p w14:paraId="278E1BC4" w14:textId="34DA6118" w:rsidR="003B2914" w:rsidRPr="00541F84" w:rsidRDefault="003B2914" w:rsidP="00724DE7">
            <w:pPr>
              <w:pStyle w:val="Bullet1"/>
              <w:ind w:left="363" w:hanging="363"/>
            </w:pPr>
            <w:r w:rsidRPr="00541F84">
              <w:t xml:space="preserve">Replacing </w:t>
            </w:r>
            <w:r w:rsidR="00650259">
              <w:t>a</w:t>
            </w:r>
            <w:r w:rsidR="00650259" w:rsidRPr="00541F84">
              <w:t xml:space="preserve"> </w:t>
            </w:r>
            <w:r w:rsidRPr="005E1F48">
              <w:t>gas cooktop</w:t>
            </w:r>
            <w:r w:rsidRPr="00541F84">
              <w:t xml:space="preserve"> with </w:t>
            </w:r>
            <w:r w:rsidR="00650259">
              <w:t xml:space="preserve">an </w:t>
            </w:r>
            <w:r w:rsidRPr="00541F84">
              <w:t>induction cooktop</w:t>
            </w:r>
            <w:r w:rsidR="00942787">
              <w:t>.</w:t>
            </w:r>
          </w:p>
          <w:p w14:paraId="2A05670E" w14:textId="0E8CB90A" w:rsidR="003B2914" w:rsidRPr="00541F84" w:rsidRDefault="004D788C" w:rsidP="00724DE7">
            <w:pPr>
              <w:pStyle w:val="Bullet1"/>
              <w:ind w:left="363" w:hanging="363"/>
            </w:pPr>
            <w:r w:rsidRPr="00541F84">
              <w:t xml:space="preserve">Acquiring a </w:t>
            </w:r>
            <w:r w:rsidR="00595513" w:rsidRPr="00541F84">
              <w:t xml:space="preserve">2-year </w:t>
            </w:r>
            <w:r w:rsidRPr="00541F84">
              <w:t xml:space="preserve">lease for an </w:t>
            </w:r>
            <w:r w:rsidRPr="005E1F48">
              <w:t>electric vehicle</w:t>
            </w:r>
            <w:r w:rsidR="002A584D" w:rsidRPr="00541F84">
              <w:t xml:space="preserve"> (EV)</w:t>
            </w:r>
            <w:r w:rsidR="00C672A6">
              <w:t xml:space="preserve"> with an option to purchase at the end of the lease</w:t>
            </w:r>
            <w:r w:rsidR="00942787">
              <w:t>.</w:t>
            </w:r>
          </w:p>
          <w:p w14:paraId="1886BC56" w14:textId="3E0DF6BD" w:rsidR="00421D45" w:rsidRDefault="00E94C4D" w:rsidP="004D788C">
            <w:pPr>
              <w:pStyle w:val="Bullet1"/>
              <w:numPr>
                <w:ilvl w:val="0"/>
                <w:numId w:val="0"/>
              </w:numPr>
            </w:pPr>
            <w:r>
              <w:t xml:space="preserve">The </w:t>
            </w:r>
            <w:r w:rsidR="00622140">
              <w:t xml:space="preserve">pilot </w:t>
            </w:r>
            <w:r>
              <w:t>program would be on an opt-in basis</w:t>
            </w:r>
            <w:r w:rsidR="00622140">
              <w:t xml:space="preserve"> </w:t>
            </w:r>
            <w:r w:rsidR="00B63694">
              <w:t xml:space="preserve">and households who participate in the program </w:t>
            </w:r>
            <w:r w:rsidR="00BE703B">
              <w:t>would not be required to opt-in to all components.</w:t>
            </w:r>
            <w:r w:rsidR="00B63694">
              <w:t xml:space="preserve"> </w:t>
            </w:r>
          </w:p>
          <w:p w14:paraId="64665D76" w14:textId="14DEB5BD" w:rsidR="004D788C" w:rsidRDefault="006E2080" w:rsidP="004D788C">
            <w:pPr>
              <w:pStyle w:val="Bullet1"/>
              <w:numPr>
                <w:ilvl w:val="0"/>
                <w:numId w:val="0"/>
              </w:numPr>
            </w:pPr>
            <w:r>
              <w:t xml:space="preserve">The proposal would have effect from 1 </w:t>
            </w:r>
            <w:r w:rsidR="00352357">
              <w:t xml:space="preserve">October </w:t>
            </w:r>
            <w:r>
              <w:t>2022</w:t>
            </w:r>
            <w:r w:rsidR="001679D7">
              <w:t>, with a 2-year timeframe for the pilot</w:t>
            </w:r>
            <w:r w:rsidDel="001679D7">
              <w:t>.</w:t>
            </w:r>
          </w:p>
          <w:p w14:paraId="75A91B67" w14:textId="77777777" w:rsidR="004D788C" w:rsidRPr="00592232" w:rsidRDefault="00C821CB" w:rsidP="004D788C">
            <w:pPr>
              <w:pStyle w:val="Bullet1"/>
              <w:numPr>
                <w:ilvl w:val="0"/>
                <w:numId w:val="0"/>
              </w:numPr>
            </w:pPr>
            <w:r>
              <w:t xml:space="preserve">The request also asked for </w:t>
            </w:r>
            <w:r w:rsidR="00E06193">
              <w:t xml:space="preserve">an assessment of the energy cost savings for households </w:t>
            </w:r>
            <w:r w:rsidR="006A1748">
              <w:t xml:space="preserve">and the change in greenhouse gas emissions arising from the </w:t>
            </w:r>
            <w:r w:rsidR="00D740D1">
              <w:t>pilot scheme</w:t>
            </w:r>
            <w:r w:rsidR="006E2080">
              <w:t>.</w:t>
            </w:r>
          </w:p>
        </w:tc>
      </w:tr>
    </w:tbl>
    <w:p w14:paraId="0C0CF27F" w14:textId="77777777" w:rsidR="00AA478E" w:rsidRPr="009B33D1" w:rsidRDefault="00AA478E" w:rsidP="009B33D1">
      <w:pPr>
        <w:pStyle w:val="Heading2"/>
      </w:pPr>
      <w:r w:rsidRPr="009B33D1">
        <w:lastRenderedPageBreak/>
        <w:t>Costing overview</w:t>
      </w:r>
    </w:p>
    <w:p w14:paraId="59EE61BF" w14:textId="59DABBD8" w:rsidR="007B7A56" w:rsidRDefault="00B34E8E" w:rsidP="00B34E8E">
      <w:pPr>
        <w:pStyle w:val="Heading3"/>
      </w:pPr>
      <w:bookmarkStart w:id="0" w:name="_Hlk63779408"/>
      <w:r>
        <w:t>Operation of the pilot</w:t>
      </w:r>
      <w:r w:rsidR="00955DAA">
        <w:t xml:space="preserve"> scheme</w:t>
      </w:r>
    </w:p>
    <w:p w14:paraId="265F6270" w14:textId="3C3445D5" w:rsidR="00825F7A" w:rsidRPr="009B1395" w:rsidRDefault="00825F7A" w:rsidP="00825F7A">
      <w:pPr>
        <w:rPr>
          <w:spacing w:val="0"/>
        </w:rPr>
      </w:pPr>
      <w:r>
        <w:t>In consultation with the requestor, the Parliamentary Budget Office (PBO) has specified the following subsidies available to households under the pilot scheme:</w:t>
      </w:r>
    </w:p>
    <w:p w14:paraId="2C5EECEF" w14:textId="5482DF77" w:rsidR="00825F7A" w:rsidRPr="00FC4909" w:rsidRDefault="00825F7A" w:rsidP="00825F7A">
      <w:pPr>
        <w:pStyle w:val="Bullet1"/>
        <w:ind w:left="284"/>
        <w:rPr>
          <w:b/>
          <w:bCs/>
        </w:rPr>
      </w:pPr>
      <w:r>
        <w:t>50% of the estimated capital and installation costs for solar PV systems, electric reverse-cycle air-conditioning systems and heat pump water heaters.</w:t>
      </w:r>
    </w:p>
    <w:p w14:paraId="32F32385" w14:textId="4B22D512" w:rsidR="00825F7A" w:rsidRPr="00BF2275" w:rsidRDefault="00825F7A" w:rsidP="00825F7A">
      <w:pPr>
        <w:pStyle w:val="Bullet1"/>
        <w:ind w:left="284"/>
        <w:rPr>
          <w:b/>
          <w:bCs/>
        </w:rPr>
      </w:pPr>
      <w:r>
        <w:t>20% of the estimated cost for a 2-year EV lease, 20% of an EV’s remaining value after its 2-year lease period, and 20% of the estimated cost of EV home-charging equipment.</w:t>
      </w:r>
      <w:r w:rsidR="00DE7478">
        <w:t xml:space="preserve"> Households would be able to </w:t>
      </w:r>
      <w:r w:rsidR="00517930">
        <w:t xml:space="preserve">apply for a voucher </w:t>
      </w:r>
      <w:r w:rsidR="00D95C10">
        <w:t xml:space="preserve">during the 2-year pilot period, which they would be able to redeem up to </w:t>
      </w:r>
      <w:r w:rsidR="009C138C">
        <w:t>2</w:t>
      </w:r>
      <w:r w:rsidR="00D95C10">
        <w:t xml:space="preserve"> years beyond the end of the </w:t>
      </w:r>
      <w:r w:rsidR="00E3089B">
        <w:t xml:space="preserve">trial. </w:t>
      </w:r>
    </w:p>
    <w:p w14:paraId="3959DA80" w14:textId="16BB5455" w:rsidR="00643F74" w:rsidRDefault="00825F7A" w:rsidP="00825F7A">
      <w:r>
        <w:t>In addition to subsidies, concessional loans would be available for households to cover the remaining upfront costs of solar panels, batteries, electric</w:t>
      </w:r>
      <w:r w:rsidDel="00205461">
        <w:t xml:space="preserve"> </w:t>
      </w:r>
      <w:r>
        <w:t>air-conditioning systems, heat pump water heaters, induction cooktops, EV home-charging equipment and EV purchases.</w:t>
      </w:r>
      <w:r w:rsidR="00352357">
        <w:t xml:space="preserve"> The concessional loans would be uncapped at the rate of the 10-year government bond rate, with a maximum 10-year fixed term.</w:t>
      </w:r>
    </w:p>
    <w:p w14:paraId="76726C7A" w14:textId="0BC85862" w:rsidR="00825F7A" w:rsidRPr="003D32C1" w:rsidRDefault="00D11094" w:rsidP="002C2FCA">
      <w:pPr>
        <w:rPr>
          <w:b/>
          <w:bCs/>
        </w:rPr>
      </w:pPr>
      <w:r>
        <w:t xml:space="preserve">The </w:t>
      </w:r>
      <w:r w:rsidR="00AA1A44">
        <w:t xml:space="preserve">size of subsidies and </w:t>
      </w:r>
      <w:r w:rsidR="00074414">
        <w:t xml:space="preserve">concessions on loans have been developed </w:t>
      </w:r>
      <w:r w:rsidR="0005246C">
        <w:t xml:space="preserve">so that most </w:t>
      </w:r>
      <w:r w:rsidR="00B2146F">
        <w:t xml:space="preserve">household </w:t>
      </w:r>
      <w:r w:rsidR="0005246C">
        <w:t>appliances have an average payback period of around 4 years</w:t>
      </w:r>
      <w:r w:rsidR="00A90FB1">
        <w:t xml:space="preserve">, incorporating existing </w:t>
      </w:r>
      <w:r w:rsidR="00C50868">
        <w:t xml:space="preserve">incentives available such as the </w:t>
      </w:r>
      <w:r w:rsidR="006A258A">
        <w:t>Sustainable Household Scheme</w:t>
      </w:r>
      <w:r w:rsidR="00BB384D">
        <w:t>.</w:t>
      </w:r>
      <w:r w:rsidR="00FB0FFB">
        <w:rPr>
          <w:rStyle w:val="FootnoteReference"/>
        </w:rPr>
        <w:footnoteReference w:id="2"/>
      </w:r>
      <w:r w:rsidR="00BB384D">
        <w:t xml:space="preserve"> </w:t>
      </w:r>
      <w:r w:rsidR="000C1E20">
        <w:t xml:space="preserve">For EVs, </w:t>
      </w:r>
      <w:r w:rsidR="00EC6308">
        <w:t xml:space="preserve">the subsidies and </w:t>
      </w:r>
      <w:r w:rsidR="00BC6E62">
        <w:t xml:space="preserve">concessions on loans </w:t>
      </w:r>
      <w:r w:rsidR="004A3DCB">
        <w:t xml:space="preserve">are expected to make EVs </w:t>
      </w:r>
      <w:r w:rsidR="00C11F14">
        <w:t xml:space="preserve">more cost-effective over the lifetime of the vehicle relative to a </w:t>
      </w:r>
      <w:r w:rsidR="008F29E9">
        <w:t xml:space="preserve">similar </w:t>
      </w:r>
      <w:r w:rsidR="00C11F14">
        <w:t xml:space="preserve">new </w:t>
      </w:r>
      <w:r w:rsidR="008F29E9">
        <w:t xml:space="preserve">internal-combustion engine vehicle. </w:t>
      </w:r>
      <w:r w:rsidR="00B752EE">
        <w:t xml:space="preserve">While </w:t>
      </w:r>
      <w:r w:rsidR="00B61DD0">
        <w:t xml:space="preserve">these incentives are significant, </w:t>
      </w:r>
      <w:r w:rsidR="00B752EE">
        <w:t xml:space="preserve">individual circumstances will differ and not all eligible households would be expected to opt into the scheme. </w:t>
      </w:r>
    </w:p>
    <w:p w14:paraId="5CF0CDA8" w14:textId="75910E76" w:rsidR="00825F7A" w:rsidRDefault="00825F7A" w:rsidP="00825F7A">
      <w:r>
        <w:t xml:space="preserve">The PBO </w:t>
      </w:r>
      <w:r w:rsidR="00556140">
        <w:t>has not made a</w:t>
      </w:r>
      <w:r w:rsidR="00CD439A">
        <w:t xml:space="preserve"> definitive</w:t>
      </w:r>
      <w:r w:rsidR="00556140">
        <w:t xml:space="preserve"> assessment of whether the scheme </w:t>
      </w:r>
      <w:r w:rsidR="00837004">
        <w:t xml:space="preserve">could be administered by the Australian </w:t>
      </w:r>
      <w:r w:rsidR="00556140">
        <w:t xml:space="preserve">Government </w:t>
      </w:r>
      <w:r w:rsidR="00837004">
        <w:t xml:space="preserve">or whether it would </w:t>
      </w:r>
      <w:r>
        <w:t>need to be administered by the ACT Government</w:t>
      </w:r>
      <w:r w:rsidR="0023500F">
        <w:t xml:space="preserve"> (with funds provided by the </w:t>
      </w:r>
      <w:r w:rsidR="006F7A3F">
        <w:t>Australian Government</w:t>
      </w:r>
      <w:r w:rsidR="0023500F">
        <w:t>).</w:t>
      </w:r>
      <w:r w:rsidR="00CD439A">
        <w:t xml:space="preserve"> For the purposes of the costing the PBO has </w:t>
      </w:r>
      <w:r w:rsidR="00793FBE">
        <w:t xml:space="preserve">attributed </w:t>
      </w:r>
      <w:r w:rsidR="000D3493">
        <w:t xml:space="preserve">the staffing costs </w:t>
      </w:r>
      <w:r w:rsidR="00793FBE">
        <w:t xml:space="preserve">associated with implementing the program as administered costs. </w:t>
      </w:r>
    </w:p>
    <w:p w14:paraId="010F95A5" w14:textId="06A0C0C6" w:rsidR="00B34E8E" w:rsidRPr="00B34E8E" w:rsidRDefault="00825F7A" w:rsidP="00825F7A">
      <w:pPr>
        <w:pStyle w:val="Heading3"/>
      </w:pPr>
      <w:r>
        <w:t>Financial implications</w:t>
      </w:r>
    </w:p>
    <w:p w14:paraId="0AD1B9AE" w14:textId="597AAAE2" w:rsidR="002C7684" w:rsidRDefault="00640149" w:rsidP="002C7684">
      <w:r>
        <w:t>Option 1</w:t>
      </w:r>
      <w:r w:rsidR="002C7684">
        <w:t xml:space="preserve"> of this proposal would be expected to decrease the fiscal balance by $</w:t>
      </w:r>
      <w:r w:rsidR="007D4AC1">
        <w:t>6.4</w:t>
      </w:r>
      <w:r w:rsidR="002C7684">
        <w:t xml:space="preserve"> million, the underlying cash balance by $5.</w:t>
      </w:r>
      <w:r w:rsidR="00D52325">
        <w:t>8</w:t>
      </w:r>
      <w:r w:rsidR="002C7684">
        <w:t xml:space="preserve"> million and the headline cash balance by $</w:t>
      </w:r>
      <w:r w:rsidR="00D52325">
        <w:t>8.8</w:t>
      </w:r>
      <w:r w:rsidR="002C7684">
        <w:t xml:space="preserve"> million over the 2022</w:t>
      </w:r>
      <w:r w:rsidR="00982FA2">
        <w:noBreakHyphen/>
      </w:r>
      <w:r w:rsidR="002C7684">
        <w:t>23 Budget forward estimates period.</w:t>
      </w:r>
    </w:p>
    <w:p w14:paraId="118B56DE" w14:textId="51EE8D93" w:rsidR="002C7684" w:rsidRDefault="002C7684" w:rsidP="002C7684">
      <w:r>
        <w:t>Option 2 of this proposal would be expected to decrease the fiscal balance by $</w:t>
      </w:r>
      <w:r w:rsidR="007D4AC1">
        <w:t>12.7</w:t>
      </w:r>
      <w:r>
        <w:t xml:space="preserve"> million, the underlying cash balance by $</w:t>
      </w:r>
      <w:r w:rsidR="0073413A">
        <w:t>1</w:t>
      </w:r>
      <w:r w:rsidR="00B702F4">
        <w:t>1</w:t>
      </w:r>
      <w:r>
        <w:t>.</w:t>
      </w:r>
      <w:r w:rsidR="00B702F4">
        <w:t>3</w:t>
      </w:r>
      <w:r>
        <w:t xml:space="preserve"> million and the headline cash balance by $</w:t>
      </w:r>
      <w:r w:rsidR="005B3BDD">
        <w:t>17.</w:t>
      </w:r>
      <w:r w:rsidR="00FA0274">
        <w:t>4</w:t>
      </w:r>
      <w:r w:rsidR="0073413A">
        <w:t xml:space="preserve"> </w:t>
      </w:r>
      <w:r>
        <w:t>million over the 2022-23 Budget forward estimates period.</w:t>
      </w:r>
    </w:p>
    <w:p w14:paraId="7512DEBD" w14:textId="362498BF" w:rsidR="009B61E5" w:rsidRDefault="0044006A" w:rsidP="00310ADE">
      <w:r>
        <w:t>The options in the proposal would have an ongoing impact beyond the 2022-23 Budget forward estimates period. A breakdown of the financial implications over the period to 2032-33 is provided at Attachment A.</w:t>
      </w:r>
    </w:p>
    <w:p w14:paraId="1341060B" w14:textId="396DC7F4" w:rsidR="00624331" w:rsidRDefault="00624331" w:rsidP="00624331">
      <w:r>
        <w:t xml:space="preserve">The financial implications of this proposal are uncertain and highly sensitive to assumptions around the number of households that would participate in the program, the composition of purchases and upgrades undertaken, and the price trajectory for electric appliances and EVs. </w:t>
      </w:r>
    </w:p>
    <w:p w14:paraId="0CFB19AD" w14:textId="77777777" w:rsidR="008D7676" w:rsidRDefault="008D7676" w:rsidP="008D7676">
      <w:r>
        <w:lastRenderedPageBreak/>
        <w:t xml:space="preserve">Consistent with </w:t>
      </w:r>
      <w:r w:rsidRPr="001A626F">
        <w:rPr>
          <w:i/>
        </w:rPr>
        <w:t>PBO Guidance 02/2015</w:t>
      </w:r>
      <w:r>
        <w:rPr>
          <w:i/>
        </w:rPr>
        <w:t xml:space="preserve">, </w:t>
      </w:r>
      <w:r>
        <w:t>public debt interest (PDI) expense impacts have been included in this costing because the concessional loans provided under this proposal involve financial asset transactions.</w:t>
      </w:r>
    </w:p>
    <w:p w14:paraId="1814C86F" w14:textId="7A52FC8B" w:rsidR="008D7676" w:rsidRDefault="008D7676" w:rsidP="008D7676">
      <w:r>
        <w:t xml:space="preserve">The fiscal, underlying cash and headline cash balance impacts differ in the treatment of interest payments and the flow of loan principal. </w:t>
      </w:r>
      <w:proofErr w:type="gramStart"/>
      <w:r>
        <w:t>In particular, only</w:t>
      </w:r>
      <w:proofErr w:type="gramEnd"/>
      <w:r>
        <w:t xml:space="preserve"> the fiscal balance reflects the concessional loan discount expense, associated unwinding income and loan write-downs, and only the headline cash balance includes transactions related to loan principal amounts. The impact on net debt will be broadly consistent with movements in the headline cash balance. A note on the accounting treatment of concessional loans is included at </w:t>
      </w:r>
      <w:r w:rsidRPr="00DB75D9">
        <w:t>Attachment B</w:t>
      </w:r>
      <w:r>
        <w:t>.</w:t>
      </w:r>
    </w:p>
    <w:p w14:paraId="089B1144" w14:textId="7FF7D7E9" w:rsidR="008D7676" w:rsidRDefault="00A03A84" w:rsidP="00C94C31">
      <w:r>
        <w:t>Additional</w:t>
      </w:r>
      <w:r w:rsidR="008D7676">
        <w:t xml:space="preserve"> analysis on the average change in cost</w:t>
      </w:r>
      <w:r w:rsidR="00EC1C74">
        <w:t>s</w:t>
      </w:r>
      <w:r w:rsidR="008D7676">
        <w:t xml:space="preserve"> of energy use and reduction in greenhouse gas emission for households who opt</w:t>
      </w:r>
      <w:r w:rsidR="00684DB3">
        <w:t xml:space="preserve"> </w:t>
      </w:r>
      <w:r w:rsidR="008D7676">
        <w:t>into this program</w:t>
      </w:r>
      <w:r>
        <w:t xml:space="preserve"> is </w:t>
      </w:r>
      <w:r w:rsidR="008D7676">
        <w:t>provided at Attachment C.</w:t>
      </w:r>
    </w:p>
    <w:p w14:paraId="519F7980" w14:textId="590D618E" w:rsidR="000561B1" w:rsidRPr="000561B1" w:rsidRDefault="000561B1" w:rsidP="004A67C9">
      <w:pPr>
        <w:pStyle w:val="Caption"/>
        <w:spacing w:after="0"/>
        <w:rPr>
          <w:lang w:val="fr-FR"/>
        </w:rPr>
      </w:pPr>
      <w:r w:rsidRPr="00BD216D">
        <w:rPr>
          <w:lang w:val="fr-FR"/>
        </w:rPr>
        <w:t xml:space="preserve">Table </w:t>
      </w:r>
      <w:proofErr w:type="gramStart"/>
      <w:r>
        <w:rPr>
          <w:lang w:val="fr-FR"/>
        </w:rPr>
        <w:t>1</w:t>
      </w:r>
      <w:r w:rsidRPr="00BD216D">
        <w:rPr>
          <w:lang w:val="fr-FR"/>
        </w:rPr>
        <w:t>:</w:t>
      </w:r>
      <w:proofErr w:type="gramEnd"/>
      <w:r w:rsidRPr="00BD216D">
        <w:rPr>
          <w:lang w:val="fr-FR"/>
        </w:rPr>
        <w:t xml:space="preserve"> </w:t>
      </w:r>
      <w:r w:rsidR="00BD45CB">
        <w:rPr>
          <w:noProof/>
        </w:rPr>
        <w:fldChar w:fldCharType="begin"/>
      </w:r>
      <w:r w:rsidR="00BD45CB">
        <w:rPr>
          <w:noProof/>
        </w:rPr>
        <w:instrText xml:space="preserve"> STYLEREF  "Name of Proposal"  \* MERGEFORMAT </w:instrText>
      </w:r>
      <w:r w:rsidR="00BD45CB">
        <w:rPr>
          <w:noProof/>
        </w:rPr>
        <w:fldChar w:fldCharType="separate"/>
      </w:r>
      <w:r w:rsidR="00C253FF">
        <w:rPr>
          <w:noProof/>
        </w:rPr>
        <w:t>Suburb Zero pilot in the ACT</w:t>
      </w:r>
      <w:r w:rsidR="00BD45CB">
        <w:rPr>
          <w:noProof/>
        </w:rPr>
        <w:fldChar w:fldCharType="end"/>
      </w:r>
      <w:r w:rsidR="00BD45CB">
        <w:rPr>
          <w:noProof/>
        </w:rPr>
        <w:t xml:space="preserve"> </w:t>
      </w:r>
      <w:r>
        <w:t xml:space="preserve">– </w:t>
      </w:r>
      <w:r w:rsidRPr="00BD216D">
        <w:rPr>
          <w:lang w:val="fr-FR"/>
        </w:rPr>
        <w:t>Financial implications</w:t>
      </w:r>
      <w:r>
        <w:rPr>
          <w:lang w:val="fr-FR"/>
        </w:rPr>
        <w:t> </w:t>
      </w:r>
      <w:r w:rsidRPr="00BD216D">
        <w:rPr>
          <w:lang w:val="fr-FR"/>
        </w:rPr>
        <w:t>($m)</w:t>
      </w:r>
      <w:r>
        <w:rPr>
          <w:vertAlign w:val="superscript"/>
          <w:lang w:val="fr-FR"/>
        </w:rPr>
        <w:t>(a)</w:t>
      </w:r>
    </w:p>
    <w:p w14:paraId="247DB50B" w14:textId="2C2E60CC" w:rsidR="00C97F2C" w:rsidRDefault="0049349A" w:rsidP="004A67C9">
      <w:pPr>
        <w:keepNext/>
        <w:spacing w:before="0" w:after="0"/>
        <w:rPr>
          <w:color w:val="FF0000"/>
        </w:rPr>
      </w:pPr>
      <w:r>
        <w:rPr>
          <w:color w:val="FF0000"/>
        </w:rPr>
        <w:object w:dxaOrig="10010" w:dyaOrig="2860" w14:anchorId="7DEAE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116.15pt" o:ole="">
            <v:imagedata r:id="rId12" o:title=""/>
          </v:shape>
          <o:OLEObject Type="Link" ProgID="Excel.Sheet.12" ShapeID="_x0000_i1025" DrawAspect="Content" r:id="rId13" UpdateMode="OnCall">
            <o:LinkType>EnhancedMetaFile</o:LinkType>
            <o:LockedField>false</o:LockedField>
          </o:OLEObject>
        </w:object>
      </w:r>
    </w:p>
    <w:p w14:paraId="25C95684" w14:textId="7622D41E" w:rsidR="00FD65F7" w:rsidRDefault="00D06F41" w:rsidP="00FD65F7">
      <w:pPr>
        <w:pStyle w:val="PRRfootnote1"/>
      </w:pPr>
      <w:r w:rsidRPr="00A162FE">
        <w:t>(a)</w:t>
      </w:r>
      <w:r w:rsidRPr="00A162FE">
        <w:tab/>
        <w:t>A positive number represents an increase in the relevant budget balance; a negative number represents a decrease.</w:t>
      </w:r>
    </w:p>
    <w:p w14:paraId="1C6834EE" w14:textId="22312521" w:rsidR="00FE3B13" w:rsidRPr="00D014E1" w:rsidRDefault="00FE3B13" w:rsidP="009B33D1">
      <w:pPr>
        <w:pStyle w:val="Heading2"/>
      </w:pPr>
      <w:r w:rsidRPr="00D014E1">
        <w:t>Key assumptions</w:t>
      </w:r>
    </w:p>
    <w:p w14:paraId="64C34814" w14:textId="04CEAED8" w:rsidR="006C3668" w:rsidRDefault="001C7A03" w:rsidP="00906BF7">
      <w:r>
        <w:t xml:space="preserve">The </w:t>
      </w:r>
      <w:r w:rsidR="00917F64">
        <w:t>PBO</w:t>
      </w:r>
      <w:r>
        <w:t xml:space="preserve"> has made the following assumptions in costing this proposal.</w:t>
      </w:r>
    </w:p>
    <w:p w14:paraId="08164A0C" w14:textId="4A152BC3" w:rsidR="00A978DA" w:rsidRDefault="00A978DA" w:rsidP="002C2FCA">
      <w:pPr>
        <w:pStyle w:val="Heading3"/>
      </w:pPr>
      <w:r>
        <w:t>General</w:t>
      </w:r>
    </w:p>
    <w:p w14:paraId="6F383A1C" w14:textId="211DE34D" w:rsidR="00AF058F" w:rsidRDefault="699AEED7" w:rsidP="00AF058F">
      <w:pPr>
        <w:pStyle w:val="Bullet1"/>
        <w:ind w:left="284"/>
      </w:pPr>
      <w:r>
        <w:t xml:space="preserve">All households who </w:t>
      </w:r>
      <w:r w:rsidR="5BD21E2C">
        <w:t xml:space="preserve">access a subsidy through </w:t>
      </w:r>
      <w:r>
        <w:t xml:space="preserve">the program would access </w:t>
      </w:r>
      <w:r w:rsidR="5BD21E2C">
        <w:t xml:space="preserve">a concessional </w:t>
      </w:r>
      <w:r>
        <w:t xml:space="preserve">loan for </w:t>
      </w:r>
      <w:r w:rsidR="5BD21E2C">
        <w:t xml:space="preserve">any </w:t>
      </w:r>
      <w:r>
        <w:t>cost</w:t>
      </w:r>
      <w:r w:rsidR="5BD21E2C">
        <w:t>s</w:t>
      </w:r>
      <w:r>
        <w:t xml:space="preserve"> not covered by the subsidy. Households would first apply for a loan under the ACT Sustainable Household Scheme, and </w:t>
      </w:r>
      <w:r w:rsidR="3148AEFA">
        <w:t xml:space="preserve">would then access a loan under the pilot scheme </w:t>
      </w:r>
      <w:r>
        <w:t xml:space="preserve">for any upfront costs exceeding the borrowing limit </w:t>
      </w:r>
      <w:r w:rsidR="0ADC0B0E">
        <w:t xml:space="preserve">of $15,000 </w:t>
      </w:r>
      <w:r>
        <w:t>under the ACT Sustainable Household Scheme.</w:t>
      </w:r>
    </w:p>
    <w:p w14:paraId="2A7D8A77" w14:textId="77777777" w:rsidR="000C2231" w:rsidRDefault="000C2231" w:rsidP="000C2231">
      <w:pPr>
        <w:pStyle w:val="Bullet1"/>
        <w:ind w:left="284"/>
      </w:pPr>
      <w:r>
        <w:t>On average 1.5% of loans issues would not be repaid.</w:t>
      </w:r>
    </w:p>
    <w:p w14:paraId="2D35C8C1" w14:textId="75BF5471" w:rsidR="000C2231" w:rsidRDefault="000C2231" w:rsidP="000C2231">
      <w:pPr>
        <w:pStyle w:val="Bullet1"/>
        <w:ind w:left="284"/>
      </w:pPr>
      <w:r>
        <w:t>Repayment of the initial loan principal amount would be evenly spread over 10 years.</w:t>
      </w:r>
    </w:p>
    <w:p w14:paraId="4817768D" w14:textId="59D65B2A" w:rsidR="00705B1E" w:rsidRDefault="00705B1E" w:rsidP="00705B1E">
      <w:pPr>
        <w:pStyle w:val="Bullet1"/>
        <w:ind w:left="284"/>
      </w:pPr>
      <w:r>
        <w:t>The uptake of solar panels, batteries, air-conditioning systems, heat pump water heaters and induction cooktops would be evenly spread over the 2-year rollout period of the pilot program.</w:t>
      </w:r>
    </w:p>
    <w:p w14:paraId="2EFAF222" w14:textId="0E77569E" w:rsidR="00FE6A64" w:rsidRDefault="00A959DA" w:rsidP="000C2231">
      <w:pPr>
        <w:pStyle w:val="Bullet1"/>
        <w:ind w:left="284"/>
      </w:pPr>
      <w:r>
        <w:t>L</w:t>
      </w:r>
      <w:r w:rsidR="00E0685C">
        <w:t>andlords</w:t>
      </w:r>
      <w:r w:rsidR="001175B5">
        <w:t xml:space="preserve"> </w:t>
      </w:r>
      <w:r w:rsidR="00E0685C">
        <w:t>would re</w:t>
      </w:r>
      <w:r w:rsidR="001175B5">
        <w:t>spond in the same manner as owner-occupiers.</w:t>
      </w:r>
    </w:p>
    <w:p w14:paraId="1925A4AB" w14:textId="0C2C60DA" w:rsidR="00016EBC" w:rsidRDefault="00FF3C0A" w:rsidP="00A86380">
      <w:pPr>
        <w:pStyle w:val="Bullet2"/>
      </w:pPr>
      <w:r>
        <w:t xml:space="preserve">This reflects that </w:t>
      </w:r>
      <w:r w:rsidR="00606942">
        <w:t xml:space="preserve">landlords </w:t>
      </w:r>
      <w:r w:rsidR="00E40965">
        <w:t xml:space="preserve">would be likely to charge </w:t>
      </w:r>
      <w:r w:rsidR="00606942">
        <w:t>higher rent</w:t>
      </w:r>
      <w:r w:rsidR="00827266">
        <w:t>s to recover their capital outlays</w:t>
      </w:r>
      <w:r w:rsidR="00F514A9">
        <w:t xml:space="preserve">, </w:t>
      </w:r>
      <w:r w:rsidR="00B03ED5">
        <w:t>with renters</w:t>
      </w:r>
      <w:r w:rsidR="00F514A9">
        <w:t xml:space="preserve"> </w:t>
      </w:r>
      <w:r w:rsidR="00B03ED5">
        <w:t xml:space="preserve">saving on their </w:t>
      </w:r>
      <w:r w:rsidR="00F514A9">
        <w:t>energy use</w:t>
      </w:r>
      <w:r w:rsidR="00B03ED5">
        <w:t xml:space="preserve"> costs</w:t>
      </w:r>
      <w:r w:rsidR="00F514A9">
        <w:t>.</w:t>
      </w:r>
    </w:p>
    <w:p w14:paraId="0F89EC8C" w14:textId="16A84B14" w:rsidR="00A978DA" w:rsidRDefault="00A978DA" w:rsidP="009B3C31">
      <w:pPr>
        <w:pStyle w:val="Heading3"/>
      </w:pPr>
      <w:r>
        <w:t>Solar panels &amp; battery</w:t>
      </w:r>
    </w:p>
    <w:p w14:paraId="3650471E" w14:textId="2951CF29" w:rsidR="00654F19" w:rsidRDefault="005010CE" w:rsidP="00724DE7">
      <w:pPr>
        <w:pStyle w:val="Bullet1"/>
        <w:ind w:left="284"/>
      </w:pPr>
      <w:r>
        <w:t xml:space="preserve">Around </w:t>
      </w:r>
      <w:r w:rsidR="002F2C1C">
        <w:t>90% of households who participate in the program would install</w:t>
      </w:r>
      <w:r w:rsidR="00284AD2">
        <w:t xml:space="preserve"> </w:t>
      </w:r>
      <w:r w:rsidR="005B2925">
        <w:t>solar panels</w:t>
      </w:r>
      <w:r w:rsidR="006F5D0D">
        <w:t>.</w:t>
      </w:r>
      <w:r>
        <w:t xml:space="preserve"> </w:t>
      </w:r>
    </w:p>
    <w:p w14:paraId="19D33986" w14:textId="3814F786" w:rsidR="00671221" w:rsidRDefault="00C417FB" w:rsidP="00A86380">
      <w:pPr>
        <w:pStyle w:val="Bullet2"/>
      </w:pPr>
      <w:r>
        <w:t xml:space="preserve">This </w:t>
      </w:r>
      <w:r w:rsidRPr="00A86380">
        <w:t>includes</w:t>
      </w:r>
      <w:r>
        <w:t xml:space="preserve"> households that do not currently have solar panels, as well as those that already have </w:t>
      </w:r>
      <w:r w:rsidR="00360026">
        <w:t>solar</w:t>
      </w:r>
      <w:r>
        <w:t xml:space="preserve"> panels installed but would like to upgrade their energy generation capacity.</w:t>
      </w:r>
    </w:p>
    <w:p w14:paraId="32B11B41" w14:textId="36774C4B" w:rsidR="004D5A64" w:rsidRDefault="00115379" w:rsidP="00A86380">
      <w:pPr>
        <w:pStyle w:val="Bullet2"/>
      </w:pPr>
      <w:r>
        <w:lastRenderedPageBreak/>
        <w:t xml:space="preserve">The remaining 10% accounts for households who currently </w:t>
      </w:r>
      <w:r w:rsidR="008335D1">
        <w:t xml:space="preserve">have enough solar </w:t>
      </w:r>
      <w:r w:rsidR="009B3C31">
        <w:t>generation capacity</w:t>
      </w:r>
      <w:r w:rsidR="008335D1">
        <w:t xml:space="preserve"> to meet their energy needs</w:t>
      </w:r>
      <w:r w:rsidR="005B2925">
        <w:t xml:space="preserve"> </w:t>
      </w:r>
      <w:r w:rsidR="00C728A9">
        <w:t xml:space="preserve">but </w:t>
      </w:r>
      <w:r w:rsidR="00193CD2">
        <w:t xml:space="preserve">would </w:t>
      </w:r>
      <w:r w:rsidR="00C728A9">
        <w:t>still wish to replac</w:t>
      </w:r>
      <w:r w:rsidR="00193CD2">
        <w:t xml:space="preserve">e </w:t>
      </w:r>
      <w:r w:rsidR="00C728A9">
        <w:t>gas appliances with electric</w:t>
      </w:r>
      <w:r w:rsidR="00EE663B">
        <w:t>al</w:t>
      </w:r>
      <w:r w:rsidR="00C728A9">
        <w:t xml:space="preserve"> appliances.</w:t>
      </w:r>
      <w:r w:rsidR="00CF7F8B">
        <w:t xml:space="preserve"> </w:t>
      </w:r>
      <w:r w:rsidR="004352A4">
        <w:t xml:space="preserve">Such households </w:t>
      </w:r>
      <w:r w:rsidR="005817B2">
        <w:t>would</w:t>
      </w:r>
      <w:r w:rsidR="00BF60B1">
        <w:t xml:space="preserve"> </w:t>
      </w:r>
      <w:r w:rsidR="00477CDD">
        <w:t>not</w:t>
      </w:r>
      <w:r w:rsidR="00BF60B1">
        <w:t xml:space="preserve"> need to install additional solar </w:t>
      </w:r>
      <w:r w:rsidR="005B2925">
        <w:t>panels</w:t>
      </w:r>
      <w:r w:rsidR="008335D1">
        <w:t>.</w:t>
      </w:r>
    </w:p>
    <w:p w14:paraId="0A4EBE9A" w14:textId="6FCE64A0" w:rsidR="00EB3885" w:rsidRDefault="00EB3885" w:rsidP="00EB3885">
      <w:pPr>
        <w:pStyle w:val="Bullet1"/>
        <w:ind w:left="284"/>
      </w:pPr>
      <w:r>
        <w:t xml:space="preserve">An average household in the ACT would need around 4,000 kWh of electricity per year to run </w:t>
      </w:r>
      <w:r w:rsidR="002857F9">
        <w:t xml:space="preserve">an </w:t>
      </w:r>
      <w:r>
        <w:t xml:space="preserve">electric </w:t>
      </w:r>
      <w:r w:rsidR="002857F9">
        <w:t>air-</w:t>
      </w:r>
      <w:r>
        <w:t>condition</w:t>
      </w:r>
      <w:r w:rsidR="002857F9">
        <w:t xml:space="preserve">ing </w:t>
      </w:r>
      <w:r>
        <w:t>system, heat pump water heater, induction cooktop and an EV.</w:t>
      </w:r>
    </w:p>
    <w:p w14:paraId="09F2D3B8" w14:textId="6A7BFDFF" w:rsidR="00EB3885" w:rsidRDefault="00EB3885" w:rsidP="00EB3885">
      <w:pPr>
        <w:pStyle w:val="Bullet1"/>
        <w:ind w:left="284"/>
      </w:pPr>
      <w:r>
        <w:t xml:space="preserve">Around 6,300 kWh of additional </w:t>
      </w:r>
      <w:r w:rsidR="00787A56">
        <w:t xml:space="preserve">renewable </w:t>
      </w:r>
      <w:r>
        <w:t>electricity would need to be generated per year to offset the amount of greenhouse gas emission</w:t>
      </w:r>
      <w:r w:rsidR="00787A56">
        <w:t>s</w:t>
      </w:r>
      <w:r>
        <w:t xml:space="preserve"> from </w:t>
      </w:r>
      <w:r w:rsidR="00787A56">
        <w:t xml:space="preserve">an average </w:t>
      </w:r>
      <w:r>
        <w:t>internal combustion vehicle.</w:t>
      </w:r>
    </w:p>
    <w:p w14:paraId="663270E6" w14:textId="62E7F272" w:rsidR="00EB3885" w:rsidRDefault="00AF3151" w:rsidP="00EB3885">
      <w:pPr>
        <w:pStyle w:val="Bullet1"/>
        <w:ind w:left="284"/>
      </w:pPr>
      <w:r>
        <w:t xml:space="preserve">On </w:t>
      </w:r>
      <w:r w:rsidR="00EB3885">
        <w:t>average</w:t>
      </w:r>
      <w:r>
        <w:t>,</w:t>
      </w:r>
      <w:r w:rsidR="00EB3885">
        <w:t xml:space="preserve"> </w:t>
      </w:r>
      <w:r>
        <w:t xml:space="preserve">eligible </w:t>
      </w:r>
      <w:r w:rsidR="00EB3885">
        <w:t>household</w:t>
      </w:r>
      <w:r>
        <w:t>s</w:t>
      </w:r>
      <w:r w:rsidR="00EB3885">
        <w:t xml:space="preserve"> </w:t>
      </w:r>
      <w:r w:rsidR="00EA295A">
        <w:t>would need</w:t>
      </w:r>
      <w:r w:rsidR="00EB3885">
        <w:t xml:space="preserve"> to install a 6.6kW solar panel system</w:t>
      </w:r>
      <w:r w:rsidR="005763F1">
        <w:t xml:space="preserve"> to cover their additional electricity requirements</w:t>
      </w:r>
      <w:r w:rsidR="00EB3885">
        <w:t>.</w:t>
      </w:r>
    </w:p>
    <w:p w14:paraId="7F8692AF" w14:textId="67D96FBB" w:rsidR="003F201F" w:rsidRDefault="009F2BC7" w:rsidP="00A86380">
      <w:pPr>
        <w:pStyle w:val="Bullet2"/>
      </w:pPr>
      <w:r>
        <w:t xml:space="preserve">This calculation is based on a weighted average of the energy requirements </w:t>
      </w:r>
      <w:r w:rsidR="00A14940">
        <w:t xml:space="preserve">listed above, factoring in that some households </w:t>
      </w:r>
      <w:r w:rsidR="002057FE">
        <w:t xml:space="preserve">would </w:t>
      </w:r>
      <w:r w:rsidR="00723575">
        <w:t xml:space="preserve">not upgrade all appliances, and not all households would lease an EV. </w:t>
      </w:r>
      <w:r w:rsidR="00A243D2">
        <w:t>This calculation includes the add</w:t>
      </w:r>
      <w:r w:rsidR="00347B04">
        <w:t>itional renewable electricity required to offset greenhouse gas emissions for households that do not lease/purchase an EV under the pilot.</w:t>
      </w:r>
    </w:p>
    <w:p w14:paraId="75CF517C" w14:textId="0C2C60DA" w:rsidR="00EB3885" w:rsidRDefault="00EB3885" w:rsidP="00A86380">
      <w:pPr>
        <w:pStyle w:val="Bullet2"/>
      </w:pPr>
      <w:r>
        <w:t xml:space="preserve">Energy use by other household electrical appliances such as microwave, fridge and lighting </w:t>
      </w:r>
      <w:r w:rsidR="00776653">
        <w:t xml:space="preserve">is </w:t>
      </w:r>
      <w:r>
        <w:t xml:space="preserve">not accounted for in the above calculation because the analysis only considers the </w:t>
      </w:r>
      <w:r w:rsidRPr="00F639AB">
        <w:rPr>
          <w:i/>
        </w:rPr>
        <w:t>additional</w:t>
      </w:r>
      <w:r>
        <w:t xml:space="preserve"> amount of energy required by switching from gas to electrical appliances. </w:t>
      </w:r>
      <w:r w:rsidR="00020DED">
        <w:t xml:space="preserve">Given </w:t>
      </w:r>
      <w:r w:rsidR="00EC6EAC">
        <w:t xml:space="preserve">net-zero electricity </w:t>
      </w:r>
      <w:r w:rsidR="00B61744">
        <w:t xml:space="preserve">generation in </w:t>
      </w:r>
      <w:r w:rsidR="00020DED">
        <w:t>the ACT</w:t>
      </w:r>
      <w:r w:rsidR="00EC6EAC">
        <w:t xml:space="preserve">, </w:t>
      </w:r>
      <w:r w:rsidR="00C636F8">
        <w:t xml:space="preserve">there is no need to offset emissions </w:t>
      </w:r>
      <w:r w:rsidR="00656872">
        <w:t>for the electricity used by such appliances</w:t>
      </w:r>
      <w:r>
        <w:t>.</w:t>
      </w:r>
    </w:p>
    <w:p w14:paraId="384E4CD8" w14:textId="0B4A25F1" w:rsidR="00EE663B" w:rsidRDefault="00EE663B" w:rsidP="00724DE7">
      <w:pPr>
        <w:pStyle w:val="Bullet1"/>
        <w:ind w:left="284"/>
      </w:pPr>
      <w:r>
        <w:t xml:space="preserve">Around </w:t>
      </w:r>
      <w:r w:rsidR="00B23EB1">
        <w:t>2</w:t>
      </w:r>
      <w:r w:rsidR="00E52922">
        <w:t>0% of households who participate in the program would take up a solar battery.</w:t>
      </w:r>
    </w:p>
    <w:p w14:paraId="408E53AE" w14:textId="21A85966" w:rsidR="00A978DA" w:rsidRDefault="00A978DA" w:rsidP="00F639AB">
      <w:pPr>
        <w:pStyle w:val="Heading3"/>
      </w:pPr>
      <w:r>
        <w:t>Home appliances</w:t>
      </w:r>
    </w:p>
    <w:p w14:paraId="4D609213" w14:textId="79489342" w:rsidR="009E41C2" w:rsidRDefault="009E41C2" w:rsidP="00724DE7">
      <w:pPr>
        <w:pStyle w:val="Bullet1"/>
        <w:ind w:left="284"/>
      </w:pPr>
      <w:r>
        <w:t xml:space="preserve">The proportions of </w:t>
      </w:r>
      <w:r w:rsidR="00D400C7">
        <w:t xml:space="preserve">participating households who </w:t>
      </w:r>
      <w:r w:rsidR="00286A31">
        <w:t xml:space="preserve">would </w:t>
      </w:r>
      <w:r w:rsidR="00D400C7">
        <w:t xml:space="preserve">replace their existing gas </w:t>
      </w:r>
      <w:r w:rsidR="00882576">
        <w:t>appliances</w:t>
      </w:r>
      <w:r w:rsidR="00C003FD">
        <w:t xml:space="preserve"> </w:t>
      </w:r>
      <w:r w:rsidR="004042A9">
        <w:t>w</w:t>
      </w:r>
      <w:r w:rsidR="00AF3508">
        <w:t xml:space="preserve">ould </w:t>
      </w:r>
      <w:r w:rsidR="00D96754">
        <w:t xml:space="preserve">reflect </w:t>
      </w:r>
      <w:r w:rsidR="00AF3508">
        <w:t>the proportion</w:t>
      </w:r>
      <w:r w:rsidR="004748AD">
        <w:t>s</w:t>
      </w:r>
      <w:r w:rsidR="00AF3508">
        <w:t xml:space="preserve"> of households </w:t>
      </w:r>
      <w:r w:rsidR="00D96754">
        <w:t xml:space="preserve">across </w:t>
      </w:r>
      <w:r w:rsidR="00B20C8E">
        <w:t xml:space="preserve">the ACT who </w:t>
      </w:r>
      <w:r w:rsidR="00F97172">
        <w:t>own these gas appliances.</w:t>
      </w:r>
    </w:p>
    <w:p w14:paraId="71C979B7" w14:textId="4ED443D7" w:rsidR="00A978DA" w:rsidRDefault="00A978DA" w:rsidP="00F639AB">
      <w:pPr>
        <w:pStyle w:val="Heading3"/>
      </w:pPr>
      <w:r>
        <w:t>Electric vehicle</w:t>
      </w:r>
    </w:p>
    <w:p w14:paraId="041ED31D" w14:textId="1B47DDED" w:rsidR="003B1B1E" w:rsidRDefault="00CB002E" w:rsidP="006A332E">
      <w:pPr>
        <w:pStyle w:val="Bullet1"/>
        <w:ind w:left="284"/>
      </w:pPr>
      <w:r w:rsidDel="00B23EB1">
        <w:t xml:space="preserve">The </w:t>
      </w:r>
      <w:r w:rsidR="001505C5">
        <w:t xml:space="preserve">uptake of </w:t>
      </w:r>
      <w:r w:rsidR="00A20474">
        <w:t>EV</w:t>
      </w:r>
      <w:r w:rsidR="00B71B49">
        <w:t xml:space="preserve"> lease</w:t>
      </w:r>
      <w:r w:rsidR="00A20474">
        <w:t xml:space="preserve">s </w:t>
      </w:r>
      <w:r w:rsidR="003B1B1E">
        <w:t>was calculated as</w:t>
      </w:r>
      <w:r w:rsidR="0059217C">
        <w:t xml:space="preserve"> a combination of</w:t>
      </w:r>
      <w:r w:rsidR="005757D3">
        <w:t xml:space="preserve"> 3 different groups</w:t>
      </w:r>
      <w:r w:rsidR="0059217C">
        <w:t>:</w:t>
      </w:r>
    </w:p>
    <w:p w14:paraId="04C10A23" w14:textId="0C2C60DA" w:rsidR="003B1B1E" w:rsidRDefault="41D645DA" w:rsidP="00A86380">
      <w:pPr>
        <w:pStyle w:val="Bullet2"/>
      </w:pPr>
      <w:r>
        <w:t>The</w:t>
      </w:r>
      <w:r w:rsidR="003B1B1E">
        <w:t xml:space="preserve"> baseline group</w:t>
      </w:r>
      <w:r w:rsidR="005757D3">
        <w:t>:</w:t>
      </w:r>
      <w:r w:rsidR="003B1B1E">
        <w:t xml:space="preserve"> households who would take up an EV lease without any policy incentive. </w:t>
      </w:r>
      <w:r w:rsidR="6DA9E767">
        <w:t>The uptake of EV leases in the absence of the proposal is assumed to be similar to the ACT in 2021-22, growing by 1 percentage point every year as people’s preferences adjust to trend changes.</w:t>
      </w:r>
    </w:p>
    <w:p w14:paraId="7CAE97DC" w14:textId="0C2C60DA" w:rsidR="003B1B1E" w:rsidRDefault="01DA1241" w:rsidP="00A86380">
      <w:pPr>
        <w:pStyle w:val="Bullet2"/>
      </w:pPr>
      <w:r>
        <w:t>H</w:t>
      </w:r>
      <w:r w:rsidR="70BFF493">
        <w:t xml:space="preserve">ouseholds who would </w:t>
      </w:r>
      <w:r w:rsidR="3D1793FC">
        <w:t xml:space="preserve">otherwise have </w:t>
      </w:r>
      <w:r w:rsidR="70BFF493">
        <w:t>purchase</w:t>
      </w:r>
      <w:r w:rsidR="3D1793FC">
        <w:t>d</w:t>
      </w:r>
      <w:r w:rsidR="70BFF493">
        <w:t xml:space="preserve"> an internal combustion vehicle </w:t>
      </w:r>
      <w:r w:rsidR="3D1793FC">
        <w:t xml:space="preserve">in the next </w:t>
      </w:r>
      <w:r w:rsidR="70BFF493">
        <w:t>4 years</w:t>
      </w:r>
      <w:r w:rsidR="3D1793FC">
        <w:t xml:space="preserve">, but would instead </w:t>
      </w:r>
      <w:r w:rsidR="70BFF493">
        <w:t xml:space="preserve">take up an EV lease given the incentives under </w:t>
      </w:r>
      <w:r w:rsidR="2BDE2402">
        <w:t xml:space="preserve">the </w:t>
      </w:r>
      <w:r w:rsidR="70BFF493">
        <w:t>pilot. The number of households in this group was estimated using the assumption that a 1% decrease in the cost of leasing an EV would induce a 1.4</w:t>
      </w:r>
      <w:r w:rsidR="71153AE9">
        <w:t xml:space="preserve">% </w:t>
      </w:r>
      <w:r w:rsidR="70BFF493">
        <w:t>increase in the number of households who would take up a lease.</w:t>
      </w:r>
    </w:p>
    <w:p w14:paraId="5104C723" w14:textId="0C2C60DA" w:rsidR="003B1B1E" w:rsidRDefault="72D25F92" w:rsidP="00A86380">
      <w:pPr>
        <w:pStyle w:val="Bullet2"/>
      </w:pPr>
      <w:r>
        <w:t>H</w:t>
      </w:r>
      <w:r w:rsidR="70BFF493">
        <w:t>ousehold</w:t>
      </w:r>
      <w:r>
        <w:t>s</w:t>
      </w:r>
      <w:r w:rsidR="70BFF493">
        <w:t xml:space="preserve"> who</w:t>
      </w:r>
      <w:r>
        <w:t xml:space="preserve"> </w:t>
      </w:r>
      <w:r w:rsidR="70BFF493">
        <w:t xml:space="preserve">would not </w:t>
      </w:r>
      <w:r>
        <w:t xml:space="preserve">otherwise </w:t>
      </w:r>
      <w:r w:rsidR="70BFF493">
        <w:t xml:space="preserve">acquire a new vehicle </w:t>
      </w:r>
      <w:r>
        <w:t xml:space="preserve">in the next </w:t>
      </w:r>
      <w:r w:rsidR="70BFF493">
        <w:t>4 years</w:t>
      </w:r>
      <w:r>
        <w:t xml:space="preserve">, </w:t>
      </w:r>
      <w:r w:rsidR="1FFEB919">
        <w:t xml:space="preserve">but </w:t>
      </w:r>
      <w:r w:rsidR="70BFF493">
        <w:t xml:space="preserve">would </w:t>
      </w:r>
      <w:r w:rsidR="1FFEB919">
        <w:t xml:space="preserve">instead </w:t>
      </w:r>
      <w:r w:rsidR="70BFF493">
        <w:t>take up a</w:t>
      </w:r>
      <w:r w:rsidR="1FFEB919">
        <w:t>n EV</w:t>
      </w:r>
      <w:r w:rsidR="70BFF493">
        <w:t xml:space="preserve"> lease </w:t>
      </w:r>
      <w:r w:rsidR="1FFEB919">
        <w:t>given the incentives under the pilot</w:t>
      </w:r>
      <w:r w:rsidR="70BFF493">
        <w:t>. The number of households in this group was assumed to be around 2.5% of the total number of households within the suburb, grown by 0.5</w:t>
      </w:r>
      <w:r w:rsidR="1FFEB919">
        <w:t xml:space="preserve"> percentage points </w:t>
      </w:r>
      <w:r w:rsidR="70BFF493">
        <w:t>every year to account for people’s changing preferences.</w:t>
      </w:r>
    </w:p>
    <w:p w14:paraId="41E177BB" w14:textId="5A9078F9" w:rsidR="008F5158" w:rsidRDefault="00235380" w:rsidP="008F5158">
      <w:pPr>
        <w:pStyle w:val="Bullet1"/>
        <w:ind w:left="284"/>
      </w:pPr>
      <w:r>
        <w:t>T</w:t>
      </w:r>
      <w:r w:rsidR="003B1B1E">
        <w:t xml:space="preserve">he </w:t>
      </w:r>
      <w:r w:rsidR="00630A76">
        <w:t>dollar</w:t>
      </w:r>
      <w:r w:rsidR="003B1B1E">
        <w:t xml:space="preserve"> cost of a 2-year EV lease would stay constant over the </w:t>
      </w:r>
      <w:r w:rsidR="00630A76">
        <w:t xml:space="preserve">next </w:t>
      </w:r>
      <w:r w:rsidR="003B1B1E">
        <w:t>6</w:t>
      </w:r>
      <w:r w:rsidR="00630A76">
        <w:t xml:space="preserve"> </w:t>
      </w:r>
      <w:r w:rsidR="003B1B1E">
        <w:t>year</w:t>
      </w:r>
      <w:r w:rsidR="00630A76">
        <w:t>s</w:t>
      </w:r>
      <w:r w:rsidR="00A705D4">
        <w:t>.</w:t>
      </w:r>
      <w:r w:rsidR="003B1B1E">
        <w:t xml:space="preserve"> </w:t>
      </w:r>
      <w:r w:rsidR="00A705D4">
        <w:t xml:space="preserve">This </w:t>
      </w:r>
      <w:r w:rsidR="00FC679D">
        <w:t xml:space="preserve">assumes </w:t>
      </w:r>
      <w:r w:rsidR="003B1B1E">
        <w:t>that price reductions due to technological advances and inflation offset each other.</w:t>
      </w:r>
    </w:p>
    <w:p w14:paraId="4B7A9AB8" w14:textId="0C2C60DA" w:rsidR="008F5158" w:rsidRDefault="008F5158" w:rsidP="005F49AA">
      <w:pPr>
        <w:pStyle w:val="Bullet1"/>
        <w:ind w:left="284"/>
      </w:pPr>
      <w:r>
        <w:lastRenderedPageBreak/>
        <w:t xml:space="preserve">The </w:t>
      </w:r>
      <w:r w:rsidR="00D15CDD">
        <w:t>assumed purchase price of the EV at the end of the lease was</w:t>
      </w:r>
      <w:r>
        <w:t xml:space="preserve"> derived using a straight-line depreciation approach, assuming that the EV would have 6 years of useful life left after the 2-year lease term.</w:t>
      </w:r>
    </w:p>
    <w:p w14:paraId="5AED74EA" w14:textId="282AD4D6" w:rsidR="0030701D" w:rsidRDefault="0030701D" w:rsidP="00724DE7">
      <w:pPr>
        <w:pStyle w:val="Bullet1"/>
        <w:ind w:left="284"/>
      </w:pPr>
      <w:r>
        <w:t xml:space="preserve">All households who take up the 2-year EV lease would install </w:t>
      </w:r>
      <w:r w:rsidR="00F22E91">
        <w:t>EV home-charging equipment.</w:t>
      </w:r>
    </w:p>
    <w:p w14:paraId="334EB539" w14:textId="669321D3" w:rsidR="008666F2" w:rsidRDefault="000B1C42" w:rsidP="00724DE7">
      <w:pPr>
        <w:pStyle w:val="Bullet1"/>
        <w:ind w:left="284"/>
      </w:pPr>
      <w:r>
        <w:t xml:space="preserve">All households who take up the 2-year </w:t>
      </w:r>
      <w:r w:rsidR="0030701D">
        <w:t xml:space="preserve">EV </w:t>
      </w:r>
      <w:r>
        <w:t xml:space="preserve">lease would </w:t>
      </w:r>
      <w:r w:rsidR="0030701D">
        <w:t>purchase the EV when the lease term ends.</w:t>
      </w:r>
    </w:p>
    <w:p w14:paraId="2B6F8003" w14:textId="68F83741" w:rsidR="000F4CFD" w:rsidRDefault="000F4CFD" w:rsidP="000F4CFD">
      <w:pPr>
        <w:pStyle w:val="Bullet1"/>
        <w:ind w:left="284"/>
      </w:pPr>
      <w:r>
        <w:t xml:space="preserve">The unit cost of EV home-charging equipment would stay constant over the </w:t>
      </w:r>
      <w:r w:rsidR="007B40C6">
        <w:t>next</w:t>
      </w:r>
      <w:r>
        <w:t xml:space="preserve"> 6 year</w:t>
      </w:r>
      <w:r w:rsidR="007B40C6">
        <w:t>s</w:t>
      </w:r>
      <w:r w:rsidR="00B63DC4">
        <w:t xml:space="preserve">. </w:t>
      </w:r>
      <w:r w:rsidR="007B40C6">
        <w:t>This assumes that price</w:t>
      </w:r>
      <w:r>
        <w:t xml:space="preserve"> reductions due to technological advances and inflation offset each other.</w:t>
      </w:r>
    </w:p>
    <w:p w14:paraId="35857A10" w14:textId="28A548E1" w:rsidR="000F4CFD" w:rsidRDefault="00B63DC4" w:rsidP="00CD5A00">
      <w:pPr>
        <w:pStyle w:val="Bullet1"/>
        <w:ind w:left="284"/>
      </w:pPr>
      <w:r>
        <w:t>The</w:t>
      </w:r>
      <w:r w:rsidR="000F4CFD">
        <w:t xml:space="preserve"> labour cost of installing </w:t>
      </w:r>
      <w:r>
        <w:t>EV home-charging equipment would increase</w:t>
      </w:r>
      <w:r w:rsidR="000F4CFD" w:rsidDel="00B63DC4">
        <w:t xml:space="preserve"> </w:t>
      </w:r>
      <w:r>
        <w:t xml:space="preserve">based on </w:t>
      </w:r>
      <w:r w:rsidR="003A425C">
        <w:t xml:space="preserve">the </w:t>
      </w:r>
      <w:r w:rsidR="000F4CFD">
        <w:t>consumer price index (CPI)</w:t>
      </w:r>
      <w:r w:rsidR="00CD5A00">
        <w:t>.</w:t>
      </w:r>
    </w:p>
    <w:p w14:paraId="4A8DB3E8" w14:textId="40CF7C9A" w:rsidR="00C728A9" w:rsidRDefault="00D063D0" w:rsidP="00724DE7">
      <w:pPr>
        <w:pStyle w:val="Bullet1"/>
        <w:ind w:left="284"/>
      </w:pPr>
      <w:r>
        <w:t>The uptake of EV lease</w:t>
      </w:r>
      <w:r w:rsidR="005B2925">
        <w:t>s</w:t>
      </w:r>
      <w:r>
        <w:t xml:space="preserve"> would be </w:t>
      </w:r>
      <w:r w:rsidR="009C138C">
        <w:t xml:space="preserve">evenly </w:t>
      </w:r>
      <w:r>
        <w:t>spread over 4 years</w:t>
      </w:r>
      <w:r w:rsidR="007A2DC6">
        <w:t>.</w:t>
      </w:r>
    </w:p>
    <w:p w14:paraId="4F6F6D58" w14:textId="271EF03C" w:rsidR="00FE3B13" w:rsidRDefault="00FE3B13" w:rsidP="009B33D1">
      <w:pPr>
        <w:pStyle w:val="Heading2"/>
      </w:pPr>
      <w:r w:rsidRPr="00D014E1">
        <w:t>Methodology</w:t>
      </w:r>
    </w:p>
    <w:p w14:paraId="42E99E3B" w14:textId="12C34588" w:rsidR="0027409C" w:rsidRDefault="0027409C" w:rsidP="0027409C">
      <w:pPr>
        <w:pStyle w:val="Heading3"/>
      </w:pPr>
      <w:r>
        <w:t>Subsidy</w:t>
      </w:r>
    </w:p>
    <w:p w14:paraId="68F2FA42" w14:textId="687E98A8" w:rsidR="00707F8C" w:rsidRPr="00707F8C" w:rsidRDefault="00707F8C" w:rsidP="00707F8C">
      <w:r>
        <w:t>The total amount of subsidy required for this program was calculated as the sum of the</w:t>
      </w:r>
      <w:r w:rsidR="00EB3885">
        <w:t xml:space="preserve"> average</w:t>
      </w:r>
      <w:r>
        <w:t xml:space="preserve"> subsidies required for solar panels, electric </w:t>
      </w:r>
      <w:r w:rsidR="00762A6E">
        <w:t>air-</w:t>
      </w:r>
      <w:r>
        <w:t xml:space="preserve">conditioning, heat pump water heater, EV lease, EV purchase (at the end of </w:t>
      </w:r>
      <w:r w:rsidR="000D4FA7">
        <w:t xml:space="preserve">the </w:t>
      </w:r>
      <w:r>
        <w:t xml:space="preserve">2-year lease) and EV </w:t>
      </w:r>
      <w:r w:rsidR="00DE7823">
        <w:t>home-</w:t>
      </w:r>
      <w:r>
        <w:t>charging equipment</w:t>
      </w:r>
      <w:r w:rsidR="00EB3885">
        <w:t xml:space="preserve"> </w:t>
      </w:r>
      <w:r w:rsidR="00602A2B">
        <w:t xml:space="preserve">multiplied by the number of households participating in scheme. </w:t>
      </w:r>
    </w:p>
    <w:p w14:paraId="0D32AD01" w14:textId="17CEF682" w:rsidR="0044273C" w:rsidRDefault="00CE6036" w:rsidP="00CE6036">
      <w:pPr>
        <w:pStyle w:val="Heading3"/>
      </w:pPr>
      <w:r>
        <w:t>Loan</w:t>
      </w:r>
    </w:p>
    <w:p w14:paraId="79D39863" w14:textId="16CCF29B" w:rsidR="00582A51" w:rsidRPr="00582A51" w:rsidRDefault="00CD5A00" w:rsidP="007E74BE">
      <w:r>
        <w:t>The loan amount</w:t>
      </w:r>
      <w:r w:rsidDel="00CD5A00">
        <w:t xml:space="preserve"> </w:t>
      </w:r>
      <w:r>
        <w:t>was calculated on the average loan needed per household after taking into account subsidies and loan</w:t>
      </w:r>
      <w:r w:rsidR="00342169">
        <w:t>s</w:t>
      </w:r>
      <w:r>
        <w:t xml:space="preserve"> available under the ACT Sustainable Household Scheme and the number of households that would be required to take out a loan.</w:t>
      </w:r>
      <w:r w:rsidR="003E22BA">
        <w:t xml:space="preserve"> </w:t>
      </w:r>
      <w:r w:rsidR="006C3112">
        <w:t>The impact on the fiscal, underlying cash and headline cash balances of the loan funding provided was calculated using a concessional loan model, with interest payments at the 10-</w:t>
      </w:r>
      <w:r w:rsidR="0017176B">
        <w:t>year Australian Government bond rate, and repayments spread evenly over the maximum 10-year period.</w:t>
      </w:r>
      <w:r w:rsidR="00863A32">
        <w:t xml:space="preserve"> </w:t>
      </w:r>
    </w:p>
    <w:p w14:paraId="092876C1" w14:textId="617C9060" w:rsidR="00CE6036" w:rsidRDefault="00CE6036" w:rsidP="00CE6036">
      <w:pPr>
        <w:pStyle w:val="Heading3"/>
      </w:pPr>
      <w:r>
        <w:t>Staffing cost</w:t>
      </w:r>
    </w:p>
    <w:p w14:paraId="634D96B9" w14:textId="42507F7C" w:rsidR="00F8578E" w:rsidRDefault="008B69BB" w:rsidP="00F8578E">
      <w:pPr>
        <w:pStyle w:val="Bullet1"/>
        <w:numPr>
          <w:ilvl w:val="0"/>
          <w:numId w:val="0"/>
        </w:numPr>
      </w:pPr>
      <w:r>
        <w:t xml:space="preserve">The staffing cost </w:t>
      </w:r>
      <w:r w:rsidR="0010538C">
        <w:t>w</w:t>
      </w:r>
      <w:r w:rsidR="00F6500C">
        <w:t>as</w:t>
      </w:r>
      <w:r>
        <w:t xml:space="preserve"> calculated by estimating the workforce required to deliver this proposal, </w:t>
      </w:r>
      <w:r w:rsidR="00F6500C">
        <w:t>through</w:t>
      </w:r>
      <w:r>
        <w:t xml:space="preserve"> </w:t>
      </w:r>
      <w:r w:rsidR="00C40C46">
        <w:t>using the Department of Finance’s standard departmental costing template.</w:t>
      </w:r>
    </w:p>
    <w:p w14:paraId="75309624" w14:textId="77777777" w:rsidR="007E5A79" w:rsidRDefault="007E5A79" w:rsidP="00A7694F">
      <w:pPr>
        <w:pStyle w:val="BodyText"/>
        <w:sectPr w:rsidR="007E5A79" w:rsidSect="0044273C">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907" w:right="1418" w:bottom="1134" w:left="1418" w:header="284" w:footer="454" w:gutter="0"/>
          <w:pgNumType w:start="1"/>
          <w:cols w:space="708"/>
          <w:formProt w:val="0"/>
          <w:titlePg/>
          <w:docGrid w:linePitch="360"/>
        </w:sectPr>
      </w:pPr>
    </w:p>
    <w:p w14:paraId="0AE20D11" w14:textId="77777777" w:rsidR="00F3523E" w:rsidRDefault="001C7A03" w:rsidP="00A7694F">
      <w:pPr>
        <w:pStyle w:val="BodyText"/>
      </w:pPr>
      <w:r>
        <w:t>Financial implications were rounded consistent with the PBO’s rounding rules as outlined on the PBO</w:t>
      </w:r>
      <w:r w:rsidR="00EF3F91">
        <w:t> </w:t>
      </w:r>
      <w:r>
        <w:t>Costings and budget information webpage.</w:t>
      </w:r>
      <w:r>
        <w:rPr>
          <w:rStyle w:val="FootnoteReference"/>
        </w:rPr>
        <w:footnoteReference w:id="3"/>
      </w:r>
    </w:p>
    <w:p w14:paraId="77885B69" w14:textId="77777777" w:rsidR="005943D5" w:rsidRPr="00D014E1" w:rsidRDefault="005943D5" w:rsidP="005943D5">
      <w:pPr>
        <w:pStyle w:val="Heading2"/>
      </w:pPr>
      <w:r w:rsidRPr="00D014E1">
        <w:t>Data sources</w:t>
      </w:r>
    </w:p>
    <w:p w14:paraId="4527D457" w14:textId="6781DEDA" w:rsidR="005943D5" w:rsidRDefault="005943D5" w:rsidP="005943D5">
      <w:r>
        <w:t xml:space="preserve">The Treasury provided </w:t>
      </w:r>
      <w:r w:rsidR="00241BD3">
        <w:t xml:space="preserve">CPI and 10-year Government bond rate </w:t>
      </w:r>
      <w:r w:rsidR="00373330">
        <w:t xml:space="preserve">projections as at the </w:t>
      </w:r>
      <w:r w:rsidR="00373330" w:rsidRPr="00373330">
        <w:rPr>
          <w:i/>
          <w:iCs/>
        </w:rPr>
        <w:t>2022-23 Pre</w:t>
      </w:r>
      <w:r w:rsidR="00403B2A">
        <w:rPr>
          <w:i/>
          <w:iCs/>
        </w:rPr>
        <w:noBreakHyphen/>
      </w:r>
      <w:r w:rsidR="00373330" w:rsidRPr="00373330">
        <w:rPr>
          <w:i/>
          <w:iCs/>
        </w:rPr>
        <w:t>election Economic and Fiscal Outlook</w:t>
      </w:r>
      <w:r w:rsidR="00373330">
        <w:t>.</w:t>
      </w:r>
    </w:p>
    <w:p w14:paraId="1CA15D99" w14:textId="2018E526" w:rsidR="00B052CA" w:rsidRDefault="00B052CA" w:rsidP="005943D5">
      <w:r>
        <w:t xml:space="preserve">The Department of Finance provided the standard departmental costing template as at the </w:t>
      </w:r>
      <w:r w:rsidRPr="00B052CA">
        <w:rPr>
          <w:i/>
          <w:iCs/>
        </w:rPr>
        <w:t>2022-23 Pre-election Economic and Fiscal Outlook</w:t>
      </w:r>
      <w:r>
        <w:t>.</w:t>
      </w:r>
    </w:p>
    <w:p w14:paraId="1ADAD74B" w14:textId="26916EC5" w:rsidR="009D65B3" w:rsidRDefault="006759EA" w:rsidP="006759EA">
      <w:r>
        <w:t xml:space="preserve">Information on electric </w:t>
      </w:r>
      <w:r w:rsidR="00E1366D">
        <w:t>air-</w:t>
      </w:r>
      <w:r w:rsidR="00934FCD">
        <w:t xml:space="preserve">conditioning, heat pump water heater </w:t>
      </w:r>
      <w:r>
        <w:t xml:space="preserve">and </w:t>
      </w:r>
      <w:r w:rsidR="00934FCD">
        <w:t xml:space="preserve">induction cooktops </w:t>
      </w:r>
      <w:r>
        <w:t xml:space="preserve">was sourced from The Good Guys, Harvey Norman and 1st Choice Hot Water as at </w:t>
      </w:r>
      <w:r w:rsidR="009D65B3">
        <w:t>4 August 2022.</w:t>
      </w:r>
    </w:p>
    <w:p w14:paraId="761BB11A" w14:textId="1BBFC414" w:rsidR="006759EA" w:rsidRDefault="006759EA" w:rsidP="006759EA">
      <w:r>
        <w:lastRenderedPageBreak/>
        <w:t xml:space="preserve">Information on the cost of electric vehicle chargers was sourced from </w:t>
      </w:r>
      <w:hyperlink r:id="rId20" w:history="1">
        <w:r w:rsidR="001660A8">
          <w:rPr>
            <w:rStyle w:val="Hyperlink"/>
          </w:rPr>
          <w:t>EVSE Australia</w:t>
        </w:r>
      </w:hyperlink>
      <w:r>
        <w:t xml:space="preserve"> as at </w:t>
      </w:r>
      <w:r w:rsidR="009D65B3">
        <w:t>10 August</w:t>
      </w:r>
      <w:r>
        <w:t xml:space="preserve"> 2022.</w:t>
      </w:r>
    </w:p>
    <w:p w14:paraId="24B50AB4" w14:textId="26D1EAF0" w:rsidR="00C74E91" w:rsidRDefault="00C74E91" w:rsidP="005943D5">
      <w:r>
        <w:t>ActewAGL (20</w:t>
      </w:r>
      <w:r w:rsidR="00173102">
        <w:t xml:space="preserve">22) </w:t>
      </w:r>
      <w:hyperlink r:id="rId21" w:history="1">
        <w:r w:rsidR="00173102" w:rsidRPr="00173102">
          <w:rPr>
            <w:rStyle w:val="Hyperlink"/>
            <w:i/>
            <w:iCs/>
          </w:rPr>
          <w:t>ACT Standard plan electricity prices - Schedule of charges from 1 July 2022</w:t>
        </w:r>
      </w:hyperlink>
      <w:r w:rsidR="00173102">
        <w:t xml:space="preserve">, </w:t>
      </w:r>
      <w:r w:rsidR="00915768">
        <w:t xml:space="preserve">ActewAGL, accessed </w:t>
      </w:r>
      <w:r w:rsidR="000467BA">
        <w:t>5 August 2022.</w:t>
      </w:r>
    </w:p>
    <w:p w14:paraId="7C566381" w14:textId="5E2ED174" w:rsidR="000467BA" w:rsidRDefault="000467BA" w:rsidP="005943D5">
      <w:r>
        <w:t xml:space="preserve">ActewAGL (2022) </w:t>
      </w:r>
      <w:hyperlink r:id="rId22" w:history="1">
        <w:r w:rsidRPr="000467BA">
          <w:rPr>
            <w:rStyle w:val="Hyperlink"/>
            <w:i/>
            <w:iCs/>
          </w:rPr>
          <w:t>ACT Standard plan natural gas prices - Schedule of charges from 1 July 2022</w:t>
        </w:r>
      </w:hyperlink>
      <w:r>
        <w:t>, Actew</w:t>
      </w:r>
      <w:r w:rsidR="00FB1C06">
        <w:t>AGL, accessed 5 August 2022.</w:t>
      </w:r>
    </w:p>
    <w:p w14:paraId="0014402D" w14:textId="452627EE" w:rsidR="00163379" w:rsidRDefault="00163379" w:rsidP="005943D5">
      <w:r>
        <w:t xml:space="preserve">ACT Government (2021) </w:t>
      </w:r>
      <w:hyperlink r:id="rId23" w:history="1">
        <w:r w:rsidRPr="00163379">
          <w:rPr>
            <w:rStyle w:val="Hyperlink"/>
            <w:i/>
            <w:iCs/>
          </w:rPr>
          <w:t>Next Gen Energy Storage</w:t>
        </w:r>
      </w:hyperlink>
      <w:r>
        <w:t>, ACT Government, accessed 5 August 2022.</w:t>
      </w:r>
    </w:p>
    <w:p w14:paraId="5775CEA2" w14:textId="63D6B8AA" w:rsidR="00CC51DF" w:rsidRPr="000467BA" w:rsidRDefault="00CC51DF" w:rsidP="005943D5">
      <w:r>
        <w:t xml:space="preserve">ACT Government (2021) </w:t>
      </w:r>
      <w:hyperlink r:id="rId24" w:history="1">
        <w:r w:rsidRPr="00CA42E4">
          <w:rPr>
            <w:rStyle w:val="Hyperlink"/>
            <w:i/>
            <w:iCs/>
          </w:rPr>
          <w:t>Sustainable Household Scheme</w:t>
        </w:r>
      </w:hyperlink>
      <w:r>
        <w:t xml:space="preserve">, ACT Government, accessed </w:t>
      </w:r>
      <w:r w:rsidR="00CA42E4">
        <w:t>5 August 2022.</w:t>
      </w:r>
    </w:p>
    <w:p w14:paraId="55628B4A" w14:textId="3F773E7B" w:rsidR="00740FDF" w:rsidRDefault="00647B42" w:rsidP="005943D5">
      <w:r>
        <w:t>Australian Bureau of Statistics (2021</w:t>
      </w:r>
      <w:r w:rsidR="00395350">
        <w:t xml:space="preserve">) </w:t>
      </w:r>
      <w:hyperlink r:id="rId25" w:history="1">
        <w:r w:rsidR="00395350" w:rsidRPr="00E258C5">
          <w:rPr>
            <w:rStyle w:val="Hyperlink"/>
            <w:i/>
            <w:iCs/>
          </w:rPr>
          <w:t>Motor Vehicle Census, Australia, 2021</w:t>
        </w:r>
      </w:hyperlink>
      <w:r w:rsidR="00395350">
        <w:t xml:space="preserve">, </w:t>
      </w:r>
      <w:r w:rsidR="00E258C5">
        <w:t>Australian Government, accessed 9 August 2022.</w:t>
      </w:r>
    </w:p>
    <w:p w14:paraId="3626AF9F" w14:textId="5CA4BDAA" w:rsidR="00B60E56" w:rsidRPr="00695585" w:rsidRDefault="00B60E56" w:rsidP="005943D5">
      <w:r>
        <w:t xml:space="preserve">Australian Bureau of Statistics (2019) </w:t>
      </w:r>
      <w:hyperlink r:id="rId26" w:history="1">
        <w:r w:rsidR="00695585" w:rsidRPr="00695585">
          <w:rPr>
            <w:rStyle w:val="Hyperlink"/>
            <w:i/>
            <w:iCs/>
          </w:rPr>
          <w:t>Household and Family Projections, Australia, 2016 - 2041</w:t>
        </w:r>
      </w:hyperlink>
      <w:r w:rsidR="00695585">
        <w:t>, Australian Government, acc</w:t>
      </w:r>
      <w:r w:rsidR="000243FC">
        <w:t>essed 5 August 2022.</w:t>
      </w:r>
    </w:p>
    <w:p w14:paraId="3C2E5128" w14:textId="370CF973" w:rsidR="00EF226C" w:rsidRDefault="00EF226C" w:rsidP="005943D5">
      <w:r>
        <w:t xml:space="preserve">Australian Bureau of Statistics (2019) </w:t>
      </w:r>
      <w:hyperlink r:id="rId27" w:history="1">
        <w:r w:rsidRPr="004E7F36">
          <w:rPr>
            <w:rStyle w:val="Hyperlink"/>
            <w:i/>
            <w:iCs/>
          </w:rPr>
          <w:t>Survey of Motor Vehicle Use, Australia, 2018</w:t>
        </w:r>
      </w:hyperlink>
      <w:r>
        <w:t>, Australian Government, accessed 9 August 2022.</w:t>
      </w:r>
    </w:p>
    <w:p w14:paraId="47042712" w14:textId="07CA90B0" w:rsidR="008C7872" w:rsidRDefault="008C7872" w:rsidP="005943D5">
      <w:r>
        <w:t xml:space="preserve">Clean Energy Regulator (2022) </w:t>
      </w:r>
      <w:hyperlink r:id="rId28" w:history="1">
        <w:r w:rsidRPr="008C7872">
          <w:rPr>
            <w:rStyle w:val="Hyperlink"/>
            <w:i/>
            <w:iCs/>
          </w:rPr>
          <w:t>Small generation unit STC calculator</w:t>
        </w:r>
      </w:hyperlink>
      <w:r>
        <w:t>, Australian Government, accessed 15 August 2022.</w:t>
      </w:r>
    </w:p>
    <w:p w14:paraId="673D6D29" w14:textId="011D7699" w:rsidR="00A07B6C" w:rsidRDefault="00A07B6C" w:rsidP="005943D5">
      <w:r>
        <w:t xml:space="preserve">Clean Energy Regulator (2022) </w:t>
      </w:r>
      <w:hyperlink r:id="rId29" w:history="1">
        <w:r w:rsidRPr="007471FB">
          <w:rPr>
            <w:rStyle w:val="Hyperlink"/>
            <w:i/>
            <w:iCs/>
          </w:rPr>
          <w:t>Solar water heater STC calculator</w:t>
        </w:r>
      </w:hyperlink>
      <w:r>
        <w:t>, Australian Government, accessed</w:t>
      </w:r>
      <w:r w:rsidR="007471FB">
        <w:t xml:space="preserve"> 8 August 2022.</w:t>
      </w:r>
    </w:p>
    <w:p w14:paraId="6A207DA9" w14:textId="625B8A12" w:rsidR="00CA5551" w:rsidRDefault="00F56EF7" w:rsidP="005943D5">
      <w:r>
        <w:t xml:space="preserve">Department </w:t>
      </w:r>
      <w:r w:rsidR="00171E5B">
        <w:t xml:space="preserve">of Industry, Science, Energy and Resources (2022) </w:t>
      </w:r>
      <w:hyperlink r:id="rId30" w:history="1">
        <w:r w:rsidR="00E258C5">
          <w:rPr>
            <w:rStyle w:val="Hyperlink"/>
            <w:i/>
            <w:iCs/>
          </w:rPr>
          <w:t>2021 Residential Baseline Study for Australia and New Zealand for 2000 — 2040</w:t>
        </w:r>
      </w:hyperlink>
      <w:r w:rsidR="00BA6D39">
        <w:t>, Australian Government</w:t>
      </w:r>
      <w:r w:rsidR="002B3785">
        <w:t>, accessed 5 August 2022.</w:t>
      </w:r>
    </w:p>
    <w:p w14:paraId="4B838489" w14:textId="6CCCC11C" w:rsidR="00DC3F2D" w:rsidRDefault="00DC3F2D" w:rsidP="005943D5">
      <w:pPr>
        <w:rPr>
          <w:rStyle w:val="Hyperlink"/>
          <w:color w:val="auto"/>
          <w:u w:val="none"/>
        </w:rPr>
      </w:pPr>
      <w:r>
        <w:t xml:space="preserve">Department of Industry, Science, Energy and Resources (2022) </w:t>
      </w:r>
      <w:hyperlink r:id="rId31" w:history="1">
        <w:r w:rsidRPr="00DC3F2D">
          <w:rPr>
            <w:rStyle w:val="Hyperlink"/>
            <w:i/>
            <w:iCs/>
          </w:rPr>
          <w:t>National Greenhouse Accounts Factors - Australian National Greenhouse Accounts October 2020</w:t>
        </w:r>
      </w:hyperlink>
      <w:r>
        <w:rPr>
          <w:rStyle w:val="Hyperlink"/>
          <w:color w:val="auto"/>
          <w:u w:val="none"/>
        </w:rPr>
        <w:t xml:space="preserve">, Australian Government, accessed </w:t>
      </w:r>
      <w:r w:rsidR="00183067">
        <w:rPr>
          <w:rStyle w:val="Hyperlink"/>
          <w:color w:val="auto"/>
          <w:u w:val="none"/>
        </w:rPr>
        <w:t>9 August 2022.</w:t>
      </w:r>
    </w:p>
    <w:p w14:paraId="016412AD" w14:textId="06193C0C" w:rsidR="004B6310" w:rsidRDefault="004B6310" w:rsidP="005943D5">
      <w:pPr>
        <w:rPr>
          <w:rStyle w:val="Hyperlink"/>
          <w:color w:val="auto"/>
          <w:u w:val="none"/>
        </w:rPr>
      </w:pPr>
      <w:r>
        <w:rPr>
          <w:rStyle w:val="Hyperlink"/>
          <w:color w:val="auto"/>
          <w:u w:val="none"/>
        </w:rPr>
        <w:t xml:space="preserve">Ecosave (2022) </w:t>
      </w:r>
      <w:hyperlink r:id="rId32" w:history="1">
        <w:r w:rsidRPr="004B6310">
          <w:rPr>
            <w:rStyle w:val="Hyperlink"/>
            <w:i/>
            <w:iCs/>
          </w:rPr>
          <w:t>Spot Trade Market Update: Environmental Certificate Scheme Prices – STCs, LGCs, VEECs and ESCs (March 2022)</w:t>
        </w:r>
      </w:hyperlink>
      <w:r>
        <w:t xml:space="preserve">, </w:t>
      </w:r>
      <w:r w:rsidRPr="004B6310">
        <w:t>Ecosave Australia &amp; NZ</w:t>
      </w:r>
      <w:r>
        <w:t>, accessed 4 August 2022.</w:t>
      </w:r>
    </w:p>
    <w:p w14:paraId="72660FF2" w14:textId="112148FE" w:rsidR="0098169F" w:rsidRDefault="0098169F" w:rsidP="005943D5">
      <w:pPr>
        <w:rPr>
          <w:rStyle w:val="Hyperlink"/>
          <w:color w:val="auto"/>
          <w:u w:val="none"/>
        </w:rPr>
      </w:pPr>
      <w:r>
        <w:rPr>
          <w:rStyle w:val="Hyperlink"/>
          <w:color w:val="auto"/>
          <w:u w:val="none"/>
        </w:rPr>
        <w:t>Electric Cars Guide (</w:t>
      </w:r>
      <w:r w:rsidR="00F0238B">
        <w:rPr>
          <w:rStyle w:val="Hyperlink"/>
          <w:color w:val="auto"/>
          <w:u w:val="none"/>
        </w:rPr>
        <w:t xml:space="preserve">2022) </w:t>
      </w:r>
      <w:hyperlink r:id="rId33" w:history="1">
        <w:r w:rsidR="00F0238B" w:rsidRPr="00F0238B">
          <w:rPr>
            <w:rStyle w:val="Hyperlink"/>
            <w:i/>
            <w:iCs/>
          </w:rPr>
          <w:t>How Far Can Electric Cars Travel?</w:t>
        </w:r>
      </w:hyperlink>
      <w:r w:rsidR="00F0238B">
        <w:t>, Electric Cars Guide, accessed 10 August 2022.</w:t>
      </w:r>
    </w:p>
    <w:p w14:paraId="5B3DB196" w14:textId="44F9E754" w:rsidR="00337C88" w:rsidRDefault="00337C88" w:rsidP="005943D5">
      <w:pPr>
        <w:rPr>
          <w:rStyle w:val="Hyperlink"/>
          <w:color w:val="auto"/>
          <w:u w:val="none"/>
        </w:rPr>
      </w:pPr>
      <w:r>
        <w:rPr>
          <w:rStyle w:val="Hyperlink"/>
          <w:color w:val="auto"/>
          <w:u w:val="none"/>
        </w:rPr>
        <w:t xml:space="preserve">Elgas (2021), </w:t>
      </w:r>
      <w:hyperlink r:id="rId34" w:history="1">
        <w:r w:rsidRPr="00337C88">
          <w:rPr>
            <w:rStyle w:val="Hyperlink"/>
            <w:i/>
            <w:iCs/>
          </w:rPr>
          <w:t>LPG vs Petrol Fuel Consumption Calculator</w:t>
        </w:r>
      </w:hyperlink>
      <w:r>
        <w:t>, Elgas, accessed 10 August 2022.</w:t>
      </w:r>
    </w:p>
    <w:p w14:paraId="0EC56D16" w14:textId="422C5E0D" w:rsidR="00E55BB2" w:rsidRDefault="00E55BB2" w:rsidP="005943D5">
      <w:pPr>
        <w:rPr>
          <w:rStyle w:val="Hyperlink"/>
          <w:color w:val="auto"/>
          <w:u w:val="none"/>
        </w:rPr>
      </w:pPr>
      <w:r>
        <w:rPr>
          <w:rStyle w:val="Hyperlink"/>
          <w:color w:val="auto"/>
          <w:u w:val="none"/>
        </w:rPr>
        <w:t xml:space="preserve">EV LEASE (2022), </w:t>
      </w:r>
      <w:hyperlink r:id="rId35" w:history="1">
        <w:r w:rsidRPr="00704669">
          <w:rPr>
            <w:rStyle w:val="Hyperlink"/>
            <w:i/>
            <w:iCs/>
          </w:rPr>
          <w:t>EV LEASE – Affordable Worry-free electric car driving</w:t>
        </w:r>
      </w:hyperlink>
      <w:r>
        <w:t xml:space="preserve">, EV LEASE, </w:t>
      </w:r>
      <w:r w:rsidR="00704669">
        <w:t>accessed 10 August 2022.</w:t>
      </w:r>
    </w:p>
    <w:p w14:paraId="778B4AC5" w14:textId="3B20FF13" w:rsidR="004D1D9E" w:rsidRDefault="004D1D9E" w:rsidP="005943D5">
      <w:r>
        <w:t xml:space="preserve">Federal Chamber of Automotive Industries (2022), </w:t>
      </w:r>
      <w:hyperlink r:id="rId36" w:history="1">
        <w:r w:rsidRPr="007F1A21">
          <w:rPr>
            <w:rStyle w:val="Hyperlink"/>
            <w:i/>
            <w:iCs/>
          </w:rPr>
          <w:t>Media Releases</w:t>
        </w:r>
      </w:hyperlink>
      <w:r>
        <w:t>, Federal Chamber of Automotive Industries</w:t>
      </w:r>
      <w:r w:rsidR="007F1A21">
        <w:t>, accessed 10 August 2022.</w:t>
      </w:r>
    </w:p>
    <w:p w14:paraId="1FD237CB" w14:textId="7BE65A62" w:rsidR="001E0DAC" w:rsidRDefault="001E0DAC" w:rsidP="005943D5">
      <w:r>
        <w:t xml:space="preserve">FuelPrice Australia (2022) </w:t>
      </w:r>
      <w:hyperlink r:id="rId37" w:history="1">
        <w:r w:rsidRPr="001E0DAC">
          <w:rPr>
            <w:rStyle w:val="Hyperlink"/>
            <w:i/>
            <w:iCs/>
          </w:rPr>
          <w:t>Average fuel prices in Canberra</w:t>
        </w:r>
      </w:hyperlink>
      <w:r>
        <w:t>, FuelPrice Australia, accessed 10 August 2022.</w:t>
      </w:r>
    </w:p>
    <w:p w14:paraId="0038B948" w14:textId="4F2663AD" w:rsidR="001B5993" w:rsidRPr="00231322" w:rsidRDefault="001B5993" w:rsidP="005943D5">
      <w:pPr>
        <w:rPr>
          <w:rStyle w:val="Hyperlink"/>
          <w:color w:val="auto"/>
          <w:u w:val="none"/>
        </w:rPr>
      </w:pPr>
      <w:r>
        <w:t>Institute of Transport Economics</w:t>
      </w:r>
      <w:r w:rsidR="00C9366E">
        <w:t xml:space="preserve">, </w:t>
      </w:r>
      <w:hyperlink r:id="rId38" w:history="1">
        <w:r w:rsidR="00C9366E" w:rsidRPr="00C9366E">
          <w:rPr>
            <w:rStyle w:val="Hyperlink"/>
            <w:i/>
            <w:iCs/>
          </w:rPr>
          <w:t>The demand for new automobiles in Norway</w:t>
        </w:r>
      </w:hyperlink>
      <w:r w:rsidR="00C9366E">
        <w:t>, Norwegian Centre for Transport Research, accessed 10 August 2022.</w:t>
      </w:r>
    </w:p>
    <w:p w14:paraId="3F013873" w14:textId="0ECACA47" w:rsidR="002B3785" w:rsidRDefault="00694A06" w:rsidP="005943D5">
      <w:r>
        <w:t>Reserve Bank of Australia (</w:t>
      </w:r>
      <w:r w:rsidR="00D5294A">
        <w:t xml:space="preserve">2022) </w:t>
      </w:r>
      <w:hyperlink r:id="rId39" w:history="1">
        <w:r w:rsidR="008D36C4">
          <w:rPr>
            <w:rStyle w:val="Hyperlink"/>
            <w:i/>
            <w:iCs/>
          </w:rPr>
          <w:t>Retail Deposit and Investment Rates - F4</w:t>
        </w:r>
      </w:hyperlink>
      <w:r w:rsidR="008D36C4">
        <w:t xml:space="preserve"> [data</w:t>
      </w:r>
      <w:r w:rsidR="00BE059E">
        <w:t xml:space="preserve"> </w:t>
      </w:r>
      <w:r w:rsidR="008D36C4">
        <w:t>set]</w:t>
      </w:r>
      <w:r w:rsidR="00635CF2">
        <w:t>, Reserve Bank of Australia, accessed 10 August 2022</w:t>
      </w:r>
      <w:r w:rsidR="00813828">
        <w:t>.</w:t>
      </w:r>
    </w:p>
    <w:p w14:paraId="207C15F1" w14:textId="14BEC4E3" w:rsidR="00BF5469" w:rsidRDefault="00BF5469" w:rsidP="005943D5">
      <w:r>
        <w:t>Rewiring Australia (20</w:t>
      </w:r>
      <w:r w:rsidR="006B016F">
        <w:t xml:space="preserve">21) </w:t>
      </w:r>
      <w:hyperlink r:id="rId40" w:history="1">
        <w:r w:rsidR="006B016F" w:rsidRPr="00AE33B5">
          <w:rPr>
            <w:rStyle w:val="Hyperlink"/>
            <w:i/>
            <w:iCs/>
          </w:rPr>
          <w:t>Castles &amp; Cars: Savings in the Suburbs through Electrifying Everything - Technical Study</w:t>
        </w:r>
      </w:hyperlink>
      <w:r w:rsidR="006B016F">
        <w:t xml:space="preserve">, </w:t>
      </w:r>
      <w:r w:rsidR="00AE33B5">
        <w:t xml:space="preserve">Rewiring Australia, </w:t>
      </w:r>
      <w:r w:rsidR="006B016F">
        <w:t xml:space="preserve">accessed </w:t>
      </w:r>
      <w:r w:rsidR="00AE33B5">
        <w:t>5 August 2022.</w:t>
      </w:r>
    </w:p>
    <w:p w14:paraId="297238C1" w14:textId="7593E9B1" w:rsidR="00520FA2" w:rsidRDefault="00520FA2" w:rsidP="005943D5">
      <w:pPr>
        <w:rPr>
          <w:color w:val="auto"/>
        </w:rPr>
      </w:pPr>
      <w:r>
        <w:lastRenderedPageBreak/>
        <w:t>Solar Choice (202</w:t>
      </w:r>
      <w:r w:rsidR="00FD0EFE">
        <w:t xml:space="preserve">2) </w:t>
      </w:r>
      <w:hyperlink r:id="rId41" w:history="1">
        <w:r w:rsidR="00FD0EFE" w:rsidRPr="00FD0EFE">
          <w:rPr>
            <w:rStyle w:val="Hyperlink"/>
            <w:i/>
            <w:iCs/>
          </w:rPr>
          <w:t>Solar Battery Price Index - August 2022</w:t>
        </w:r>
      </w:hyperlink>
      <w:r w:rsidR="00FD0EFE">
        <w:rPr>
          <w:color w:val="auto"/>
        </w:rPr>
        <w:t xml:space="preserve">, Solar Choice, accessed </w:t>
      </w:r>
      <w:r w:rsidR="000B5A4E">
        <w:rPr>
          <w:color w:val="auto"/>
        </w:rPr>
        <w:t>15 August 2022.</w:t>
      </w:r>
    </w:p>
    <w:p w14:paraId="7ABEE7A0" w14:textId="4679121A" w:rsidR="0086417B" w:rsidRDefault="0086417B" w:rsidP="005943D5">
      <w:r>
        <w:rPr>
          <w:color w:val="auto"/>
        </w:rPr>
        <w:t xml:space="preserve">Solar Choice (2022) </w:t>
      </w:r>
      <w:hyperlink r:id="rId42" w:history="1">
        <w:r w:rsidRPr="009B2CE4">
          <w:rPr>
            <w:rStyle w:val="Hyperlink"/>
            <w:i/>
            <w:iCs/>
          </w:rPr>
          <w:t>Solar Panels Canberra: Compare Prices &amp; Installers</w:t>
        </w:r>
      </w:hyperlink>
      <w:r>
        <w:t xml:space="preserve">, Solar Choice, accessed 15 August </w:t>
      </w:r>
      <w:r w:rsidR="009B2CE4">
        <w:t>2022.</w:t>
      </w:r>
    </w:p>
    <w:p w14:paraId="3C9CF032" w14:textId="2DB85161" w:rsidR="00465B51" w:rsidRDefault="00465B51" w:rsidP="005943D5">
      <w:r>
        <w:t xml:space="preserve">Solar Choice (2022) </w:t>
      </w:r>
      <w:hyperlink r:id="rId43" w:history="1">
        <w:r w:rsidRPr="00465B51">
          <w:rPr>
            <w:rStyle w:val="Hyperlink"/>
            <w:i/>
            <w:iCs/>
          </w:rPr>
          <w:t>Solar Panel Costs: Solar Choice Price Index</w:t>
        </w:r>
      </w:hyperlink>
      <w:r>
        <w:t>, Solar Choice, accessed 15 August 2022.</w:t>
      </w:r>
    </w:p>
    <w:p w14:paraId="12BCC0BB" w14:textId="1316B93A" w:rsidR="00FE178F" w:rsidRPr="00FD0EFE" w:rsidRDefault="00FE178F" w:rsidP="005943D5">
      <w:pPr>
        <w:rPr>
          <w:color w:val="auto"/>
        </w:rPr>
      </w:pPr>
      <w:r>
        <w:t xml:space="preserve">The Canberra Times (2022) </w:t>
      </w:r>
      <w:hyperlink r:id="rId44" w:history="1">
        <w:r w:rsidRPr="00FE178F">
          <w:rPr>
            <w:rStyle w:val="Hyperlink"/>
            <w:i/>
            <w:iCs/>
          </w:rPr>
          <w:t>Electric Vehicle Council data shows sales tripled in 2021</w:t>
        </w:r>
      </w:hyperlink>
      <w:r>
        <w:t xml:space="preserve">, The Canberra Times, accessed 10 </w:t>
      </w:r>
      <w:r w:rsidR="002F658B">
        <w:t>August 2022.</w:t>
      </w:r>
    </w:p>
    <w:p w14:paraId="3644F045" w14:textId="69CCA861" w:rsidR="00813828" w:rsidRDefault="00813828" w:rsidP="005943D5">
      <w:r>
        <w:t xml:space="preserve">Vanguard (2022) </w:t>
      </w:r>
      <w:hyperlink r:id="rId45" w:history="1">
        <w:r w:rsidRPr="00813828">
          <w:rPr>
            <w:rStyle w:val="Hyperlink"/>
            <w:i/>
            <w:iCs/>
          </w:rPr>
          <w:t>Vanguard Australian Shares Index ETF</w:t>
        </w:r>
      </w:hyperlink>
      <w:r>
        <w:t xml:space="preserve">, </w:t>
      </w:r>
      <w:r w:rsidR="00CF0BFC">
        <w:t>Vanguard, accessed 10 August 2022.</w:t>
      </w:r>
    </w:p>
    <w:p w14:paraId="772DDE04" w14:textId="6B6487EC" w:rsidR="00CB54DD" w:rsidRDefault="006D3F3D" w:rsidP="005943D5">
      <w:r>
        <w:t>WATTever (2022)</w:t>
      </w:r>
      <w:r w:rsidR="001333D0">
        <w:t xml:space="preserve"> </w:t>
      </w:r>
      <w:hyperlink r:id="rId46" w:history="1">
        <w:r w:rsidR="001333D0" w:rsidRPr="001333D0">
          <w:rPr>
            <w:rStyle w:val="Hyperlink"/>
            <w:i/>
            <w:iCs/>
          </w:rPr>
          <w:t>ActewAGL Solar Feed-in Tariffs for ACT and NSW</w:t>
        </w:r>
      </w:hyperlink>
      <w:r w:rsidR="001333D0">
        <w:t xml:space="preserve">, </w:t>
      </w:r>
      <w:r w:rsidR="00687E40">
        <w:t>WATTever, accessed 15 August 2022.</w:t>
      </w:r>
    </w:p>
    <w:p w14:paraId="331DA760" w14:textId="0ABF5E27" w:rsidR="006D3F3D" w:rsidRPr="00813828" w:rsidRDefault="00CB54DD" w:rsidP="005943D5">
      <w:r>
        <w:t>Westpa</w:t>
      </w:r>
      <w:r w:rsidR="000C083F">
        <w:t xml:space="preserve">c (2022) </w:t>
      </w:r>
      <w:hyperlink r:id="rId47" w:history="1">
        <w:r w:rsidR="000C083F" w:rsidRPr="000C083F">
          <w:rPr>
            <w:rStyle w:val="Hyperlink"/>
            <w:i/>
            <w:iCs/>
          </w:rPr>
          <w:t>Personal Loan interest rates</w:t>
        </w:r>
      </w:hyperlink>
      <w:r w:rsidR="000C083F">
        <w:t xml:space="preserve">, Westpac, accessed </w:t>
      </w:r>
      <w:r w:rsidR="00FE178F">
        <w:t>16 August 2022.</w:t>
      </w:r>
      <w:r w:rsidR="000C083F">
        <w:t xml:space="preserve"> </w:t>
      </w:r>
      <w:r w:rsidR="006D3F3D">
        <w:t xml:space="preserve"> </w:t>
      </w:r>
    </w:p>
    <w:p w14:paraId="511EA3E9" w14:textId="19B0C619" w:rsidR="005943D5" w:rsidRDefault="005943D5" w:rsidP="00813828">
      <w:pPr>
        <w:sectPr w:rsidR="005943D5" w:rsidSect="00CF5A76">
          <w:type w:val="continuous"/>
          <w:pgSz w:w="11907" w:h="16839" w:code="9"/>
          <w:pgMar w:top="907" w:right="1418" w:bottom="1134" w:left="1418" w:header="284" w:footer="454" w:gutter="0"/>
          <w:cols w:space="708"/>
          <w:formProt w:val="0"/>
          <w:titlePg/>
          <w:docGrid w:linePitch="360"/>
        </w:sectPr>
      </w:pPr>
    </w:p>
    <w:p w14:paraId="4363603C" w14:textId="59ADEBD2" w:rsidR="00087777" w:rsidRDefault="00C90A07" w:rsidP="00087777">
      <w:pPr>
        <w:pStyle w:val="Heading8"/>
        <w:spacing w:before="240" w:after="120"/>
      </w:pPr>
      <w:r>
        <w:rPr>
          <w:noProof/>
        </w:rPr>
        <w:lastRenderedPageBreak/>
        <w:t>Suburb Zero Pilot in the ACT</w:t>
      </w:r>
      <w:r w:rsidR="00087777">
        <w:t xml:space="preserve"> </w:t>
      </w:r>
      <w:r w:rsidR="00EA1AD9">
        <w:t>– financial implications</w:t>
      </w:r>
    </w:p>
    <w:bookmarkEnd w:id="0"/>
    <w:p w14:paraId="3339DCDE" w14:textId="066F853A" w:rsidR="007A5BB5" w:rsidRDefault="007A5BB5" w:rsidP="007A5BB5">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1</w:t>
      </w:r>
      <w:r>
        <w:rPr>
          <w:noProof/>
        </w:rPr>
        <w:fldChar w:fldCharType="end"/>
      </w:r>
      <w:r w:rsidRPr="002D239A">
        <w:t>:</w:t>
      </w:r>
      <w:r>
        <w:rPr>
          <w:noProof/>
        </w:rPr>
        <w:t xml:space="preserve"> </w:t>
      </w:r>
      <w:bookmarkStart w:id="1" w:name="OLE_LINK1"/>
      <w:r w:rsidR="00632A15">
        <w:rPr>
          <w:noProof/>
        </w:rPr>
        <w:fldChar w:fldCharType="begin"/>
      </w:r>
      <w:r w:rsidR="00632A15">
        <w:rPr>
          <w:noProof/>
        </w:rPr>
        <w:instrText xml:space="preserve"> STYLEREF  "Name of Proposal"  \* MERGEFORMAT </w:instrText>
      </w:r>
      <w:r w:rsidR="00632A15">
        <w:rPr>
          <w:noProof/>
        </w:rPr>
        <w:fldChar w:fldCharType="separate"/>
      </w:r>
      <w:r w:rsidR="00C253FF">
        <w:rPr>
          <w:noProof/>
        </w:rPr>
        <w:t>Suburb Zero pilot in the ACT</w:t>
      </w:r>
      <w:r w:rsidR="00632A15">
        <w:rPr>
          <w:noProof/>
        </w:rPr>
        <w:fldChar w:fldCharType="end"/>
      </w:r>
      <w:r w:rsidR="00632A15">
        <w:rPr>
          <w:noProof/>
        </w:rPr>
        <w:t xml:space="preserve"> </w:t>
      </w:r>
      <w:r>
        <w:t>–</w:t>
      </w:r>
      <w:bookmarkEnd w:id="1"/>
      <w:r>
        <w:t xml:space="preserve"> Option 1: 500 </w:t>
      </w:r>
      <w:r w:rsidR="00BC6BE0">
        <w:t>h</w:t>
      </w:r>
      <w:r>
        <w:t xml:space="preserve">ouseholds </w:t>
      </w:r>
      <w:r w:rsidR="00D515A2">
        <w:t>–</w:t>
      </w:r>
      <w:r w:rsidR="00CE463E">
        <w:t xml:space="preserve"> Fiscal </w:t>
      </w:r>
      <w:r w:rsidR="00011EA3">
        <w:t>b</w:t>
      </w:r>
      <w:r w:rsidR="00CE463E">
        <w:t>alance</w:t>
      </w:r>
      <w:r w:rsidR="00D515A2">
        <w:t xml:space="preserve"> </w:t>
      </w:r>
      <w:r>
        <w:t>($m)</w:t>
      </w:r>
      <w:r>
        <w:rPr>
          <w:vertAlign w:val="superscript"/>
        </w:rPr>
        <w:t>(a)</w:t>
      </w:r>
    </w:p>
    <w:p w14:paraId="32EA4595" w14:textId="4CA23F12" w:rsidR="00BC6BE0" w:rsidRDefault="0049349A" w:rsidP="004B52AF">
      <w:pPr>
        <w:spacing w:after="60" w:line="240" w:lineRule="auto"/>
        <w:rPr>
          <w:color w:val="auto"/>
        </w:rPr>
      </w:pPr>
      <w:r>
        <w:rPr>
          <w:color w:val="auto"/>
        </w:rPr>
        <w:object w:dxaOrig="14330" w:dyaOrig="6030" w14:anchorId="34444087">
          <v:shape id="_x0000_i1026" type="#_x0000_t75" style="width:10in;height:300.9pt" o:ole="">
            <v:imagedata r:id="rId48" o:title=""/>
          </v:shape>
          <o:OLEObject Type="Link" ProgID="Excel.Sheet.12" ShapeID="_x0000_i1026" DrawAspect="Content" r:id="rId49" UpdateMode="OnCall">
            <o:LinkType>EnhancedMetaFile</o:LinkType>
            <o:LockedField>false</o:LockedField>
          </o:OLEObject>
        </w:object>
      </w:r>
    </w:p>
    <w:p w14:paraId="3CA38286" w14:textId="57377B88" w:rsidR="00B15BF4" w:rsidRDefault="00B15BF4" w:rsidP="00B15BF4">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w:t>
      </w:r>
      <w:r w:rsidRPr="006905BC">
        <w:t>increase in expenses or net capital investment in accrual terms.</w:t>
      </w:r>
    </w:p>
    <w:p w14:paraId="068AE288" w14:textId="6FEFC485" w:rsidR="006F0248" w:rsidRPr="006905BC" w:rsidRDefault="006F0248" w:rsidP="00B15BF4">
      <w:pPr>
        <w:pStyle w:val="PRRfootnote2"/>
      </w:pPr>
      <w:r>
        <w:t>..</w:t>
      </w:r>
      <w:r>
        <w:tab/>
        <w:t>Not zero but rounded to zero.</w:t>
      </w:r>
    </w:p>
    <w:p w14:paraId="59A01095" w14:textId="1CFA45D3" w:rsidR="00824771" w:rsidRDefault="00B15BF4" w:rsidP="00FD600C">
      <w:pPr>
        <w:pStyle w:val="PRRfootnote2"/>
        <w:numPr>
          <w:ilvl w:val="0"/>
          <w:numId w:val="22"/>
        </w:numPr>
        <w:ind w:left="284" w:hanging="284"/>
      </w:pPr>
      <w:r w:rsidRPr="00CD1811">
        <w:t>Indicates nil.</w:t>
      </w:r>
    </w:p>
    <w:p w14:paraId="48556D51" w14:textId="1BD58DF9" w:rsidR="00D34B6B" w:rsidRDefault="00D34B6B">
      <w:pPr>
        <w:spacing w:after="60" w:line="240" w:lineRule="auto"/>
        <w:rPr>
          <w:sz w:val="16"/>
          <w:szCs w:val="16"/>
        </w:rPr>
      </w:pPr>
      <w:r>
        <w:br w:type="page"/>
      </w:r>
    </w:p>
    <w:p w14:paraId="6E00EC1B" w14:textId="4BA1D71F" w:rsidR="00D34B6B" w:rsidRDefault="00D34B6B" w:rsidP="00D34B6B">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2</w:t>
      </w:r>
      <w:r>
        <w:rPr>
          <w:noProof/>
        </w:rPr>
        <w:fldChar w:fldCharType="end"/>
      </w:r>
      <w:r w:rsidRPr="002D239A">
        <w:t>:</w:t>
      </w:r>
      <w:r>
        <w:rPr>
          <w:noProof/>
        </w:rPr>
        <w:t xml:space="preserve"> </w:t>
      </w:r>
      <w:r>
        <w:rPr>
          <w:noProof/>
        </w:rPr>
        <w:fldChar w:fldCharType="begin"/>
      </w:r>
      <w:r>
        <w:rPr>
          <w:noProof/>
        </w:rPr>
        <w:instrText xml:space="preserve"> STYLEREF  "Name of Proposal"  \* MERGEFORMAT </w:instrText>
      </w:r>
      <w:r>
        <w:rPr>
          <w:noProof/>
        </w:rPr>
        <w:fldChar w:fldCharType="separate"/>
      </w:r>
      <w:r w:rsidR="00C253FF">
        <w:rPr>
          <w:noProof/>
        </w:rPr>
        <w:t>Suburb Zero pilot in the ACT</w:t>
      </w:r>
      <w:r>
        <w:rPr>
          <w:noProof/>
        </w:rPr>
        <w:fldChar w:fldCharType="end"/>
      </w:r>
      <w:r>
        <w:rPr>
          <w:noProof/>
        </w:rPr>
        <w:t xml:space="preserve"> </w:t>
      </w:r>
      <w:r>
        <w:t>– Option 1: 500 households – Under</w:t>
      </w:r>
      <w:r w:rsidR="0072531C">
        <w:t>lying cash</w:t>
      </w:r>
      <w:r>
        <w:t xml:space="preserve"> balance ($m)</w:t>
      </w:r>
      <w:r>
        <w:rPr>
          <w:vertAlign w:val="superscript"/>
        </w:rPr>
        <w:t>(a)</w:t>
      </w:r>
    </w:p>
    <w:p w14:paraId="6AB43E34" w14:textId="371144B7" w:rsidR="00D34B6B" w:rsidRDefault="0049349A" w:rsidP="00D34B6B">
      <w:pPr>
        <w:pStyle w:val="PRRfootnote2"/>
        <w:ind w:left="0" w:firstLine="0"/>
      </w:pPr>
      <w:r>
        <w:object w:dxaOrig="14330" w:dyaOrig="4670" w14:anchorId="694CA9E5">
          <v:shape id="_x0000_i1027" type="#_x0000_t75" style="width:10in;height:237.75pt" o:ole="">
            <v:imagedata r:id="rId50" o:title=""/>
          </v:shape>
          <o:OLEObject Type="Link" ProgID="Excel.Sheet.12" ShapeID="_x0000_i1027" DrawAspect="Content" r:id="rId51" UpdateMode="OnCall">
            <o:LinkType>EnhancedMetaFile</o:LinkType>
            <o:LockedField>false</o:LockedField>
          </o:OLEObject>
        </w:object>
      </w:r>
    </w:p>
    <w:p w14:paraId="74645E4E" w14:textId="4700803B" w:rsidR="00B60F5F" w:rsidRPr="00BD1E4A" w:rsidRDefault="00B60F5F" w:rsidP="00BD1E4A">
      <w:pPr>
        <w:pStyle w:val="PRRfootnote2"/>
      </w:pPr>
      <w:r w:rsidRPr="00BD1E4A">
        <w:t>(a)</w:t>
      </w:r>
      <w:r w:rsidRPr="00BD1E4A">
        <w:tab/>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p>
    <w:p w14:paraId="45120998" w14:textId="77777777" w:rsidR="00C616BB" w:rsidRPr="00BD1E4A" w:rsidRDefault="00C616BB" w:rsidP="00BD1E4A">
      <w:pPr>
        <w:pStyle w:val="PRRfootnote2"/>
      </w:pPr>
      <w:r w:rsidRPr="00BD1E4A">
        <w:t>..</w:t>
      </w:r>
      <w:r w:rsidRPr="00BD1E4A">
        <w:tab/>
        <w:t>Not zero but rounded to zero.</w:t>
      </w:r>
    </w:p>
    <w:p w14:paraId="6006DC2A" w14:textId="77777777" w:rsidR="00C616BB" w:rsidRDefault="00C616BB" w:rsidP="00FD600C">
      <w:pPr>
        <w:pStyle w:val="PRRfootnote2"/>
        <w:numPr>
          <w:ilvl w:val="0"/>
          <w:numId w:val="22"/>
        </w:numPr>
        <w:ind w:left="284" w:hanging="284"/>
      </w:pPr>
      <w:r w:rsidRPr="00CD1811">
        <w:t>Indicates nil.</w:t>
      </w:r>
    </w:p>
    <w:p w14:paraId="02393032" w14:textId="4B2EDA8A" w:rsidR="00B60F5F" w:rsidRDefault="00B60F5F">
      <w:pPr>
        <w:spacing w:after="60" w:line="240" w:lineRule="auto"/>
      </w:pPr>
      <w:r>
        <w:br w:type="page"/>
      </w:r>
    </w:p>
    <w:p w14:paraId="1EFDF62A" w14:textId="1CB99393" w:rsidR="00B60F5F" w:rsidRDefault="00B60F5F" w:rsidP="00B60F5F">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3</w:t>
      </w:r>
      <w:r>
        <w:rPr>
          <w:noProof/>
        </w:rPr>
        <w:fldChar w:fldCharType="end"/>
      </w:r>
      <w:r w:rsidRPr="002D239A">
        <w:t>:</w:t>
      </w:r>
      <w:r>
        <w:rPr>
          <w:noProof/>
        </w:rPr>
        <w:t xml:space="preserve"> </w:t>
      </w:r>
      <w:r>
        <w:rPr>
          <w:noProof/>
        </w:rPr>
        <w:fldChar w:fldCharType="begin"/>
      </w:r>
      <w:r>
        <w:rPr>
          <w:noProof/>
        </w:rPr>
        <w:instrText xml:space="preserve"> STYLEREF  "Name of Proposal"  \* MERGEFORMAT </w:instrText>
      </w:r>
      <w:r>
        <w:rPr>
          <w:noProof/>
        </w:rPr>
        <w:fldChar w:fldCharType="separate"/>
      </w:r>
      <w:r w:rsidR="00C253FF">
        <w:rPr>
          <w:noProof/>
        </w:rPr>
        <w:t>Suburb Zero pilot in the ACT</w:t>
      </w:r>
      <w:r>
        <w:rPr>
          <w:noProof/>
        </w:rPr>
        <w:fldChar w:fldCharType="end"/>
      </w:r>
      <w:r>
        <w:rPr>
          <w:noProof/>
        </w:rPr>
        <w:t xml:space="preserve"> </w:t>
      </w:r>
      <w:r>
        <w:t>– Option 1: 500 households – Headline cash balance ($m)</w:t>
      </w:r>
      <w:r>
        <w:rPr>
          <w:vertAlign w:val="superscript"/>
        </w:rPr>
        <w:t>(a)</w:t>
      </w:r>
    </w:p>
    <w:p w14:paraId="5E1E10E9" w14:textId="6AD6B4E5" w:rsidR="00C616BB" w:rsidRDefault="0049349A" w:rsidP="00D34B6B">
      <w:pPr>
        <w:pStyle w:val="PRRfootnote2"/>
        <w:ind w:left="0" w:firstLine="0"/>
      </w:pPr>
      <w:r>
        <w:object w:dxaOrig="14330" w:dyaOrig="5270" w14:anchorId="673BBE96">
          <v:shape id="_x0000_i1028" type="#_x0000_t75" style="width:10in;height:266.25pt" o:ole="">
            <v:imagedata r:id="rId52" o:title=""/>
          </v:shape>
          <o:OLEObject Type="Link" ProgID="Excel.Sheet.12" ShapeID="_x0000_i1028" DrawAspect="Content" r:id="rId53" UpdateMode="OnCall">
            <o:LinkType>EnhancedMetaFile</o:LinkType>
            <o:LockedField>false</o:LockedField>
          </o:OLEObject>
        </w:object>
      </w:r>
    </w:p>
    <w:p w14:paraId="64CC9A0B" w14:textId="0A61875C" w:rsidR="00BD1E4A" w:rsidRPr="00BD1E4A" w:rsidRDefault="00BD1E4A" w:rsidP="00BD1E4A">
      <w:pPr>
        <w:pStyle w:val="PRRfootnote2"/>
      </w:pPr>
      <w:r w:rsidRPr="00BD1E4A">
        <w:t>(a)</w:t>
      </w:r>
      <w:r w:rsidRPr="00BD1E4A">
        <w:tab/>
        <w:t>A positive number for the headline cash balance indicates an increase in receipts or a decrease in payments or net capital investment in headline cash terms. A negative number for the headline cash balance indicates a decrease in receipts or an increase in payments or net capital investment in headline cash terms.</w:t>
      </w:r>
    </w:p>
    <w:p w14:paraId="006863CE" w14:textId="77777777" w:rsidR="00A24814" w:rsidRPr="006905BC" w:rsidRDefault="00A24814" w:rsidP="00A24814">
      <w:pPr>
        <w:pStyle w:val="PRRfootnote2"/>
      </w:pPr>
      <w:r>
        <w:t>..</w:t>
      </w:r>
      <w:r>
        <w:tab/>
        <w:t>Not zero but rounded to zero.</w:t>
      </w:r>
    </w:p>
    <w:p w14:paraId="3FC97BFA" w14:textId="77777777" w:rsidR="00A24814" w:rsidRDefault="00A24814" w:rsidP="00FD600C">
      <w:pPr>
        <w:pStyle w:val="PRRfootnote2"/>
        <w:numPr>
          <w:ilvl w:val="0"/>
          <w:numId w:val="22"/>
        </w:numPr>
        <w:ind w:left="284" w:hanging="284"/>
      </w:pPr>
      <w:r w:rsidRPr="00CD1811">
        <w:t>Indicates nil.</w:t>
      </w:r>
    </w:p>
    <w:p w14:paraId="302DC45F" w14:textId="25387A09" w:rsidR="00C01A59" w:rsidRDefault="00C01A59">
      <w:pPr>
        <w:spacing w:after="60" w:line="240" w:lineRule="auto"/>
        <w:rPr>
          <w:sz w:val="16"/>
          <w:szCs w:val="16"/>
        </w:rPr>
      </w:pPr>
      <w:r>
        <w:br w:type="page"/>
      </w:r>
    </w:p>
    <w:p w14:paraId="123F8C95" w14:textId="1941335E" w:rsidR="00C01A59" w:rsidRDefault="00C01A59" w:rsidP="00C01A59">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4</w:t>
      </w:r>
      <w:r>
        <w:rPr>
          <w:noProof/>
        </w:rPr>
        <w:fldChar w:fldCharType="end"/>
      </w:r>
      <w:r w:rsidRPr="002D239A">
        <w:t>:</w:t>
      </w:r>
      <w:r>
        <w:rPr>
          <w:noProof/>
        </w:rPr>
        <w:t xml:space="preserve"> </w:t>
      </w:r>
      <w:r>
        <w:rPr>
          <w:noProof/>
        </w:rPr>
        <w:fldChar w:fldCharType="begin"/>
      </w:r>
      <w:r>
        <w:rPr>
          <w:noProof/>
        </w:rPr>
        <w:instrText xml:space="preserve"> STYLEREF  "Name of Proposal"  \* MERGEFORMAT </w:instrText>
      </w:r>
      <w:r>
        <w:rPr>
          <w:noProof/>
        </w:rPr>
        <w:fldChar w:fldCharType="separate"/>
      </w:r>
      <w:r w:rsidR="00C253FF">
        <w:rPr>
          <w:noProof/>
        </w:rPr>
        <w:t>Suburb Zero pilot in the ACT</w:t>
      </w:r>
      <w:r>
        <w:rPr>
          <w:noProof/>
        </w:rPr>
        <w:fldChar w:fldCharType="end"/>
      </w:r>
      <w:r>
        <w:rPr>
          <w:noProof/>
        </w:rPr>
        <w:t xml:space="preserve"> </w:t>
      </w:r>
      <w:r>
        <w:t>– Option 2: 1,000 households – Fiscal balance ($m)</w:t>
      </w:r>
      <w:r>
        <w:rPr>
          <w:vertAlign w:val="superscript"/>
        </w:rPr>
        <w:t>(a)</w:t>
      </w:r>
    </w:p>
    <w:p w14:paraId="02AE6DCF" w14:textId="60471EAF" w:rsidR="00832795" w:rsidRDefault="0049349A" w:rsidP="00D34B6B">
      <w:pPr>
        <w:pStyle w:val="PRRfootnote2"/>
        <w:ind w:left="0" w:firstLine="0"/>
      </w:pPr>
      <w:r>
        <w:rPr>
          <w:b/>
          <w:bCs/>
          <w:lang w:val="en-US"/>
        </w:rPr>
        <w:object w:dxaOrig="14330" w:dyaOrig="6050" w14:anchorId="5F9D4B28">
          <v:shape id="_x0000_i1029" type="#_x0000_t75" style="width:10in;height:301.6pt" o:ole="">
            <v:imagedata r:id="rId54" o:title=""/>
          </v:shape>
          <o:OLEObject Type="Link" ProgID="Excel.Sheet.12" ShapeID="_x0000_i1029" DrawAspect="Content" r:id="rId55" UpdateMode="OnCall">
            <o:LinkType>EnhancedMetaFile</o:LinkType>
            <o:LockedField>false</o:LockedField>
          </o:OLEObject>
        </w:object>
      </w:r>
    </w:p>
    <w:p w14:paraId="5F11FD3E" w14:textId="77777777" w:rsidR="00993340" w:rsidRDefault="00993340" w:rsidP="00993340">
      <w:pPr>
        <w:pStyle w:val="PRRfootnote2"/>
      </w:pPr>
      <w:r w:rsidRPr="00CD1811">
        <w:t>(a)</w:t>
      </w:r>
      <w:r w:rsidRPr="00CD1811">
        <w:tab/>
        <w:t xml:space="preserve">A positive number for the fiscal balance indicates an increase in revenue or a decrease in expenses or net capital investment in accrual terms. A negative number for the fiscal balance indicates a decrease in revenue or an </w:t>
      </w:r>
      <w:r w:rsidRPr="006905BC">
        <w:t>increase in expenses or net capital investment in accrual terms.</w:t>
      </w:r>
    </w:p>
    <w:p w14:paraId="502D2C4F" w14:textId="77777777" w:rsidR="00993340" w:rsidRPr="006905BC" w:rsidRDefault="00993340" w:rsidP="00993340">
      <w:pPr>
        <w:pStyle w:val="PRRfootnote2"/>
      </w:pPr>
      <w:r>
        <w:t>..</w:t>
      </w:r>
      <w:r>
        <w:tab/>
        <w:t>Not zero but rounded to zero.</w:t>
      </w:r>
    </w:p>
    <w:p w14:paraId="7009A50B" w14:textId="77777777" w:rsidR="00993340" w:rsidRDefault="00993340" w:rsidP="00FD600C">
      <w:pPr>
        <w:pStyle w:val="PRRfootnote2"/>
        <w:numPr>
          <w:ilvl w:val="0"/>
          <w:numId w:val="22"/>
        </w:numPr>
        <w:ind w:left="284" w:hanging="284"/>
      </w:pPr>
      <w:r w:rsidRPr="00CD1811">
        <w:t>Indicates nil.</w:t>
      </w:r>
    </w:p>
    <w:p w14:paraId="32D8F584" w14:textId="677F26B7" w:rsidR="00993340" w:rsidRDefault="00993340">
      <w:pPr>
        <w:spacing w:after="60" w:line="240" w:lineRule="auto"/>
        <w:rPr>
          <w:sz w:val="16"/>
          <w:szCs w:val="16"/>
        </w:rPr>
      </w:pPr>
      <w:r>
        <w:br w:type="page"/>
      </w:r>
    </w:p>
    <w:p w14:paraId="72DC49BB" w14:textId="61AF29F7" w:rsidR="00993340" w:rsidRDefault="00993340" w:rsidP="00993340">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5</w:t>
      </w:r>
      <w:r>
        <w:rPr>
          <w:noProof/>
        </w:rPr>
        <w:fldChar w:fldCharType="end"/>
      </w:r>
      <w:r w:rsidRPr="002D239A">
        <w:t>:</w:t>
      </w:r>
      <w:r>
        <w:rPr>
          <w:noProof/>
        </w:rPr>
        <w:t xml:space="preserve"> </w:t>
      </w:r>
      <w:r>
        <w:rPr>
          <w:noProof/>
        </w:rPr>
        <w:fldChar w:fldCharType="begin"/>
      </w:r>
      <w:r>
        <w:rPr>
          <w:noProof/>
        </w:rPr>
        <w:instrText xml:space="preserve"> STYLEREF  "Name of Proposal"  \* MERGEFORMAT </w:instrText>
      </w:r>
      <w:r>
        <w:rPr>
          <w:noProof/>
        </w:rPr>
        <w:fldChar w:fldCharType="separate"/>
      </w:r>
      <w:r w:rsidR="00C253FF">
        <w:rPr>
          <w:noProof/>
        </w:rPr>
        <w:t>Suburb Zero pilot in the ACT</w:t>
      </w:r>
      <w:r>
        <w:rPr>
          <w:noProof/>
        </w:rPr>
        <w:fldChar w:fldCharType="end"/>
      </w:r>
      <w:r>
        <w:rPr>
          <w:noProof/>
        </w:rPr>
        <w:t xml:space="preserve"> </w:t>
      </w:r>
      <w:r>
        <w:t>– Option 2: 1,000 households – Underlying cash balance ($m)</w:t>
      </w:r>
      <w:r>
        <w:rPr>
          <w:vertAlign w:val="superscript"/>
        </w:rPr>
        <w:t>(a)</w:t>
      </w:r>
    </w:p>
    <w:p w14:paraId="13FD2F26" w14:textId="00903477" w:rsidR="00993340" w:rsidRDefault="0049349A" w:rsidP="00D34B6B">
      <w:pPr>
        <w:pStyle w:val="PRRfootnote2"/>
        <w:ind w:left="0" w:firstLine="0"/>
      </w:pPr>
      <w:r>
        <w:object w:dxaOrig="14330" w:dyaOrig="4670" w14:anchorId="1CA1103D">
          <v:shape id="_x0000_i1030" type="#_x0000_t75" style="width:10in;height:237.75pt" o:ole="">
            <v:imagedata r:id="rId56" o:title=""/>
          </v:shape>
          <o:OLEObject Type="Link" ProgID="Excel.Sheet.12" ShapeID="_x0000_i1030" DrawAspect="Content" r:id="rId57" UpdateMode="OnCall">
            <o:LinkType>EnhancedMetaFile</o:LinkType>
            <o:LockedField>false</o:LockedField>
          </o:OLEObject>
        </w:object>
      </w:r>
    </w:p>
    <w:p w14:paraId="2C2A62DC" w14:textId="77777777" w:rsidR="009067C5" w:rsidRPr="00BD1E4A" w:rsidRDefault="009067C5" w:rsidP="009067C5">
      <w:pPr>
        <w:pStyle w:val="PRRfootnote2"/>
      </w:pPr>
      <w:r w:rsidRPr="00BD1E4A">
        <w:t>(a)</w:t>
      </w:r>
      <w:r w:rsidRPr="00BD1E4A">
        <w:tab/>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p>
    <w:p w14:paraId="711F68D6" w14:textId="77777777" w:rsidR="009067C5" w:rsidRPr="00BD1E4A" w:rsidRDefault="009067C5" w:rsidP="009067C5">
      <w:pPr>
        <w:pStyle w:val="PRRfootnote2"/>
      </w:pPr>
      <w:r w:rsidRPr="00BD1E4A">
        <w:t>..</w:t>
      </w:r>
      <w:r w:rsidRPr="00BD1E4A">
        <w:tab/>
        <w:t>Not zero but rounded to zero.</w:t>
      </w:r>
    </w:p>
    <w:p w14:paraId="5D05CE8E" w14:textId="77777777" w:rsidR="009067C5" w:rsidRDefault="009067C5" w:rsidP="00FD600C">
      <w:pPr>
        <w:pStyle w:val="PRRfootnote2"/>
        <w:numPr>
          <w:ilvl w:val="0"/>
          <w:numId w:val="22"/>
        </w:numPr>
        <w:ind w:left="284" w:hanging="284"/>
      </w:pPr>
      <w:r w:rsidRPr="00CD1811">
        <w:t>Indicates nil.</w:t>
      </w:r>
    </w:p>
    <w:p w14:paraId="76366EF4" w14:textId="1EBE0DAA" w:rsidR="009067C5" w:rsidRDefault="009067C5">
      <w:pPr>
        <w:spacing w:after="60" w:line="240" w:lineRule="auto"/>
        <w:rPr>
          <w:sz w:val="16"/>
          <w:szCs w:val="16"/>
        </w:rPr>
      </w:pPr>
      <w:r>
        <w:br w:type="page"/>
      </w:r>
    </w:p>
    <w:p w14:paraId="522BFCCA" w14:textId="1643DA79" w:rsidR="009067C5" w:rsidRDefault="009067C5" w:rsidP="009067C5">
      <w:pPr>
        <w:pStyle w:val="Caption"/>
        <w:widowControl w:val="0"/>
        <w:tabs>
          <w:tab w:val="left" w:pos="9356"/>
        </w:tabs>
        <w:rPr>
          <w:vertAlign w:val="superscript"/>
        </w:rPr>
      </w:pPr>
      <w:r w:rsidRPr="002D239A">
        <w:lastRenderedPageBreak/>
        <w:t xml:space="preserve">Table </w:t>
      </w:r>
      <w:r>
        <w:rPr>
          <w:noProof/>
        </w:rPr>
        <w:fldChar w:fldCharType="begin"/>
      </w:r>
      <w:r>
        <w:rPr>
          <w:noProof/>
        </w:rPr>
        <w:instrText xml:space="preserve"> STYLEREF 8 \s </w:instrText>
      </w:r>
      <w:r>
        <w:rPr>
          <w:noProof/>
        </w:rPr>
        <w:fldChar w:fldCharType="separate"/>
      </w:r>
      <w:r w:rsidR="00C253FF">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C253FF">
        <w:rPr>
          <w:noProof/>
        </w:rPr>
        <w:t>6</w:t>
      </w:r>
      <w:r>
        <w:rPr>
          <w:noProof/>
        </w:rPr>
        <w:fldChar w:fldCharType="end"/>
      </w:r>
      <w:r w:rsidRPr="002D239A">
        <w:t>:</w:t>
      </w:r>
      <w:r>
        <w:rPr>
          <w:noProof/>
        </w:rPr>
        <w:t xml:space="preserve"> </w:t>
      </w:r>
      <w:r>
        <w:rPr>
          <w:noProof/>
        </w:rPr>
        <w:fldChar w:fldCharType="begin"/>
      </w:r>
      <w:r>
        <w:rPr>
          <w:noProof/>
        </w:rPr>
        <w:instrText xml:space="preserve"> STYLEREF  "Name of Proposal"  \* MERGEFORMAT </w:instrText>
      </w:r>
      <w:r>
        <w:rPr>
          <w:noProof/>
        </w:rPr>
        <w:fldChar w:fldCharType="separate"/>
      </w:r>
      <w:r w:rsidR="00C253FF">
        <w:rPr>
          <w:noProof/>
        </w:rPr>
        <w:t>Suburb Zero pilot in the ACT</w:t>
      </w:r>
      <w:r>
        <w:rPr>
          <w:noProof/>
        </w:rPr>
        <w:fldChar w:fldCharType="end"/>
      </w:r>
      <w:r>
        <w:rPr>
          <w:noProof/>
        </w:rPr>
        <w:t xml:space="preserve"> </w:t>
      </w:r>
      <w:r>
        <w:t>– Option 2: 1,000 households – Headline cash balance ($m)</w:t>
      </w:r>
      <w:r>
        <w:rPr>
          <w:vertAlign w:val="superscript"/>
        </w:rPr>
        <w:t>(a)</w:t>
      </w:r>
    </w:p>
    <w:p w14:paraId="7C1EE75B" w14:textId="63A3F89A" w:rsidR="009067C5" w:rsidRDefault="0049349A" w:rsidP="00D34B6B">
      <w:pPr>
        <w:pStyle w:val="PRRfootnote2"/>
        <w:ind w:left="0" w:firstLine="0"/>
      </w:pPr>
      <w:r>
        <w:object w:dxaOrig="14330" w:dyaOrig="5270" w14:anchorId="0E289FC3">
          <v:shape id="_x0000_i1031" type="#_x0000_t75" style="width:10in;height:266.25pt" o:ole="">
            <v:imagedata r:id="rId58" o:title=""/>
          </v:shape>
          <o:OLEObject Type="Link" ProgID="Excel.Sheet.12" ShapeID="_x0000_i1031" DrawAspect="Content" r:id="rId59" UpdateMode="OnCall">
            <o:LinkType>EnhancedMetaFile</o:LinkType>
            <o:LockedField>false</o:LockedField>
          </o:OLEObject>
        </w:object>
      </w:r>
    </w:p>
    <w:p w14:paraId="4A53E518" w14:textId="77777777" w:rsidR="00B56303" w:rsidRPr="00BD1E4A" w:rsidRDefault="00B56303" w:rsidP="00B56303">
      <w:pPr>
        <w:pStyle w:val="PRRfootnote2"/>
      </w:pPr>
      <w:r w:rsidRPr="00BD1E4A">
        <w:t>(a)</w:t>
      </w:r>
      <w:r w:rsidRPr="00BD1E4A">
        <w:tab/>
        <w:t>A positive number for the headline cash balance indicates an increase in receipts or a decrease in payments or net capital investment in headline cash terms. A negative number for the headline cash balance indicates a decrease in receipts or an increase in payments or net capital investment in headline cash terms.</w:t>
      </w:r>
    </w:p>
    <w:p w14:paraId="0F88ACC7" w14:textId="77777777" w:rsidR="00B56303" w:rsidRPr="006905BC" w:rsidRDefault="00B56303" w:rsidP="00B56303">
      <w:pPr>
        <w:pStyle w:val="PRRfootnote2"/>
      </w:pPr>
      <w:r>
        <w:t>..</w:t>
      </w:r>
      <w:r>
        <w:tab/>
        <w:t>Not zero but rounded to zero.</w:t>
      </w:r>
    </w:p>
    <w:p w14:paraId="095906B8" w14:textId="77777777" w:rsidR="00B56303" w:rsidRDefault="00B56303" w:rsidP="00FD600C">
      <w:pPr>
        <w:pStyle w:val="PRRfootnote2"/>
        <w:numPr>
          <w:ilvl w:val="0"/>
          <w:numId w:val="22"/>
        </w:numPr>
        <w:ind w:left="284" w:hanging="284"/>
      </w:pPr>
      <w:r w:rsidRPr="00CD1811">
        <w:t>Indicates nil.</w:t>
      </w:r>
    </w:p>
    <w:p w14:paraId="3BB76471" w14:textId="77777777" w:rsidR="00F126F8" w:rsidRDefault="00F126F8" w:rsidP="005C0994">
      <w:pPr>
        <w:spacing w:after="60" w:line="240" w:lineRule="auto"/>
        <w:rPr>
          <w:sz w:val="16"/>
          <w:szCs w:val="16"/>
        </w:rPr>
        <w:sectPr w:rsidR="00F126F8" w:rsidSect="00617691">
          <w:pgSz w:w="16839" w:h="11907" w:orient="landscape" w:code="9"/>
          <w:pgMar w:top="992" w:right="907" w:bottom="992" w:left="1134" w:header="284" w:footer="454" w:gutter="0"/>
          <w:cols w:space="708"/>
          <w:formProt w:val="0"/>
          <w:docGrid w:linePitch="360"/>
        </w:sectPr>
      </w:pPr>
    </w:p>
    <w:p w14:paraId="508001F5" w14:textId="06ECD74B" w:rsidR="00B56303" w:rsidRDefault="00ED4DC9" w:rsidP="00FD600C">
      <w:pPr>
        <w:pStyle w:val="Heading8"/>
        <w:spacing w:before="240" w:after="120"/>
        <w:ind w:left="360" w:hanging="360"/>
      </w:pPr>
      <w:r w:rsidRPr="00D11131">
        <w:lastRenderedPageBreak/>
        <w:t>Accounting treatment of concessional loans</w:t>
      </w:r>
    </w:p>
    <w:p w14:paraId="3F35DB34" w14:textId="6854202A" w:rsidR="00E078C9" w:rsidRPr="00D11131" w:rsidRDefault="00E078C9" w:rsidP="00E078C9">
      <w:pPr>
        <w:pStyle w:val="BodyText"/>
        <w:spacing w:before="0" w:after="100"/>
        <w:rPr>
          <w:lang w:val="en-US"/>
        </w:rPr>
      </w:pPr>
      <w:r w:rsidRPr="00D11131">
        <w:t>A concessional loan is a loan provided on more favourable terms than the borrower could obtain in the financial market. The most common concession is a below</w:t>
      </w:r>
      <w:r w:rsidRPr="00D11131">
        <w:noBreakHyphen/>
        <w:t>market interest rate, but concessions can also include favourable repayment conditions. The income contingent loans available through the Higher Education Loan Program</w:t>
      </w:r>
      <w:r w:rsidRPr="00D11131" w:rsidDel="008F553E">
        <w:t xml:space="preserve"> </w:t>
      </w:r>
      <w:r w:rsidRPr="00D11131">
        <w:t xml:space="preserve">are an example of concessional loans offered by the </w:t>
      </w:r>
      <w:r>
        <w:t>Australian Government</w:t>
      </w:r>
      <w:r w:rsidRPr="00D11131">
        <w:t>.</w:t>
      </w:r>
    </w:p>
    <w:p w14:paraId="10272499" w14:textId="77777777" w:rsidR="00E078C9" w:rsidRPr="00C1714D" w:rsidRDefault="00E078C9" w:rsidP="00E078C9">
      <w:pPr>
        <w:pStyle w:val="AttachmentHeading3"/>
        <w:spacing w:before="120" w:after="120"/>
      </w:pPr>
      <w:r w:rsidRPr="00C1714D">
        <w:t>Budget impact</w:t>
      </w:r>
      <w:r w:rsidRPr="00C1714D">
        <w:rPr>
          <w:vertAlign w:val="superscript"/>
        </w:rPr>
        <w:footnoteReference w:id="4"/>
      </w:r>
    </w:p>
    <w:p w14:paraId="48B3B8BB" w14:textId="1148C812" w:rsidR="00E078C9" w:rsidRPr="00D11131" w:rsidRDefault="00E078C9" w:rsidP="00E078C9">
      <w:pPr>
        <w:pStyle w:val="BodyText"/>
        <w:spacing w:before="80"/>
      </w:pPr>
      <w:r w:rsidRPr="00D11131">
        <w:rPr>
          <w:lang w:val="en-US"/>
        </w:rPr>
        <w:t xml:space="preserve">The accounting treatment of concessional loans differs across each </w:t>
      </w:r>
      <w:r w:rsidRPr="00D9713D">
        <w:rPr>
          <w:lang w:val="en-US"/>
        </w:rPr>
        <w:t>budget aggregate. The underlying cash balance only captures actual flows of interest related to the loans. The headline cash balance captures actual flows of principal as well as interest. The fiscal balance captures accrued interest, the value of the concession and any write-offs related to the loans. The interest cost of financing these loans is captured in all budget aggregates, and is separately identified by the PBO.</w:t>
      </w:r>
      <w:r w:rsidRPr="00D9713D">
        <w:rPr>
          <w:rStyle w:val="FootnoteReference"/>
        </w:rPr>
        <w:footnoteReference w:id="5"/>
      </w:r>
      <w:r w:rsidRPr="00D9713D">
        <w:rPr>
          <w:lang w:val="en-US"/>
        </w:rPr>
        <w:t xml:space="preserve"> Table B1 provides information about the detail provided in a costing. The provision of concessional loans decreases the </w:t>
      </w:r>
      <w:r w:rsidR="00D76BBD">
        <w:rPr>
          <w:lang w:val="en-US"/>
        </w:rPr>
        <w:t>Australian</w:t>
      </w:r>
      <w:r w:rsidRPr="00D9713D">
        <w:rPr>
          <w:lang w:val="en-US"/>
        </w:rPr>
        <w:t xml:space="preserve"> Government’s </w:t>
      </w:r>
      <w:r w:rsidRPr="00D9713D">
        <w:t>net worth if</w:t>
      </w:r>
      <w:r w:rsidRPr="00D11131">
        <w:t xml:space="preserve"> the liabilities issued (the value of </w:t>
      </w:r>
      <w:r w:rsidR="00D76BBD">
        <w:t>Australian</w:t>
      </w:r>
      <w:r>
        <w:t xml:space="preserve"> Government Securities</w:t>
      </w:r>
      <w:r w:rsidRPr="00D11131">
        <w:t xml:space="preserve"> issued to finance the loans) are greater than the assets created (measured at their ‘fair value’ or price at which the loans could be sold).</w:t>
      </w:r>
    </w:p>
    <w:p w14:paraId="31C2ABC9" w14:textId="77777777" w:rsidR="00E078C9" w:rsidRPr="00C1714D" w:rsidRDefault="00E078C9" w:rsidP="00E078C9">
      <w:pPr>
        <w:pStyle w:val="AttachmentHeading3"/>
        <w:spacing w:before="120" w:after="120"/>
      </w:pPr>
      <w:r w:rsidRPr="00C1714D">
        <w:t>Treatment of debt not expected to be repaid</w:t>
      </w:r>
    </w:p>
    <w:p w14:paraId="14450D4C" w14:textId="77777777" w:rsidR="00E078C9" w:rsidRPr="00D11131" w:rsidRDefault="00E078C9" w:rsidP="00E078C9">
      <w:pPr>
        <w:pStyle w:val="BodyText"/>
        <w:spacing w:before="80"/>
        <w:rPr>
          <w:lang w:val="en-US"/>
        </w:rPr>
      </w:pPr>
      <w:r w:rsidRPr="00D11131">
        <w:rPr>
          <w:lang w:val="en-US"/>
        </w:rPr>
        <w:t xml:space="preserve">All budget aggregates take into account estimates of the share of loans not expected to be repaid when calculating interest flows and </w:t>
      </w:r>
      <w:r w:rsidRPr="00D11131">
        <w:t xml:space="preserve">estimating the value of the concession that is being provided. None of the measures capture the direct impact on net worth of the loans not expected to be repaid. </w:t>
      </w:r>
      <w:r w:rsidRPr="00D11131">
        <w:rPr>
          <w:lang w:val="en-US"/>
        </w:rPr>
        <w:t>If a portion of loans are not expected to be repaid, estimates of the ‘fair value’ of the loans outstanding will be reduced. Such reductions, both when loans are issued and if loans are subsequently re-valued, are</w:t>
      </w:r>
      <w:r>
        <w:rPr>
          <w:lang w:val="en-US"/>
        </w:rPr>
        <w:t xml:space="preserve"> recorded in the budget under ‘o</w:t>
      </w:r>
      <w:r w:rsidRPr="00D11131">
        <w:rPr>
          <w:lang w:val="en-US"/>
        </w:rPr>
        <w:t>ther economic flows’ which are reflected in net worth but not in the budget aggregates.</w:t>
      </w:r>
    </w:p>
    <w:p w14:paraId="381BD6D4" w14:textId="77777777" w:rsidR="00E078C9" w:rsidRPr="00C1714D" w:rsidRDefault="00E078C9" w:rsidP="00E078C9">
      <w:pPr>
        <w:pStyle w:val="BodyText"/>
        <w:spacing w:before="0" w:after="0" w:line="240" w:lineRule="auto"/>
        <w:rPr>
          <w:sz w:val="2"/>
          <w:szCs w:val="2"/>
        </w:rPr>
      </w:pPr>
      <w:r>
        <w:rPr>
          <w:sz w:val="2"/>
          <w:szCs w:val="2"/>
        </w:rPr>
        <w:t>*</w:t>
      </w:r>
    </w:p>
    <w:p w14:paraId="1F0D6207" w14:textId="77777777" w:rsidR="00E078C9" w:rsidRPr="00B70C96" w:rsidRDefault="00E078C9" w:rsidP="00E078C9">
      <w:pPr>
        <w:pStyle w:val="Caption"/>
        <w:spacing w:before="0" w:after="70"/>
      </w:pPr>
      <w:r w:rsidRPr="00B70C96">
        <w:t xml:space="preserve">Table </w:t>
      </w:r>
      <w:r>
        <w:t>B</w:t>
      </w:r>
      <w:r w:rsidRPr="00B70C96">
        <w:t>1: Components of concessional loan financial impacts in costing proposals</w:t>
      </w:r>
    </w:p>
    <w:tbl>
      <w:tblPr>
        <w:tblStyle w:val="TableGrid1"/>
        <w:tblW w:w="9771" w:type="dxa"/>
        <w:tblInd w:w="10" w:type="dxa"/>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Layout w:type="fixed"/>
        <w:tblLook w:val="04A0" w:firstRow="1" w:lastRow="0" w:firstColumn="1" w:lastColumn="0" w:noHBand="0" w:noVBand="1"/>
      </w:tblPr>
      <w:tblGrid>
        <w:gridCol w:w="1550"/>
        <w:gridCol w:w="992"/>
        <w:gridCol w:w="7229"/>
      </w:tblGrid>
      <w:tr w:rsidR="00E078C9" w:rsidRPr="00D11131" w14:paraId="34D346F4" w14:textId="77777777" w:rsidTr="001C37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0" w:type="dxa"/>
            <w:shd w:val="clear" w:color="auto" w:fill="D3D8E9" w:themeFill="background2" w:themeFillTint="33"/>
          </w:tcPr>
          <w:p w14:paraId="5F76664E" w14:textId="77777777" w:rsidR="00E078C9" w:rsidRPr="00D11131" w:rsidRDefault="00E078C9" w:rsidP="001C3710">
            <w:pPr>
              <w:keepNext/>
              <w:keepLines/>
              <w:spacing w:after="70"/>
              <w:ind w:left="57" w:right="57"/>
              <w:rPr>
                <w:rFonts w:ascii="Calibri" w:hAnsi="Calibri"/>
                <w:b/>
                <w:color w:val="auto"/>
                <w:lang w:val="en-US"/>
              </w:rPr>
            </w:pPr>
            <w:r w:rsidRPr="00D11131">
              <w:rPr>
                <w:rFonts w:ascii="Calibri" w:hAnsi="Calibri"/>
                <w:b/>
                <w:color w:val="auto"/>
                <w:lang w:val="en-US"/>
              </w:rPr>
              <w:t>Budget item</w:t>
            </w:r>
          </w:p>
        </w:tc>
        <w:tc>
          <w:tcPr>
            <w:tcW w:w="992" w:type="dxa"/>
            <w:shd w:val="clear" w:color="auto" w:fill="D3D8E9" w:themeFill="background2" w:themeFillTint="33"/>
          </w:tcPr>
          <w:p w14:paraId="5C3FAE47" w14:textId="77777777" w:rsidR="00E078C9" w:rsidRPr="00D11131" w:rsidRDefault="00E078C9" w:rsidP="001C3710">
            <w:pPr>
              <w:keepNext/>
              <w:keepLines/>
              <w:spacing w:after="70"/>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D11131">
              <w:rPr>
                <w:rFonts w:ascii="Calibri" w:hAnsi="Calibri"/>
                <w:b/>
                <w:color w:val="auto"/>
                <w:lang w:val="en-US"/>
              </w:rPr>
              <w:t>Appears in</w:t>
            </w:r>
          </w:p>
        </w:tc>
        <w:tc>
          <w:tcPr>
            <w:tcW w:w="7229" w:type="dxa"/>
            <w:shd w:val="clear" w:color="auto" w:fill="D3D8E9" w:themeFill="background2" w:themeFillTint="33"/>
          </w:tcPr>
          <w:p w14:paraId="120DC1DF" w14:textId="77777777" w:rsidR="00E078C9" w:rsidRPr="00D11131" w:rsidRDefault="00E078C9" w:rsidP="001C3710">
            <w:pPr>
              <w:keepNext/>
              <w:keepLines/>
              <w:spacing w:after="70"/>
              <w:ind w:left="57" w:right="57"/>
              <w:jc w:val="left"/>
              <w:cnfStyle w:val="100000000000" w:firstRow="1" w:lastRow="0" w:firstColumn="0" w:lastColumn="0" w:oddVBand="0" w:evenVBand="0" w:oddHBand="0" w:evenHBand="0" w:firstRowFirstColumn="0" w:firstRowLastColumn="0" w:lastRowFirstColumn="0" w:lastRowLastColumn="0"/>
              <w:rPr>
                <w:rFonts w:ascii="Calibri" w:hAnsi="Calibri"/>
                <w:b/>
                <w:color w:val="auto"/>
                <w:lang w:val="en-US"/>
              </w:rPr>
            </w:pPr>
            <w:r w:rsidRPr="00D11131">
              <w:rPr>
                <w:rFonts w:ascii="Calibri" w:hAnsi="Calibri"/>
                <w:b/>
                <w:color w:val="auto"/>
                <w:lang w:val="en-US"/>
              </w:rPr>
              <w:t>Comments</w:t>
            </w:r>
          </w:p>
        </w:tc>
      </w:tr>
      <w:tr w:rsidR="00E078C9" w:rsidRPr="00D11131" w14:paraId="19F7E248" w14:textId="77777777" w:rsidTr="001C3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bottom w:val="single" w:sz="4" w:space="0" w:color="auto"/>
            </w:tcBorders>
            <w:shd w:val="clear" w:color="auto" w:fill="auto"/>
            <w:vAlign w:val="top"/>
          </w:tcPr>
          <w:p w14:paraId="2855C84C" w14:textId="77777777" w:rsidR="00E078C9" w:rsidRPr="004939A9" w:rsidRDefault="00E078C9" w:rsidP="001C3710">
            <w:pPr>
              <w:spacing w:after="70" w:line="240" w:lineRule="auto"/>
              <w:ind w:left="57" w:right="57"/>
              <w:rPr>
                <w:rFonts w:ascii="Calibri" w:hAnsi="Calibri"/>
                <w:sz w:val="18"/>
                <w:szCs w:val="20"/>
                <w:lang w:val="en-US"/>
              </w:rPr>
            </w:pPr>
            <w:r w:rsidRPr="004939A9">
              <w:rPr>
                <w:rFonts w:ascii="Calibri" w:hAnsi="Calibri"/>
                <w:sz w:val="18"/>
                <w:szCs w:val="20"/>
                <w:lang w:val="en-US"/>
              </w:rPr>
              <w:t>Interest accrued or received</w:t>
            </w:r>
          </w:p>
        </w:tc>
        <w:tc>
          <w:tcPr>
            <w:tcW w:w="992" w:type="dxa"/>
            <w:tcBorders>
              <w:bottom w:val="single" w:sz="4" w:space="0" w:color="auto"/>
            </w:tcBorders>
            <w:shd w:val="clear" w:color="auto" w:fill="auto"/>
            <w:vAlign w:val="top"/>
          </w:tcPr>
          <w:p w14:paraId="7DF1D449"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All budget aggregates</w:t>
            </w:r>
          </w:p>
        </w:tc>
        <w:tc>
          <w:tcPr>
            <w:tcW w:w="7229" w:type="dxa"/>
            <w:tcBorders>
              <w:bottom w:val="single" w:sz="4" w:space="0" w:color="auto"/>
            </w:tcBorders>
            <w:shd w:val="clear" w:color="auto" w:fill="auto"/>
            <w:vAlign w:val="top"/>
          </w:tcPr>
          <w:p w14:paraId="4169FC11"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lang w:val="en-US"/>
              </w:rPr>
            </w:pPr>
            <w:r w:rsidRPr="004939A9">
              <w:rPr>
                <w:rFonts w:ascii="Calibri" w:hAnsi="Calibri"/>
                <w:sz w:val="18"/>
                <w:szCs w:val="20"/>
              </w:rPr>
              <w:t>Captures the interest accrued or expected to be received on the fair value of the debt. (The budget cannot include interest income on a debt that is not expected to be repaid.)</w:t>
            </w:r>
            <w:r w:rsidRPr="004939A9">
              <w:rPr>
                <w:rFonts w:ascii="Calibri" w:hAnsi="Calibri"/>
                <w:sz w:val="18"/>
                <w:szCs w:val="20"/>
                <w:lang w:val="en-US"/>
              </w:rPr>
              <w:t xml:space="preserve">  </w:t>
            </w:r>
          </w:p>
        </w:tc>
      </w:tr>
      <w:tr w:rsidR="00E078C9" w:rsidRPr="00D11131" w14:paraId="48AFD4A0" w14:textId="77777777" w:rsidTr="001C3710">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nil"/>
              <w:bottom w:val="single" w:sz="4" w:space="0" w:color="auto"/>
              <w:right w:val="nil"/>
            </w:tcBorders>
            <w:shd w:val="clear" w:color="auto" w:fill="auto"/>
            <w:vAlign w:val="top"/>
          </w:tcPr>
          <w:p w14:paraId="55B0B048" w14:textId="77777777" w:rsidR="00E078C9" w:rsidRPr="004939A9" w:rsidRDefault="00E078C9" w:rsidP="001C3710">
            <w:pPr>
              <w:spacing w:after="70" w:line="240" w:lineRule="auto"/>
              <w:ind w:left="57" w:right="57"/>
              <w:rPr>
                <w:rFonts w:ascii="Calibri" w:hAnsi="Calibri"/>
                <w:sz w:val="18"/>
                <w:szCs w:val="20"/>
                <w:lang w:val="en-US"/>
              </w:rPr>
            </w:pPr>
            <w:r w:rsidRPr="004939A9">
              <w:rPr>
                <w:rFonts w:ascii="Calibri" w:hAnsi="Calibri"/>
                <w:sz w:val="18"/>
                <w:szCs w:val="20"/>
                <w:lang w:val="en-US"/>
              </w:rPr>
              <w:t>Concessional loan discount expense and unwinding revenue</w:t>
            </w:r>
          </w:p>
        </w:tc>
        <w:tc>
          <w:tcPr>
            <w:tcW w:w="992" w:type="dxa"/>
            <w:tcBorders>
              <w:top w:val="single" w:sz="4" w:space="0" w:color="auto"/>
              <w:left w:val="nil"/>
              <w:bottom w:val="single" w:sz="4" w:space="0" w:color="auto"/>
              <w:right w:val="nil"/>
            </w:tcBorders>
            <w:shd w:val="clear" w:color="auto" w:fill="auto"/>
            <w:vAlign w:val="top"/>
          </w:tcPr>
          <w:p w14:paraId="7667A8F9" w14:textId="77777777" w:rsidR="00E078C9" w:rsidRPr="004939A9" w:rsidRDefault="00E078C9" w:rsidP="001C3710">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Fiscal balance</w:t>
            </w:r>
          </w:p>
        </w:tc>
        <w:tc>
          <w:tcPr>
            <w:tcW w:w="7229" w:type="dxa"/>
            <w:tcBorders>
              <w:top w:val="single" w:sz="4" w:space="0" w:color="auto"/>
              <w:left w:val="nil"/>
              <w:bottom w:val="single" w:sz="4" w:space="0" w:color="auto"/>
              <w:right w:val="nil"/>
            </w:tcBorders>
            <w:shd w:val="clear" w:color="auto" w:fill="auto"/>
            <w:vAlign w:val="top"/>
          </w:tcPr>
          <w:p w14:paraId="01CA4B1A" w14:textId="77777777" w:rsidR="00E078C9" w:rsidRPr="004939A9" w:rsidRDefault="00E078C9" w:rsidP="001C3710">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sz w:val="18"/>
                <w:szCs w:val="20"/>
              </w:rPr>
            </w:pPr>
            <w:r w:rsidRPr="004939A9">
              <w:rPr>
                <w:rFonts w:ascii="Calibri" w:hAnsi="Calibri"/>
                <w:sz w:val="18"/>
                <w:szCs w:val="20"/>
              </w:rPr>
              <w:t xml:space="preserve">The net present value of the concession (based on the difference between the market and concessional interest rates) is captured as an expense in the fiscal balance. As loans are repaid, the remaining value of the concession reduces, so this expense is ‘unwound’ with a positive impact on the fiscal balance. The concessional discount and its unwinding are not recognised in cash balances as there is no cash inflow or outflow.  </w:t>
            </w:r>
          </w:p>
        </w:tc>
      </w:tr>
      <w:tr w:rsidR="00E078C9" w:rsidRPr="00D11131" w14:paraId="660F82A4" w14:textId="77777777" w:rsidTr="001C3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bottom w:val="single" w:sz="4" w:space="0" w:color="auto"/>
            </w:tcBorders>
            <w:shd w:val="clear" w:color="auto" w:fill="auto"/>
            <w:vAlign w:val="top"/>
          </w:tcPr>
          <w:p w14:paraId="1C7CD01A" w14:textId="77777777" w:rsidR="00E078C9" w:rsidRPr="004939A9" w:rsidRDefault="00E078C9" w:rsidP="001C3710">
            <w:pPr>
              <w:spacing w:after="70" w:line="240" w:lineRule="auto"/>
              <w:ind w:left="57" w:right="57"/>
              <w:rPr>
                <w:rFonts w:ascii="Calibri" w:hAnsi="Calibri"/>
                <w:sz w:val="18"/>
                <w:szCs w:val="20"/>
                <w:lang w:val="en-US"/>
              </w:rPr>
            </w:pPr>
            <w:r w:rsidRPr="004939A9">
              <w:rPr>
                <w:rFonts w:ascii="Calibri" w:hAnsi="Calibri"/>
                <w:sz w:val="18"/>
                <w:szCs w:val="20"/>
                <w:lang w:val="en-US"/>
              </w:rPr>
              <w:t>Write-offs</w:t>
            </w:r>
          </w:p>
        </w:tc>
        <w:tc>
          <w:tcPr>
            <w:tcW w:w="992" w:type="dxa"/>
            <w:tcBorders>
              <w:top w:val="single" w:sz="4" w:space="0" w:color="auto"/>
              <w:bottom w:val="single" w:sz="4" w:space="0" w:color="auto"/>
            </w:tcBorders>
            <w:shd w:val="clear" w:color="auto" w:fill="auto"/>
            <w:vAlign w:val="top"/>
          </w:tcPr>
          <w:p w14:paraId="7B4834FB"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Fiscal balance</w:t>
            </w:r>
          </w:p>
        </w:tc>
        <w:tc>
          <w:tcPr>
            <w:tcW w:w="7229" w:type="dxa"/>
            <w:tcBorders>
              <w:top w:val="single" w:sz="4" w:space="0" w:color="auto"/>
              <w:bottom w:val="single" w:sz="4" w:space="0" w:color="auto"/>
            </w:tcBorders>
            <w:shd w:val="clear" w:color="auto" w:fill="auto"/>
            <w:vAlign w:val="top"/>
          </w:tcPr>
          <w:p w14:paraId="1C258296"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Debt forgiveness, also known as mutually agreed write-downs (</w:t>
            </w:r>
            <w:r w:rsidRPr="004939A9">
              <w:rPr>
                <w:rFonts w:ascii="Calibri" w:hAnsi="Calibri"/>
                <w:sz w:val="18"/>
                <w:szCs w:val="20"/>
              </w:rPr>
              <w:t>for example in the case of the death of the borrower of a HELP loan) are expensed when they occur, reducing the fiscal balance. These transactions do not affect the cash balances as no cash flows occur.</w:t>
            </w:r>
          </w:p>
        </w:tc>
      </w:tr>
      <w:tr w:rsidR="00E078C9" w:rsidRPr="00D11131" w14:paraId="186B5767" w14:textId="77777777" w:rsidTr="001C3710">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left w:val="nil"/>
              <w:bottom w:val="single" w:sz="4" w:space="0" w:color="auto"/>
              <w:right w:val="nil"/>
            </w:tcBorders>
            <w:shd w:val="clear" w:color="auto" w:fill="auto"/>
            <w:vAlign w:val="top"/>
          </w:tcPr>
          <w:p w14:paraId="7C13B8B9" w14:textId="77777777" w:rsidR="00E078C9" w:rsidRPr="004939A9" w:rsidRDefault="00E078C9" w:rsidP="001C3710">
            <w:pPr>
              <w:spacing w:after="70" w:line="240" w:lineRule="auto"/>
              <w:ind w:left="57" w:right="57"/>
              <w:rPr>
                <w:rFonts w:ascii="Calibri" w:hAnsi="Calibri"/>
                <w:sz w:val="18"/>
                <w:szCs w:val="20"/>
                <w:lang w:val="en-US"/>
              </w:rPr>
            </w:pPr>
            <w:r w:rsidRPr="004939A9">
              <w:rPr>
                <w:rFonts w:ascii="Calibri" w:hAnsi="Calibri"/>
                <w:sz w:val="18"/>
                <w:szCs w:val="20"/>
                <w:lang w:val="en-US"/>
              </w:rPr>
              <w:t>Initial loan; principal repayments</w:t>
            </w:r>
          </w:p>
        </w:tc>
        <w:tc>
          <w:tcPr>
            <w:tcW w:w="992" w:type="dxa"/>
            <w:tcBorders>
              <w:top w:val="single" w:sz="4" w:space="0" w:color="auto"/>
              <w:left w:val="nil"/>
              <w:bottom w:val="single" w:sz="4" w:space="0" w:color="auto"/>
              <w:right w:val="nil"/>
            </w:tcBorders>
            <w:shd w:val="clear" w:color="auto" w:fill="auto"/>
            <w:vAlign w:val="top"/>
          </w:tcPr>
          <w:p w14:paraId="1BA287AC" w14:textId="77777777" w:rsidR="00E078C9" w:rsidRPr="004939A9" w:rsidRDefault="00E078C9" w:rsidP="001C3710">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Headline cash balance</w:t>
            </w:r>
          </w:p>
        </w:tc>
        <w:tc>
          <w:tcPr>
            <w:tcW w:w="7229" w:type="dxa"/>
            <w:tcBorders>
              <w:top w:val="single" w:sz="4" w:space="0" w:color="auto"/>
              <w:left w:val="nil"/>
              <w:bottom w:val="single" w:sz="4" w:space="0" w:color="auto"/>
              <w:right w:val="nil"/>
            </w:tcBorders>
            <w:shd w:val="clear" w:color="auto" w:fill="auto"/>
            <w:vAlign w:val="top"/>
          </w:tcPr>
          <w:p w14:paraId="453B8BB4" w14:textId="77777777" w:rsidR="00E078C9" w:rsidRPr="004939A9" w:rsidRDefault="00E078C9" w:rsidP="001C3710">
            <w:pPr>
              <w:spacing w:after="70" w:line="240" w:lineRule="auto"/>
              <w:ind w:left="57" w:right="57"/>
              <w:cnfStyle w:val="000000000000" w:firstRow="0" w:lastRow="0" w:firstColumn="0" w:lastColumn="0" w:oddVBand="0" w:evenVBand="0" w:oddHBand="0" w:evenHBand="0" w:firstRowFirstColumn="0" w:firstRowLastColumn="0" w:lastRowFirstColumn="0" w:lastRowLastColumn="0"/>
              <w:rPr>
                <w:rFonts w:ascii="Calibri" w:hAnsi="Calibri"/>
                <w:sz w:val="18"/>
                <w:szCs w:val="20"/>
                <w:lang w:val="en-US"/>
              </w:rPr>
            </w:pPr>
            <w:r w:rsidRPr="004939A9">
              <w:rPr>
                <w:rFonts w:ascii="Calibri" w:hAnsi="Calibri"/>
                <w:sz w:val="18"/>
                <w:szCs w:val="20"/>
              </w:rPr>
              <w:t xml:space="preserve">Higher estimates of loans not expected to be repaid lowers principal repayments. These transactions are not included in the fiscal balance or underlying cash balance as they involve the exchange of one financial asset (loan) for another (cash).  </w:t>
            </w:r>
          </w:p>
        </w:tc>
      </w:tr>
      <w:tr w:rsidR="00E078C9" w:rsidRPr="0076160F" w14:paraId="74423A66" w14:textId="77777777" w:rsidTr="001C3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Borders>
              <w:top w:val="single" w:sz="4" w:space="0" w:color="auto"/>
              <w:bottom w:val="single" w:sz="4" w:space="0" w:color="auto"/>
            </w:tcBorders>
            <w:shd w:val="clear" w:color="auto" w:fill="auto"/>
            <w:vAlign w:val="top"/>
          </w:tcPr>
          <w:p w14:paraId="6904CA2E" w14:textId="77777777" w:rsidR="00E078C9" w:rsidRPr="004939A9" w:rsidRDefault="00E078C9" w:rsidP="001C3710">
            <w:pPr>
              <w:spacing w:after="70" w:line="240" w:lineRule="auto"/>
              <w:ind w:left="57" w:right="57"/>
              <w:rPr>
                <w:rFonts w:ascii="Calibri" w:hAnsi="Calibri"/>
                <w:sz w:val="18"/>
                <w:szCs w:val="20"/>
                <w:lang w:val="en-US"/>
              </w:rPr>
            </w:pPr>
            <w:r w:rsidRPr="004939A9">
              <w:rPr>
                <w:rFonts w:ascii="Calibri" w:hAnsi="Calibri"/>
                <w:sz w:val="18"/>
                <w:szCs w:val="20"/>
                <w:lang w:val="en-US"/>
              </w:rPr>
              <w:t>Public debt interest (PDI)</w:t>
            </w:r>
          </w:p>
        </w:tc>
        <w:tc>
          <w:tcPr>
            <w:tcW w:w="992" w:type="dxa"/>
            <w:tcBorders>
              <w:top w:val="single" w:sz="4" w:space="0" w:color="auto"/>
              <w:bottom w:val="single" w:sz="4" w:space="0" w:color="auto"/>
            </w:tcBorders>
            <w:shd w:val="clear" w:color="auto" w:fill="auto"/>
            <w:vAlign w:val="top"/>
          </w:tcPr>
          <w:p w14:paraId="77CD36A7"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lang w:val="en-US"/>
              </w:rPr>
            </w:pPr>
            <w:r w:rsidRPr="004939A9">
              <w:rPr>
                <w:rFonts w:ascii="Calibri" w:hAnsi="Calibri"/>
                <w:sz w:val="18"/>
                <w:szCs w:val="20"/>
                <w:lang w:val="en-US"/>
              </w:rPr>
              <w:t>All budget aggregates</w:t>
            </w:r>
          </w:p>
        </w:tc>
        <w:tc>
          <w:tcPr>
            <w:tcW w:w="7229" w:type="dxa"/>
            <w:tcBorders>
              <w:top w:val="single" w:sz="4" w:space="0" w:color="auto"/>
              <w:bottom w:val="single" w:sz="4" w:space="0" w:color="auto"/>
            </w:tcBorders>
            <w:shd w:val="clear" w:color="auto" w:fill="auto"/>
            <w:vAlign w:val="top"/>
          </w:tcPr>
          <w:p w14:paraId="16B68CBF" w14:textId="77777777" w:rsidR="00E078C9" w:rsidRPr="004939A9" w:rsidRDefault="00E078C9" w:rsidP="001C3710">
            <w:pPr>
              <w:spacing w:after="70" w:line="240" w:lineRule="auto"/>
              <w:ind w:left="57" w:right="57"/>
              <w:cnfStyle w:val="000000100000" w:firstRow="0" w:lastRow="0" w:firstColumn="0" w:lastColumn="0" w:oddVBand="0" w:evenVBand="0" w:oddHBand="1" w:evenHBand="0" w:firstRowFirstColumn="0" w:firstRowLastColumn="0" w:lastRowFirstColumn="0" w:lastRowLastColumn="0"/>
              <w:rPr>
                <w:rFonts w:ascii="Calibri" w:hAnsi="Calibri"/>
                <w:sz w:val="18"/>
                <w:szCs w:val="20"/>
              </w:rPr>
            </w:pPr>
            <w:r w:rsidRPr="004939A9">
              <w:rPr>
                <w:rFonts w:ascii="Calibri" w:hAnsi="Calibri"/>
                <w:sz w:val="18"/>
                <w:szCs w:val="20"/>
              </w:rPr>
              <w:t>The PDI impact is the cost of the change in the government’s borrowing requirements to fund the loans. The net headline cash balance impact excluding PDI is used</w:t>
            </w:r>
            <w:r w:rsidRPr="004939A9" w:rsidDel="00727D7F">
              <w:rPr>
                <w:rFonts w:ascii="Calibri" w:hAnsi="Calibri"/>
                <w:sz w:val="18"/>
                <w:szCs w:val="20"/>
              </w:rPr>
              <w:t xml:space="preserve"> </w:t>
            </w:r>
            <w:r w:rsidRPr="004939A9">
              <w:rPr>
                <w:rFonts w:ascii="Calibri" w:hAnsi="Calibri"/>
                <w:sz w:val="18"/>
                <w:szCs w:val="20"/>
              </w:rPr>
              <w:t xml:space="preserve">to estimate the proposal’s impact on PDI payments.  </w:t>
            </w:r>
          </w:p>
        </w:tc>
      </w:tr>
    </w:tbl>
    <w:p w14:paraId="0CACC9AA" w14:textId="77777777" w:rsidR="00E078C9" w:rsidRDefault="00E078C9" w:rsidP="00ED4DC9">
      <w:pPr>
        <w:sectPr w:rsidR="00E078C9" w:rsidSect="00F126F8">
          <w:pgSz w:w="11907" w:h="16839" w:code="9"/>
          <w:pgMar w:top="907" w:right="992" w:bottom="1134" w:left="992" w:header="284" w:footer="454" w:gutter="0"/>
          <w:cols w:space="708"/>
          <w:formProt w:val="0"/>
          <w:docGrid w:linePitch="360"/>
        </w:sectPr>
      </w:pPr>
    </w:p>
    <w:p w14:paraId="583A1606" w14:textId="2615BE88" w:rsidR="00C03F78" w:rsidRDefault="00C03F78" w:rsidP="00C03F78">
      <w:pPr>
        <w:pStyle w:val="Heading8"/>
        <w:spacing w:before="240" w:after="120"/>
      </w:pPr>
      <w:r>
        <w:rPr>
          <w:noProof/>
        </w:rPr>
        <w:lastRenderedPageBreak/>
        <w:t>Suburb Zero Pilot in the ACT</w:t>
      </w:r>
      <w:r>
        <w:t xml:space="preserve"> – additional information</w:t>
      </w:r>
    </w:p>
    <w:p w14:paraId="4BDD1E8C" w14:textId="444C064B" w:rsidR="00581864" w:rsidRPr="00FB2C80" w:rsidRDefault="00854C98" w:rsidP="00854C98">
      <w:pPr>
        <w:pStyle w:val="Caption"/>
        <w:jc w:val="center"/>
        <w:rPr>
          <w:vertAlign w:val="superscript"/>
        </w:rPr>
      </w:pPr>
      <w:r>
        <w:t>Figure C</w:t>
      </w:r>
      <w:r w:rsidR="009B2996" w:rsidRPr="009B2996">
        <w:rPr>
          <w:bCs/>
          <w:iCs w:val="0"/>
        </w:rPr>
        <w:fldChar w:fldCharType="begin"/>
      </w:r>
      <w:r w:rsidR="009B2996" w:rsidRPr="009B2996">
        <w:rPr>
          <w:bCs/>
        </w:rPr>
        <w:instrText xml:space="preserve"> SEQ AppendixTable\s 8 </w:instrText>
      </w:r>
      <w:r w:rsidR="009B2996" w:rsidRPr="009B2996">
        <w:rPr>
          <w:bCs/>
          <w:iCs w:val="0"/>
        </w:rPr>
        <w:fldChar w:fldCharType="separate"/>
      </w:r>
      <w:r w:rsidR="00C253FF">
        <w:rPr>
          <w:bCs/>
          <w:noProof/>
        </w:rPr>
        <w:t>1</w:t>
      </w:r>
      <w:r w:rsidR="009B2996" w:rsidRPr="009B2996">
        <w:rPr>
          <w:bCs/>
          <w:iCs w:val="0"/>
        </w:rPr>
        <w:fldChar w:fldCharType="end"/>
      </w:r>
      <w:r>
        <w:t xml:space="preserve">: </w:t>
      </w:r>
      <w:r w:rsidR="001C2CAA">
        <w:t xml:space="preserve">Total </w:t>
      </w:r>
      <w:r w:rsidR="00B656D3">
        <w:t xml:space="preserve">yearly energy cost </w:t>
      </w:r>
      <w:r>
        <w:t>saving</w:t>
      </w:r>
      <w:r w:rsidR="00E95610">
        <w:t>s</w:t>
      </w:r>
      <w:r w:rsidR="00FB2C80">
        <w:t xml:space="preserve"> from electrification</w:t>
      </w:r>
      <w:r w:rsidR="007B184F">
        <w:t xml:space="preserve"> for a</w:t>
      </w:r>
      <w:r w:rsidR="00880E55">
        <w:t>n average</w:t>
      </w:r>
      <w:r w:rsidR="007B184F">
        <w:t xml:space="preserve"> household </w:t>
      </w:r>
      <w:r w:rsidR="001C2CAA">
        <w:t>w</w:t>
      </w:r>
      <w:r w:rsidR="008A702F">
        <w:t>ith</w:t>
      </w:r>
      <w:r w:rsidR="007B184F">
        <w:t>in the suburb</w:t>
      </w:r>
      <w:r w:rsidR="00FB2C80">
        <w:t xml:space="preserve"> ($AUD/year)</w:t>
      </w:r>
      <w:r w:rsidR="00FB2C80">
        <w:rPr>
          <w:vertAlign w:val="superscript"/>
        </w:rPr>
        <w:t>(a)(b)(c)(d)</w:t>
      </w:r>
      <w:r w:rsidR="00CE732A">
        <w:rPr>
          <w:vertAlign w:val="superscript"/>
        </w:rPr>
        <w:t>(e)</w:t>
      </w:r>
    </w:p>
    <w:p w14:paraId="52EDA357" w14:textId="102F9276" w:rsidR="00F420A6" w:rsidRPr="00AC0188" w:rsidRDefault="005C75B0" w:rsidP="00AC0188">
      <w:pPr>
        <w:jc w:val="center"/>
        <w:rPr>
          <w:color w:val="3D4D7D" w:themeColor="background2"/>
          <w:szCs w:val="18"/>
          <w:lang w:val="en-US"/>
        </w:rPr>
      </w:pPr>
      <w:r w:rsidRPr="005C75B0">
        <w:rPr>
          <w:noProof/>
        </w:rPr>
        <w:drawing>
          <wp:inline distT="0" distB="0" distL="0" distR="0" wp14:anchorId="6E76552A" wp14:editId="025EF6D2">
            <wp:extent cx="48387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838700" cy="2876550"/>
                    </a:xfrm>
                    <a:prstGeom prst="rect">
                      <a:avLst/>
                    </a:prstGeom>
                    <a:noFill/>
                    <a:ln>
                      <a:noFill/>
                    </a:ln>
                  </pic:spPr>
                </pic:pic>
              </a:graphicData>
            </a:graphic>
          </wp:inline>
        </w:drawing>
      </w:r>
    </w:p>
    <w:p w14:paraId="01CB315F" w14:textId="430DEF7F" w:rsidR="00557CD6" w:rsidRPr="00FB2C80" w:rsidRDefault="00557CD6" w:rsidP="00557CD6">
      <w:pPr>
        <w:pStyle w:val="Caption"/>
        <w:jc w:val="center"/>
        <w:rPr>
          <w:vertAlign w:val="superscript"/>
        </w:rPr>
      </w:pPr>
      <w:r>
        <w:t>Figure C</w:t>
      </w:r>
      <w:r w:rsidR="009B2996" w:rsidRPr="009B2996">
        <w:rPr>
          <w:bCs/>
          <w:iCs w:val="0"/>
        </w:rPr>
        <w:fldChar w:fldCharType="begin"/>
      </w:r>
      <w:r w:rsidR="009B2996" w:rsidRPr="009B2996">
        <w:rPr>
          <w:bCs/>
        </w:rPr>
        <w:instrText xml:space="preserve"> SEQ AppendixTable\s 8 </w:instrText>
      </w:r>
      <w:r w:rsidR="009B2996" w:rsidRPr="009B2996">
        <w:rPr>
          <w:bCs/>
          <w:iCs w:val="0"/>
        </w:rPr>
        <w:fldChar w:fldCharType="separate"/>
      </w:r>
      <w:r w:rsidR="00C253FF">
        <w:rPr>
          <w:bCs/>
          <w:noProof/>
        </w:rPr>
        <w:t>2</w:t>
      </w:r>
      <w:r w:rsidR="009B2996" w:rsidRPr="009B2996">
        <w:rPr>
          <w:bCs/>
          <w:iCs w:val="0"/>
        </w:rPr>
        <w:fldChar w:fldCharType="end"/>
      </w:r>
      <w:r>
        <w:t xml:space="preserve">: </w:t>
      </w:r>
      <w:r w:rsidR="00ED0897">
        <w:t xml:space="preserve">Average </w:t>
      </w:r>
      <w:r w:rsidR="00865F8C">
        <w:t>yearly household energy</w:t>
      </w:r>
      <w:r w:rsidR="00283813">
        <w:t xml:space="preserve"> cost</w:t>
      </w:r>
      <w:r w:rsidR="00865F8C">
        <w:t>s</w:t>
      </w:r>
      <w:r w:rsidR="00283813">
        <w:t xml:space="preserve"> for</w:t>
      </w:r>
      <w:r w:rsidR="00E9549E">
        <w:t xml:space="preserve"> air</w:t>
      </w:r>
      <w:r w:rsidR="00283813">
        <w:t>-</w:t>
      </w:r>
      <w:r w:rsidR="00E9549E">
        <w:t>conditioning</w:t>
      </w:r>
      <w:r>
        <w:t xml:space="preserve"> ($AUD/year)</w:t>
      </w:r>
      <w:r>
        <w:rPr>
          <w:vertAlign w:val="superscript"/>
        </w:rPr>
        <w:t>(a)(c)(d)</w:t>
      </w:r>
    </w:p>
    <w:p w14:paraId="24176D22" w14:textId="64B92914" w:rsidR="00557CD6" w:rsidRPr="00AC0188" w:rsidRDefault="000E61EB" w:rsidP="00AC0188">
      <w:pPr>
        <w:jc w:val="center"/>
        <w:rPr>
          <w:color w:val="3D4D7D" w:themeColor="background2"/>
          <w:szCs w:val="18"/>
          <w:lang w:val="en-US"/>
        </w:rPr>
      </w:pPr>
      <w:r w:rsidRPr="000E61EB">
        <w:rPr>
          <w:noProof/>
        </w:rPr>
        <w:drawing>
          <wp:inline distT="0" distB="0" distL="0" distR="0" wp14:anchorId="3FD21901" wp14:editId="16CA79F4">
            <wp:extent cx="4529605" cy="2700000"/>
            <wp:effectExtent l="0" t="0" r="444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29605" cy="2700000"/>
                    </a:xfrm>
                    <a:prstGeom prst="rect">
                      <a:avLst/>
                    </a:prstGeom>
                    <a:noFill/>
                    <a:ln>
                      <a:noFill/>
                    </a:ln>
                  </pic:spPr>
                </pic:pic>
              </a:graphicData>
            </a:graphic>
          </wp:inline>
        </w:drawing>
      </w:r>
    </w:p>
    <w:p w14:paraId="2FCC6925" w14:textId="722345E5" w:rsidR="00283813" w:rsidRPr="00FB2C80" w:rsidRDefault="00283813" w:rsidP="00283813">
      <w:pPr>
        <w:pStyle w:val="Caption"/>
        <w:jc w:val="center"/>
        <w:rPr>
          <w:vertAlign w:val="superscript"/>
        </w:rPr>
      </w:pPr>
      <w:r>
        <w:lastRenderedPageBreak/>
        <w:t>Figure C</w:t>
      </w:r>
      <w:r w:rsidR="009B2996" w:rsidRPr="009B2996">
        <w:rPr>
          <w:bCs/>
          <w:iCs w:val="0"/>
        </w:rPr>
        <w:fldChar w:fldCharType="begin"/>
      </w:r>
      <w:r w:rsidR="009B2996" w:rsidRPr="009B2996">
        <w:rPr>
          <w:bCs/>
        </w:rPr>
        <w:instrText xml:space="preserve"> SEQ AppendixTable\s 8 </w:instrText>
      </w:r>
      <w:r w:rsidR="009B2996" w:rsidRPr="009B2996">
        <w:rPr>
          <w:bCs/>
          <w:iCs w:val="0"/>
        </w:rPr>
        <w:fldChar w:fldCharType="separate"/>
      </w:r>
      <w:r w:rsidR="00C253FF">
        <w:rPr>
          <w:bCs/>
          <w:noProof/>
        </w:rPr>
        <w:t>3</w:t>
      </w:r>
      <w:r w:rsidR="009B2996" w:rsidRPr="009B2996">
        <w:rPr>
          <w:bCs/>
          <w:iCs w:val="0"/>
        </w:rPr>
        <w:fldChar w:fldCharType="end"/>
      </w:r>
      <w:r>
        <w:t xml:space="preserve">: </w:t>
      </w:r>
      <w:r w:rsidR="00865F8C">
        <w:t xml:space="preserve">Average yearly household energy costs for </w:t>
      </w:r>
      <w:r>
        <w:t>hot water heating ($AUD/year)</w:t>
      </w:r>
      <w:r>
        <w:rPr>
          <w:vertAlign w:val="superscript"/>
        </w:rPr>
        <w:t>(a)(c)(d)</w:t>
      </w:r>
    </w:p>
    <w:p w14:paraId="0FCF51F0" w14:textId="4DF3292C" w:rsidR="00F420A6" w:rsidRPr="00AC0188" w:rsidRDefault="00831781" w:rsidP="00AC0188">
      <w:pPr>
        <w:jc w:val="center"/>
        <w:rPr>
          <w:color w:val="3D4D7D" w:themeColor="background2"/>
          <w:szCs w:val="18"/>
          <w:lang w:val="en-US"/>
        </w:rPr>
      </w:pPr>
      <w:r w:rsidRPr="00831781">
        <w:rPr>
          <w:noProof/>
        </w:rPr>
        <w:drawing>
          <wp:inline distT="0" distB="0" distL="0" distR="0" wp14:anchorId="5867A21E" wp14:editId="62C82E0A">
            <wp:extent cx="4538487" cy="2700000"/>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38487" cy="2700000"/>
                    </a:xfrm>
                    <a:prstGeom prst="rect">
                      <a:avLst/>
                    </a:prstGeom>
                    <a:noFill/>
                    <a:ln>
                      <a:noFill/>
                    </a:ln>
                  </pic:spPr>
                </pic:pic>
              </a:graphicData>
            </a:graphic>
          </wp:inline>
        </w:drawing>
      </w:r>
    </w:p>
    <w:p w14:paraId="0154DEC4" w14:textId="21230ED4" w:rsidR="00CE2B22" w:rsidRPr="00FB2C80" w:rsidRDefault="00CE2B22" w:rsidP="00CE2B22">
      <w:pPr>
        <w:pStyle w:val="Caption"/>
        <w:jc w:val="center"/>
        <w:rPr>
          <w:vertAlign w:val="superscript"/>
        </w:rPr>
      </w:pPr>
      <w:r>
        <w:t>Figure C</w:t>
      </w:r>
      <w:r w:rsidR="009B2996">
        <w:fldChar w:fldCharType="begin"/>
      </w:r>
      <w:r w:rsidR="009B2996" w:rsidRPr="00034F69">
        <w:instrText xml:space="preserve"> SEQ AppendixTable\s 8 </w:instrText>
      </w:r>
      <w:r w:rsidR="009B2996">
        <w:fldChar w:fldCharType="separate"/>
      </w:r>
      <w:r w:rsidR="00C253FF">
        <w:rPr>
          <w:noProof/>
        </w:rPr>
        <w:t>4</w:t>
      </w:r>
      <w:r w:rsidR="009B2996">
        <w:fldChar w:fldCharType="end"/>
      </w:r>
      <w:r>
        <w:t xml:space="preserve">: </w:t>
      </w:r>
      <w:r w:rsidR="00865F8C">
        <w:t xml:space="preserve">Average yearly household energy costs </w:t>
      </w:r>
      <w:r>
        <w:t>for cooktop ($AUD/year)</w:t>
      </w:r>
      <w:r>
        <w:rPr>
          <w:vertAlign w:val="superscript"/>
        </w:rPr>
        <w:t>(a)(c)(d)</w:t>
      </w:r>
    </w:p>
    <w:p w14:paraId="6382AF77" w14:textId="76B5D3DA" w:rsidR="00CE2B22" w:rsidRDefault="00013F4A" w:rsidP="00AC0188">
      <w:pPr>
        <w:jc w:val="center"/>
        <w:rPr>
          <w:color w:val="3D4D7D" w:themeColor="background2"/>
          <w:szCs w:val="18"/>
          <w:lang w:val="en-US"/>
        </w:rPr>
      </w:pPr>
      <w:r w:rsidRPr="00013F4A">
        <w:rPr>
          <w:noProof/>
        </w:rPr>
        <w:drawing>
          <wp:inline distT="0" distB="0" distL="0" distR="0" wp14:anchorId="4964B598" wp14:editId="242C6525">
            <wp:extent cx="4538487" cy="2700000"/>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38487" cy="2700000"/>
                    </a:xfrm>
                    <a:prstGeom prst="rect">
                      <a:avLst/>
                    </a:prstGeom>
                    <a:noFill/>
                    <a:ln>
                      <a:noFill/>
                    </a:ln>
                  </pic:spPr>
                </pic:pic>
              </a:graphicData>
            </a:graphic>
          </wp:inline>
        </w:drawing>
      </w:r>
    </w:p>
    <w:p w14:paraId="6540FC04" w14:textId="77777777" w:rsidR="00BD703B" w:rsidRPr="00AC0188" w:rsidRDefault="00BD703B" w:rsidP="00AC0188">
      <w:pPr>
        <w:jc w:val="center"/>
        <w:rPr>
          <w:color w:val="3D4D7D" w:themeColor="background2"/>
          <w:szCs w:val="18"/>
          <w:lang w:val="en-US"/>
        </w:rPr>
      </w:pPr>
    </w:p>
    <w:p w14:paraId="02399656" w14:textId="6BAB6CAD" w:rsidR="005A096A" w:rsidRPr="00FB2C80" w:rsidRDefault="005A096A" w:rsidP="005A096A">
      <w:pPr>
        <w:pStyle w:val="Caption"/>
        <w:jc w:val="center"/>
        <w:rPr>
          <w:vertAlign w:val="superscript"/>
        </w:rPr>
      </w:pPr>
      <w:r>
        <w:lastRenderedPageBreak/>
        <w:t>Figure C</w:t>
      </w:r>
      <w:r w:rsidR="009B2996">
        <w:fldChar w:fldCharType="begin"/>
      </w:r>
      <w:r w:rsidR="009B2996" w:rsidRPr="00034F69">
        <w:instrText xml:space="preserve"> SEQ AppendixTable\s 8 </w:instrText>
      </w:r>
      <w:r w:rsidR="009B2996">
        <w:fldChar w:fldCharType="separate"/>
      </w:r>
      <w:r w:rsidR="00C253FF">
        <w:rPr>
          <w:noProof/>
        </w:rPr>
        <w:t>5</w:t>
      </w:r>
      <w:r w:rsidR="009B2996">
        <w:fldChar w:fldCharType="end"/>
      </w:r>
      <w:r>
        <w:t xml:space="preserve">: </w:t>
      </w:r>
      <w:r w:rsidR="00865F8C">
        <w:t xml:space="preserve">Average yearly household energy costs for </w:t>
      </w:r>
      <w:r>
        <w:t>passen</w:t>
      </w:r>
      <w:r w:rsidR="00410A2E">
        <w:t>g</w:t>
      </w:r>
      <w:r w:rsidR="00087A58">
        <w:t>er vehicle</w:t>
      </w:r>
      <w:r>
        <w:t xml:space="preserve"> ($AUD/year)</w:t>
      </w:r>
      <w:r>
        <w:rPr>
          <w:vertAlign w:val="superscript"/>
        </w:rPr>
        <w:t>(a)(c)(d)</w:t>
      </w:r>
    </w:p>
    <w:p w14:paraId="60F9AD05" w14:textId="388D44D6" w:rsidR="00433028" w:rsidRPr="00961FC7" w:rsidRDefault="00B42FA3" w:rsidP="00961FC7">
      <w:pPr>
        <w:jc w:val="center"/>
        <w:rPr>
          <w:color w:val="3D4D7D" w:themeColor="background2"/>
          <w:szCs w:val="18"/>
          <w:lang w:val="en-US"/>
        </w:rPr>
      </w:pPr>
      <w:r w:rsidRPr="00B42FA3">
        <w:rPr>
          <w:noProof/>
        </w:rPr>
        <w:drawing>
          <wp:inline distT="0" distB="0" distL="0" distR="0" wp14:anchorId="7888A886" wp14:editId="0FDF729F">
            <wp:extent cx="4529605" cy="2700000"/>
            <wp:effectExtent l="0" t="0" r="444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29605" cy="2700000"/>
                    </a:xfrm>
                    <a:prstGeom prst="rect">
                      <a:avLst/>
                    </a:prstGeom>
                    <a:noFill/>
                    <a:ln>
                      <a:noFill/>
                    </a:ln>
                  </pic:spPr>
                </pic:pic>
              </a:graphicData>
            </a:graphic>
          </wp:inline>
        </w:drawing>
      </w:r>
    </w:p>
    <w:p w14:paraId="6089EC30" w14:textId="494370EE" w:rsidR="00AC40C5" w:rsidRDefault="007A6A85" w:rsidP="00403778">
      <w:pPr>
        <w:pStyle w:val="PRRfootnote2"/>
      </w:pPr>
      <w:r w:rsidRPr="00BD1E4A">
        <w:t>(a)</w:t>
      </w:r>
      <w:r w:rsidRPr="00BD1E4A">
        <w:tab/>
      </w:r>
      <w:r w:rsidR="00360026">
        <w:t>The above costs of energy use are based on prices for gas and electricity</w:t>
      </w:r>
      <w:r w:rsidR="00A56F42">
        <w:t>, as well as solar feed-in tariff</w:t>
      </w:r>
      <w:r w:rsidR="00360026">
        <w:t xml:space="preserve"> in the ACT as of August 2022</w:t>
      </w:r>
      <w:r w:rsidR="00A56F42">
        <w:t>.</w:t>
      </w:r>
      <w:r w:rsidR="00360026" w:rsidRPr="00360026">
        <w:t xml:space="preserve"> </w:t>
      </w:r>
    </w:p>
    <w:p w14:paraId="3CF971A6" w14:textId="0258A23A" w:rsidR="00337BE4" w:rsidRDefault="00C2454F" w:rsidP="004B7B55">
      <w:pPr>
        <w:pStyle w:val="PRRfootnote2"/>
      </w:pPr>
      <w:r>
        <w:t>(b)</w:t>
      </w:r>
      <w:r>
        <w:tab/>
      </w:r>
      <w:r w:rsidR="004B7B55">
        <w:t>The average saving in gas supply charge per year for a household in the ACT is $305.</w:t>
      </w:r>
    </w:p>
    <w:p w14:paraId="06952BF4" w14:textId="02022ACB" w:rsidR="00403778" w:rsidRDefault="004B7B55" w:rsidP="00403778">
      <w:pPr>
        <w:pStyle w:val="PRRfootnote2"/>
      </w:pPr>
      <w:r>
        <w:t>(c</w:t>
      </w:r>
      <w:r w:rsidR="000B2CBB">
        <w:t>)</w:t>
      </w:r>
      <w:r w:rsidR="007015E1">
        <w:tab/>
      </w:r>
      <w:r w:rsidR="00433028">
        <w:t>F</w:t>
      </w:r>
      <w:r w:rsidR="00986BC2">
        <w:t>or household</w:t>
      </w:r>
      <w:r w:rsidR="00A8692D">
        <w:t>s</w:t>
      </w:r>
      <w:r w:rsidR="00986BC2">
        <w:t xml:space="preserve"> that h</w:t>
      </w:r>
      <w:r w:rsidR="00B24451">
        <w:t>a</w:t>
      </w:r>
      <w:r w:rsidR="00A8692D">
        <w:t>ve</w:t>
      </w:r>
      <w:r w:rsidR="00986BC2">
        <w:t xml:space="preserve"> solar PV installed </w:t>
      </w:r>
      <w:r w:rsidR="003C6B81">
        <w:t>but do not have solar batter</w:t>
      </w:r>
      <w:r w:rsidR="0078582E">
        <w:t>ies</w:t>
      </w:r>
      <w:r w:rsidR="00433028">
        <w:t>, it has been assumed that they</w:t>
      </w:r>
      <w:r w:rsidR="007F0AC6">
        <w:t xml:space="preserve"> would still need to source part of their energy use from the electricity grid, especially </w:t>
      </w:r>
      <w:r w:rsidR="00F6433D">
        <w:t xml:space="preserve">electricity needed </w:t>
      </w:r>
      <w:r w:rsidR="007F0AC6">
        <w:t xml:space="preserve">for </w:t>
      </w:r>
      <w:r w:rsidR="001B487B">
        <w:t xml:space="preserve">air </w:t>
      </w:r>
      <w:r w:rsidR="007F0AC6">
        <w:t>conditioning</w:t>
      </w:r>
      <w:r w:rsidR="00F5303F">
        <w:t>, hot water heating</w:t>
      </w:r>
      <w:r w:rsidR="001B487B">
        <w:t xml:space="preserve">, </w:t>
      </w:r>
      <w:r w:rsidR="00F5303F">
        <w:t>cooking</w:t>
      </w:r>
      <w:r w:rsidR="001B487B">
        <w:t xml:space="preserve"> and EV charging</w:t>
      </w:r>
      <w:r w:rsidR="00F5303F">
        <w:t xml:space="preserve">, </w:t>
      </w:r>
      <w:r w:rsidR="001B487B">
        <w:t>because</w:t>
      </w:r>
      <w:r w:rsidR="00E50CDA">
        <w:t xml:space="preserve"> these appliances are most likely to be used </w:t>
      </w:r>
      <w:r w:rsidR="001B487B">
        <w:t>during</w:t>
      </w:r>
      <w:r w:rsidR="00E50CDA">
        <w:t xml:space="preserve"> </w:t>
      </w:r>
      <w:r w:rsidR="001B487B">
        <w:t xml:space="preserve">times </w:t>
      </w:r>
      <w:r w:rsidR="00E50CDA">
        <w:t>when there is limited solar energy availa</w:t>
      </w:r>
      <w:r w:rsidR="001B487B">
        <w:t xml:space="preserve">ble. </w:t>
      </w:r>
      <w:r w:rsidR="00927C34">
        <w:t xml:space="preserve">These </w:t>
      </w:r>
      <w:r w:rsidR="00BA34CC">
        <w:t xml:space="preserve">calculations incorporate the opportunity cost of foregone revenue </w:t>
      </w:r>
      <w:r w:rsidR="002A3A5E">
        <w:t xml:space="preserve">from the </w:t>
      </w:r>
      <w:r w:rsidR="00BA34CC">
        <w:t xml:space="preserve">solar feed-in tariff </w:t>
      </w:r>
      <w:r w:rsidR="002A3A5E">
        <w:t xml:space="preserve">as these </w:t>
      </w:r>
      <w:r w:rsidR="00927C34">
        <w:t xml:space="preserve">households </w:t>
      </w:r>
      <w:r w:rsidR="00893995">
        <w:t xml:space="preserve">would </w:t>
      </w:r>
      <w:r w:rsidR="002A3A5E">
        <w:t xml:space="preserve">consume more electricity </w:t>
      </w:r>
      <w:r w:rsidR="00A37B7C">
        <w:t>when gas appliances are replaced.</w:t>
      </w:r>
    </w:p>
    <w:p w14:paraId="0DB0D691" w14:textId="38F98EB8" w:rsidR="00DF1FD2" w:rsidRDefault="00A64DEF" w:rsidP="00403778">
      <w:pPr>
        <w:pStyle w:val="PRRfootnote2"/>
      </w:pPr>
      <w:r>
        <w:t>(</w:t>
      </w:r>
      <w:r w:rsidR="004B7B55">
        <w:t>d</w:t>
      </w:r>
      <w:r>
        <w:t>)</w:t>
      </w:r>
      <w:r>
        <w:tab/>
      </w:r>
      <w:r w:rsidR="00433028">
        <w:t>F</w:t>
      </w:r>
      <w:r w:rsidR="00F6433D">
        <w:t>or households that have both solar PV and battery installed</w:t>
      </w:r>
      <w:r w:rsidR="00A37B7C">
        <w:t xml:space="preserve">, </w:t>
      </w:r>
      <w:r w:rsidR="00433028">
        <w:t xml:space="preserve">it has been assumed </w:t>
      </w:r>
      <w:r w:rsidR="00A37B7C">
        <w:t xml:space="preserve">that </w:t>
      </w:r>
      <w:r w:rsidR="009A5047">
        <w:t xml:space="preserve">5% of </w:t>
      </w:r>
      <w:r w:rsidR="00433028">
        <w:t>their household</w:t>
      </w:r>
      <w:r w:rsidR="003A2332">
        <w:t xml:space="preserve"> </w:t>
      </w:r>
      <w:r w:rsidR="009A5047">
        <w:t>energy requirement</w:t>
      </w:r>
      <w:r w:rsidR="00750D61">
        <w:t>s</w:t>
      </w:r>
      <w:r w:rsidR="009A5047">
        <w:t xml:space="preserve"> </w:t>
      </w:r>
      <w:r w:rsidR="003A2332">
        <w:t xml:space="preserve">would be sourced </w:t>
      </w:r>
      <w:r w:rsidR="009A5047">
        <w:t>from the electricity grid.</w:t>
      </w:r>
    </w:p>
    <w:p w14:paraId="1BD0E42F" w14:textId="3F56A6B9" w:rsidR="00171F02" w:rsidRPr="00403778" w:rsidRDefault="00171F02" w:rsidP="00403778">
      <w:pPr>
        <w:pStyle w:val="PRRfootnote2"/>
      </w:pPr>
      <w:r>
        <w:t>(e)</w:t>
      </w:r>
      <w:r>
        <w:tab/>
      </w:r>
      <w:r w:rsidR="00522E95">
        <w:t xml:space="preserve">Figure C1 shows </w:t>
      </w:r>
      <w:r w:rsidR="002F749A">
        <w:t xml:space="preserve">the energy cost savings for households that </w:t>
      </w:r>
      <w:r w:rsidR="007C5448">
        <w:t xml:space="preserve">electrify </w:t>
      </w:r>
      <w:r w:rsidR="00C7639A">
        <w:t xml:space="preserve">all appliances and upgrade their </w:t>
      </w:r>
      <w:r w:rsidR="007C5448">
        <w:t xml:space="preserve">vehicle. </w:t>
      </w:r>
      <w:r w:rsidR="005B0AEB">
        <w:t xml:space="preserve">Not all households that participate in the pilot would </w:t>
      </w:r>
      <w:r w:rsidR="00095FFE">
        <w:t>be expected to electrify all appliances</w:t>
      </w:r>
      <w:r w:rsidR="00D50F5B">
        <w:t xml:space="preserve"> and their vehicle</w:t>
      </w:r>
      <w:r w:rsidR="00E454BB">
        <w:t xml:space="preserve">, either by choice or because </w:t>
      </w:r>
      <w:r w:rsidR="000217CB">
        <w:t xml:space="preserve">they have already </w:t>
      </w:r>
      <w:r w:rsidR="002135E1">
        <w:t>electrified some appliances prior to participating in the pilot scheme.</w:t>
      </w:r>
    </w:p>
    <w:p w14:paraId="297BD15F" w14:textId="68E3C280" w:rsidR="00A64DEF" w:rsidRDefault="00A64DEF">
      <w:pPr>
        <w:spacing w:after="60" w:line="240" w:lineRule="auto"/>
        <w:rPr>
          <w:b/>
          <w:iCs/>
          <w:color w:val="3D4D7D" w:themeColor="background2"/>
          <w:szCs w:val="18"/>
        </w:rPr>
      </w:pPr>
    </w:p>
    <w:p w14:paraId="00D8641C" w14:textId="77777777" w:rsidR="00BA6D08" w:rsidRDefault="00BA6D08">
      <w:pPr>
        <w:spacing w:after="60" w:line="240" w:lineRule="auto"/>
        <w:rPr>
          <w:b/>
          <w:iCs/>
          <w:color w:val="3D4D7D" w:themeColor="background2"/>
          <w:szCs w:val="18"/>
        </w:rPr>
      </w:pPr>
    </w:p>
    <w:p w14:paraId="50A4F950" w14:textId="2F18DCAA" w:rsidR="00B95F47" w:rsidRDefault="00B95F47" w:rsidP="00B95F47">
      <w:pPr>
        <w:rPr>
          <w:b/>
          <w:iCs/>
          <w:color w:val="3D4D7D" w:themeColor="background2"/>
          <w:szCs w:val="18"/>
        </w:rPr>
      </w:pPr>
      <w:r w:rsidRPr="00034F69">
        <w:rPr>
          <w:b/>
          <w:iCs/>
          <w:color w:val="3D4D7D" w:themeColor="background2"/>
          <w:szCs w:val="18"/>
        </w:rPr>
        <w:t xml:space="preserve">Table </w:t>
      </w:r>
      <w:r w:rsidRPr="00034F69">
        <w:rPr>
          <w:b/>
          <w:iCs/>
          <w:color w:val="3D4D7D" w:themeColor="background2"/>
          <w:szCs w:val="18"/>
        </w:rPr>
        <w:fldChar w:fldCharType="begin"/>
      </w:r>
      <w:r w:rsidRPr="00034F69">
        <w:rPr>
          <w:b/>
          <w:iCs/>
          <w:color w:val="3D4D7D" w:themeColor="background2"/>
          <w:szCs w:val="18"/>
        </w:rPr>
        <w:instrText xml:space="preserve"> STYLEREF 8 \s </w:instrText>
      </w:r>
      <w:r w:rsidRPr="00034F69">
        <w:rPr>
          <w:b/>
          <w:iCs/>
          <w:color w:val="3D4D7D" w:themeColor="background2"/>
          <w:szCs w:val="18"/>
        </w:rPr>
        <w:fldChar w:fldCharType="separate"/>
      </w:r>
      <w:r w:rsidR="00C253FF">
        <w:rPr>
          <w:b/>
          <w:iCs/>
          <w:noProof/>
          <w:color w:val="3D4D7D" w:themeColor="background2"/>
          <w:szCs w:val="18"/>
        </w:rPr>
        <w:t>C</w:t>
      </w:r>
      <w:r w:rsidRPr="00034F69">
        <w:rPr>
          <w:b/>
          <w:iCs/>
          <w:color w:val="3D4D7D" w:themeColor="background2"/>
          <w:szCs w:val="18"/>
        </w:rPr>
        <w:fldChar w:fldCharType="end"/>
      </w:r>
      <w:r>
        <w:fldChar w:fldCharType="begin"/>
      </w:r>
      <w:r w:rsidRPr="00034F69">
        <w:rPr>
          <w:b/>
          <w:iCs/>
          <w:color w:val="3D4D7D" w:themeColor="background2"/>
          <w:szCs w:val="18"/>
        </w:rPr>
        <w:instrText xml:space="preserve"> SEQ AppendixTable\s 8 </w:instrText>
      </w:r>
      <w:r>
        <w:fldChar w:fldCharType="separate"/>
      </w:r>
      <w:r w:rsidR="00C253FF">
        <w:rPr>
          <w:b/>
          <w:iCs/>
          <w:noProof/>
          <w:color w:val="3D4D7D" w:themeColor="background2"/>
          <w:szCs w:val="18"/>
        </w:rPr>
        <w:t>6</w:t>
      </w:r>
      <w:r>
        <w:fldChar w:fldCharType="end"/>
      </w:r>
      <w:r w:rsidRPr="00034F69">
        <w:rPr>
          <w:b/>
          <w:iCs/>
          <w:color w:val="3D4D7D" w:themeColor="background2"/>
          <w:szCs w:val="18"/>
        </w:rPr>
        <w:t xml:space="preserve">: </w:t>
      </w:r>
      <w:r w:rsidRPr="007756CC">
        <w:rPr>
          <w:b/>
          <w:iCs/>
          <w:color w:val="3D4D7D" w:themeColor="background2"/>
          <w:szCs w:val="18"/>
        </w:rPr>
        <w:fldChar w:fldCharType="begin"/>
      </w:r>
      <w:r w:rsidRPr="007756CC">
        <w:rPr>
          <w:b/>
          <w:iCs/>
          <w:color w:val="3D4D7D" w:themeColor="background2"/>
          <w:szCs w:val="18"/>
        </w:rPr>
        <w:instrText xml:space="preserve"> STYLEREF  "Name of Proposal"  \* MERGEFORMAT </w:instrText>
      </w:r>
      <w:r w:rsidRPr="007756CC">
        <w:rPr>
          <w:b/>
          <w:iCs/>
          <w:color w:val="3D4D7D" w:themeColor="background2"/>
          <w:szCs w:val="18"/>
        </w:rPr>
        <w:fldChar w:fldCharType="separate"/>
      </w:r>
      <w:r w:rsidR="00C253FF">
        <w:rPr>
          <w:b/>
          <w:iCs/>
          <w:noProof/>
          <w:color w:val="3D4D7D" w:themeColor="background2"/>
          <w:szCs w:val="18"/>
        </w:rPr>
        <w:t>Suburb Zero pilot in the ACT</w:t>
      </w:r>
      <w:r w:rsidRPr="007756CC">
        <w:rPr>
          <w:b/>
          <w:iCs/>
          <w:color w:val="3D4D7D" w:themeColor="background2"/>
          <w:szCs w:val="18"/>
        </w:rPr>
        <w:fldChar w:fldCharType="end"/>
      </w:r>
      <w:r>
        <w:rPr>
          <w:b/>
          <w:iCs/>
          <w:color w:val="3D4D7D" w:themeColor="background2"/>
          <w:szCs w:val="18"/>
        </w:rPr>
        <w:t xml:space="preserve"> </w:t>
      </w:r>
      <w:r w:rsidRPr="00AF7B51">
        <w:rPr>
          <w:b/>
          <w:iCs/>
          <w:color w:val="3D4D7D" w:themeColor="background2"/>
          <w:szCs w:val="18"/>
        </w:rPr>
        <w:t>–</w:t>
      </w:r>
      <w:r>
        <w:rPr>
          <w:b/>
          <w:iCs/>
          <w:color w:val="3D4D7D" w:themeColor="background2"/>
          <w:szCs w:val="18"/>
        </w:rPr>
        <w:t xml:space="preserve"> </w:t>
      </w:r>
      <w:r w:rsidR="007D3134">
        <w:rPr>
          <w:b/>
          <w:iCs/>
          <w:color w:val="3D4D7D" w:themeColor="background2"/>
          <w:szCs w:val="18"/>
        </w:rPr>
        <w:t>Average r</w:t>
      </w:r>
      <w:r>
        <w:rPr>
          <w:b/>
          <w:iCs/>
          <w:color w:val="3D4D7D" w:themeColor="background2"/>
          <w:szCs w:val="18"/>
        </w:rPr>
        <w:t xml:space="preserve">eduction in </w:t>
      </w:r>
      <w:r w:rsidR="00B419DC">
        <w:rPr>
          <w:b/>
          <w:iCs/>
          <w:color w:val="3D4D7D" w:themeColor="background2"/>
          <w:szCs w:val="18"/>
        </w:rPr>
        <w:t xml:space="preserve">Scope 1 </w:t>
      </w:r>
      <w:r>
        <w:rPr>
          <w:b/>
          <w:iCs/>
          <w:color w:val="3D4D7D" w:themeColor="background2"/>
          <w:szCs w:val="18"/>
        </w:rPr>
        <w:t>greenhouse gas emission</w:t>
      </w:r>
      <w:r w:rsidR="00E01866">
        <w:rPr>
          <w:b/>
          <w:iCs/>
          <w:color w:val="3D4D7D" w:themeColor="background2"/>
          <w:szCs w:val="18"/>
        </w:rPr>
        <w:t>s</w:t>
      </w:r>
      <w:r>
        <w:rPr>
          <w:b/>
          <w:iCs/>
          <w:color w:val="3D4D7D" w:themeColor="background2"/>
          <w:szCs w:val="18"/>
        </w:rPr>
        <w:t xml:space="preserve"> </w:t>
      </w:r>
      <w:r w:rsidR="007D3134">
        <w:rPr>
          <w:b/>
          <w:iCs/>
          <w:color w:val="3D4D7D" w:themeColor="background2"/>
          <w:szCs w:val="18"/>
        </w:rPr>
        <w:t xml:space="preserve">for a household </w:t>
      </w:r>
      <w:r w:rsidR="00AC62C9">
        <w:rPr>
          <w:b/>
          <w:iCs/>
          <w:color w:val="3D4D7D" w:themeColor="background2"/>
          <w:szCs w:val="18"/>
        </w:rPr>
        <w:t>with</w:t>
      </w:r>
      <w:r w:rsidR="007D3134">
        <w:rPr>
          <w:b/>
          <w:iCs/>
          <w:color w:val="3D4D7D" w:themeColor="background2"/>
          <w:szCs w:val="18"/>
        </w:rPr>
        <w:t xml:space="preserve">in the suburb </w:t>
      </w:r>
      <w:r>
        <w:rPr>
          <w:b/>
          <w:iCs/>
          <w:color w:val="3D4D7D" w:themeColor="background2"/>
          <w:szCs w:val="18"/>
        </w:rPr>
        <w:t>(kg</w:t>
      </w:r>
      <w:r w:rsidR="00EF1B6D">
        <w:rPr>
          <w:b/>
          <w:iCs/>
          <w:color w:val="3D4D7D" w:themeColor="background2"/>
          <w:szCs w:val="18"/>
        </w:rPr>
        <w:t xml:space="preserve"> CO</w:t>
      </w:r>
      <w:r w:rsidR="00EF1B6D">
        <w:rPr>
          <w:b/>
          <w:iCs/>
          <w:color w:val="3D4D7D" w:themeColor="background2"/>
          <w:szCs w:val="18"/>
          <w:vertAlign w:val="subscript"/>
        </w:rPr>
        <w:t>2</w:t>
      </w:r>
      <w:r w:rsidR="00EF1B6D">
        <w:rPr>
          <w:b/>
          <w:iCs/>
          <w:color w:val="3D4D7D" w:themeColor="background2"/>
          <w:szCs w:val="18"/>
        </w:rPr>
        <w:t>-e</w:t>
      </w:r>
      <w:r>
        <w:rPr>
          <w:b/>
          <w:iCs/>
          <w:color w:val="3D4D7D" w:themeColor="background2"/>
          <w:szCs w:val="18"/>
        </w:rPr>
        <w:t>/year)</w:t>
      </w:r>
    </w:p>
    <w:p w14:paraId="1CBF4F33" w14:textId="0F93DEE8" w:rsidR="00AF7B51" w:rsidRDefault="0049349A" w:rsidP="00ED4DC9">
      <w:pPr>
        <w:rPr>
          <w:b/>
          <w:iCs/>
          <w:color w:val="3D4D7D" w:themeColor="background2"/>
          <w:szCs w:val="18"/>
        </w:rPr>
      </w:pPr>
      <w:r>
        <w:rPr>
          <w:b/>
          <w:iCs/>
          <w:color w:val="3D4D7D" w:themeColor="background2"/>
          <w:szCs w:val="18"/>
        </w:rPr>
        <w:object w:dxaOrig="4960" w:dyaOrig="3310" w14:anchorId="6B6FEB78">
          <v:shape id="_x0000_i1032" type="#_x0000_t75" style="width:230.95pt;height:158.95pt" o:ole="">
            <v:imagedata r:id="rId65" o:title=""/>
          </v:shape>
          <o:OLEObject Type="Link" ProgID="Excel.Sheet.12" ShapeID="_x0000_i1032" DrawAspect="Content" r:id="rId66" UpdateMode="OnCall">
            <o:LinkType>EnhancedMetaFile</o:LinkType>
            <o:LockedField>false</o:LockedField>
          </o:OLEObject>
        </w:object>
      </w:r>
    </w:p>
    <w:p w14:paraId="09E51EEF" w14:textId="77777777" w:rsidR="000F1B12" w:rsidRPr="00034F69" w:rsidRDefault="000F1B12" w:rsidP="00ED4DC9">
      <w:pPr>
        <w:rPr>
          <w:b/>
          <w:iCs/>
          <w:color w:val="3D4D7D" w:themeColor="background2"/>
          <w:szCs w:val="18"/>
        </w:rPr>
      </w:pPr>
    </w:p>
    <w:sectPr w:rsidR="000F1B12" w:rsidRPr="00034F69" w:rsidSect="004B7B55">
      <w:pgSz w:w="11907" w:h="16839" w:code="9"/>
      <w:pgMar w:top="907" w:right="992" w:bottom="1134"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4156" w14:textId="77777777" w:rsidR="00156AFD" w:rsidRDefault="00156AFD" w:rsidP="00A20802">
      <w:r>
        <w:separator/>
      </w:r>
    </w:p>
    <w:p w14:paraId="49D454C3" w14:textId="77777777" w:rsidR="00156AFD" w:rsidRDefault="00156AFD"/>
    <w:p w14:paraId="71C4927B" w14:textId="77777777" w:rsidR="00156AFD" w:rsidRDefault="00156AFD"/>
  </w:endnote>
  <w:endnote w:type="continuationSeparator" w:id="0">
    <w:p w14:paraId="7ED827C3" w14:textId="77777777" w:rsidR="00156AFD" w:rsidRDefault="00156AFD" w:rsidP="00A20802">
      <w:r>
        <w:continuationSeparator/>
      </w:r>
    </w:p>
    <w:p w14:paraId="457A5163" w14:textId="77777777" w:rsidR="00156AFD" w:rsidRDefault="00156AFD"/>
    <w:p w14:paraId="00910C06" w14:textId="77777777" w:rsidR="00156AFD" w:rsidRDefault="00156AFD"/>
  </w:endnote>
  <w:endnote w:type="continuationNotice" w:id="1">
    <w:p w14:paraId="701D991B" w14:textId="77777777" w:rsidR="00156AFD" w:rsidRDefault="00156A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6227" w14:textId="77777777" w:rsidR="00974AB6" w:rsidRDefault="00974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FF4" w14:textId="29E0B71E" w:rsidR="006113B3" w:rsidRPr="00B62EF8" w:rsidRDefault="00F037D3" w:rsidP="006113B3">
    <w:pPr>
      <w:spacing w:before="0" w:after="0"/>
      <w:jc w:val="center"/>
      <w:rPr>
        <w:rFonts w:ascii="Calibri" w:hAnsi="Calibri" w:cs="Calibri"/>
        <w:strike/>
        <w:color w:val="FF0000"/>
        <w:sz w:val="20"/>
      </w:rPr>
    </w:pPr>
    <w:r>
      <w:rPr>
        <w:rFonts w:ascii="Calibri" w:hAnsi="Calibri" w:cs="Calibri"/>
        <w:strike/>
        <w:noProof/>
        <w:color w:val="FF0000"/>
        <w:sz w:val="20"/>
      </w:rPr>
      <mc:AlternateContent>
        <mc:Choice Requires="wps">
          <w:drawing>
            <wp:anchor distT="0" distB="0" distL="114300" distR="114300" simplePos="0" relativeHeight="251664095" behindDoc="0" locked="0" layoutInCell="0" allowOverlap="1" wp14:anchorId="1E3BD58E" wp14:editId="5E33EAF1">
              <wp:simplePos x="0" y="0"/>
              <wp:positionH relativeFrom="page">
                <wp:align>center</wp:align>
              </wp:positionH>
              <wp:positionV relativeFrom="page">
                <wp:align>bottom</wp:align>
              </wp:positionV>
              <wp:extent cx="7772400" cy="463550"/>
              <wp:effectExtent l="0" t="0" r="0" b="12700"/>
              <wp:wrapNone/>
              <wp:docPr id="4" name="MSIPCM81b04876bc63a9381ae3f89f" descr="{&quot;HashCode&quot;:-41494354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BC0A9" w14:textId="62F8AD8C"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E3BD58E" id="_x0000_t202" coordsize="21600,21600" o:spt="202" path="m,l,21600r21600,l21600,xe">
              <v:stroke joinstyle="miter"/>
              <v:path gradientshapeok="t" o:connecttype="rect"/>
            </v:shapetype>
            <v:shape id="MSIPCM81b04876bc63a9381ae3f89f" o:spid="_x0000_s1027" type="#_x0000_t202" alt="{&quot;HashCode&quot;:-414943542,&quot;Height&quot;:9999999.0,&quot;Width&quot;:9999999.0,&quot;Placement&quot;:&quot;Footer&quot;,&quot;Index&quot;:&quot;Primary&quot;,&quot;Section&quot;:1,&quot;Top&quot;:0.0,&quot;Left&quot;:0.0}" style="position:absolute;left:0;text-align:left;margin-left:0;margin-top:0;width:612pt;height:36.5pt;z-index:2516640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65BC0A9" w14:textId="62F8AD8C"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v:textbox>
              <w10:wrap anchorx="page" anchory="page"/>
            </v:shape>
          </w:pict>
        </mc:Fallback>
      </mc:AlternateContent>
    </w:r>
  </w:p>
  <w:p w14:paraId="7FFCFDBB" w14:textId="6B21AAF5" w:rsidR="00C44D85" w:rsidRPr="004B52AF" w:rsidRDefault="00F91A0D" w:rsidP="00CF5A76">
    <w:pPr>
      <w:pStyle w:val="Footer"/>
      <w:tabs>
        <w:tab w:val="right" w:pos="9071"/>
      </w:tabs>
      <w:jc w:val="right"/>
      <w:rPr>
        <w:b/>
        <w:bCs/>
        <w:sz w:val="22"/>
      </w:rPr>
    </w:pPr>
    <w:r>
      <w:rPr>
        <w:rStyle w:val="FooterChar"/>
        <w:b/>
        <w:bCs/>
        <w:sz w:val="22"/>
      </w:rPr>
      <w:tab/>
    </w:r>
    <w:r>
      <w:rPr>
        <w:rStyle w:val="FooterChar"/>
        <w:b/>
        <w:bCs/>
        <w:sz w:val="22"/>
      </w:rPr>
      <w:tab/>
    </w:r>
    <w:r w:rsidR="003A34E7" w:rsidRPr="007C4069">
      <w:rPr>
        <w:rStyle w:val="FooterChar"/>
        <w:b/>
        <w:bCs/>
        <w:sz w:val="22"/>
      </w:rPr>
      <w:t xml:space="preserve">Page </w:t>
    </w:r>
    <w:r w:rsidR="003A34E7" w:rsidRPr="007C4069">
      <w:rPr>
        <w:rStyle w:val="FooterChar"/>
        <w:b/>
        <w:bCs/>
        <w:sz w:val="22"/>
      </w:rPr>
      <w:fldChar w:fldCharType="begin"/>
    </w:r>
    <w:r w:rsidR="003A34E7" w:rsidRPr="007C4069">
      <w:rPr>
        <w:rStyle w:val="FooterChar"/>
        <w:b/>
        <w:bCs/>
        <w:sz w:val="22"/>
      </w:rPr>
      <w:instrText xml:space="preserve"> PAGE  \* Arabic  \* MERGEFORMAT </w:instrText>
    </w:r>
    <w:r w:rsidR="003A34E7" w:rsidRPr="007C4069">
      <w:rPr>
        <w:rStyle w:val="FooterChar"/>
        <w:b/>
        <w:bCs/>
        <w:sz w:val="22"/>
      </w:rPr>
      <w:fldChar w:fldCharType="separate"/>
    </w:r>
    <w:r w:rsidR="00DB2819">
      <w:rPr>
        <w:rStyle w:val="FooterChar"/>
        <w:b/>
        <w:bCs/>
        <w:noProof/>
        <w:sz w:val="22"/>
      </w:rPr>
      <w:t>3</w:t>
    </w:r>
    <w:r w:rsidR="003A34E7" w:rsidRPr="007C4069">
      <w:rPr>
        <w:rStyle w:val="FooterChar"/>
        <w:b/>
        <w:bCs/>
        <w:sz w:val="22"/>
      </w:rPr>
      <w:fldChar w:fldCharType="end"/>
    </w:r>
    <w:r w:rsidR="003A34E7" w:rsidRPr="007C4069">
      <w:rPr>
        <w:rStyle w:val="FooterChar"/>
        <w:b/>
        <w:bCs/>
        <w:sz w:val="22"/>
      </w:rPr>
      <w:t xml:space="preserve"> of</w:t>
    </w:r>
    <w:r w:rsidR="004B52AF">
      <w:rPr>
        <w:rStyle w:val="FooterChar"/>
        <w:b/>
        <w:bCs/>
        <w:sz w:val="22"/>
      </w:rPr>
      <w:t xml:space="preserve"> </w:t>
    </w:r>
    <w:r w:rsidR="0082417C">
      <w:rPr>
        <w:rStyle w:val="FooterChar"/>
        <w:b/>
        <w:bCs/>
        <w:sz w:val="22"/>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D09C" w14:textId="04903223" w:rsidR="006113B3" w:rsidRPr="00B62EF8" w:rsidRDefault="00F037D3" w:rsidP="006113B3">
    <w:pPr>
      <w:spacing w:before="0" w:after="0"/>
      <w:jc w:val="center"/>
      <w:rPr>
        <w:rFonts w:ascii="Calibri" w:hAnsi="Calibri" w:cs="Calibri"/>
        <w:strike/>
        <w:color w:val="FF0000"/>
        <w:sz w:val="20"/>
      </w:rPr>
    </w:pPr>
    <w:r>
      <w:rPr>
        <w:rFonts w:ascii="Calibri" w:hAnsi="Calibri" w:cs="Calibri"/>
        <w:strike/>
        <w:noProof/>
        <w:color w:val="FF0000"/>
        <w:sz w:val="20"/>
      </w:rPr>
      <mc:AlternateContent>
        <mc:Choice Requires="wps">
          <w:drawing>
            <wp:anchor distT="0" distB="0" distL="114300" distR="114300" simplePos="0" relativeHeight="251664751" behindDoc="0" locked="0" layoutInCell="0" allowOverlap="1" wp14:anchorId="3219FBD0" wp14:editId="0B047113">
              <wp:simplePos x="0" y="0"/>
              <wp:positionH relativeFrom="page">
                <wp:align>center</wp:align>
              </wp:positionH>
              <wp:positionV relativeFrom="page">
                <wp:align>bottom</wp:align>
              </wp:positionV>
              <wp:extent cx="7772400" cy="463550"/>
              <wp:effectExtent l="0" t="0" r="0" b="12700"/>
              <wp:wrapNone/>
              <wp:docPr id="6" name="MSIPCM8911478b8a3c135ec18aec0b" descr="{&quot;HashCode&quot;:-41494354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E24524" w14:textId="0BB4B50D"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19FBD0" id="_x0000_t202" coordsize="21600,21600" o:spt="202" path="m,l,21600r21600,l21600,xe">
              <v:stroke joinstyle="miter"/>
              <v:path gradientshapeok="t" o:connecttype="rect"/>
            </v:shapetype>
            <v:shape id="MSIPCM8911478b8a3c135ec18aec0b" o:spid="_x0000_s1029" type="#_x0000_t202" alt="{&quot;HashCode&quot;:-414943542,&quot;Height&quot;:9999999.0,&quot;Width&quot;:9999999.0,&quot;Placement&quot;:&quot;Footer&quot;,&quot;Index&quot;:&quot;FirstPage&quot;,&quot;Section&quot;:1,&quot;Top&quot;:0.0,&quot;Left&quot;:0.0}" style="position:absolute;left:0;text-align:left;margin-left:0;margin-top:0;width:612pt;height:36.5pt;z-index:2516647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65E24524" w14:textId="0BB4B50D"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v:textbox>
              <w10:wrap anchorx="page" anchory="page"/>
            </v:shape>
          </w:pict>
        </mc:Fallback>
      </mc:AlternateContent>
    </w:r>
  </w:p>
  <w:p w14:paraId="5C0D403E" w14:textId="39737916" w:rsidR="00F91A0D" w:rsidRPr="002E1EA9" w:rsidRDefault="00F91A0D" w:rsidP="00F91A0D">
    <w:pPr>
      <w:pStyle w:val="Footer"/>
      <w:rPr>
        <w:b/>
        <w:color w:val="auto"/>
        <w:sz w:val="20"/>
        <w:szCs w:val="20"/>
      </w:rPr>
    </w:pPr>
    <w:r w:rsidRPr="002E1EA9">
      <w:rPr>
        <w:rStyle w:val="FooterChar"/>
        <w:rFonts w:ascii="Calibri" w:hAnsi="Calibri" w:cs="Arial"/>
        <w:b/>
        <w:color w:val="auto"/>
        <w:sz w:val="20"/>
        <w:szCs w:val="20"/>
      </w:rPr>
      <w:t>PBO reference PR</w:t>
    </w:r>
    <w:r w:rsidR="00640149">
      <w:rPr>
        <w:rStyle w:val="FooterChar"/>
        <w:rFonts w:ascii="Calibri" w:hAnsi="Calibri" w:cs="Arial"/>
        <w:b/>
        <w:color w:val="auto"/>
        <w:sz w:val="20"/>
        <w:szCs w:val="20"/>
      </w:rPr>
      <w:t>-2022-044</w:t>
    </w:r>
    <w:r w:rsidRPr="002E1EA9">
      <w:rPr>
        <w:rStyle w:val="FooterChar"/>
        <w:rFonts w:ascii="Calibri" w:hAnsi="Calibri" w:cs="Arial"/>
        <w:b/>
        <w:color w:val="auto"/>
        <w:sz w:val="20"/>
        <w:szCs w:val="20"/>
      </w:rPr>
      <w:tab/>
    </w:r>
    <w:r w:rsidRPr="002E1EA9">
      <w:rPr>
        <w:rStyle w:val="FooterChar"/>
        <w:rFonts w:ascii="Calibri" w:hAnsi="Calibri" w:cs="Arial"/>
        <w:b/>
        <w:color w:val="auto"/>
        <w:sz w:val="20"/>
        <w:szCs w:val="20"/>
      </w:rPr>
      <w:tab/>
    </w:r>
    <w:r w:rsidRPr="002E1EA9">
      <w:rPr>
        <w:rStyle w:val="FooterChar"/>
        <w:b/>
        <w:color w:val="auto"/>
        <w:sz w:val="20"/>
        <w:szCs w:val="20"/>
      </w:rPr>
      <w:t xml:space="preserve">Page </w:t>
    </w:r>
    <w:r w:rsidRPr="002E1EA9">
      <w:rPr>
        <w:rStyle w:val="FooterChar"/>
        <w:b/>
        <w:color w:val="auto"/>
        <w:sz w:val="20"/>
        <w:szCs w:val="20"/>
      </w:rPr>
      <w:fldChar w:fldCharType="begin"/>
    </w:r>
    <w:r w:rsidRPr="002E1EA9">
      <w:rPr>
        <w:rStyle w:val="FooterChar"/>
        <w:b/>
        <w:color w:val="auto"/>
        <w:sz w:val="20"/>
        <w:szCs w:val="20"/>
      </w:rPr>
      <w:instrText xml:space="preserve"> PAGE  \* Arabic  \* MERGEFORMAT </w:instrText>
    </w:r>
    <w:r w:rsidRPr="002E1EA9">
      <w:rPr>
        <w:rStyle w:val="FooterChar"/>
        <w:b/>
        <w:color w:val="auto"/>
        <w:sz w:val="20"/>
        <w:szCs w:val="20"/>
      </w:rPr>
      <w:fldChar w:fldCharType="separate"/>
    </w:r>
    <w:r w:rsidR="00DB2819" w:rsidRPr="002E1EA9">
      <w:rPr>
        <w:rStyle w:val="FooterChar"/>
        <w:b/>
        <w:noProof/>
        <w:color w:val="auto"/>
        <w:sz w:val="20"/>
        <w:szCs w:val="20"/>
      </w:rPr>
      <w:t>1</w:t>
    </w:r>
    <w:r w:rsidRPr="002E1EA9">
      <w:rPr>
        <w:rStyle w:val="FooterChar"/>
        <w:b/>
        <w:color w:val="auto"/>
        <w:sz w:val="20"/>
        <w:szCs w:val="20"/>
      </w:rPr>
      <w:fldChar w:fldCharType="end"/>
    </w:r>
    <w:r w:rsidRPr="002E1EA9">
      <w:rPr>
        <w:rStyle w:val="FooterChar"/>
        <w:b/>
        <w:color w:val="auto"/>
        <w:sz w:val="20"/>
        <w:szCs w:val="20"/>
      </w:rPr>
      <w:t xml:space="preserve"> of </w:t>
    </w:r>
    <w:r w:rsidR="00974AB6">
      <w:rPr>
        <w:rStyle w:val="FooterChar"/>
        <w:b/>
        <w:bCs/>
        <w:color w:val="auto"/>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52D2" w14:textId="77777777" w:rsidR="00156AFD" w:rsidRPr="000557A7" w:rsidRDefault="00156AFD" w:rsidP="008D5A11">
      <w:pPr>
        <w:pBdr>
          <w:top w:val="single" w:sz="4" w:space="1" w:color="auto"/>
        </w:pBdr>
        <w:spacing w:before="240" w:line="60" w:lineRule="exact"/>
        <w:rPr>
          <w:sz w:val="16"/>
          <w:szCs w:val="16"/>
        </w:rPr>
      </w:pPr>
    </w:p>
  </w:footnote>
  <w:footnote w:type="continuationSeparator" w:id="0">
    <w:p w14:paraId="2C318E2F" w14:textId="77777777" w:rsidR="00156AFD" w:rsidRDefault="00156AFD" w:rsidP="00A20802">
      <w:r>
        <w:continuationSeparator/>
      </w:r>
    </w:p>
    <w:p w14:paraId="04286197" w14:textId="77777777" w:rsidR="00156AFD" w:rsidRDefault="00156AFD"/>
    <w:p w14:paraId="1C34A065" w14:textId="77777777" w:rsidR="00156AFD" w:rsidRDefault="00156AFD"/>
  </w:footnote>
  <w:footnote w:type="continuationNotice" w:id="1">
    <w:p w14:paraId="771A8DA2" w14:textId="77777777" w:rsidR="00156AFD" w:rsidRDefault="00156AFD">
      <w:pPr>
        <w:spacing w:before="0" w:after="0" w:line="240" w:lineRule="auto"/>
      </w:pPr>
    </w:p>
  </w:footnote>
  <w:footnote w:id="2">
    <w:p w14:paraId="2099CA76" w14:textId="695EF98B" w:rsidR="00FB0FFB" w:rsidRDefault="00FB0FFB">
      <w:pPr>
        <w:pStyle w:val="FootnoteText"/>
      </w:pPr>
      <w:r>
        <w:rPr>
          <w:rStyle w:val="FootnoteReference"/>
        </w:rPr>
        <w:footnoteRef/>
      </w:r>
      <w:r>
        <w:t xml:space="preserve"> That is, it would take around 4 years for the </w:t>
      </w:r>
      <w:r w:rsidR="007820DB">
        <w:t xml:space="preserve">savings </w:t>
      </w:r>
      <w:r w:rsidR="00F66C6C">
        <w:t xml:space="preserve">on energy usage costs to </w:t>
      </w:r>
      <w:r w:rsidR="00435737">
        <w:t xml:space="preserve">cover the </w:t>
      </w:r>
      <w:r w:rsidR="002C76C7">
        <w:t>capital and installation costs of the appliances.</w:t>
      </w:r>
    </w:p>
  </w:footnote>
  <w:footnote w:id="3">
    <w:p w14:paraId="6AD8F968" w14:textId="77777777" w:rsidR="001C7A03" w:rsidRPr="007D78D6" w:rsidRDefault="001C7A03" w:rsidP="007D78D6">
      <w:pPr>
        <w:spacing w:before="60"/>
        <w:rPr>
          <w:sz w:val="14"/>
          <w:szCs w:val="16"/>
        </w:rPr>
      </w:pPr>
      <w:r>
        <w:rPr>
          <w:rStyle w:val="FootnoteReference"/>
        </w:rPr>
        <w:footnoteRef/>
      </w:r>
      <w:r>
        <w:t xml:space="preserve"> </w:t>
      </w:r>
      <w:hyperlink r:id="rId1" w:history="1">
        <w:r w:rsidRPr="0007551F">
          <w:rPr>
            <w:rStyle w:val="Hyperlink"/>
            <w:sz w:val="14"/>
            <w:szCs w:val="16"/>
          </w:rPr>
          <w:t>https://www.aph.gov.au/About_Parliament/Parliamentary_Departments/Parliamentary_Budget_Office/Costings_and_budget_information</w:t>
        </w:r>
      </w:hyperlink>
      <w:r w:rsidRPr="0007551F">
        <w:rPr>
          <w:sz w:val="14"/>
          <w:szCs w:val="16"/>
        </w:rPr>
        <w:t xml:space="preserve"> </w:t>
      </w:r>
    </w:p>
  </w:footnote>
  <w:footnote w:id="4">
    <w:p w14:paraId="18A3348F" w14:textId="77777777" w:rsidR="00E078C9" w:rsidRDefault="00E078C9" w:rsidP="00E078C9">
      <w:pPr>
        <w:pStyle w:val="Footnotes"/>
        <w:spacing w:beforeLines="60" w:before="144" w:after="120"/>
      </w:pPr>
      <w:r>
        <w:rPr>
          <w:rStyle w:val="FootnoteReference"/>
        </w:rPr>
        <w:footnoteRef/>
      </w:r>
      <w:r>
        <w:t xml:space="preserve"> </w:t>
      </w:r>
      <w:r w:rsidRPr="009661B7">
        <w:rPr>
          <w:lang w:val="en-US"/>
        </w:rPr>
        <w:t>The PBO’s treatment of these loans is consistent with the Department of Finance costing guidelines</w:t>
      </w:r>
      <w:r>
        <w:rPr>
          <w:lang w:val="en-US"/>
        </w:rPr>
        <w:t xml:space="preserve">.  </w:t>
      </w:r>
    </w:p>
  </w:footnote>
  <w:footnote w:id="5">
    <w:p w14:paraId="48240D24" w14:textId="3D640C84" w:rsidR="00E078C9" w:rsidRDefault="00E078C9" w:rsidP="00E078C9">
      <w:pPr>
        <w:pStyle w:val="FootnoteText"/>
        <w:tabs>
          <w:tab w:val="left" w:pos="0"/>
        </w:tabs>
        <w:spacing w:beforeLines="60" w:before="144" w:line="240" w:lineRule="auto"/>
      </w:pPr>
      <w:r>
        <w:rPr>
          <w:rStyle w:val="FootnoteReference"/>
        </w:rPr>
        <w:footnoteRef/>
      </w:r>
      <w:r>
        <w:t xml:space="preserve"> Th</w:t>
      </w:r>
      <w:r w:rsidRPr="00115ECD">
        <w:rPr>
          <w:lang w:val="en-US"/>
        </w:rPr>
        <w:t xml:space="preserve">is </w:t>
      </w:r>
      <w:proofErr w:type="spellStart"/>
      <w:r w:rsidRPr="00115ECD">
        <w:rPr>
          <w:lang w:val="en-US"/>
        </w:rPr>
        <w:t>is</w:t>
      </w:r>
      <w:proofErr w:type="spellEnd"/>
      <w:r w:rsidRPr="00115ECD">
        <w:rPr>
          <w:lang w:val="en-US"/>
        </w:rPr>
        <w:t xml:space="preserve"> in accordance with </w:t>
      </w:r>
      <w:r w:rsidRPr="005A4D60">
        <w:rPr>
          <w:i/>
          <w:iCs/>
          <w:lang w:val="en-US"/>
        </w:rPr>
        <w:t>PBO Guidance 02/2015</w:t>
      </w:r>
      <w:r w:rsidRPr="00115ECD">
        <w:rPr>
          <w:lang w:val="en-US"/>
        </w:rPr>
        <w:t xml:space="preserve"> and the Charter of Budget Honesty Policy Costing Guidelines which specify that costings of proposals that ‘involve transactions of financial assets’ need to </w:t>
      </w:r>
      <w:proofErr w:type="gramStart"/>
      <w:r w:rsidRPr="00115ECD">
        <w:rPr>
          <w:lang w:val="en-US"/>
        </w:rPr>
        <w:t>take into accou</w:t>
      </w:r>
      <w:r>
        <w:rPr>
          <w:lang w:val="en-US"/>
        </w:rPr>
        <w:t>nt</w:t>
      </w:r>
      <w:proofErr w:type="gramEnd"/>
      <w:r>
        <w:rPr>
          <w:lang w:val="en-US"/>
        </w:rPr>
        <w:t xml:space="preserve"> the impact on PDI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1135" w14:textId="77777777" w:rsidR="00974AB6" w:rsidRDefault="00974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C19D" w14:textId="170AD317" w:rsidR="006113B3" w:rsidRPr="006113B3" w:rsidRDefault="00F037D3" w:rsidP="006113B3">
    <w:pPr>
      <w:spacing w:before="0" w:after="0"/>
      <w:jc w:val="center"/>
      <w:rPr>
        <w:rFonts w:ascii="Calibri" w:hAnsi="Calibri" w:cs="Calibri"/>
        <w:strike/>
        <w:color w:val="FF0000"/>
        <w:sz w:val="20"/>
      </w:rPr>
    </w:pPr>
    <w:r>
      <w:rPr>
        <w:rFonts w:ascii="Calibri" w:hAnsi="Calibri" w:cs="Calibri"/>
        <w:strike/>
        <w:noProof/>
        <w:color w:val="FF0000"/>
        <w:sz w:val="20"/>
      </w:rPr>
      <mc:AlternateContent>
        <mc:Choice Requires="wps">
          <w:drawing>
            <wp:anchor distT="0" distB="0" distL="114300" distR="114300" simplePos="0" relativeHeight="251667456" behindDoc="0" locked="0" layoutInCell="0" allowOverlap="1" wp14:anchorId="41C8FDC5" wp14:editId="2AEBE294">
              <wp:simplePos x="0" y="0"/>
              <wp:positionH relativeFrom="page">
                <wp:align>center</wp:align>
              </wp:positionH>
              <wp:positionV relativeFrom="page">
                <wp:align>top</wp:align>
              </wp:positionV>
              <wp:extent cx="7772400" cy="463550"/>
              <wp:effectExtent l="0" t="0" r="0" b="12700"/>
              <wp:wrapNone/>
              <wp:docPr id="7" name="MSIPCM173543cabc2b12b2d18a9edf" descr="{&quot;HashCode&quot;:-43908111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38F09" w14:textId="5FF76AD0"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1C8FDC5" id="_x0000_t202" coordsize="21600,21600" o:spt="202" path="m,l,21600r21600,l21600,xe">
              <v:stroke joinstyle="miter"/>
              <v:path gradientshapeok="t" o:connecttype="rect"/>
            </v:shapetype>
            <v:shape id="MSIPCM173543cabc2b12b2d18a9edf" o:spid="_x0000_s1026" type="#_x0000_t202" alt="{&quot;HashCode&quot;:-439081111,&quot;Height&quot;:9999999.0,&quot;Width&quot;:9999999.0,&quot;Placement&quot;:&quot;Header&quot;,&quot;Index&quot;:&quot;Primary&quot;,&quot;Section&quot;:1,&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6CA38F09" w14:textId="5FF76AD0"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405" w14:textId="51F26B72" w:rsidR="00C975E8" w:rsidRPr="00B62EF8" w:rsidRDefault="00F037D3" w:rsidP="00C975E8">
    <w:pPr>
      <w:spacing w:before="0" w:after="0"/>
      <w:jc w:val="center"/>
      <w:rPr>
        <w:rFonts w:ascii="Calibri" w:hAnsi="Calibri" w:cs="Calibri"/>
        <w:strike/>
        <w:color w:val="FF0000"/>
        <w:sz w:val="20"/>
      </w:rPr>
    </w:pPr>
    <w:r>
      <w:rPr>
        <w:rFonts w:ascii="Calibri" w:hAnsi="Calibri" w:cs="Calibri"/>
        <w:strike/>
        <w:noProof/>
        <w:color w:val="FF0000"/>
        <w:sz w:val="20"/>
      </w:rPr>
      <mc:AlternateContent>
        <mc:Choice Requires="wps">
          <w:drawing>
            <wp:anchor distT="0" distB="0" distL="114300" distR="114300" simplePos="0" relativeHeight="251668480" behindDoc="0" locked="0" layoutInCell="0" allowOverlap="1" wp14:anchorId="58E4B3E4" wp14:editId="42345CBC">
              <wp:simplePos x="0" y="0"/>
              <wp:positionH relativeFrom="page">
                <wp:align>center</wp:align>
              </wp:positionH>
              <wp:positionV relativeFrom="page">
                <wp:align>top</wp:align>
              </wp:positionV>
              <wp:extent cx="7772400" cy="463550"/>
              <wp:effectExtent l="0" t="0" r="0" b="12700"/>
              <wp:wrapNone/>
              <wp:docPr id="9" name="MSIPCM9da144bb9a7c9f76cb41a8b0" descr="{&quot;HashCode&quot;:-43908111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E4851" w14:textId="27900F73"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E4B3E4" id="_x0000_t202" coordsize="21600,21600" o:spt="202" path="m,l,21600r21600,l21600,xe">
              <v:stroke joinstyle="miter"/>
              <v:path gradientshapeok="t" o:connecttype="rect"/>
            </v:shapetype>
            <v:shape id="MSIPCM9da144bb9a7c9f76cb41a8b0" o:spid="_x0000_s1028" type="#_x0000_t202" alt="{&quot;HashCode&quot;:-439081111,&quot;Height&quot;:9999999.0,&quot;Width&quot;:9999999.0,&quot;Placement&quot;:&quot;Header&quot;,&quot;Index&quot;:&quot;FirstPage&quot;,&quot;Section&quot;:1,&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2EE4851" w14:textId="27900F73" w:rsidR="00F037D3" w:rsidRPr="00C253FF" w:rsidRDefault="00C253FF" w:rsidP="00C253FF">
                    <w:pPr>
                      <w:spacing w:before="0" w:after="0"/>
                      <w:jc w:val="center"/>
                      <w:rPr>
                        <w:rFonts w:ascii="Calibri" w:hAnsi="Calibri" w:cs="Calibri"/>
                        <w:strike/>
                        <w:color w:val="FF0000"/>
                        <w:sz w:val="20"/>
                      </w:rPr>
                    </w:pPr>
                    <w:r w:rsidRPr="00C253FF">
                      <w:rPr>
                        <w:rFonts w:ascii="Calibri" w:hAnsi="Calibri" w:cs="Calibri"/>
                        <w:strike/>
                        <w:color w:val="FF0000"/>
                        <w:sz w:val="20"/>
                      </w:rPr>
                      <w:t>OFFICIAL: Sensitive</w:t>
                    </w:r>
                  </w:p>
                </w:txbxContent>
              </v:textbox>
              <w10:wrap anchorx="page" anchory="page"/>
            </v:shape>
          </w:pict>
        </mc:Fallback>
      </mc:AlternateContent>
    </w:r>
  </w:p>
  <w:p w14:paraId="3F161438" w14:textId="3F6DA93A" w:rsidR="00C44D85" w:rsidRDefault="002636AE" w:rsidP="00F91A0D">
    <w:pPr>
      <w:pStyle w:val="Header"/>
      <w:spacing w:before="400" w:after="680"/>
    </w:pPr>
    <w:r>
      <w:rPr>
        <w:noProof/>
        <w:lang w:eastAsia="en-AU"/>
      </w:rPr>
      <w:drawing>
        <wp:inline distT="0" distB="0" distL="0" distR="0" wp14:anchorId="2B0C730C" wp14:editId="16E5FE6E">
          <wp:extent cx="1880382" cy="576000"/>
          <wp:effectExtent l="0" t="0" r="5715" b="0"/>
          <wp:docPr id="2" name="Picture 2"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5"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0F2CCE"/>
    <w:multiLevelType w:val="multilevel"/>
    <w:tmpl w:val="DB9A36FA"/>
    <w:numStyleLink w:val="List1Numbered"/>
  </w:abstractNum>
  <w:abstractNum w:abstractNumId="12"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3F501A"/>
    <w:multiLevelType w:val="multilevel"/>
    <w:tmpl w:val="75FCCD40"/>
    <w:numStyleLink w:val="AttachementsNumbered"/>
  </w:abstractNum>
  <w:abstractNum w:abstractNumId="1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1"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38A4D83"/>
    <w:multiLevelType w:val="multilevel"/>
    <w:tmpl w:val="B7F6EB12"/>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25"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312558126">
    <w:abstractNumId w:val="18"/>
  </w:num>
  <w:num w:numId="2" w16cid:durableId="373819983">
    <w:abstractNumId w:val="2"/>
  </w:num>
  <w:num w:numId="3" w16cid:durableId="1004481442">
    <w:abstractNumId w:val="15"/>
  </w:num>
  <w:num w:numId="4" w16cid:durableId="1093547458">
    <w:abstractNumId w:val="24"/>
  </w:num>
  <w:num w:numId="5" w16cid:durableId="1054619178">
    <w:abstractNumId w:val="7"/>
  </w:num>
  <w:num w:numId="6" w16cid:durableId="458761544">
    <w:abstractNumId w:val="5"/>
  </w:num>
  <w:num w:numId="7" w16cid:durableId="1220088883">
    <w:abstractNumId w:val="19"/>
  </w:num>
  <w:num w:numId="8" w16cid:durableId="491063571">
    <w:abstractNumId w:val="18"/>
  </w:num>
  <w:num w:numId="9" w16cid:durableId="1512641288">
    <w:abstractNumId w:val="15"/>
  </w:num>
  <w:num w:numId="10" w16cid:durableId="1936668900">
    <w:abstractNumId w:val="24"/>
  </w:num>
  <w:num w:numId="11" w16cid:durableId="1261987355">
    <w:abstractNumId w:val="8"/>
  </w:num>
  <w:num w:numId="12" w16cid:durableId="1002244700">
    <w:abstractNumId w:val="17"/>
  </w:num>
  <w:num w:numId="13" w16cid:durableId="1393701208">
    <w:abstractNumId w:val="20"/>
  </w:num>
  <w:num w:numId="14" w16cid:durableId="1191643811">
    <w:abstractNumId w:val="3"/>
  </w:num>
  <w:num w:numId="15" w16cid:durableId="1830749106">
    <w:abstractNumId w:val="11"/>
  </w:num>
  <w:num w:numId="16" w16cid:durableId="1484617923">
    <w:abstractNumId w:val="5"/>
  </w:num>
  <w:num w:numId="17" w16cid:durableId="977956742">
    <w:abstractNumId w:val="19"/>
  </w:num>
  <w:num w:numId="18" w16cid:durableId="2071607245">
    <w:abstractNumId w:val="13"/>
  </w:num>
  <w:num w:numId="19" w16cid:durableId="1802533455">
    <w:abstractNumId w:val="10"/>
  </w:num>
  <w:num w:numId="20" w16cid:durableId="101803676">
    <w:abstractNumId w:val="21"/>
  </w:num>
  <w:num w:numId="21" w16cid:durableId="154297083">
    <w:abstractNumId w:val="4"/>
  </w:num>
  <w:num w:numId="22" w16cid:durableId="148447505">
    <w:abstractNumId w:val="9"/>
  </w:num>
  <w:num w:numId="23" w16cid:durableId="1857384635">
    <w:abstractNumId w:val="17"/>
    <w:lvlOverride w:ilvl="0">
      <w:lvl w:ilvl="0">
        <w:start w:val="1"/>
        <w:numFmt w:val="upperLetter"/>
        <w:pStyle w:val="Heading8"/>
        <w:suff w:val="space"/>
        <w:lvlText w:val="Attachment %1 –"/>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220100437">
    <w:abstractNumId w:val="24"/>
  </w:num>
  <w:num w:numId="25" w16cid:durableId="251551659">
    <w:abstractNumId w:val="24"/>
  </w:num>
  <w:num w:numId="26" w16cid:durableId="397632800">
    <w:abstractNumId w:val="24"/>
  </w:num>
  <w:num w:numId="27" w16cid:durableId="1820877295">
    <w:abstractNumId w:val="24"/>
  </w:num>
  <w:num w:numId="28" w16cid:durableId="1459644090">
    <w:abstractNumId w:val="24"/>
  </w:num>
  <w:num w:numId="29" w16cid:durableId="1896547704">
    <w:abstractNumId w:val="24"/>
  </w:num>
  <w:num w:numId="30" w16cid:durableId="118286130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F04E1E"/>
    <w:rsid w:val="0000071C"/>
    <w:rsid w:val="0000322C"/>
    <w:rsid w:val="0000323F"/>
    <w:rsid w:val="0000335B"/>
    <w:rsid w:val="00003CDD"/>
    <w:rsid w:val="0000417B"/>
    <w:rsid w:val="00004601"/>
    <w:rsid w:val="000072D4"/>
    <w:rsid w:val="00011025"/>
    <w:rsid w:val="00011EA3"/>
    <w:rsid w:val="00012209"/>
    <w:rsid w:val="000122ED"/>
    <w:rsid w:val="00013620"/>
    <w:rsid w:val="00013F4A"/>
    <w:rsid w:val="0001406F"/>
    <w:rsid w:val="000150DB"/>
    <w:rsid w:val="000155D9"/>
    <w:rsid w:val="00015B73"/>
    <w:rsid w:val="00015E04"/>
    <w:rsid w:val="0001637B"/>
    <w:rsid w:val="000168A7"/>
    <w:rsid w:val="00016D53"/>
    <w:rsid w:val="00016EBC"/>
    <w:rsid w:val="00017CDD"/>
    <w:rsid w:val="00020186"/>
    <w:rsid w:val="00020252"/>
    <w:rsid w:val="00020D01"/>
    <w:rsid w:val="00020DED"/>
    <w:rsid w:val="0002159A"/>
    <w:rsid w:val="000217CB"/>
    <w:rsid w:val="000220E4"/>
    <w:rsid w:val="00022324"/>
    <w:rsid w:val="000243FC"/>
    <w:rsid w:val="00024F38"/>
    <w:rsid w:val="00025443"/>
    <w:rsid w:val="000254E4"/>
    <w:rsid w:val="000278D0"/>
    <w:rsid w:val="00027E62"/>
    <w:rsid w:val="00027F07"/>
    <w:rsid w:val="00030277"/>
    <w:rsid w:val="000307C8"/>
    <w:rsid w:val="00030F73"/>
    <w:rsid w:val="00031292"/>
    <w:rsid w:val="00033326"/>
    <w:rsid w:val="00034F69"/>
    <w:rsid w:val="00035A1C"/>
    <w:rsid w:val="00035ADE"/>
    <w:rsid w:val="0004224B"/>
    <w:rsid w:val="00043E06"/>
    <w:rsid w:val="00044FCF"/>
    <w:rsid w:val="00046226"/>
    <w:rsid w:val="000467BA"/>
    <w:rsid w:val="0004769A"/>
    <w:rsid w:val="000505FB"/>
    <w:rsid w:val="00050DE1"/>
    <w:rsid w:val="00051FC5"/>
    <w:rsid w:val="0005246C"/>
    <w:rsid w:val="0005330D"/>
    <w:rsid w:val="00054BDF"/>
    <w:rsid w:val="000557A7"/>
    <w:rsid w:val="00055805"/>
    <w:rsid w:val="000561B1"/>
    <w:rsid w:val="00056CB3"/>
    <w:rsid w:val="0005793B"/>
    <w:rsid w:val="00061758"/>
    <w:rsid w:val="0006392A"/>
    <w:rsid w:val="0006465D"/>
    <w:rsid w:val="00065125"/>
    <w:rsid w:val="00066D54"/>
    <w:rsid w:val="00066FCA"/>
    <w:rsid w:val="00067089"/>
    <w:rsid w:val="00067A28"/>
    <w:rsid w:val="0007015D"/>
    <w:rsid w:val="00070DF5"/>
    <w:rsid w:val="000712D1"/>
    <w:rsid w:val="000712D4"/>
    <w:rsid w:val="00071316"/>
    <w:rsid w:val="00071A14"/>
    <w:rsid w:val="00071C74"/>
    <w:rsid w:val="0007259E"/>
    <w:rsid w:val="0007260F"/>
    <w:rsid w:val="00072A9C"/>
    <w:rsid w:val="000739CB"/>
    <w:rsid w:val="00073C89"/>
    <w:rsid w:val="00074414"/>
    <w:rsid w:val="0007485F"/>
    <w:rsid w:val="0007488E"/>
    <w:rsid w:val="0007660C"/>
    <w:rsid w:val="00077119"/>
    <w:rsid w:val="000805D5"/>
    <w:rsid w:val="0008103B"/>
    <w:rsid w:val="00082404"/>
    <w:rsid w:val="00084AAF"/>
    <w:rsid w:val="00085F97"/>
    <w:rsid w:val="00086730"/>
    <w:rsid w:val="00087777"/>
    <w:rsid w:val="000879B1"/>
    <w:rsid w:val="00087A58"/>
    <w:rsid w:val="00090D63"/>
    <w:rsid w:val="00091F72"/>
    <w:rsid w:val="00092A33"/>
    <w:rsid w:val="00092E0A"/>
    <w:rsid w:val="00094588"/>
    <w:rsid w:val="00095D2C"/>
    <w:rsid w:val="00095FFE"/>
    <w:rsid w:val="00096216"/>
    <w:rsid w:val="000973F9"/>
    <w:rsid w:val="000977D2"/>
    <w:rsid w:val="00097A23"/>
    <w:rsid w:val="00097E21"/>
    <w:rsid w:val="000A0848"/>
    <w:rsid w:val="000A21AE"/>
    <w:rsid w:val="000A28BD"/>
    <w:rsid w:val="000A2FEC"/>
    <w:rsid w:val="000A348F"/>
    <w:rsid w:val="000A380B"/>
    <w:rsid w:val="000A4FEE"/>
    <w:rsid w:val="000A5242"/>
    <w:rsid w:val="000A6104"/>
    <w:rsid w:val="000A62AC"/>
    <w:rsid w:val="000A7638"/>
    <w:rsid w:val="000A7D42"/>
    <w:rsid w:val="000B1B0C"/>
    <w:rsid w:val="000B1C42"/>
    <w:rsid w:val="000B2804"/>
    <w:rsid w:val="000B2CBB"/>
    <w:rsid w:val="000B4345"/>
    <w:rsid w:val="000B46CC"/>
    <w:rsid w:val="000B5900"/>
    <w:rsid w:val="000B5A4E"/>
    <w:rsid w:val="000B60AE"/>
    <w:rsid w:val="000B6942"/>
    <w:rsid w:val="000B6D00"/>
    <w:rsid w:val="000B70EC"/>
    <w:rsid w:val="000B7155"/>
    <w:rsid w:val="000C083F"/>
    <w:rsid w:val="000C09FA"/>
    <w:rsid w:val="000C0CA2"/>
    <w:rsid w:val="000C1AB0"/>
    <w:rsid w:val="000C1DE8"/>
    <w:rsid w:val="000C1E20"/>
    <w:rsid w:val="000C2231"/>
    <w:rsid w:val="000C36C3"/>
    <w:rsid w:val="000C37A9"/>
    <w:rsid w:val="000C445F"/>
    <w:rsid w:val="000C6728"/>
    <w:rsid w:val="000C702E"/>
    <w:rsid w:val="000C7E51"/>
    <w:rsid w:val="000D15E9"/>
    <w:rsid w:val="000D1A8C"/>
    <w:rsid w:val="000D2606"/>
    <w:rsid w:val="000D3182"/>
    <w:rsid w:val="000D3228"/>
    <w:rsid w:val="000D3493"/>
    <w:rsid w:val="000D45C4"/>
    <w:rsid w:val="000D46B3"/>
    <w:rsid w:val="000D4FA7"/>
    <w:rsid w:val="000D5228"/>
    <w:rsid w:val="000D5508"/>
    <w:rsid w:val="000D6C3D"/>
    <w:rsid w:val="000E072A"/>
    <w:rsid w:val="000E18F3"/>
    <w:rsid w:val="000E19AC"/>
    <w:rsid w:val="000E2197"/>
    <w:rsid w:val="000E266E"/>
    <w:rsid w:val="000E29CD"/>
    <w:rsid w:val="000E4C7B"/>
    <w:rsid w:val="000E5FD9"/>
    <w:rsid w:val="000E60B0"/>
    <w:rsid w:val="000E61EB"/>
    <w:rsid w:val="000E6200"/>
    <w:rsid w:val="000E78AB"/>
    <w:rsid w:val="000E7B25"/>
    <w:rsid w:val="000F0269"/>
    <w:rsid w:val="000F1515"/>
    <w:rsid w:val="000F16B5"/>
    <w:rsid w:val="000F1B12"/>
    <w:rsid w:val="000F2106"/>
    <w:rsid w:val="000F3FC7"/>
    <w:rsid w:val="000F4CFD"/>
    <w:rsid w:val="000F616E"/>
    <w:rsid w:val="000F7D50"/>
    <w:rsid w:val="00100306"/>
    <w:rsid w:val="00100C82"/>
    <w:rsid w:val="0010538C"/>
    <w:rsid w:val="00110939"/>
    <w:rsid w:val="00110D43"/>
    <w:rsid w:val="00114966"/>
    <w:rsid w:val="00114E2E"/>
    <w:rsid w:val="00115379"/>
    <w:rsid w:val="001159B4"/>
    <w:rsid w:val="001159EA"/>
    <w:rsid w:val="00116E03"/>
    <w:rsid w:val="001175B5"/>
    <w:rsid w:val="001201D7"/>
    <w:rsid w:val="00120365"/>
    <w:rsid w:val="00120A75"/>
    <w:rsid w:val="001225A4"/>
    <w:rsid w:val="00123258"/>
    <w:rsid w:val="0012379B"/>
    <w:rsid w:val="001248C2"/>
    <w:rsid w:val="00124F41"/>
    <w:rsid w:val="00125410"/>
    <w:rsid w:val="0012553B"/>
    <w:rsid w:val="0012657E"/>
    <w:rsid w:val="00127E8A"/>
    <w:rsid w:val="00130858"/>
    <w:rsid w:val="00131861"/>
    <w:rsid w:val="00132D9E"/>
    <w:rsid w:val="001333D0"/>
    <w:rsid w:val="00135B82"/>
    <w:rsid w:val="00136C26"/>
    <w:rsid w:val="001378F5"/>
    <w:rsid w:val="0014059F"/>
    <w:rsid w:val="00140A8D"/>
    <w:rsid w:val="00140B29"/>
    <w:rsid w:val="00141154"/>
    <w:rsid w:val="00141551"/>
    <w:rsid w:val="001417CE"/>
    <w:rsid w:val="001420BA"/>
    <w:rsid w:val="0014479F"/>
    <w:rsid w:val="001464EE"/>
    <w:rsid w:val="00146851"/>
    <w:rsid w:val="00146B30"/>
    <w:rsid w:val="00146EAD"/>
    <w:rsid w:val="00147312"/>
    <w:rsid w:val="001475D7"/>
    <w:rsid w:val="001505C5"/>
    <w:rsid w:val="00151BAE"/>
    <w:rsid w:val="001541BF"/>
    <w:rsid w:val="00154DC5"/>
    <w:rsid w:val="00155F04"/>
    <w:rsid w:val="00155F87"/>
    <w:rsid w:val="00156AFD"/>
    <w:rsid w:val="00157EDA"/>
    <w:rsid w:val="0016023F"/>
    <w:rsid w:val="00160C8D"/>
    <w:rsid w:val="001616E8"/>
    <w:rsid w:val="001629C0"/>
    <w:rsid w:val="00163379"/>
    <w:rsid w:val="00165122"/>
    <w:rsid w:val="00165854"/>
    <w:rsid w:val="00166078"/>
    <w:rsid w:val="001660A8"/>
    <w:rsid w:val="00166A15"/>
    <w:rsid w:val="00166D6F"/>
    <w:rsid w:val="00166EA7"/>
    <w:rsid w:val="001679D7"/>
    <w:rsid w:val="00167A05"/>
    <w:rsid w:val="0017042B"/>
    <w:rsid w:val="001704EE"/>
    <w:rsid w:val="00170B6E"/>
    <w:rsid w:val="001711BC"/>
    <w:rsid w:val="0017176B"/>
    <w:rsid w:val="00171E5B"/>
    <w:rsid w:val="00171F02"/>
    <w:rsid w:val="00172078"/>
    <w:rsid w:val="00172BC2"/>
    <w:rsid w:val="00172C3C"/>
    <w:rsid w:val="00173102"/>
    <w:rsid w:val="001738DB"/>
    <w:rsid w:val="001738F5"/>
    <w:rsid w:val="00173DFD"/>
    <w:rsid w:val="001805BE"/>
    <w:rsid w:val="00180FF9"/>
    <w:rsid w:val="00181C8D"/>
    <w:rsid w:val="001824BD"/>
    <w:rsid w:val="001826B2"/>
    <w:rsid w:val="00183067"/>
    <w:rsid w:val="00184AEF"/>
    <w:rsid w:val="00185579"/>
    <w:rsid w:val="00185B2E"/>
    <w:rsid w:val="0018706D"/>
    <w:rsid w:val="0019204F"/>
    <w:rsid w:val="001920DD"/>
    <w:rsid w:val="001921DD"/>
    <w:rsid w:val="001939E2"/>
    <w:rsid w:val="00193CD2"/>
    <w:rsid w:val="00194FC5"/>
    <w:rsid w:val="00195228"/>
    <w:rsid w:val="00195696"/>
    <w:rsid w:val="00196532"/>
    <w:rsid w:val="001967B2"/>
    <w:rsid w:val="001A0DB2"/>
    <w:rsid w:val="001A1EFC"/>
    <w:rsid w:val="001A2DE7"/>
    <w:rsid w:val="001A48EF"/>
    <w:rsid w:val="001A49CC"/>
    <w:rsid w:val="001A5553"/>
    <w:rsid w:val="001A626F"/>
    <w:rsid w:val="001A716E"/>
    <w:rsid w:val="001B0E96"/>
    <w:rsid w:val="001B18C6"/>
    <w:rsid w:val="001B25FE"/>
    <w:rsid w:val="001B2C65"/>
    <w:rsid w:val="001B3BA2"/>
    <w:rsid w:val="001B3BAD"/>
    <w:rsid w:val="001B4255"/>
    <w:rsid w:val="001B487B"/>
    <w:rsid w:val="001B5993"/>
    <w:rsid w:val="001B6D44"/>
    <w:rsid w:val="001B7058"/>
    <w:rsid w:val="001C102B"/>
    <w:rsid w:val="001C2CAA"/>
    <w:rsid w:val="001C3710"/>
    <w:rsid w:val="001C3A4F"/>
    <w:rsid w:val="001C4121"/>
    <w:rsid w:val="001C48DE"/>
    <w:rsid w:val="001C6618"/>
    <w:rsid w:val="001C6881"/>
    <w:rsid w:val="001C6AFE"/>
    <w:rsid w:val="001C773C"/>
    <w:rsid w:val="001C7A03"/>
    <w:rsid w:val="001C7DB9"/>
    <w:rsid w:val="001C7F8D"/>
    <w:rsid w:val="001D05F8"/>
    <w:rsid w:val="001D30C1"/>
    <w:rsid w:val="001D52E3"/>
    <w:rsid w:val="001D576F"/>
    <w:rsid w:val="001D6206"/>
    <w:rsid w:val="001D62B1"/>
    <w:rsid w:val="001D6987"/>
    <w:rsid w:val="001D7862"/>
    <w:rsid w:val="001D78E8"/>
    <w:rsid w:val="001D7C29"/>
    <w:rsid w:val="001E02D3"/>
    <w:rsid w:val="001E0475"/>
    <w:rsid w:val="001E0DAC"/>
    <w:rsid w:val="001E0FE5"/>
    <w:rsid w:val="001E250D"/>
    <w:rsid w:val="001E2891"/>
    <w:rsid w:val="001E33C2"/>
    <w:rsid w:val="001E55FD"/>
    <w:rsid w:val="001E56D9"/>
    <w:rsid w:val="001E582A"/>
    <w:rsid w:val="001E5BD5"/>
    <w:rsid w:val="001E5D57"/>
    <w:rsid w:val="001E6650"/>
    <w:rsid w:val="001E708A"/>
    <w:rsid w:val="001E7BA4"/>
    <w:rsid w:val="001F2AAD"/>
    <w:rsid w:val="001F3F23"/>
    <w:rsid w:val="001F409A"/>
    <w:rsid w:val="001F5C90"/>
    <w:rsid w:val="001F767C"/>
    <w:rsid w:val="001F7B10"/>
    <w:rsid w:val="00200CBB"/>
    <w:rsid w:val="00201EAE"/>
    <w:rsid w:val="00202E12"/>
    <w:rsid w:val="00203037"/>
    <w:rsid w:val="00203A7B"/>
    <w:rsid w:val="00204628"/>
    <w:rsid w:val="00204FAD"/>
    <w:rsid w:val="00205461"/>
    <w:rsid w:val="0020555A"/>
    <w:rsid w:val="002057EF"/>
    <w:rsid w:val="002057FE"/>
    <w:rsid w:val="00205BB6"/>
    <w:rsid w:val="00205C6E"/>
    <w:rsid w:val="00210074"/>
    <w:rsid w:val="00210507"/>
    <w:rsid w:val="00210FCF"/>
    <w:rsid w:val="002135E1"/>
    <w:rsid w:val="002141B2"/>
    <w:rsid w:val="0021562A"/>
    <w:rsid w:val="0021583C"/>
    <w:rsid w:val="002160CC"/>
    <w:rsid w:val="00216C1A"/>
    <w:rsid w:val="002179B6"/>
    <w:rsid w:val="0022202B"/>
    <w:rsid w:val="00222276"/>
    <w:rsid w:val="00222350"/>
    <w:rsid w:val="00222836"/>
    <w:rsid w:val="00222EFF"/>
    <w:rsid w:val="002240D5"/>
    <w:rsid w:val="00224170"/>
    <w:rsid w:val="00224A18"/>
    <w:rsid w:val="00225CA4"/>
    <w:rsid w:val="002261A7"/>
    <w:rsid w:val="00226AEC"/>
    <w:rsid w:val="00227ADB"/>
    <w:rsid w:val="0023077A"/>
    <w:rsid w:val="00231322"/>
    <w:rsid w:val="00233757"/>
    <w:rsid w:val="0023500F"/>
    <w:rsid w:val="00235380"/>
    <w:rsid w:val="00235ADF"/>
    <w:rsid w:val="00235C95"/>
    <w:rsid w:val="00235F16"/>
    <w:rsid w:val="00237743"/>
    <w:rsid w:val="0024048B"/>
    <w:rsid w:val="00241BD3"/>
    <w:rsid w:val="0024319B"/>
    <w:rsid w:val="00245983"/>
    <w:rsid w:val="00246612"/>
    <w:rsid w:val="00246E30"/>
    <w:rsid w:val="002500DF"/>
    <w:rsid w:val="002501EA"/>
    <w:rsid w:val="002527F1"/>
    <w:rsid w:val="00252E0F"/>
    <w:rsid w:val="00252F6E"/>
    <w:rsid w:val="002545F3"/>
    <w:rsid w:val="002559FB"/>
    <w:rsid w:val="00255E73"/>
    <w:rsid w:val="0025726E"/>
    <w:rsid w:val="00260B56"/>
    <w:rsid w:val="0026257E"/>
    <w:rsid w:val="0026344F"/>
    <w:rsid w:val="00263518"/>
    <w:rsid w:val="002636AE"/>
    <w:rsid w:val="00265439"/>
    <w:rsid w:val="00266A17"/>
    <w:rsid w:val="00270372"/>
    <w:rsid w:val="00270409"/>
    <w:rsid w:val="00270870"/>
    <w:rsid w:val="00271F83"/>
    <w:rsid w:val="002724AF"/>
    <w:rsid w:val="0027409C"/>
    <w:rsid w:val="00275534"/>
    <w:rsid w:val="00277075"/>
    <w:rsid w:val="002775D2"/>
    <w:rsid w:val="002801E9"/>
    <w:rsid w:val="00281A7A"/>
    <w:rsid w:val="00281ADD"/>
    <w:rsid w:val="00283813"/>
    <w:rsid w:val="002840C1"/>
    <w:rsid w:val="00284AD2"/>
    <w:rsid w:val="00284C9F"/>
    <w:rsid w:val="0028563E"/>
    <w:rsid w:val="002857F9"/>
    <w:rsid w:val="00286A31"/>
    <w:rsid w:val="00286AB5"/>
    <w:rsid w:val="0028755B"/>
    <w:rsid w:val="00287823"/>
    <w:rsid w:val="0028792D"/>
    <w:rsid w:val="002914E2"/>
    <w:rsid w:val="00291F4A"/>
    <w:rsid w:val="00292294"/>
    <w:rsid w:val="002931E5"/>
    <w:rsid w:val="00293E0D"/>
    <w:rsid w:val="00293E80"/>
    <w:rsid w:val="0029533F"/>
    <w:rsid w:val="0029535D"/>
    <w:rsid w:val="00296F6A"/>
    <w:rsid w:val="002973B0"/>
    <w:rsid w:val="00297C14"/>
    <w:rsid w:val="002A2110"/>
    <w:rsid w:val="002A220F"/>
    <w:rsid w:val="002A24F1"/>
    <w:rsid w:val="002A33F4"/>
    <w:rsid w:val="002A35E0"/>
    <w:rsid w:val="002A3A5E"/>
    <w:rsid w:val="002A3E38"/>
    <w:rsid w:val="002A43A0"/>
    <w:rsid w:val="002A4AA7"/>
    <w:rsid w:val="002A5778"/>
    <w:rsid w:val="002A584D"/>
    <w:rsid w:val="002A6D88"/>
    <w:rsid w:val="002A6E3B"/>
    <w:rsid w:val="002B1C24"/>
    <w:rsid w:val="002B1E84"/>
    <w:rsid w:val="002B2085"/>
    <w:rsid w:val="002B3785"/>
    <w:rsid w:val="002B3EC4"/>
    <w:rsid w:val="002B461A"/>
    <w:rsid w:val="002B4A4D"/>
    <w:rsid w:val="002B580B"/>
    <w:rsid w:val="002B5E17"/>
    <w:rsid w:val="002B61CA"/>
    <w:rsid w:val="002C0181"/>
    <w:rsid w:val="002C05BA"/>
    <w:rsid w:val="002C2FCA"/>
    <w:rsid w:val="002C36AF"/>
    <w:rsid w:val="002C37D5"/>
    <w:rsid w:val="002C48A3"/>
    <w:rsid w:val="002C4DA6"/>
    <w:rsid w:val="002C56B6"/>
    <w:rsid w:val="002C60A0"/>
    <w:rsid w:val="002C6F5D"/>
    <w:rsid w:val="002C7006"/>
    <w:rsid w:val="002C7684"/>
    <w:rsid w:val="002C76C7"/>
    <w:rsid w:val="002D0BAB"/>
    <w:rsid w:val="002D18E1"/>
    <w:rsid w:val="002D1EFF"/>
    <w:rsid w:val="002D239A"/>
    <w:rsid w:val="002D242D"/>
    <w:rsid w:val="002D34DB"/>
    <w:rsid w:val="002D35D5"/>
    <w:rsid w:val="002D4447"/>
    <w:rsid w:val="002D48BE"/>
    <w:rsid w:val="002D4B11"/>
    <w:rsid w:val="002D7C35"/>
    <w:rsid w:val="002E0CD6"/>
    <w:rsid w:val="002E1B01"/>
    <w:rsid w:val="002E1EA9"/>
    <w:rsid w:val="002E5633"/>
    <w:rsid w:val="002E5CE6"/>
    <w:rsid w:val="002E6659"/>
    <w:rsid w:val="002E79AA"/>
    <w:rsid w:val="002F06A5"/>
    <w:rsid w:val="002F1457"/>
    <w:rsid w:val="002F1963"/>
    <w:rsid w:val="002F2719"/>
    <w:rsid w:val="002F2C1C"/>
    <w:rsid w:val="002F2C32"/>
    <w:rsid w:val="002F34E2"/>
    <w:rsid w:val="002F5B6E"/>
    <w:rsid w:val="002F61B5"/>
    <w:rsid w:val="002F658B"/>
    <w:rsid w:val="002F749A"/>
    <w:rsid w:val="002F7695"/>
    <w:rsid w:val="00300066"/>
    <w:rsid w:val="003008E4"/>
    <w:rsid w:val="0030096A"/>
    <w:rsid w:val="0030209B"/>
    <w:rsid w:val="003034E2"/>
    <w:rsid w:val="003049B5"/>
    <w:rsid w:val="003052D8"/>
    <w:rsid w:val="0030701D"/>
    <w:rsid w:val="00310ADE"/>
    <w:rsid w:val="00310B8A"/>
    <w:rsid w:val="003112EF"/>
    <w:rsid w:val="003116DE"/>
    <w:rsid w:val="00312494"/>
    <w:rsid w:val="003127E4"/>
    <w:rsid w:val="00312C42"/>
    <w:rsid w:val="00313215"/>
    <w:rsid w:val="00313DA1"/>
    <w:rsid w:val="00317042"/>
    <w:rsid w:val="003174C3"/>
    <w:rsid w:val="003174E5"/>
    <w:rsid w:val="00320467"/>
    <w:rsid w:val="003230D5"/>
    <w:rsid w:val="0032395B"/>
    <w:rsid w:val="00324BD6"/>
    <w:rsid w:val="00324C48"/>
    <w:rsid w:val="0032557A"/>
    <w:rsid w:val="003255E0"/>
    <w:rsid w:val="003257B1"/>
    <w:rsid w:val="00326650"/>
    <w:rsid w:val="00326A6F"/>
    <w:rsid w:val="00326AEC"/>
    <w:rsid w:val="00326E3E"/>
    <w:rsid w:val="00330622"/>
    <w:rsid w:val="003317A2"/>
    <w:rsid w:val="003318BA"/>
    <w:rsid w:val="003326F7"/>
    <w:rsid w:val="00333DDD"/>
    <w:rsid w:val="00333E0E"/>
    <w:rsid w:val="00337985"/>
    <w:rsid w:val="00337BE4"/>
    <w:rsid w:val="00337C88"/>
    <w:rsid w:val="00340778"/>
    <w:rsid w:val="003407B9"/>
    <w:rsid w:val="00340DD7"/>
    <w:rsid w:val="00342169"/>
    <w:rsid w:val="00342DD6"/>
    <w:rsid w:val="00342F0A"/>
    <w:rsid w:val="00343132"/>
    <w:rsid w:val="00343205"/>
    <w:rsid w:val="00343A38"/>
    <w:rsid w:val="00344D2C"/>
    <w:rsid w:val="003458CE"/>
    <w:rsid w:val="00345A57"/>
    <w:rsid w:val="00346D90"/>
    <w:rsid w:val="00347B04"/>
    <w:rsid w:val="00347E2E"/>
    <w:rsid w:val="00351F62"/>
    <w:rsid w:val="00352357"/>
    <w:rsid w:val="0035792C"/>
    <w:rsid w:val="00360026"/>
    <w:rsid w:val="003601F4"/>
    <w:rsid w:val="00361150"/>
    <w:rsid w:val="00361FF9"/>
    <w:rsid w:val="00363C4A"/>
    <w:rsid w:val="00365263"/>
    <w:rsid w:val="003671E2"/>
    <w:rsid w:val="003675AD"/>
    <w:rsid w:val="00370320"/>
    <w:rsid w:val="003709AA"/>
    <w:rsid w:val="00372AE6"/>
    <w:rsid w:val="00373330"/>
    <w:rsid w:val="00374665"/>
    <w:rsid w:val="00374E86"/>
    <w:rsid w:val="003754A0"/>
    <w:rsid w:val="00376C3A"/>
    <w:rsid w:val="0038082C"/>
    <w:rsid w:val="003817C9"/>
    <w:rsid w:val="003818BA"/>
    <w:rsid w:val="003820C1"/>
    <w:rsid w:val="003837E1"/>
    <w:rsid w:val="003837F2"/>
    <w:rsid w:val="0038542D"/>
    <w:rsid w:val="0038584D"/>
    <w:rsid w:val="00387016"/>
    <w:rsid w:val="003907E3"/>
    <w:rsid w:val="0039257F"/>
    <w:rsid w:val="00393042"/>
    <w:rsid w:val="003931DE"/>
    <w:rsid w:val="00394E9E"/>
    <w:rsid w:val="00395350"/>
    <w:rsid w:val="00395544"/>
    <w:rsid w:val="00396023"/>
    <w:rsid w:val="00397D1A"/>
    <w:rsid w:val="003A163C"/>
    <w:rsid w:val="003A1932"/>
    <w:rsid w:val="003A218D"/>
    <w:rsid w:val="003A22C2"/>
    <w:rsid w:val="003A2332"/>
    <w:rsid w:val="003A290E"/>
    <w:rsid w:val="003A2B4E"/>
    <w:rsid w:val="003A2FBB"/>
    <w:rsid w:val="003A34E7"/>
    <w:rsid w:val="003A3799"/>
    <w:rsid w:val="003A425C"/>
    <w:rsid w:val="003A45C6"/>
    <w:rsid w:val="003A4913"/>
    <w:rsid w:val="003A5484"/>
    <w:rsid w:val="003A54A9"/>
    <w:rsid w:val="003A62A5"/>
    <w:rsid w:val="003A7083"/>
    <w:rsid w:val="003B170A"/>
    <w:rsid w:val="003B1B1E"/>
    <w:rsid w:val="003B200A"/>
    <w:rsid w:val="003B2490"/>
    <w:rsid w:val="003B2914"/>
    <w:rsid w:val="003B2CF2"/>
    <w:rsid w:val="003B3103"/>
    <w:rsid w:val="003B38B3"/>
    <w:rsid w:val="003B3A97"/>
    <w:rsid w:val="003B3AAD"/>
    <w:rsid w:val="003B3D25"/>
    <w:rsid w:val="003B3D44"/>
    <w:rsid w:val="003B47BC"/>
    <w:rsid w:val="003B53BC"/>
    <w:rsid w:val="003B5AE5"/>
    <w:rsid w:val="003B6FA2"/>
    <w:rsid w:val="003C01B2"/>
    <w:rsid w:val="003C168E"/>
    <w:rsid w:val="003C2540"/>
    <w:rsid w:val="003C3200"/>
    <w:rsid w:val="003C3211"/>
    <w:rsid w:val="003C5F43"/>
    <w:rsid w:val="003C6B81"/>
    <w:rsid w:val="003C6BB5"/>
    <w:rsid w:val="003C781E"/>
    <w:rsid w:val="003C7CC2"/>
    <w:rsid w:val="003D022C"/>
    <w:rsid w:val="003D11AC"/>
    <w:rsid w:val="003D11E9"/>
    <w:rsid w:val="003D1F00"/>
    <w:rsid w:val="003D32C1"/>
    <w:rsid w:val="003D3379"/>
    <w:rsid w:val="003D3F47"/>
    <w:rsid w:val="003D50B6"/>
    <w:rsid w:val="003D6E3A"/>
    <w:rsid w:val="003E057C"/>
    <w:rsid w:val="003E05DF"/>
    <w:rsid w:val="003E1562"/>
    <w:rsid w:val="003E1D41"/>
    <w:rsid w:val="003E22BA"/>
    <w:rsid w:val="003E41B2"/>
    <w:rsid w:val="003E6085"/>
    <w:rsid w:val="003E6CA3"/>
    <w:rsid w:val="003F201F"/>
    <w:rsid w:val="003F3031"/>
    <w:rsid w:val="003F31BC"/>
    <w:rsid w:val="003F4528"/>
    <w:rsid w:val="003F4C96"/>
    <w:rsid w:val="003F5049"/>
    <w:rsid w:val="003F5C06"/>
    <w:rsid w:val="003F5CC8"/>
    <w:rsid w:val="003F6CC6"/>
    <w:rsid w:val="0040174A"/>
    <w:rsid w:val="00401C49"/>
    <w:rsid w:val="00402B15"/>
    <w:rsid w:val="00402E31"/>
    <w:rsid w:val="00403778"/>
    <w:rsid w:val="00403B2A"/>
    <w:rsid w:val="0040409A"/>
    <w:rsid w:val="004042A9"/>
    <w:rsid w:val="00404CFE"/>
    <w:rsid w:val="00406002"/>
    <w:rsid w:val="00406AD3"/>
    <w:rsid w:val="00407116"/>
    <w:rsid w:val="00410731"/>
    <w:rsid w:val="00410A2E"/>
    <w:rsid w:val="00410D50"/>
    <w:rsid w:val="00410F2D"/>
    <w:rsid w:val="00411961"/>
    <w:rsid w:val="004120A3"/>
    <w:rsid w:val="00412DA9"/>
    <w:rsid w:val="00412E42"/>
    <w:rsid w:val="0041342F"/>
    <w:rsid w:val="00413EC1"/>
    <w:rsid w:val="00414A13"/>
    <w:rsid w:val="00415776"/>
    <w:rsid w:val="00415AC8"/>
    <w:rsid w:val="0042112A"/>
    <w:rsid w:val="00421D45"/>
    <w:rsid w:val="004231D2"/>
    <w:rsid w:val="0042349F"/>
    <w:rsid w:val="00425534"/>
    <w:rsid w:val="00425C05"/>
    <w:rsid w:val="00426356"/>
    <w:rsid w:val="00426929"/>
    <w:rsid w:val="00426A6D"/>
    <w:rsid w:val="00433028"/>
    <w:rsid w:val="004330A0"/>
    <w:rsid w:val="00433107"/>
    <w:rsid w:val="00433C23"/>
    <w:rsid w:val="00433D11"/>
    <w:rsid w:val="0043432C"/>
    <w:rsid w:val="00434F29"/>
    <w:rsid w:val="004352A4"/>
    <w:rsid w:val="00435737"/>
    <w:rsid w:val="004367C3"/>
    <w:rsid w:val="00437E20"/>
    <w:rsid w:val="0044006A"/>
    <w:rsid w:val="00440108"/>
    <w:rsid w:val="00441A6D"/>
    <w:rsid w:val="00441EB2"/>
    <w:rsid w:val="0044273C"/>
    <w:rsid w:val="00442948"/>
    <w:rsid w:val="00442C16"/>
    <w:rsid w:val="00445410"/>
    <w:rsid w:val="00445931"/>
    <w:rsid w:val="004459BF"/>
    <w:rsid w:val="00446439"/>
    <w:rsid w:val="0044672E"/>
    <w:rsid w:val="00450BDA"/>
    <w:rsid w:val="0045126D"/>
    <w:rsid w:val="00452AD0"/>
    <w:rsid w:val="00453A3E"/>
    <w:rsid w:val="0045452F"/>
    <w:rsid w:val="00455993"/>
    <w:rsid w:val="0045766B"/>
    <w:rsid w:val="00457EA9"/>
    <w:rsid w:val="00461061"/>
    <w:rsid w:val="004618A2"/>
    <w:rsid w:val="00463A9F"/>
    <w:rsid w:val="0046444F"/>
    <w:rsid w:val="0046478C"/>
    <w:rsid w:val="00464FF9"/>
    <w:rsid w:val="00465B51"/>
    <w:rsid w:val="0046636B"/>
    <w:rsid w:val="0046C6DE"/>
    <w:rsid w:val="004716E3"/>
    <w:rsid w:val="00472502"/>
    <w:rsid w:val="004725D6"/>
    <w:rsid w:val="004731F6"/>
    <w:rsid w:val="00474626"/>
    <w:rsid w:val="004748AD"/>
    <w:rsid w:val="00474BB7"/>
    <w:rsid w:val="00476133"/>
    <w:rsid w:val="00476800"/>
    <w:rsid w:val="00477B7B"/>
    <w:rsid w:val="00477CDD"/>
    <w:rsid w:val="004801CF"/>
    <w:rsid w:val="004816D7"/>
    <w:rsid w:val="004817B5"/>
    <w:rsid w:val="004819ED"/>
    <w:rsid w:val="0048215B"/>
    <w:rsid w:val="00482F63"/>
    <w:rsid w:val="0048342E"/>
    <w:rsid w:val="0048629F"/>
    <w:rsid w:val="00487478"/>
    <w:rsid w:val="0048782D"/>
    <w:rsid w:val="00490873"/>
    <w:rsid w:val="00491703"/>
    <w:rsid w:val="0049250C"/>
    <w:rsid w:val="00492E7D"/>
    <w:rsid w:val="0049349A"/>
    <w:rsid w:val="00493A06"/>
    <w:rsid w:val="0049425E"/>
    <w:rsid w:val="00494DC1"/>
    <w:rsid w:val="004A33AA"/>
    <w:rsid w:val="004A3DCB"/>
    <w:rsid w:val="004A3F56"/>
    <w:rsid w:val="004A4BB2"/>
    <w:rsid w:val="004A4F1C"/>
    <w:rsid w:val="004A5201"/>
    <w:rsid w:val="004A5D97"/>
    <w:rsid w:val="004A5E21"/>
    <w:rsid w:val="004A5E58"/>
    <w:rsid w:val="004A666A"/>
    <w:rsid w:val="004A67C9"/>
    <w:rsid w:val="004A6B8E"/>
    <w:rsid w:val="004B0594"/>
    <w:rsid w:val="004B143F"/>
    <w:rsid w:val="004B18FE"/>
    <w:rsid w:val="004B1E6E"/>
    <w:rsid w:val="004B1F54"/>
    <w:rsid w:val="004B213A"/>
    <w:rsid w:val="004B2153"/>
    <w:rsid w:val="004B2CAA"/>
    <w:rsid w:val="004B3022"/>
    <w:rsid w:val="004B49A0"/>
    <w:rsid w:val="004B50BD"/>
    <w:rsid w:val="004B52AF"/>
    <w:rsid w:val="004B6249"/>
    <w:rsid w:val="004B6310"/>
    <w:rsid w:val="004B6C2D"/>
    <w:rsid w:val="004B7B55"/>
    <w:rsid w:val="004C009B"/>
    <w:rsid w:val="004C05B5"/>
    <w:rsid w:val="004C3BDA"/>
    <w:rsid w:val="004C6306"/>
    <w:rsid w:val="004C664F"/>
    <w:rsid w:val="004C6F5E"/>
    <w:rsid w:val="004C7E94"/>
    <w:rsid w:val="004D025A"/>
    <w:rsid w:val="004D1D9E"/>
    <w:rsid w:val="004D26DB"/>
    <w:rsid w:val="004D4551"/>
    <w:rsid w:val="004D5A64"/>
    <w:rsid w:val="004D7363"/>
    <w:rsid w:val="004D788C"/>
    <w:rsid w:val="004D7CF8"/>
    <w:rsid w:val="004D7EDA"/>
    <w:rsid w:val="004E0E49"/>
    <w:rsid w:val="004E197A"/>
    <w:rsid w:val="004E22E8"/>
    <w:rsid w:val="004E2397"/>
    <w:rsid w:val="004E2AF3"/>
    <w:rsid w:val="004E44E1"/>
    <w:rsid w:val="004E46FD"/>
    <w:rsid w:val="004E5154"/>
    <w:rsid w:val="004E5D52"/>
    <w:rsid w:val="004E6502"/>
    <w:rsid w:val="004E7F36"/>
    <w:rsid w:val="004F07D7"/>
    <w:rsid w:val="004F1297"/>
    <w:rsid w:val="004F15C0"/>
    <w:rsid w:val="004F16DB"/>
    <w:rsid w:val="004F1808"/>
    <w:rsid w:val="004F23FD"/>
    <w:rsid w:val="004F25D0"/>
    <w:rsid w:val="004F2B57"/>
    <w:rsid w:val="004F2DED"/>
    <w:rsid w:val="004F3EE9"/>
    <w:rsid w:val="004F4D7E"/>
    <w:rsid w:val="004F5148"/>
    <w:rsid w:val="004F5B16"/>
    <w:rsid w:val="004F5D9D"/>
    <w:rsid w:val="004F5F28"/>
    <w:rsid w:val="004F68E5"/>
    <w:rsid w:val="004F6B56"/>
    <w:rsid w:val="004F7037"/>
    <w:rsid w:val="004F741B"/>
    <w:rsid w:val="00500A0F"/>
    <w:rsid w:val="00500F08"/>
    <w:rsid w:val="005010CE"/>
    <w:rsid w:val="0050132A"/>
    <w:rsid w:val="00502E8A"/>
    <w:rsid w:val="00503253"/>
    <w:rsid w:val="00503BB0"/>
    <w:rsid w:val="00503E03"/>
    <w:rsid w:val="00504A14"/>
    <w:rsid w:val="0050549D"/>
    <w:rsid w:val="00510085"/>
    <w:rsid w:val="0051135C"/>
    <w:rsid w:val="00511EC3"/>
    <w:rsid w:val="00511F0B"/>
    <w:rsid w:val="00512226"/>
    <w:rsid w:val="00512314"/>
    <w:rsid w:val="00512B31"/>
    <w:rsid w:val="0051401E"/>
    <w:rsid w:val="005147C6"/>
    <w:rsid w:val="005159B1"/>
    <w:rsid w:val="00515BC7"/>
    <w:rsid w:val="00515C38"/>
    <w:rsid w:val="00515E4F"/>
    <w:rsid w:val="00517930"/>
    <w:rsid w:val="00520FA2"/>
    <w:rsid w:val="005217C6"/>
    <w:rsid w:val="00522502"/>
    <w:rsid w:val="00522530"/>
    <w:rsid w:val="00522E95"/>
    <w:rsid w:val="00523DD7"/>
    <w:rsid w:val="005255A1"/>
    <w:rsid w:val="00525825"/>
    <w:rsid w:val="0052641C"/>
    <w:rsid w:val="00530991"/>
    <w:rsid w:val="00531051"/>
    <w:rsid w:val="005311C2"/>
    <w:rsid w:val="005319E9"/>
    <w:rsid w:val="00532EBD"/>
    <w:rsid w:val="0053443E"/>
    <w:rsid w:val="0053449C"/>
    <w:rsid w:val="0053795D"/>
    <w:rsid w:val="0054072D"/>
    <w:rsid w:val="00541D6B"/>
    <w:rsid w:val="00541F84"/>
    <w:rsid w:val="005444A6"/>
    <w:rsid w:val="00544522"/>
    <w:rsid w:val="00545A5E"/>
    <w:rsid w:val="00545D37"/>
    <w:rsid w:val="005467E2"/>
    <w:rsid w:val="005468AB"/>
    <w:rsid w:val="00546906"/>
    <w:rsid w:val="00546C62"/>
    <w:rsid w:val="0055007A"/>
    <w:rsid w:val="005501A0"/>
    <w:rsid w:val="0055026B"/>
    <w:rsid w:val="00550831"/>
    <w:rsid w:val="00550A6C"/>
    <w:rsid w:val="005525B0"/>
    <w:rsid w:val="00552867"/>
    <w:rsid w:val="00554051"/>
    <w:rsid w:val="00554273"/>
    <w:rsid w:val="00554EFE"/>
    <w:rsid w:val="00556140"/>
    <w:rsid w:val="00556A16"/>
    <w:rsid w:val="00557CD6"/>
    <w:rsid w:val="0056001A"/>
    <w:rsid w:val="00562123"/>
    <w:rsid w:val="005642B6"/>
    <w:rsid w:val="00565D17"/>
    <w:rsid w:val="00566A97"/>
    <w:rsid w:val="00567832"/>
    <w:rsid w:val="00571D5E"/>
    <w:rsid w:val="00572871"/>
    <w:rsid w:val="0057327B"/>
    <w:rsid w:val="00574846"/>
    <w:rsid w:val="005757D3"/>
    <w:rsid w:val="005763F1"/>
    <w:rsid w:val="00576EAB"/>
    <w:rsid w:val="00580BFA"/>
    <w:rsid w:val="00581485"/>
    <w:rsid w:val="005814CA"/>
    <w:rsid w:val="005817B2"/>
    <w:rsid w:val="00581864"/>
    <w:rsid w:val="005823D0"/>
    <w:rsid w:val="0058292D"/>
    <w:rsid w:val="00582A51"/>
    <w:rsid w:val="00582D42"/>
    <w:rsid w:val="00582D54"/>
    <w:rsid w:val="00582D79"/>
    <w:rsid w:val="00582E89"/>
    <w:rsid w:val="00583AAF"/>
    <w:rsid w:val="00583CC0"/>
    <w:rsid w:val="00584F4B"/>
    <w:rsid w:val="00585856"/>
    <w:rsid w:val="00586B7A"/>
    <w:rsid w:val="00587AF9"/>
    <w:rsid w:val="005909B2"/>
    <w:rsid w:val="0059217C"/>
    <w:rsid w:val="00592232"/>
    <w:rsid w:val="0059282B"/>
    <w:rsid w:val="0059438F"/>
    <w:rsid w:val="005943D5"/>
    <w:rsid w:val="005947B5"/>
    <w:rsid w:val="00595513"/>
    <w:rsid w:val="005962D5"/>
    <w:rsid w:val="005977F5"/>
    <w:rsid w:val="005979D8"/>
    <w:rsid w:val="00597D67"/>
    <w:rsid w:val="005A096A"/>
    <w:rsid w:val="005A2748"/>
    <w:rsid w:val="005A347F"/>
    <w:rsid w:val="005A431C"/>
    <w:rsid w:val="005A443F"/>
    <w:rsid w:val="005A5215"/>
    <w:rsid w:val="005A7C26"/>
    <w:rsid w:val="005B0970"/>
    <w:rsid w:val="005B0AEB"/>
    <w:rsid w:val="005B0E43"/>
    <w:rsid w:val="005B1ED0"/>
    <w:rsid w:val="005B2925"/>
    <w:rsid w:val="005B2DDC"/>
    <w:rsid w:val="005B3BDD"/>
    <w:rsid w:val="005B54F9"/>
    <w:rsid w:val="005B58D4"/>
    <w:rsid w:val="005B5B58"/>
    <w:rsid w:val="005B6CC7"/>
    <w:rsid w:val="005B7DC9"/>
    <w:rsid w:val="005C07B3"/>
    <w:rsid w:val="005C0994"/>
    <w:rsid w:val="005C284E"/>
    <w:rsid w:val="005C2D65"/>
    <w:rsid w:val="005C31B1"/>
    <w:rsid w:val="005C3B1E"/>
    <w:rsid w:val="005C3D49"/>
    <w:rsid w:val="005C47D4"/>
    <w:rsid w:val="005C75B0"/>
    <w:rsid w:val="005D05C2"/>
    <w:rsid w:val="005D0861"/>
    <w:rsid w:val="005D0DFA"/>
    <w:rsid w:val="005D1436"/>
    <w:rsid w:val="005D2248"/>
    <w:rsid w:val="005D45F9"/>
    <w:rsid w:val="005D51D0"/>
    <w:rsid w:val="005D5451"/>
    <w:rsid w:val="005D6F83"/>
    <w:rsid w:val="005D7877"/>
    <w:rsid w:val="005D7B5B"/>
    <w:rsid w:val="005D7CCF"/>
    <w:rsid w:val="005E015D"/>
    <w:rsid w:val="005E04CF"/>
    <w:rsid w:val="005E0E0C"/>
    <w:rsid w:val="005E1F46"/>
    <w:rsid w:val="005E1F48"/>
    <w:rsid w:val="005E58C4"/>
    <w:rsid w:val="005E5D8F"/>
    <w:rsid w:val="005E7790"/>
    <w:rsid w:val="005F2EB7"/>
    <w:rsid w:val="005F32C2"/>
    <w:rsid w:val="005F42B3"/>
    <w:rsid w:val="005F49AA"/>
    <w:rsid w:val="005F51E0"/>
    <w:rsid w:val="005F5698"/>
    <w:rsid w:val="005F5A5C"/>
    <w:rsid w:val="005F5CD9"/>
    <w:rsid w:val="005F5EAC"/>
    <w:rsid w:val="005F7CDE"/>
    <w:rsid w:val="0060056C"/>
    <w:rsid w:val="00600AFC"/>
    <w:rsid w:val="00601667"/>
    <w:rsid w:val="00602664"/>
    <w:rsid w:val="006029F1"/>
    <w:rsid w:val="00602A2B"/>
    <w:rsid w:val="00603C96"/>
    <w:rsid w:val="00605100"/>
    <w:rsid w:val="00606629"/>
    <w:rsid w:val="00606942"/>
    <w:rsid w:val="006076CB"/>
    <w:rsid w:val="00607E6A"/>
    <w:rsid w:val="0061135C"/>
    <w:rsid w:val="006113B3"/>
    <w:rsid w:val="006136DD"/>
    <w:rsid w:val="006149F0"/>
    <w:rsid w:val="00614A1E"/>
    <w:rsid w:val="00617691"/>
    <w:rsid w:val="00617A44"/>
    <w:rsid w:val="006215F8"/>
    <w:rsid w:val="006220A5"/>
    <w:rsid w:val="00622140"/>
    <w:rsid w:val="006227BC"/>
    <w:rsid w:val="00622D86"/>
    <w:rsid w:val="00624331"/>
    <w:rsid w:val="00624AC8"/>
    <w:rsid w:val="006262CF"/>
    <w:rsid w:val="006262FE"/>
    <w:rsid w:val="00630A76"/>
    <w:rsid w:val="00632A15"/>
    <w:rsid w:val="00632DF8"/>
    <w:rsid w:val="006333C9"/>
    <w:rsid w:val="00633812"/>
    <w:rsid w:val="00633C60"/>
    <w:rsid w:val="0063425B"/>
    <w:rsid w:val="00635149"/>
    <w:rsid w:val="006351E8"/>
    <w:rsid w:val="00635CF2"/>
    <w:rsid w:val="00640149"/>
    <w:rsid w:val="00640226"/>
    <w:rsid w:val="0064126D"/>
    <w:rsid w:val="0064167D"/>
    <w:rsid w:val="00643173"/>
    <w:rsid w:val="00643F74"/>
    <w:rsid w:val="0064445F"/>
    <w:rsid w:val="006448C8"/>
    <w:rsid w:val="006451B8"/>
    <w:rsid w:val="00645722"/>
    <w:rsid w:val="0064672D"/>
    <w:rsid w:val="00646D39"/>
    <w:rsid w:val="00647B42"/>
    <w:rsid w:val="00650259"/>
    <w:rsid w:val="006505DD"/>
    <w:rsid w:val="006509C3"/>
    <w:rsid w:val="006511C0"/>
    <w:rsid w:val="00651444"/>
    <w:rsid w:val="00652432"/>
    <w:rsid w:val="00652EBD"/>
    <w:rsid w:val="00653C96"/>
    <w:rsid w:val="00654489"/>
    <w:rsid w:val="00654F19"/>
    <w:rsid w:val="0065527F"/>
    <w:rsid w:val="00655694"/>
    <w:rsid w:val="00656872"/>
    <w:rsid w:val="00657840"/>
    <w:rsid w:val="0066003C"/>
    <w:rsid w:val="0066026A"/>
    <w:rsid w:val="0066041E"/>
    <w:rsid w:val="006619BB"/>
    <w:rsid w:val="00662740"/>
    <w:rsid w:val="00664A16"/>
    <w:rsid w:val="00665596"/>
    <w:rsid w:val="00666853"/>
    <w:rsid w:val="00667283"/>
    <w:rsid w:val="00667E44"/>
    <w:rsid w:val="006701F0"/>
    <w:rsid w:val="00671221"/>
    <w:rsid w:val="006727FA"/>
    <w:rsid w:val="00673005"/>
    <w:rsid w:val="00673CCC"/>
    <w:rsid w:val="00674350"/>
    <w:rsid w:val="0067440F"/>
    <w:rsid w:val="0067458F"/>
    <w:rsid w:val="00675516"/>
    <w:rsid w:val="006759EA"/>
    <w:rsid w:val="00675C98"/>
    <w:rsid w:val="0067723F"/>
    <w:rsid w:val="00677576"/>
    <w:rsid w:val="00681760"/>
    <w:rsid w:val="006839BC"/>
    <w:rsid w:val="006848C8"/>
    <w:rsid w:val="00684DB3"/>
    <w:rsid w:val="006855E3"/>
    <w:rsid w:val="00686371"/>
    <w:rsid w:val="00686C36"/>
    <w:rsid w:val="00687E40"/>
    <w:rsid w:val="0069026B"/>
    <w:rsid w:val="00692D91"/>
    <w:rsid w:val="0069336A"/>
    <w:rsid w:val="00694A06"/>
    <w:rsid w:val="00695585"/>
    <w:rsid w:val="006956EA"/>
    <w:rsid w:val="00696DCC"/>
    <w:rsid w:val="006A0B54"/>
    <w:rsid w:val="006A0D82"/>
    <w:rsid w:val="006A1748"/>
    <w:rsid w:val="006A1B24"/>
    <w:rsid w:val="006A2184"/>
    <w:rsid w:val="006A258A"/>
    <w:rsid w:val="006A3054"/>
    <w:rsid w:val="006A332E"/>
    <w:rsid w:val="006A490C"/>
    <w:rsid w:val="006A5881"/>
    <w:rsid w:val="006A6DB3"/>
    <w:rsid w:val="006A7276"/>
    <w:rsid w:val="006A766E"/>
    <w:rsid w:val="006B016F"/>
    <w:rsid w:val="006B0D1A"/>
    <w:rsid w:val="006B4F7D"/>
    <w:rsid w:val="006B63B1"/>
    <w:rsid w:val="006B7187"/>
    <w:rsid w:val="006B71E5"/>
    <w:rsid w:val="006B769A"/>
    <w:rsid w:val="006C01A1"/>
    <w:rsid w:val="006C114C"/>
    <w:rsid w:val="006C1B16"/>
    <w:rsid w:val="006C3112"/>
    <w:rsid w:val="006C3668"/>
    <w:rsid w:val="006C3864"/>
    <w:rsid w:val="006C5383"/>
    <w:rsid w:val="006C5E72"/>
    <w:rsid w:val="006D07C2"/>
    <w:rsid w:val="006D0FCE"/>
    <w:rsid w:val="006D1CA5"/>
    <w:rsid w:val="006D2AEC"/>
    <w:rsid w:val="006D366D"/>
    <w:rsid w:val="006D3F3D"/>
    <w:rsid w:val="006D438F"/>
    <w:rsid w:val="006D4B1C"/>
    <w:rsid w:val="006D4C8E"/>
    <w:rsid w:val="006D562A"/>
    <w:rsid w:val="006D5DC7"/>
    <w:rsid w:val="006D7F33"/>
    <w:rsid w:val="006E12FB"/>
    <w:rsid w:val="006E19D1"/>
    <w:rsid w:val="006E1CBB"/>
    <w:rsid w:val="006E2080"/>
    <w:rsid w:val="006E3D55"/>
    <w:rsid w:val="006E467C"/>
    <w:rsid w:val="006E4B27"/>
    <w:rsid w:val="006E5E7E"/>
    <w:rsid w:val="006E675B"/>
    <w:rsid w:val="006E7024"/>
    <w:rsid w:val="006F0248"/>
    <w:rsid w:val="006F047F"/>
    <w:rsid w:val="006F0754"/>
    <w:rsid w:val="006F0C2A"/>
    <w:rsid w:val="006F100B"/>
    <w:rsid w:val="006F239A"/>
    <w:rsid w:val="006F2C9D"/>
    <w:rsid w:val="006F4201"/>
    <w:rsid w:val="006F43FD"/>
    <w:rsid w:val="006F5258"/>
    <w:rsid w:val="006F5D0D"/>
    <w:rsid w:val="006F6411"/>
    <w:rsid w:val="006F649A"/>
    <w:rsid w:val="006F65E7"/>
    <w:rsid w:val="006F6B51"/>
    <w:rsid w:val="006F7A3F"/>
    <w:rsid w:val="00700482"/>
    <w:rsid w:val="007015E1"/>
    <w:rsid w:val="00704669"/>
    <w:rsid w:val="007048DB"/>
    <w:rsid w:val="007056CB"/>
    <w:rsid w:val="00705B1E"/>
    <w:rsid w:val="00705C64"/>
    <w:rsid w:val="0070637D"/>
    <w:rsid w:val="007071DD"/>
    <w:rsid w:val="00707599"/>
    <w:rsid w:val="0070771F"/>
    <w:rsid w:val="00707EC4"/>
    <w:rsid w:val="00707F8C"/>
    <w:rsid w:val="00712A14"/>
    <w:rsid w:val="00713208"/>
    <w:rsid w:val="00716C04"/>
    <w:rsid w:val="00717180"/>
    <w:rsid w:val="007172D3"/>
    <w:rsid w:val="00717380"/>
    <w:rsid w:val="007179D2"/>
    <w:rsid w:val="00720750"/>
    <w:rsid w:val="00721FE1"/>
    <w:rsid w:val="00723020"/>
    <w:rsid w:val="00723575"/>
    <w:rsid w:val="00723F4B"/>
    <w:rsid w:val="00724DE7"/>
    <w:rsid w:val="0072531C"/>
    <w:rsid w:val="0072549C"/>
    <w:rsid w:val="00725A80"/>
    <w:rsid w:val="00726E61"/>
    <w:rsid w:val="00727AF6"/>
    <w:rsid w:val="00730A16"/>
    <w:rsid w:val="0073102A"/>
    <w:rsid w:val="007321E3"/>
    <w:rsid w:val="00733970"/>
    <w:rsid w:val="007339DB"/>
    <w:rsid w:val="0073413A"/>
    <w:rsid w:val="007375FE"/>
    <w:rsid w:val="007376AA"/>
    <w:rsid w:val="00740170"/>
    <w:rsid w:val="00740FDF"/>
    <w:rsid w:val="007411D9"/>
    <w:rsid w:val="0074148C"/>
    <w:rsid w:val="00741D0B"/>
    <w:rsid w:val="00742146"/>
    <w:rsid w:val="0074458D"/>
    <w:rsid w:val="007450F4"/>
    <w:rsid w:val="00746F40"/>
    <w:rsid w:val="007471FB"/>
    <w:rsid w:val="0075050E"/>
    <w:rsid w:val="00750D61"/>
    <w:rsid w:val="00751B90"/>
    <w:rsid w:val="00752347"/>
    <w:rsid w:val="0075243D"/>
    <w:rsid w:val="00752797"/>
    <w:rsid w:val="0075405C"/>
    <w:rsid w:val="00754C58"/>
    <w:rsid w:val="00755A57"/>
    <w:rsid w:val="00755BF0"/>
    <w:rsid w:val="00755F7B"/>
    <w:rsid w:val="00757F2A"/>
    <w:rsid w:val="00760E2B"/>
    <w:rsid w:val="00761D3D"/>
    <w:rsid w:val="00761E4B"/>
    <w:rsid w:val="00762A6E"/>
    <w:rsid w:val="00764BB6"/>
    <w:rsid w:val="007656D8"/>
    <w:rsid w:val="00766334"/>
    <w:rsid w:val="00770E08"/>
    <w:rsid w:val="0077436E"/>
    <w:rsid w:val="007756CC"/>
    <w:rsid w:val="007758BC"/>
    <w:rsid w:val="00776653"/>
    <w:rsid w:val="00776DC6"/>
    <w:rsid w:val="00776E78"/>
    <w:rsid w:val="0078138A"/>
    <w:rsid w:val="00781D8B"/>
    <w:rsid w:val="007820DB"/>
    <w:rsid w:val="00782ADA"/>
    <w:rsid w:val="00783014"/>
    <w:rsid w:val="007834DC"/>
    <w:rsid w:val="00783B1F"/>
    <w:rsid w:val="0078582E"/>
    <w:rsid w:val="00786BD0"/>
    <w:rsid w:val="00787A56"/>
    <w:rsid w:val="00787BA9"/>
    <w:rsid w:val="007901A8"/>
    <w:rsid w:val="00790768"/>
    <w:rsid w:val="00791611"/>
    <w:rsid w:val="00792CAA"/>
    <w:rsid w:val="00793FBE"/>
    <w:rsid w:val="007959D8"/>
    <w:rsid w:val="0079630F"/>
    <w:rsid w:val="00796D50"/>
    <w:rsid w:val="007A04C2"/>
    <w:rsid w:val="007A0F44"/>
    <w:rsid w:val="007A12F1"/>
    <w:rsid w:val="007A2B4C"/>
    <w:rsid w:val="007A2DC6"/>
    <w:rsid w:val="007A4188"/>
    <w:rsid w:val="007A4238"/>
    <w:rsid w:val="007A47D0"/>
    <w:rsid w:val="007A5757"/>
    <w:rsid w:val="007A5BB5"/>
    <w:rsid w:val="007A6A85"/>
    <w:rsid w:val="007B0A70"/>
    <w:rsid w:val="007B0D33"/>
    <w:rsid w:val="007B146A"/>
    <w:rsid w:val="007B15D7"/>
    <w:rsid w:val="007B1737"/>
    <w:rsid w:val="007B184F"/>
    <w:rsid w:val="007B2090"/>
    <w:rsid w:val="007B28BE"/>
    <w:rsid w:val="007B3AE2"/>
    <w:rsid w:val="007B3D10"/>
    <w:rsid w:val="007B40C6"/>
    <w:rsid w:val="007B4558"/>
    <w:rsid w:val="007B57C9"/>
    <w:rsid w:val="007B5DCB"/>
    <w:rsid w:val="007B60CC"/>
    <w:rsid w:val="007B6A47"/>
    <w:rsid w:val="007B6BEB"/>
    <w:rsid w:val="007B7A56"/>
    <w:rsid w:val="007C04A3"/>
    <w:rsid w:val="007C07B6"/>
    <w:rsid w:val="007C0E7C"/>
    <w:rsid w:val="007C0EAA"/>
    <w:rsid w:val="007C179C"/>
    <w:rsid w:val="007C19C3"/>
    <w:rsid w:val="007C36D5"/>
    <w:rsid w:val="007C3801"/>
    <w:rsid w:val="007C4069"/>
    <w:rsid w:val="007C44B2"/>
    <w:rsid w:val="007C5448"/>
    <w:rsid w:val="007C54EE"/>
    <w:rsid w:val="007C5B95"/>
    <w:rsid w:val="007C5E07"/>
    <w:rsid w:val="007C6496"/>
    <w:rsid w:val="007C66A7"/>
    <w:rsid w:val="007C745E"/>
    <w:rsid w:val="007D09A8"/>
    <w:rsid w:val="007D0ABE"/>
    <w:rsid w:val="007D2783"/>
    <w:rsid w:val="007D2C7E"/>
    <w:rsid w:val="007D3134"/>
    <w:rsid w:val="007D4AC1"/>
    <w:rsid w:val="007D5D19"/>
    <w:rsid w:val="007D78D6"/>
    <w:rsid w:val="007E00FF"/>
    <w:rsid w:val="007E0E0C"/>
    <w:rsid w:val="007E0E53"/>
    <w:rsid w:val="007E2346"/>
    <w:rsid w:val="007E319A"/>
    <w:rsid w:val="007E356F"/>
    <w:rsid w:val="007E3F8C"/>
    <w:rsid w:val="007E5A79"/>
    <w:rsid w:val="007E7145"/>
    <w:rsid w:val="007E7163"/>
    <w:rsid w:val="007E74BE"/>
    <w:rsid w:val="007F03B3"/>
    <w:rsid w:val="007F0AC6"/>
    <w:rsid w:val="007F1A21"/>
    <w:rsid w:val="007F2058"/>
    <w:rsid w:val="007F360E"/>
    <w:rsid w:val="007F376E"/>
    <w:rsid w:val="007F41A3"/>
    <w:rsid w:val="007F6EB4"/>
    <w:rsid w:val="007F7685"/>
    <w:rsid w:val="0080011D"/>
    <w:rsid w:val="0080085B"/>
    <w:rsid w:val="00800EA5"/>
    <w:rsid w:val="00801A2B"/>
    <w:rsid w:val="00801C01"/>
    <w:rsid w:val="00802880"/>
    <w:rsid w:val="00804E91"/>
    <w:rsid w:val="00805405"/>
    <w:rsid w:val="00807007"/>
    <w:rsid w:val="008112CC"/>
    <w:rsid w:val="00811C37"/>
    <w:rsid w:val="00811E65"/>
    <w:rsid w:val="008130BB"/>
    <w:rsid w:val="00813828"/>
    <w:rsid w:val="00813D7D"/>
    <w:rsid w:val="008140AE"/>
    <w:rsid w:val="008140F5"/>
    <w:rsid w:val="008147C6"/>
    <w:rsid w:val="00814BC6"/>
    <w:rsid w:val="00816E26"/>
    <w:rsid w:val="00817406"/>
    <w:rsid w:val="008208A7"/>
    <w:rsid w:val="008217C5"/>
    <w:rsid w:val="008237FA"/>
    <w:rsid w:val="00823AE3"/>
    <w:rsid w:val="0082417C"/>
    <w:rsid w:val="00824771"/>
    <w:rsid w:val="008257BA"/>
    <w:rsid w:val="00825D37"/>
    <w:rsid w:val="00825F7A"/>
    <w:rsid w:val="00827266"/>
    <w:rsid w:val="00830318"/>
    <w:rsid w:val="00830962"/>
    <w:rsid w:val="0083154D"/>
    <w:rsid w:val="00831781"/>
    <w:rsid w:val="00831F62"/>
    <w:rsid w:val="00832795"/>
    <w:rsid w:val="00832AA5"/>
    <w:rsid w:val="008335D1"/>
    <w:rsid w:val="00833927"/>
    <w:rsid w:val="0083430D"/>
    <w:rsid w:val="008369B0"/>
    <w:rsid w:val="00837004"/>
    <w:rsid w:val="008372D1"/>
    <w:rsid w:val="00837B59"/>
    <w:rsid w:val="00841E8C"/>
    <w:rsid w:val="00844F69"/>
    <w:rsid w:val="00845BFC"/>
    <w:rsid w:val="00845C01"/>
    <w:rsid w:val="00845C1E"/>
    <w:rsid w:val="00846A7D"/>
    <w:rsid w:val="00850EA0"/>
    <w:rsid w:val="00851579"/>
    <w:rsid w:val="0085455C"/>
    <w:rsid w:val="00854C98"/>
    <w:rsid w:val="0085649A"/>
    <w:rsid w:val="0085732C"/>
    <w:rsid w:val="00857C91"/>
    <w:rsid w:val="00857E38"/>
    <w:rsid w:val="008602BD"/>
    <w:rsid w:val="00860B45"/>
    <w:rsid w:val="00860EEF"/>
    <w:rsid w:val="00861959"/>
    <w:rsid w:val="00861F68"/>
    <w:rsid w:val="00862F29"/>
    <w:rsid w:val="00863860"/>
    <w:rsid w:val="008638B5"/>
    <w:rsid w:val="00863A32"/>
    <w:rsid w:val="0086417B"/>
    <w:rsid w:val="00865808"/>
    <w:rsid w:val="00865DCB"/>
    <w:rsid w:val="00865F8C"/>
    <w:rsid w:val="008666F2"/>
    <w:rsid w:val="00866B47"/>
    <w:rsid w:val="0087323C"/>
    <w:rsid w:val="008734DB"/>
    <w:rsid w:val="008736D2"/>
    <w:rsid w:val="0087390B"/>
    <w:rsid w:val="00873987"/>
    <w:rsid w:val="00874035"/>
    <w:rsid w:val="008745A1"/>
    <w:rsid w:val="0087548B"/>
    <w:rsid w:val="00875A5E"/>
    <w:rsid w:val="008768E9"/>
    <w:rsid w:val="00877410"/>
    <w:rsid w:val="0087751B"/>
    <w:rsid w:val="008776EA"/>
    <w:rsid w:val="00880E55"/>
    <w:rsid w:val="00881A32"/>
    <w:rsid w:val="00882576"/>
    <w:rsid w:val="008874E8"/>
    <w:rsid w:val="00890995"/>
    <w:rsid w:val="008914FB"/>
    <w:rsid w:val="008920F5"/>
    <w:rsid w:val="00892516"/>
    <w:rsid w:val="00892EED"/>
    <w:rsid w:val="00893995"/>
    <w:rsid w:val="0089399A"/>
    <w:rsid w:val="0089737A"/>
    <w:rsid w:val="00897E99"/>
    <w:rsid w:val="00897F60"/>
    <w:rsid w:val="008A07B9"/>
    <w:rsid w:val="008A0EE9"/>
    <w:rsid w:val="008A3908"/>
    <w:rsid w:val="008A3B13"/>
    <w:rsid w:val="008A3C73"/>
    <w:rsid w:val="008A4648"/>
    <w:rsid w:val="008A4829"/>
    <w:rsid w:val="008A5584"/>
    <w:rsid w:val="008A702F"/>
    <w:rsid w:val="008B0B20"/>
    <w:rsid w:val="008B1D4A"/>
    <w:rsid w:val="008B2384"/>
    <w:rsid w:val="008B3021"/>
    <w:rsid w:val="008B38D6"/>
    <w:rsid w:val="008B44EF"/>
    <w:rsid w:val="008B4802"/>
    <w:rsid w:val="008B545D"/>
    <w:rsid w:val="008B67E9"/>
    <w:rsid w:val="008B69BB"/>
    <w:rsid w:val="008B69E3"/>
    <w:rsid w:val="008B7016"/>
    <w:rsid w:val="008B78C4"/>
    <w:rsid w:val="008B798D"/>
    <w:rsid w:val="008C01B4"/>
    <w:rsid w:val="008C0DA7"/>
    <w:rsid w:val="008C1FD1"/>
    <w:rsid w:val="008C24A8"/>
    <w:rsid w:val="008C35EF"/>
    <w:rsid w:val="008C3664"/>
    <w:rsid w:val="008C506A"/>
    <w:rsid w:val="008C5996"/>
    <w:rsid w:val="008C7872"/>
    <w:rsid w:val="008D0AF1"/>
    <w:rsid w:val="008D36C4"/>
    <w:rsid w:val="008D4156"/>
    <w:rsid w:val="008D4319"/>
    <w:rsid w:val="008D4FA9"/>
    <w:rsid w:val="008D5A11"/>
    <w:rsid w:val="008D5E23"/>
    <w:rsid w:val="008D7427"/>
    <w:rsid w:val="008D7676"/>
    <w:rsid w:val="008D77AF"/>
    <w:rsid w:val="008E05D0"/>
    <w:rsid w:val="008E28B3"/>
    <w:rsid w:val="008E3DBE"/>
    <w:rsid w:val="008E6880"/>
    <w:rsid w:val="008E6D59"/>
    <w:rsid w:val="008E6E5E"/>
    <w:rsid w:val="008F0744"/>
    <w:rsid w:val="008F1513"/>
    <w:rsid w:val="008F29E9"/>
    <w:rsid w:val="008F2AAC"/>
    <w:rsid w:val="008F2CEE"/>
    <w:rsid w:val="008F30C7"/>
    <w:rsid w:val="008F41FB"/>
    <w:rsid w:val="008F4527"/>
    <w:rsid w:val="008F5158"/>
    <w:rsid w:val="008F5D66"/>
    <w:rsid w:val="008F6B0C"/>
    <w:rsid w:val="008F70B6"/>
    <w:rsid w:val="009004DE"/>
    <w:rsid w:val="00901A31"/>
    <w:rsid w:val="00901D5B"/>
    <w:rsid w:val="00901DCB"/>
    <w:rsid w:val="009028AA"/>
    <w:rsid w:val="00903B25"/>
    <w:rsid w:val="00903E3F"/>
    <w:rsid w:val="009049C3"/>
    <w:rsid w:val="00904AB8"/>
    <w:rsid w:val="009057D9"/>
    <w:rsid w:val="009067C5"/>
    <w:rsid w:val="00906A0D"/>
    <w:rsid w:val="00906BF7"/>
    <w:rsid w:val="0090774A"/>
    <w:rsid w:val="00907C97"/>
    <w:rsid w:val="009100A4"/>
    <w:rsid w:val="00910D07"/>
    <w:rsid w:val="00914B2F"/>
    <w:rsid w:val="009150E6"/>
    <w:rsid w:val="00915768"/>
    <w:rsid w:val="00915DCE"/>
    <w:rsid w:val="00916290"/>
    <w:rsid w:val="00916E88"/>
    <w:rsid w:val="00916F37"/>
    <w:rsid w:val="00917F64"/>
    <w:rsid w:val="00917F89"/>
    <w:rsid w:val="00920EFD"/>
    <w:rsid w:val="00921929"/>
    <w:rsid w:val="009223BE"/>
    <w:rsid w:val="00922EEA"/>
    <w:rsid w:val="0092499B"/>
    <w:rsid w:val="009255EE"/>
    <w:rsid w:val="00925603"/>
    <w:rsid w:val="00925F76"/>
    <w:rsid w:val="00925FCE"/>
    <w:rsid w:val="00926ABA"/>
    <w:rsid w:val="009274FF"/>
    <w:rsid w:val="00927C34"/>
    <w:rsid w:val="00930C28"/>
    <w:rsid w:val="00931BC6"/>
    <w:rsid w:val="00932E89"/>
    <w:rsid w:val="00933309"/>
    <w:rsid w:val="0093359D"/>
    <w:rsid w:val="0093391A"/>
    <w:rsid w:val="00933A31"/>
    <w:rsid w:val="00933D65"/>
    <w:rsid w:val="00933F2B"/>
    <w:rsid w:val="00934FCD"/>
    <w:rsid w:val="00935F04"/>
    <w:rsid w:val="009379FA"/>
    <w:rsid w:val="00941071"/>
    <w:rsid w:val="00942787"/>
    <w:rsid w:val="00942EEB"/>
    <w:rsid w:val="0094468E"/>
    <w:rsid w:val="00944B6E"/>
    <w:rsid w:val="00945261"/>
    <w:rsid w:val="00946865"/>
    <w:rsid w:val="00947377"/>
    <w:rsid w:val="009506A5"/>
    <w:rsid w:val="009511CE"/>
    <w:rsid w:val="00951452"/>
    <w:rsid w:val="00953119"/>
    <w:rsid w:val="009541CC"/>
    <w:rsid w:val="00954EB1"/>
    <w:rsid w:val="00955A20"/>
    <w:rsid w:val="00955DAA"/>
    <w:rsid w:val="00956564"/>
    <w:rsid w:val="009567A6"/>
    <w:rsid w:val="00956D5A"/>
    <w:rsid w:val="00961B2C"/>
    <w:rsid w:val="00961DBB"/>
    <w:rsid w:val="00961FC7"/>
    <w:rsid w:val="009625A0"/>
    <w:rsid w:val="009631D5"/>
    <w:rsid w:val="009639AC"/>
    <w:rsid w:val="00963D2B"/>
    <w:rsid w:val="00963FB8"/>
    <w:rsid w:val="009651FF"/>
    <w:rsid w:val="00966113"/>
    <w:rsid w:val="0096618E"/>
    <w:rsid w:val="00970736"/>
    <w:rsid w:val="00970BBF"/>
    <w:rsid w:val="0097250A"/>
    <w:rsid w:val="00974AB6"/>
    <w:rsid w:val="009750F5"/>
    <w:rsid w:val="009758AE"/>
    <w:rsid w:val="009807F1"/>
    <w:rsid w:val="00981433"/>
    <w:rsid w:val="0098169F"/>
    <w:rsid w:val="0098222F"/>
    <w:rsid w:val="0098244F"/>
    <w:rsid w:val="00982FA2"/>
    <w:rsid w:val="00983122"/>
    <w:rsid w:val="00983138"/>
    <w:rsid w:val="00985C07"/>
    <w:rsid w:val="00986BC2"/>
    <w:rsid w:val="00993340"/>
    <w:rsid w:val="0099374C"/>
    <w:rsid w:val="00993D6C"/>
    <w:rsid w:val="0099575E"/>
    <w:rsid w:val="00995B4F"/>
    <w:rsid w:val="00995FA3"/>
    <w:rsid w:val="00997582"/>
    <w:rsid w:val="009A112F"/>
    <w:rsid w:val="009A22F8"/>
    <w:rsid w:val="009A2AA8"/>
    <w:rsid w:val="009A2BD2"/>
    <w:rsid w:val="009A2C21"/>
    <w:rsid w:val="009A3E58"/>
    <w:rsid w:val="009A5047"/>
    <w:rsid w:val="009A5F02"/>
    <w:rsid w:val="009A662F"/>
    <w:rsid w:val="009A7AB1"/>
    <w:rsid w:val="009A7E2B"/>
    <w:rsid w:val="009B045B"/>
    <w:rsid w:val="009B1395"/>
    <w:rsid w:val="009B2996"/>
    <w:rsid w:val="009B2CE4"/>
    <w:rsid w:val="009B2F9B"/>
    <w:rsid w:val="009B33D1"/>
    <w:rsid w:val="009B3C31"/>
    <w:rsid w:val="009B3D23"/>
    <w:rsid w:val="009B424D"/>
    <w:rsid w:val="009B61E5"/>
    <w:rsid w:val="009B6408"/>
    <w:rsid w:val="009B6711"/>
    <w:rsid w:val="009B70E6"/>
    <w:rsid w:val="009C10E2"/>
    <w:rsid w:val="009C138C"/>
    <w:rsid w:val="009C4714"/>
    <w:rsid w:val="009C523F"/>
    <w:rsid w:val="009C6DAA"/>
    <w:rsid w:val="009C78E5"/>
    <w:rsid w:val="009C7C3F"/>
    <w:rsid w:val="009D0E74"/>
    <w:rsid w:val="009D1A96"/>
    <w:rsid w:val="009D370B"/>
    <w:rsid w:val="009D5E5C"/>
    <w:rsid w:val="009D65B3"/>
    <w:rsid w:val="009D7813"/>
    <w:rsid w:val="009D7EE0"/>
    <w:rsid w:val="009D7FB3"/>
    <w:rsid w:val="009E078B"/>
    <w:rsid w:val="009E172D"/>
    <w:rsid w:val="009E1B3F"/>
    <w:rsid w:val="009E2087"/>
    <w:rsid w:val="009E252B"/>
    <w:rsid w:val="009E3265"/>
    <w:rsid w:val="009E3353"/>
    <w:rsid w:val="009E3F08"/>
    <w:rsid w:val="009E409F"/>
    <w:rsid w:val="009E41C2"/>
    <w:rsid w:val="009E446D"/>
    <w:rsid w:val="009E7C09"/>
    <w:rsid w:val="009F06A5"/>
    <w:rsid w:val="009F146D"/>
    <w:rsid w:val="009F155C"/>
    <w:rsid w:val="009F17E1"/>
    <w:rsid w:val="009F2BC7"/>
    <w:rsid w:val="009F4F1E"/>
    <w:rsid w:val="009F5D6A"/>
    <w:rsid w:val="009F62F6"/>
    <w:rsid w:val="009F6AB6"/>
    <w:rsid w:val="00A01182"/>
    <w:rsid w:val="00A015E4"/>
    <w:rsid w:val="00A017B7"/>
    <w:rsid w:val="00A02E98"/>
    <w:rsid w:val="00A03A84"/>
    <w:rsid w:val="00A06774"/>
    <w:rsid w:val="00A06CDC"/>
    <w:rsid w:val="00A075BC"/>
    <w:rsid w:val="00A07B6C"/>
    <w:rsid w:val="00A11222"/>
    <w:rsid w:val="00A12C39"/>
    <w:rsid w:val="00A134FB"/>
    <w:rsid w:val="00A14940"/>
    <w:rsid w:val="00A1568A"/>
    <w:rsid w:val="00A162FE"/>
    <w:rsid w:val="00A20474"/>
    <w:rsid w:val="00A20802"/>
    <w:rsid w:val="00A20AF9"/>
    <w:rsid w:val="00A221F4"/>
    <w:rsid w:val="00A22434"/>
    <w:rsid w:val="00A22731"/>
    <w:rsid w:val="00A231B7"/>
    <w:rsid w:val="00A2366F"/>
    <w:rsid w:val="00A243D2"/>
    <w:rsid w:val="00A24814"/>
    <w:rsid w:val="00A253CB"/>
    <w:rsid w:val="00A25B4F"/>
    <w:rsid w:val="00A261B3"/>
    <w:rsid w:val="00A27035"/>
    <w:rsid w:val="00A27E8B"/>
    <w:rsid w:val="00A30697"/>
    <w:rsid w:val="00A30EDD"/>
    <w:rsid w:val="00A311CF"/>
    <w:rsid w:val="00A31358"/>
    <w:rsid w:val="00A3143C"/>
    <w:rsid w:val="00A32E36"/>
    <w:rsid w:val="00A32EBC"/>
    <w:rsid w:val="00A33C43"/>
    <w:rsid w:val="00A34499"/>
    <w:rsid w:val="00A35E19"/>
    <w:rsid w:val="00A37B7C"/>
    <w:rsid w:val="00A404CF"/>
    <w:rsid w:val="00A41C99"/>
    <w:rsid w:val="00A42AAB"/>
    <w:rsid w:val="00A42E40"/>
    <w:rsid w:val="00A43509"/>
    <w:rsid w:val="00A43A05"/>
    <w:rsid w:val="00A44089"/>
    <w:rsid w:val="00A442BF"/>
    <w:rsid w:val="00A451D2"/>
    <w:rsid w:val="00A47CF9"/>
    <w:rsid w:val="00A50BC1"/>
    <w:rsid w:val="00A512DF"/>
    <w:rsid w:val="00A517D0"/>
    <w:rsid w:val="00A51B96"/>
    <w:rsid w:val="00A52CE6"/>
    <w:rsid w:val="00A531ED"/>
    <w:rsid w:val="00A53716"/>
    <w:rsid w:val="00A55586"/>
    <w:rsid w:val="00A557EE"/>
    <w:rsid w:val="00A55FA5"/>
    <w:rsid w:val="00A5629E"/>
    <w:rsid w:val="00A56F42"/>
    <w:rsid w:val="00A61379"/>
    <w:rsid w:val="00A62750"/>
    <w:rsid w:val="00A63011"/>
    <w:rsid w:val="00A632F9"/>
    <w:rsid w:val="00A64832"/>
    <w:rsid w:val="00A64DEF"/>
    <w:rsid w:val="00A64F94"/>
    <w:rsid w:val="00A65B6D"/>
    <w:rsid w:val="00A65F44"/>
    <w:rsid w:val="00A66248"/>
    <w:rsid w:val="00A669E2"/>
    <w:rsid w:val="00A66AEA"/>
    <w:rsid w:val="00A705D4"/>
    <w:rsid w:val="00A708E4"/>
    <w:rsid w:val="00A72B4B"/>
    <w:rsid w:val="00A732DB"/>
    <w:rsid w:val="00A75338"/>
    <w:rsid w:val="00A7694F"/>
    <w:rsid w:val="00A8078E"/>
    <w:rsid w:val="00A82E11"/>
    <w:rsid w:val="00A83071"/>
    <w:rsid w:val="00A838D2"/>
    <w:rsid w:val="00A86380"/>
    <w:rsid w:val="00A8692D"/>
    <w:rsid w:val="00A86F04"/>
    <w:rsid w:val="00A875BD"/>
    <w:rsid w:val="00A87D7F"/>
    <w:rsid w:val="00A90A3E"/>
    <w:rsid w:val="00A90FB1"/>
    <w:rsid w:val="00A914C9"/>
    <w:rsid w:val="00A9285E"/>
    <w:rsid w:val="00A92C08"/>
    <w:rsid w:val="00A9358E"/>
    <w:rsid w:val="00A93E40"/>
    <w:rsid w:val="00A946C4"/>
    <w:rsid w:val="00A94A83"/>
    <w:rsid w:val="00A959DA"/>
    <w:rsid w:val="00A978DA"/>
    <w:rsid w:val="00AA0F8D"/>
    <w:rsid w:val="00AA1377"/>
    <w:rsid w:val="00AA1A44"/>
    <w:rsid w:val="00AA1EBB"/>
    <w:rsid w:val="00AA436B"/>
    <w:rsid w:val="00AA446E"/>
    <w:rsid w:val="00AA478E"/>
    <w:rsid w:val="00AA5A1D"/>
    <w:rsid w:val="00AB137D"/>
    <w:rsid w:val="00AB2DAD"/>
    <w:rsid w:val="00AB2F4E"/>
    <w:rsid w:val="00AB3442"/>
    <w:rsid w:val="00AB4736"/>
    <w:rsid w:val="00AB4741"/>
    <w:rsid w:val="00AB4D70"/>
    <w:rsid w:val="00AB5722"/>
    <w:rsid w:val="00AB592D"/>
    <w:rsid w:val="00AB7A26"/>
    <w:rsid w:val="00AC0188"/>
    <w:rsid w:val="00AC01F8"/>
    <w:rsid w:val="00AC059A"/>
    <w:rsid w:val="00AC2E15"/>
    <w:rsid w:val="00AC3BE3"/>
    <w:rsid w:val="00AC40C5"/>
    <w:rsid w:val="00AC41CF"/>
    <w:rsid w:val="00AC62C9"/>
    <w:rsid w:val="00AC6388"/>
    <w:rsid w:val="00AC6EBE"/>
    <w:rsid w:val="00AC7E56"/>
    <w:rsid w:val="00AD0308"/>
    <w:rsid w:val="00AD377A"/>
    <w:rsid w:val="00AD3B98"/>
    <w:rsid w:val="00AD45AC"/>
    <w:rsid w:val="00AD5B7E"/>
    <w:rsid w:val="00AD67BB"/>
    <w:rsid w:val="00AE1CC1"/>
    <w:rsid w:val="00AE33B5"/>
    <w:rsid w:val="00AE3EA4"/>
    <w:rsid w:val="00AE46F4"/>
    <w:rsid w:val="00AE4E43"/>
    <w:rsid w:val="00AE51FE"/>
    <w:rsid w:val="00AE783F"/>
    <w:rsid w:val="00AE7D92"/>
    <w:rsid w:val="00AF058F"/>
    <w:rsid w:val="00AF1B02"/>
    <w:rsid w:val="00AF1BE1"/>
    <w:rsid w:val="00AF3151"/>
    <w:rsid w:val="00AF3508"/>
    <w:rsid w:val="00AF359F"/>
    <w:rsid w:val="00AF37D6"/>
    <w:rsid w:val="00AF41E4"/>
    <w:rsid w:val="00AF568A"/>
    <w:rsid w:val="00AF60C1"/>
    <w:rsid w:val="00AF69A1"/>
    <w:rsid w:val="00AF6FCF"/>
    <w:rsid w:val="00AF7B51"/>
    <w:rsid w:val="00B0378F"/>
    <w:rsid w:val="00B03ED5"/>
    <w:rsid w:val="00B05262"/>
    <w:rsid w:val="00B052CA"/>
    <w:rsid w:val="00B06A75"/>
    <w:rsid w:val="00B06BC3"/>
    <w:rsid w:val="00B06D00"/>
    <w:rsid w:val="00B15A0F"/>
    <w:rsid w:val="00B15BF4"/>
    <w:rsid w:val="00B17FB2"/>
    <w:rsid w:val="00B20236"/>
    <w:rsid w:val="00B20937"/>
    <w:rsid w:val="00B20C8E"/>
    <w:rsid w:val="00B2146F"/>
    <w:rsid w:val="00B220A0"/>
    <w:rsid w:val="00B22B64"/>
    <w:rsid w:val="00B22D72"/>
    <w:rsid w:val="00B22FEA"/>
    <w:rsid w:val="00B2301C"/>
    <w:rsid w:val="00B23EB1"/>
    <w:rsid w:val="00B24321"/>
    <w:rsid w:val="00B2435E"/>
    <w:rsid w:val="00B24451"/>
    <w:rsid w:val="00B253CB"/>
    <w:rsid w:val="00B305FA"/>
    <w:rsid w:val="00B30FEB"/>
    <w:rsid w:val="00B311BA"/>
    <w:rsid w:val="00B345BA"/>
    <w:rsid w:val="00B34E8E"/>
    <w:rsid w:val="00B35B47"/>
    <w:rsid w:val="00B36CFE"/>
    <w:rsid w:val="00B3709A"/>
    <w:rsid w:val="00B40AA3"/>
    <w:rsid w:val="00B419DC"/>
    <w:rsid w:val="00B42FA3"/>
    <w:rsid w:val="00B43411"/>
    <w:rsid w:val="00B43AF9"/>
    <w:rsid w:val="00B44478"/>
    <w:rsid w:val="00B4609C"/>
    <w:rsid w:val="00B46F2B"/>
    <w:rsid w:val="00B508DA"/>
    <w:rsid w:val="00B538BA"/>
    <w:rsid w:val="00B56303"/>
    <w:rsid w:val="00B565DA"/>
    <w:rsid w:val="00B5743F"/>
    <w:rsid w:val="00B6002C"/>
    <w:rsid w:val="00B60495"/>
    <w:rsid w:val="00B60E56"/>
    <w:rsid w:val="00B60F5F"/>
    <w:rsid w:val="00B61744"/>
    <w:rsid w:val="00B61DD0"/>
    <w:rsid w:val="00B620EE"/>
    <w:rsid w:val="00B62EF8"/>
    <w:rsid w:val="00B63694"/>
    <w:rsid w:val="00B63DC4"/>
    <w:rsid w:val="00B643AA"/>
    <w:rsid w:val="00B656D3"/>
    <w:rsid w:val="00B67DE1"/>
    <w:rsid w:val="00B702F4"/>
    <w:rsid w:val="00B7150E"/>
    <w:rsid w:val="00B717FF"/>
    <w:rsid w:val="00B71B49"/>
    <w:rsid w:val="00B73E87"/>
    <w:rsid w:val="00B74195"/>
    <w:rsid w:val="00B7458C"/>
    <w:rsid w:val="00B752EE"/>
    <w:rsid w:val="00B75354"/>
    <w:rsid w:val="00B760B4"/>
    <w:rsid w:val="00B77926"/>
    <w:rsid w:val="00B80FB4"/>
    <w:rsid w:val="00B8135F"/>
    <w:rsid w:val="00B825D7"/>
    <w:rsid w:val="00B85366"/>
    <w:rsid w:val="00B87D0A"/>
    <w:rsid w:val="00B87F60"/>
    <w:rsid w:val="00B9079B"/>
    <w:rsid w:val="00B91D7A"/>
    <w:rsid w:val="00B92961"/>
    <w:rsid w:val="00B93B5E"/>
    <w:rsid w:val="00B93D3D"/>
    <w:rsid w:val="00B95780"/>
    <w:rsid w:val="00B95F47"/>
    <w:rsid w:val="00B95FA8"/>
    <w:rsid w:val="00B96341"/>
    <w:rsid w:val="00B96BDF"/>
    <w:rsid w:val="00B96E81"/>
    <w:rsid w:val="00BA11C1"/>
    <w:rsid w:val="00BA169A"/>
    <w:rsid w:val="00BA34CC"/>
    <w:rsid w:val="00BA471F"/>
    <w:rsid w:val="00BA49D6"/>
    <w:rsid w:val="00BA6D08"/>
    <w:rsid w:val="00BA6D39"/>
    <w:rsid w:val="00BA708E"/>
    <w:rsid w:val="00BB01CA"/>
    <w:rsid w:val="00BB0B01"/>
    <w:rsid w:val="00BB170C"/>
    <w:rsid w:val="00BB384D"/>
    <w:rsid w:val="00BB4BF1"/>
    <w:rsid w:val="00BB5013"/>
    <w:rsid w:val="00BB528E"/>
    <w:rsid w:val="00BB549A"/>
    <w:rsid w:val="00BB615A"/>
    <w:rsid w:val="00BB6878"/>
    <w:rsid w:val="00BB77E8"/>
    <w:rsid w:val="00BB78CD"/>
    <w:rsid w:val="00BB7C73"/>
    <w:rsid w:val="00BC04C4"/>
    <w:rsid w:val="00BC108D"/>
    <w:rsid w:val="00BC11EC"/>
    <w:rsid w:val="00BC1553"/>
    <w:rsid w:val="00BC2600"/>
    <w:rsid w:val="00BC36F0"/>
    <w:rsid w:val="00BC3E99"/>
    <w:rsid w:val="00BC4FA7"/>
    <w:rsid w:val="00BC5E30"/>
    <w:rsid w:val="00BC6BE0"/>
    <w:rsid w:val="00BC6E62"/>
    <w:rsid w:val="00BC70CD"/>
    <w:rsid w:val="00BC7781"/>
    <w:rsid w:val="00BC7D47"/>
    <w:rsid w:val="00BD00ED"/>
    <w:rsid w:val="00BD02C5"/>
    <w:rsid w:val="00BD068D"/>
    <w:rsid w:val="00BD0D99"/>
    <w:rsid w:val="00BD1707"/>
    <w:rsid w:val="00BD1E4A"/>
    <w:rsid w:val="00BD26DA"/>
    <w:rsid w:val="00BD3618"/>
    <w:rsid w:val="00BD3761"/>
    <w:rsid w:val="00BD45CB"/>
    <w:rsid w:val="00BD6B72"/>
    <w:rsid w:val="00BD6D31"/>
    <w:rsid w:val="00BD703B"/>
    <w:rsid w:val="00BE059E"/>
    <w:rsid w:val="00BE0D9A"/>
    <w:rsid w:val="00BE1A50"/>
    <w:rsid w:val="00BE1A63"/>
    <w:rsid w:val="00BE1F62"/>
    <w:rsid w:val="00BE242D"/>
    <w:rsid w:val="00BE2F0D"/>
    <w:rsid w:val="00BE5171"/>
    <w:rsid w:val="00BE5E2E"/>
    <w:rsid w:val="00BE6FE7"/>
    <w:rsid w:val="00BE703B"/>
    <w:rsid w:val="00BF0BD5"/>
    <w:rsid w:val="00BF0D35"/>
    <w:rsid w:val="00BF2275"/>
    <w:rsid w:val="00BF4886"/>
    <w:rsid w:val="00BF5469"/>
    <w:rsid w:val="00BF55F8"/>
    <w:rsid w:val="00BF60B1"/>
    <w:rsid w:val="00BF625D"/>
    <w:rsid w:val="00BF6FC2"/>
    <w:rsid w:val="00BF7396"/>
    <w:rsid w:val="00C000C6"/>
    <w:rsid w:val="00C003FD"/>
    <w:rsid w:val="00C01A59"/>
    <w:rsid w:val="00C0203D"/>
    <w:rsid w:val="00C03742"/>
    <w:rsid w:val="00C03F78"/>
    <w:rsid w:val="00C051FD"/>
    <w:rsid w:val="00C054B7"/>
    <w:rsid w:val="00C10039"/>
    <w:rsid w:val="00C1027B"/>
    <w:rsid w:val="00C117CF"/>
    <w:rsid w:val="00C11E38"/>
    <w:rsid w:val="00C11F14"/>
    <w:rsid w:val="00C15FD2"/>
    <w:rsid w:val="00C1744F"/>
    <w:rsid w:val="00C20850"/>
    <w:rsid w:val="00C20C7D"/>
    <w:rsid w:val="00C20DEF"/>
    <w:rsid w:val="00C2127F"/>
    <w:rsid w:val="00C24248"/>
    <w:rsid w:val="00C2454F"/>
    <w:rsid w:val="00C24B25"/>
    <w:rsid w:val="00C24CC2"/>
    <w:rsid w:val="00C24E89"/>
    <w:rsid w:val="00C253FF"/>
    <w:rsid w:val="00C26631"/>
    <w:rsid w:val="00C26D7B"/>
    <w:rsid w:val="00C3003A"/>
    <w:rsid w:val="00C32C2F"/>
    <w:rsid w:val="00C33D74"/>
    <w:rsid w:val="00C34DAF"/>
    <w:rsid w:val="00C3738A"/>
    <w:rsid w:val="00C376C7"/>
    <w:rsid w:val="00C37E08"/>
    <w:rsid w:val="00C40859"/>
    <w:rsid w:val="00C40C46"/>
    <w:rsid w:val="00C417FB"/>
    <w:rsid w:val="00C41AE3"/>
    <w:rsid w:val="00C41B89"/>
    <w:rsid w:val="00C429B5"/>
    <w:rsid w:val="00C4315A"/>
    <w:rsid w:val="00C43F5E"/>
    <w:rsid w:val="00C44074"/>
    <w:rsid w:val="00C44A44"/>
    <w:rsid w:val="00C44D85"/>
    <w:rsid w:val="00C4651F"/>
    <w:rsid w:val="00C47B85"/>
    <w:rsid w:val="00C5068B"/>
    <w:rsid w:val="00C50868"/>
    <w:rsid w:val="00C50C6A"/>
    <w:rsid w:val="00C514BD"/>
    <w:rsid w:val="00C51D0B"/>
    <w:rsid w:val="00C51FD0"/>
    <w:rsid w:val="00C52207"/>
    <w:rsid w:val="00C52A50"/>
    <w:rsid w:val="00C53EC0"/>
    <w:rsid w:val="00C556E8"/>
    <w:rsid w:val="00C571CD"/>
    <w:rsid w:val="00C57AD6"/>
    <w:rsid w:val="00C6043B"/>
    <w:rsid w:val="00C61628"/>
    <w:rsid w:val="00C616BB"/>
    <w:rsid w:val="00C636F8"/>
    <w:rsid w:val="00C63A5B"/>
    <w:rsid w:val="00C64172"/>
    <w:rsid w:val="00C642D4"/>
    <w:rsid w:val="00C66AF6"/>
    <w:rsid w:val="00C672A6"/>
    <w:rsid w:val="00C70BF1"/>
    <w:rsid w:val="00C728A9"/>
    <w:rsid w:val="00C730F4"/>
    <w:rsid w:val="00C7424F"/>
    <w:rsid w:val="00C74311"/>
    <w:rsid w:val="00C74E91"/>
    <w:rsid w:val="00C75BF3"/>
    <w:rsid w:val="00C75C5C"/>
    <w:rsid w:val="00C7639A"/>
    <w:rsid w:val="00C77C91"/>
    <w:rsid w:val="00C77F4E"/>
    <w:rsid w:val="00C80200"/>
    <w:rsid w:val="00C80E0A"/>
    <w:rsid w:val="00C821CB"/>
    <w:rsid w:val="00C8270B"/>
    <w:rsid w:val="00C8278E"/>
    <w:rsid w:val="00C83063"/>
    <w:rsid w:val="00C839A4"/>
    <w:rsid w:val="00C841A9"/>
    <w:rsid w:val="00C8728F"/>
    <w:rsid w:val="00C90A07"/>
    <w:rsid w:val="00C91957"/>
    <w:rsid w:val="00C91D48"/>
    <w:rsid w:val="00C927E0"/>
    <w:rsid w:val="00C928A7"/>
    <w:rsid w:val="00C92CC8"/>
    <w:rsid w:val="00C9304A"/>
    <w:rsid w:val="00C9366E"/>
    <w:rsid w:val="00C93FF8"/>
    <w:rsid w:val="00C94C31"/>
    <w:rsid w:val="00C952C8"/>
    <w:rsid w:val="00C967F5"/>
    <w:rsid w:val="00C975E8"/>
    <w:rsid w:val="00C97F2C"/>
    <w:rsid w:val="00C97FBC"/>
    <w:rsid w:val="00CA06C8"/>
    <w:rsid w:val="00CA0B7E"/>
    <w:rsid w:val="00CA29BE"/>
    <w:rsid w:val="00CA37B6"/>
    <w:rsid w:val="00CA3FA4"/>
    <w:rsid w:val="00CA42E4"/>
    <w:rsid w:val="00CA4851"/>
    <w:rsid w:val="00CA4C28"/>
    <w:rsid w:val="00CA4E33"/>
    <w:rsid w:val="00CA5551"/>
    <w:rsid w:val="00CA5598"/>
    <w:rsid w:val="00CA5EF8"/>
    <w:rsid w:val="00CA62E5"/>
    <w:rsid w:val="00CA68D3"/>
    <w:rsid w:val="00CA7E91"/>
    <w:rsid w:val="00CB002E"/>
    <w:rsid w:val="00CB0936"/>
    <w:rsid w:val="00CB12AF"/>
    <w:rsid w:val="00CB1EC5"/>
    <w:rsid w:val="00CB28A3"/>
    <w:rsid w:val="00CB2CF0"/>
    <w:rsid w:val="00CB2D1C"/>
    <w:rsid w:val="00CB2D58"/>
    <w:rsid w:val="00CB3134"/>
    <w:rsid w:val="00CB4B57"/>
    <w:rsid w:val="00CB54DD"/>
    <w:rsid w:val="00CB5F75"/>
    <w:rsid w:val="00CB73EC"/>
    <w:rsid w:val="00CC00A0"/>
    <w:rsid w:val="00CC02BA"/>
    <w:rsid w:val="00CC08A8"/>
    <w:rsid w:val="00CC0FED"/>
    <w:rsid w:val="00CC396A"/>
    <w:rsid w:val="00CC3C34"/>
    <w:rsid w:val="00CC3DCA"/>
    <w:rsid w:val="00CC3F9F"/>
    <w:rsid w:val="00CC4911"/>
    <w:rsid w:val="00CC4FEB"/>
    <w:rsid w:val="00CC51DF"/>
    <w:rsid w:val="00CC5455"/>
    <w:rsid w:val="00CC6C06"/>
    <w:rsid w:val="00CD12C5"/>
    <w:rsid w:val="00CD1438"/>
    <w:rsid w:val="00CD1526"/>
    <w:rsid w:val="00CD1546"/>
    <w:rsid w:val="00CD2807"/>
    <w:rsid w:val="00CD28EA"/>
    <w:rsid w:val="00CD30B3"/>
    <w:rsid w:val="00CD439A"/>
    <w:rsid w:val="00CD4978"/>
    <w:rsid w:val="00CD5509"/>
    <w:rsid w:val="00CD5A00"/>
    <w:rsid w:val="00CE0215"/>
    <w:rsid w:val="00CE1A2C"/>
    <w:rsid w:val="00CE1BCB"/>
    <w:rsid w:val="00CE1EB0"/>
    <w:rsid w:val="00CE2B22"/>
    <w:rsid w:val="00CE3333"/>
    <w:rsid w:val="00CE343E"/>
    <w:rsid w:val="00CE3DF2"/>
    <w:rsid w:val="00CE463E"/>
    <w:rsid w:val="00CE5037"/>
    <w:rsid w:val="00CE6036"/>
    <w:rsid w:val="00CE6428"/>
    <w:rsid w:val="00CE732A"/>
    <w:rsid w:val="00CF04D5"/>
    <w:rsid w:val="00CF09A6"/>
    <w:rsid w:val="00CF0BFC"/>
    <w:rsid w:val="00CF0C0F"/>
    <w:rsid w:val="00CF1690"/>
    <w:rsid w:val="00CF1A5F"/>
    <w:rsid w:val="00CF1F2A"/>
    <w:rsid w:val="00CF4A6C"/>
    <w:rsid w:val="00CF5014"/>
    <w:rsid w:val="00CF5A76"/>
    <w:rsid w:val="00CF5CE3"/>
    <w:rsid w:val="00CF6489"/>
    <w:rsid w:val="00CF7412"/>
    <w:rsid w:val="00CF7F8B"/>
    <w:rsid w:val="00D00B1A"/>
    <w:rsid w:val="00D01210"/>
    <w:rsid w:val="00D014E1"/>
    <w:rsid w:val="00D02648"/>
    <w:rsid w:val="00D0290D"/>
    <w:rsid w:val="00D02B1E"/>
    <w:rsid w:val="00D02D7C"/>
    <w:rsid w:val="00D030F8"/>
    <w:rsid w:val="00D04378"/>
    <w:rsid w:val="00D05970"/>
    <w:rsid w:val="00D062FE"/>
    <w:rsid w:val="00D063D0"/>
    <w:rsid w:val="00D06F41"/>
    <w:rsid w:val="00D077B7"/>
    <w:rsid w:val="00D07C81"/>
    <w:rsid w:val="00D101DA"/>
    <w:rsid w:val="00D11094"/>
    <w:rsid w:val="00D1164F"/>
    <w:rsid w:val="00D14E98"/>
    <w:rsid w:val="00D15622"/>
    <w:rsid w:val="00D15CDD"/>
    <w:rsid w:val="00D1689D"/>
    <w:rsid w:val="00D17770"/>
    <w:rsid w:val="00D20297"/>
    <w:rsid w:val="00D21E43"/>
    <w:rsid w:val="00D21E6B"/>
    <w:rsid w:val="00D2336A"/>
    <w:rsid w:val="00D23634"/>
    <w:rsid w:val="00D23739"/>
    <w:rsid w:val="00D2680B"/>
    <w:rsid w:val="00D302FA"/>
    <w:rsid w:val="00D31558"/>
    <w:rsid w:val="00D31846"/>
    <w:rsid w:val="00D32745"/>
    <w:rsid w:val="00D34551"/>
    <w:rsid w:val="00D34B6B"/>
    <w:rsid w:val="00D36CFB"/>
    <w:rsid w:val="00D36D27"/>
    <w:rsid w:val="00D400C7"/>
    <w:rsid w:val="00D4029A"/>
    <w:rsid w:val="00D40429"/>
    <w:rsid w:val="00D40A48"/>
    <w:rsid w:val="00D4118E"/>
    <w:rsid w:val="00D41664"/>
    <w:rsid w:val="00D41732"/>
    <w:rsid w:val="00D435BF"/>
    <w:rsid w:val="00D43783"/>
    <w:rsid w:val="00D4569D"/>
    <w:rsid w:val="00D457D6"/>
    <w:rsid w:val="00D50F5B"/>
    <w:rsid w:val="00D515A2"/>
    <w:rsid w:val="00D517C5"/>
    <w:rsid w:val="00D52325"/>
    <w:rsid w:val="00D5294A"/>
    <w:rsid w:val="00D52FC0"/>
    <w:rsid w:val="00D55013"/>
    <w:rsid w:val="00D56AC4"/>
    <w:rsid w:val="00D57A06"/>
    <w:rsid w:val="00D5B50D"/>
    <w:rsid w:val="00D6044A"/>
    <w:rsid w:val="00D6200A"/>
    <w:rsid w:val="00D64CE2"/>
    <w:rsid w:val="00D661D4"/>
    <w:rsid w:val="00D67315"/>
    <w:rsid w:val="00D674A5"/>
    <w:rsid w:val="00D70000"/>
    <w:rsid w:val="00D702E1"/>
    <w:rsid w:val="00D7030F"/>
    <w:rsid w:val="00D7137B"/>
    <w:rsid w:val="00D719B9"/>
    <w:rsid w:val="00D71B59"/>
    <w:rsid w:val="00D71BED"/>
    <w:rsid w:val="00D7270F"/>
    <w:rsid w:val="00D732C2"/>
    <w:rsid w:val="00D73C83"/>
    <w:rsid w:val="00D73E62"/>
    <w:rsid w:val="00D740D1"/>
    <w:rsid w:val="00D746E1"/>
    <w:rsid w:val="00D74C0C"/>
    <w:rsid w:val="00D7596A"/>
    <w:rsid w:val="00D76BBD"/>
    <w:rsid w:val="00D7751B"/>
    <w:rsid w:val="00D815DC"/>
    <w:rsid w:val="00D822B5"/>
    <w:rsid w:val="00D82E55"/>
    <w:rsid w:val="00D837F2"/>
    <w:rsid w:val="00D83D3C"/>
    <w:rsid w:val="00D84451"/>
    <w:rsid w:val="00D85083"/>
    <w:rsid w:val="00D85343"/>
    <w:rsid w:val="00D853A0"/>
    <w:rsid w:val="00D85C95"/>
    <w:rsid w:val="00D867AE"/>
    <w:rsid w:val="00D87BBB"/>
    <w:rsid w:val="00D87C87"/>
    <w:rsid w:val="00D921C4"/>
    <w:rsid w:val="00D9296A"/>
    <w:rsid w:val="00D934B0"/>
    <w:rsid w:val="00D9362A"/>
    <w:rsid w:val="00D93C23"/>
    <w:rsid w:val="00D95638"/>
    <w:rsid w:val="00D9584C"/>
    <w:rsid w:val="00D958E6"/>
    <w:rsid w:val="00D95C10"/>
    <w:rsid w:val="00D96754"/>
    <w:rsid w:val="00D97180"/>
    <w:rsid w:val="00D979AC"/>
    <w:rsid w:val="00D97C79"/>
    <w:rsid w:val="00DA05FC"/>
    <w:rsid w:val="00DA081A"/>
    <w:rsid w:val="00DA14D9"/>
    <w:rsid w:val="00DA3B2D"/>
    <w:rsid w:val="00DA4922"/>
    <w:rsid w:val="00DA4AD3"/>
    <w:rsid w:val="00DA719A"/>
    <w:rsid w:val="00DA7588"/>
    <w:rsid w:val="00DB13AD"/>
    <w:rsid w:val="00DB23F9"/>
    <w:rsid w:val="00DB2819"/>
    <w:rsid w:val="00DB58BE"/>
    <w:rsid w:val="00DB602E"/>
    <w:rsid w:val="00DB6176"/>
    <w:rsid w:val="00DB67DD"/>
    <w:rsid w:val="00DB6A08"/>
    <w:rsid w:val="00DB6AA0"/>
    <w:rsid w:val="00DB7C3A"/>
    <w:rsid w:val="00DC0A17"/>
    <w:rsid w:val="00DC1368"/>
    <w:rsid w:val="00DC3F2D"/>
    <w:rsid w:val="00DC6888"/>
    <w:rsid w:val="00DC7CDC"/>
    <w:rsid w:val="00DD14EE"/>
    <w:rsid w:val="00DD219F"/>
    <w:rsid w:val="00DD32AB"/>
    <w:rsid w:val="00DD5BF6"/>
    <w:rsid w:val="00DD64DC"/>
    <w:rsid w:val="00DE1865"/>
    <w:rsid w:val="00DE1D2D"/>
    <w:rsid w:val="00DE2DB7"/>
    <w:rsid w:val="00DE3F8A"/>
    <w:rsid w:val="00DE5B7F"/>
    <w:rsid w:val="00DE6CEF"/>
    <w:rsid w:val="00DE7478"/>
    <w:rsid w:val="00DE7823"/>
    <w:rsid w:val="00DF057B"/>
    <w:rsid w:val="00DF11C2"/>
    <w:rsid w:val="00DF1FD2"/>
    <w:rsid w:val="00DF2134"/>
    <w:rsid w:val="00DF3EFB"/>
    <w:rsid w:val="00DF4593"/>
    <w:rsid w:val="00DF4EB7"/>
    <w:rsid w:val="00DF5182"/>
    <w:rsid w:val="00DF5B62"/>
    <w:rsid w:val="00DF64E0"/>
    <w:rsid w:val="00DF6853"/>
    <w:rsid w:val="00E0011D"/>
    <w:rsid w:val="00E00E85"/>
    <w:rsid w:val="00E01866"/>
    <w:rsid w:val="00E06193"/>
    <w:rsid w:val="00E0685C"/>
    <w:rsid w:val="00E0736E"/>
    <w:rsid w:val="00E074DD"/>
    <w:rsid w:val="00E078C9"/>
    <w:rsid w:val="00E07B08"/>
    <w:rsid w:val="00E10D05"/>
    <w:rsid w:val="00E1113C"/>
    <w:rsid w:val="00E12A6E"/>
    <w:rsid w:val="00E1366D"/>
    <w:rsid w:val="00E143C4"/>
    <w:rsid w:val="00E17493"/>
    <w:rsid w:val="00E210BE"/>
    <w:rsid w:val="00E214DE"/>
    <w:rsid w:val="00E2223E"/>
    <w:rsid w:val="00E22D98"/>
    <w:rsid w:val="00E24623"/>
    <w:rsid w:val="00E252E3"/>
    <w:rsid w:val="00E258C5"/>
    <w:rsid w:val="00E25B1B"/>
    <w:rsid w:val="00E261FF"/>
    <w:rsid w:val="00E279C7"/>
    <w:rsid w:val="00E3089B"/>
    <w:rsid w:val="00E33B97"/>
    <w:rsid w:val="00E344BD"/>
    <w:rsid w:val="00E345A3"/>
    <w:rsid w:val="00E3533B"/>
    <w:rsid w:val="00E36D7D"/>
    <w:rsid w:val="00E373F8"/>
    <w:rsid w:val="00E378A9"/>
    <w:rsid w:val="00E40505"/>
    <w:rsid w:val="00E40965"/>
    <w:rsid w:val="00E40A0E"/>
    <w:rsid w:val="00E41FCA"/>
    <w:rsid w:val="00E42A41"/>
    <w:rsid w:val="00E42D2F"/>
    <w:rsid w:val="00E454BB"/>
    <w:rsid w:val="00E45766"/>
    <w:rsid w:val="00E45AC5"/>
    <w:rsid w:val="00E46FFB"/>
    <w:rsid w:val="00E5025C"/>
    <w:rsid w:val="00E50CDA"/>
    <w:rsid w:val="00E51AED"/>
    <w:rsid w:val="00E51B7A"/>
    <w:rsid w:val="00E52922"/>
    <w:rsid w:val="00E55249"/>
    <w:rsid w:val="00E55BB2"/>
    <w:rsid w:val="00E5625E"/>
    <w:rsid w:val="00E563A9"/>
    <w:rsid w:val="00E567E5"/>
    <w:rsid w:val="00E61C11"/>
    <w:rsid w:val="00E63BC0"/>
    <w:rsid w:val="00E64480"/>
    <w:rsid w:val="00E65807"/>
    <w:rsid w:val="00E66103"/>
    <w:rsid w:val="00E6708B"/>
    <w:rsid w:val="00E67B1C"/>
    <w:rsid w:val="00E7075B"/>
    <w:rsid w:val="00E717AA"/>
    <w:rsid w:val="00E73A8C"/>
    <w:rsid w:val="00E74B75"/>
    <w:rsid w:val="00E75050"/>
    <w:rsid w:val="00E75D5E"/>
    <w:rsid w:val="00E76E16"/>
    <w:rsid w:val="00E76F42"/>
    <w:rsid w:val="00E77D6D"/>
    <w:rsid w:val="00E81837"/>
    <w:rsid w:val="00E8234A"/>
    <w:rsid w:val="00E824E1"/>
    <w:rsid w:val="00E87C2E"/>
    <w:rsid w:val="00E87E98"/>
    <w:rsid w:val="00E915E6"/>
    <w:rsid w:val="00E92E40"/>
    <w:rsid w:val="00E92EEE"/>
    <w:rsid w:val="00E94C4D"/>
    <w:rsid w:val="00E95138"/>
    <w:rsid w:val="00E9549E"/>
    <w:rsid w:val="00E95610"/>
    <w:rsid w:val="00E95FB8"/>
    <w:rsid w:val="00E968FF"/>
    <w:rsid w:val="00E970FB"/>
    <w:rsid w:val="00EA1AD9"/>
    <w:rsid w:val="00EA2763"/>
    <w:rsid w:val="00EA295A"/>
    <w:rsid w:val="00EA29B3"/>
    <w:rsid w:val="00EA2D06"/>
    <w:rsid w:val="00EA2EB0"/>
    <w:rsid w:val="00EA2F5C"/>
    <w:rsid w:val="00EA3E11"/>
    <w:rsid w:val="00EA6EB3"/>
    <w:rsid w:val="00EA74CB"/>
    <w:rsid w:val="00EA7BE5"/>
    <w:rsid w:val="00EB11E8"/>
    <w:rsid w:val="00EB3885"/>
    <w:rsid w:val="00EB3FC2"/>
    <w:rsid w:val="00EB41DD"/>
    <w:rsid w:val="00EB4404"/>
    <w:rsid w:val="00EB4A8E"/>
    <w:rsid w:val="00EB56DF"/>
    <w:rsid w:val="00EB5EF3"/>
    <w:rsid w:val="00EB5F74"/>
    <w:rsid w:val="00EB62F7"/>
    <w:rsid w:val="00EB664D"/>
    <w:rsid w:val="00EB695D"/>
    <w:rsid w:val="00EB6D60"/>
    <w:rsid w:val="00EB7763"/>
    <w:rsid w:val="00EB7A0F"/>
    <w:rsid w:val="00EB7C6D"/>
    <w:rsid w:val="00EC1C74"/>
    <w:rsid w:val="00EC38F3"/>
    <w:rsid w:val="00EC4241"/>
    <w:rsid w:val="00EC6308"/>
    <w:rsid w:val="00EC6EAC"/>
    <w:rsid w:val="00ED0404"/>
    <w:rsid w:val="00ED0897"/>
    <w:rsid w:val="00ED1407"/>
    <w:rsid w:val="00ED1B12"/>
    <w:rsid w:val="00ED39CE"/>
    <w:rsid w:val="00ED4134"/>
    <w:rsid w:val="00ED4615"/>
    <w:rsid w:val="00ED4DC9"/>
    <w:rsid w:val="00ED7A9F"/>
    <w:rsid w:val="00ED7B4C"/>
    <w:rsid w:val="00EE05F1"/>
    <w:rsid w:val="00EE1050"/>
    <w:rsid w:val="00EE1592"/>
    <w:rsid w:val="00EE1B0F"/>
    <w:rsid w:val="00EE3226"/>
    <w:rsid w:val="00EE367A"/>
    <w:rsid w:val="00EE3D01"/>
    <w:rsid w:val="00EE471A"/>
    <w:rsid w:val="00EE4768"/>
    <w:rsid w:val="00EE5492"/>
    <w:rsid w:val="00EE583A"/>
    <w:rsid w:val="00EE663B"/>
    <w:rsid w:val="00EE69D2"/>
    <w:rsid w:val="00EE7398"/>
    <w:rsid w:val="00EF0441"/>
    <w:rsid w:val="00EF072B"/>
    <w:rsid w:val="00EF0A00"/>
    <w:rsid w:val="00EF1B6D"/>
    <w:rsid w:val="00EF226C"/>
    <w:rsid w:val="00EF3F91"/>
    <w:rsid w:val="00EF56BE"/>
    <w:rsid w:val="00EF5BEC"/>
    <w:rsid w:val="00EF6050"/>
    <w:rsid w:val="00EF61E7"/>
    <w:rsid w:val="00EF7395"/>
    <w:rsid w:val="00EF7B4D"/>
    <w:rsid w:val="00F009B9"/>
    <w:rsid w:val="00F0183C"/>
    <w:rsid w:val="00F0238B"/>
    <w:rsid w:val="00F0379D"/>
    <w:rsid w:val="00F037D3"/>
    <w:rsid w:val="00F03C79"/>
    <w:rsid w:val="00F04E1E"/>
    <w:rsid w:val="00F056DF"/>
    <w:rsid w:val="00F068E5"/>
    <w:rsid w:val="00F077A8"/>
    <w:rsid w:val="00F07BD5"/>
    <w:rsid w:val="00F10BFD"/>
    <w:rsid w:val="00F118C9"/>
    <w:rsid w:val="00F11F28"/>
    <w:rsid w:val="00F1206D"/>
    <w:rsid w:val="00F12073"/>
    <w:rsid w:val="00F122D6"/>
    <w:rsid w:val="00F126F8"/>
    <w:rsid w:val="00F12FC5"/>
    <w:rsid w:val="00F13B2C"/>
    <w:rsid w:val="00F147EA"/>
    <w:rsid w:val="00F15BF4"/>
    <w:rsid w:val="00F162CF"/>
    <w:rsid w:val="00F1713B"/>
    <w:rsid w:val="00F171E0"/>
    <w:rsid w:val="00F17940"/>
    <w:rsid w:val="00F17DC0"/>
    <w:rsid w:val="00F2046C"/>
    <w:rsid w:val="00F20647"/>
    <w:rsid w:val="00F207FC"/>
    <w:rsid w:val="00F22E91"/>
    <w:rsid w:val="00F24414"/>
    <w:rsid w:val="00F24CC7"/>
    <w:rsid w:val="00F26EB4"/>
    <w:rsid w:val="00F274DB"/>
    <w:rsid w:val="00F27CBA"/>
    <w:rsid w:val="00F27FE8"/>
    <w:rsid w:val="00F31392"/>
    <w:rsid w:val="00F32D27"/>
    <w:rsid w:val="00F348B5"/>
    <w:rsid w:val="00F3523E"/>
    <w:rsid w:val="00F3652B"/>
    <w:rsid w:val="00F36D95"/>
    <w:rsid w:val="00F3764C"/>
    <w:rsid w:val="00F377B9"/>
    <w:rsid w:val="00F4011A"/>
    <w:rsid w:val="00F420A6"/>
    <w:rsid w:val="00F43C9B"/>
    <w:rsid w:val="00F4408D"/>
    <w:rsid w:val="00F45442"/>
    <w:rsid w:val="00F46560"/>
    <w:rsid w:val="00F5048D"/>
    <w:rsid w:val="00F5145E"/>
    <w:rsid w:val="00F514A9"/>
    <w:rsid w:val="00F5270B"/>
    <w:rsid w:val="00F5303F"/>
    <w:rsid w:val="00F554DB"/>
    <w:rsid w:val="00F558EA"/>
    <w:rsid w:val="00F559FE"/>
    <w:rsid w:val="00F56799"/>
    <w:rsid w:val="00F5681C"/>
    <w:rsid w:val="00F56EF7"/>
    <w:rsid w:val="00F6045D"/>
    <w:rsid w:val="00F613CB"/>
    <w:rsid w:val="00F6162A"/>
    <w:rsid w:val="00F61D19"/>
    <w:rsid w:val="00F61F79"/>
    <w:rsid w:val="00F639AB"/>
    <w:rsid w:val="00F6433D"/>
    <w:rsid w:val="00F64BCA"/>
    <w:rsid w:val="00F6500C"/>
    <w:rsid w:val="00F651DD"/>
    <w:rsid w:val="00F656A4"/>
    <w:rsid w:val="00F664B8"/>
    <w:rsid w:val="00F6665E"/>
    <w:rsid w:val="00F66C6C"/>
    <w:rsid w:val="00F67CE6"/>
    <w:rsid w:val="00F70192"/>
    <w:rsid w:val="00F7075F"/>
    <w:rsid w:val="00F709BE"/>
    <w:rsid w:val="00F71D76"/>
    <w:rsid w:val="00F71FCA"/>
    <w:rsid w:val="00F723AB"/>
    <w:rsid w:val="00F77FEA"/>
    <w:rsid w:val="00F8349F"/>
    <w:rsid w:val="00F83FB7"/>
    <w:rsid w:val="00F852B0"/>
    <w:rsid w:val="00F8578E"/>
    <w:rsid w:val="00F85935"/>
    <w:rsid w:val="00F85D29"/>
    <w:rsid w:val="00F86BE7"/>
    <w:rsid w:val="00F86D89"/>
    <w:rsid w:val="00F86DB9"/>
    <w:rsid w:val="00F87B4B"/>
    <w:rsid w:val="00F91A0D"/>
    <w:rsid w:val="00F92B4B"/>
    <w:rsid w:val="00F93739"/>
    <w:rsid w:val="00F93E8C"/>
    <w:rsid w:val="00F94B8D"/>
    <w:rsid w:val="00F969D3"/>
    <w:rsid w:val="00F96DC7"/>
    <w:rsid w:val="00F97172"/>
    <w:rsid w:val="00F9789E"/>
    <w:rsid w:val="00FA0274"/>
    <w:rsid w:val="00FA0F27"/>
    <w:rsid w:val="00FA190E"/>
    <w:rsid w:val="00FA1CFC"/>
    <w:rsid w:val="00FA2141"/>
    <w:rsid w:val="00FA29C9"/>
    <w:rsid w:val="00FA3530"/>
    <w:rsid w:val="00FA3B91"/>
    <w:rsid w:val="00FA3D2C"/>
    <w:rsid w:val="00FA45BC"/>
    <w:rsid w:val="00FA4DA9"/>
    <w:rsid w:val="00FA51E2"/>
    <w:rsid w:val="00FA54D8"/>
    <w:rsid w:val="00FA68E2"/>
    <w:rsid w:val="00FA6B88"/>
    <w:rsid w:val="00FB0CE0"/>
    <w:rsid w:val="00FB0FFB"/>
    <w:rsid w:val="00FB135F"/>
    <w:rsid w:val="00FB15B0"/>
    <w:rsid w:val="00FB1C06"/>
    <w:rsid w:val="00FB1E29"/>
    <w:rsid w:val="00FB2C80"/>
    <w:rsid w:val="00FB33D3"/>
    <w:rsid w:val="00FB460E"/>
    <w:rsid w:val="00FB4826"/>
    <w:rsid w:val="00FB51F2"/>
    <w:rsid w:val="00FB7C91"/>
    <w:rsid w:val="00FC0E64"/>
    <w:rsid w:val="00FC4746"/>
    <w:rsid w:val="00FC4909"/>
    <w:rsid w:val="00FC4B4F"/>
    <w:rsid w:val="00FC4FB7"/>
    <w:rsid w:val="00FC5780"/>
    <w:rsid w:val="00FC65E5"/>
    <w:rsid w:val="00FC679D"/>
    <w:rsid w:val="00FC6998"/>
    <w:rsid w:val="00FC7571"/>
    <w:rsid w:val="00FC773B"/>
    <w:rsid w:val="00FC7790"/>
    <w:rsid w:val="00FC77A6"/>
    <w:rsid w:val="00FD0EFE"/>
    <w:rsid w:val="00FD1EE0"/>
    <w:rsid w:val="00FD330C"/>
    <w:rsid w:val="00FD353F"/>
    <w:rsid w:val="00FD357B"/>
    <w:rsid w:val="00FD38FC"/>
    <w:rsid w:val="00FD3B33"/>
    <w:rsid w:val="00FD552E"/>
    <w:rsid w:val="00FD600C"/>
    <w:rsid w:val="00FD6119"/>
    <w:rsid w:val="00FD65F7"/>
    <w:rsid w:val="00FD688E"/>
    <w:rsid w:val="00FD7C0C"/>
    <w:rsid w:val="00FE045C"/>
    <w:rsid w:val="00FE0A8B"/>
    <w:rsid w:val="00FE0C28"/>
    <w:rsid w:val="00FE0C52"/>
    <w:rsid w:val="00FE0F6D"/>
    <w:rsid w:val="00FE1212"/>
    <w:rsid w:val="00FE1692"/>
    <w:rsid w:val="00FE178F"/>
    <w:rsid w:val="00FE2390"/>
    <w:rsid w:val="00FE3069"/>
    <w:rsid w:val="00FE3B13"/>
    <w:rsid w:val="00FE3C5B"/>
    <w:rsid w:val="00FE49DB"/>
    <w:rsid w:val="00FE51A3"/>
    <w:rsid w:val="00FE6A64"/>
    <w:rsid w:val="00FF0566"/>
    <w:rsid w:val="00FF15F5"/>
    <w:rsid w:val="00FF1E2C"/>
    <w:rsid w:val="00FF2829"/>
    <w:rsid w:val="00FF3C0A"/>
    <w:rsid w:val="00FF5224"/>
    <w:rsid w:val="00FF5ED4"/>
    <w:rsid w:val="00FF6218"/>
    <w:rsid w:val="00FF683D"/>
    <w:rsid w:val="010701BC"/>
    <w:rsid w:val="01DA1241"/>
    <w:rsid w:val="01ED5FAA"/>
    <w:rsid w:val="020DB38B"/>
    <w:rsid w:val="0219E306"/>
    <w:rsid w:val="031848DF"/>
    <w:rsid w:val="03BCAAAC"/>
    <w:rsid w:val="043A724C"/>
    <w:rsid w:val="0499AABF"/>
    <w:rsid w:val="051E65E6"/>
    <w:rsid w:val="056C2E6D"/>
    <w:rsid w:val="059E8FB1"/>
    <w:rsid w:val="062009B1"/>
    <w:rsid w:val="0625371F"/>
    <w:rsid w:val="06AAEFA2"/>
    <w:rsid w:val="06E89A63"/>
    <w:rsid w:val="06F2FB50"/>
    <w:rsid w:val="073B33C2"/>
    <w:rsid w:val="0759217C"/>
    <w:rsid w:val="08647EF8"/>
    <w:rsid w:val="088394E4"/>
    <w:rsid w:val="0894DFEB"/>
    <w:rsid w:val="094326AD"/>
    <w:rsid w:val="0A7AD360"/>
    <w:rsid w:val="0ADC0B0E"/>
    <w:rsid w:val="0B84992C"/>
    <w:rsid w:val="0C16EA9E"/>
    <w:rsid w:val="0CBDA7DB"/>
    <w:rsid w:val="0CEB7148"/>
    <w:rsid w:val="0D207C93"/>
    <w:rsid w:val="0D54CECE"/>
    <w:rsid w:val="0E6BAC4B"/>
    <w:rsid w:val="0E8DC944"/>
    <w:rsid w:val="0F743830"/>
    <w:rsid w:val="0F7B9704"/>
    <w:rsid w:val="0FED2E30"/>
    <w:rsid w:val="1090712D"/>
    <w:rsid w:val="1094B742"/>
    <w:rsid w:val="109FA02B"/>
    <w:rsid w:val="10B54733"/>
    <w:rsid w:val="12254564"/>
    <w:rsid w:val="12B5B3F9"/>
    <w:rsid w:val="138E28D3"/>
    <w:rsid w:val="13EF35C5"/>
    <w:rsid w:val="150513C4"/>
    <w:rsid w:val="1519C193"/>
    <w:rsid w:val="166E1735"/>
    <w:rsid w:val="16FEBB61"/>
    <w:rsid w:val="17098D68"/>
    <w:rsid w:val="1767BBC8"/>
    <w:rsid w:val="1798C849"/>
    <w:rsid w:val="17D7AEF8"/>
    <w:rsid w:val="184A7754"/>
    <w:rsid w:val="18D952C8"/>
    <w:rsid w:val="1A68BF05"/>
    <w:rsid w:val="1ABC1BCD"/>
    <w:rsid w:val="1B0DEA41"/>
    <w:rsid w:val="1B6ECA7D"/>
    <w:rsid w:val="1C2752B4"/>
    <w:rsid w:val="1C7DD996"/>
    <w:rsid w:val="1CB97037"/>
    <w:rsid w:val="1D2028AB"/>
    <w:rsid w:val="1DD2700E"/>
    <w:rsid w:val="1EBA3037"/>
    <w:rsid w:val="1FFEB919"/>
    <w:rsid w:val="2061C514"/>
    <w:rsid w:val="209ED646"/>
    <w:rsid w:val="2144ED8E"/>
    <w:rsid w:val="21B17BD4"/>
    <w:rsid w:val="22201668"/>
    <w:rsid w:val="22FAEAEB"/>
    <w:rsid w:val="2339EA32"/>
    <w:rsid w:val="23DA79D5"/>
    <w:rsid w:val="23FB552E"/>
    <w:rsid w:val="245841B8"/>
    <w:rsid w:val="27D13785"/>
    <w:rsid w:val="2862AAEA"/>
    <w:rsid w:val="290A150F"/>
    <w:rsid w:val="29874548"/>
    <w:rsid w:val="2A09A0D1"/>
    <w:rsid w:val="2A0F9F8F"/>
    <w:rsid w:val="2A2252B4"/>
    <w:rsid w:val="2A6A5BF2"/>
    <w:rsid w:val="2A9E72A0"/>
    <w:rsid w:val="2AFA8A56"/>
    <w:rsid w:val="2B7751B3"/>
    <w:rsid w:val="2BDE2402"/>
    <w:rsid w:val="2BEB5255"/>
    <w:rsid w:val="2BFBA27D"/>
    <w:rsid w:val="2C9C1178"/>
    <w:rsid w:val="2CD781D8"/>
    <w:rsid w:val="2CDD4D71"/>
    <w:rsid w:val="2D05C12F"/>
    <w:rsid w:val="2D536D12"/>
    <w:rsid w:val="2DC0B83C"/>
    <w:rsid w:val="2DC4C523"/>
    <w:rsid w:val="2E14CA7D"/>
    <w:rsid w:val="2E296989"/>
    <w:rsid w:val="2EC89FDB"/>
    <w:rsid w:val="2EEC130E"/>
    <w:rsid w:val="2F067893"/>
    <w:rsid w:val="310476C0"/>
    <w:rsid w:val="31196719"/>
    <w:rsid w:val="311C7BE5"/>
    <w:rsid w:val="312D7AF2"/>
    <w:rsid w:val="3148AEFA"/>
    <w:rsid w:val="3190E8FE"/>
    <w:rsid w:val="325D91FB"/>
    <w:rsid w:val="3368C550"/>
    <w:rsid w:val="33F9B8D6"/>
    <w:rsid w:val="341ADDDF"/>
    <w:rsid w:val="34A5E123"/>
    <w:rsid w:val="3764C932"/>
    <w:rsid w:val="37732773"/>
    <w:rsid w:val="3792AAEE"/>
    <w:rsid w:val="37951C7A"/>
    <w:rsid w:val="385B38FF"/>
    <w:rsid w:val="3945757D"/>
    <w:rsid w:val="3A23617D"/>
    <w:rsid w:val="3A485C98"/>
    <w:rsid w:val="3D1793FC"/>
    <w:rsid w:val="3DEECA2F"/>
    <w:rsid w:val="3EC3434C"/>
    <w:rsid w:val="3FDA2EB6"/>
    <w:rsid w:val="40778662"/>
    <w:rsid w:val="416AF53C"/>
    <w:rsid w:val="41D645DA"/>
    <w:rsid w:val="41F9940F"/>
    <w:rsid w:val="430748C2"/>
    <w:rsid w:val="432F1F0A"/>
    <w:rsid w:val="441241BF"/>
    <w:rsid w:val="443A299F"/>
    <w:rsid w:val="446D9834"/>
    <w:rsid w:val="44A9394C"/>
    <w:rsid w:val="45E1A019"/>
    <w:rsid w:val="4677849B"/>
    <w:rsid w:val="46E08B7E"/>
    <w:rsid w:val="471BB2EE"/>
    <w:rsid w:val="481EC83B"/>
    <w:rsid w:val="484B63BF"/>
    <w:rsid w:val="48C82991"/>
    <w:rsid w:val="497E202F"/>
    <w:rsid w:val="499D5F7B"/>
    <w:rsid w:val="4A6C70B7"/>
    <w:rsid w:val="4A6FCEEB"/>
    <w:rsid w:val="4A895379"/>
    <w:rsid w:val="4A8E3B84"/>
    <w:rsid w:val="4AE5CC4F"/>
    <w:rsid w:val="4B268970"/>
    <w:rsid w:val="4B7DE701"/>
    <w:rsid w:val="4BBD2EC2"/>
    <w:rsid w:val="4C4098F3"/>
    <w:rsid w:val="4CA40F4E"/>
    <w:rsid w:val="4D39842F"/>
    <w:rsid w:val="4DCC2094"/>
    <w:rsid w:val="4F226ADB"/>
    <w:rsid w:val="4F58E4D5"/>
    <w:rsid w:val="4FDFBC91"/>
    <w:rsid w:val="5013A4BA"/>
    <w:rsid w:val="506BF43E"/>
    <w:rsid w:val="50DC05F7"/>
    <w:rsid w:val="50FE58A4"/>
    <w:rsid w:val="51E87FC8"/>
    <w:rsid w:val="51F02137"/>
    <w:rsid w:val="51FBD074"/>
    <w:rsid w:val="52F703E5"/>
    <w:rsid w:val="535924F7"/>
    <w:rsid w:val="53CF66BF"/>
    <w:rsid w:val="54B5465D"/>
    <w:rsid w:val="550D1345"/>
    <w:rsid w:val="55B4A301"/>
    <w:rsid w:val="55BCE536"/>
    <w:rsid w:val="55EC6D80"/>
    <w:rsid w:val="56862A50"/>
    <w:rsid w:val="57A816C0"/>
    <w:rsid w:val="57B6F6D2"/>
    <w:rsid w:val="582E6B46"/>
    <w:rsid w:val="592D9D9D"/>
    <w:rsid w:val="592F2E52"/>
    <w:rsid w:val="5AD89ECC"/>
    <w:rsid w:val="5AE34B34"/>
    <w:rsid w:val="5B1CFF31"/>
    <w:rsid w:val="5BAF3B64"/>
    <w:rsid w:val="5BB34E3F"/>
    <w:rsid w:val="5BD21E2C"/>
    <w:rsid w:val="5CAF24BE"/>
    <w:rsid w:val="5D805D1C"/>
    <w:rsid w:val="5E97FB8D"/>
    <w:rsid w:val="5EBC73DF"/>
    <w:rsid w:val="5F105680"/>
    <w:rsid w:val="5F973D9C"/>
    <w:rsid w:val="5FB83218"/>
    <w:rsid w:val="5FF1F103"/>
    <w:rsid w:val="605E0DB9"/>
    <w:rsid w:val="607C66D8"/>
    <w:rsid w:val="6173AEE2"/>
    <w:rsid w:val="62218365"/>
    <w:rsid w:val="625EEDD2"/>
    <w:rsid w:val="628A57BD"/>
    <w:rsid w:val="6296A219"/>
    <w:rsid w:val="63430635"/>
    <w:rsid w:val="6485F88D"/>
    <w:rsid w:val="651CA499"/>
    <w:rsid w:val="6529B495"/>
    <w:rsid w:val="65E1092F"/>
    <w:rsid w:val="6608B71D"/>
    <w:rsid w:val="6625F797"/>
    <w:rsid w:val="6693D1F1"/>
    <w:rsid w:val="681BB694"/>
    <w:rsid w:val="68C1E5E9"/>
    <w:rsid w:val="691CA495"/>
    <w:rsid w:val="699AEED7"/>
    <w:rsid w:val="6A1F1B39"/>
    <w:rsid w:val="6AAA34C4"/>
    <w:rsid w:val="6ADC7090"/>
    <w:rsid w:val="6B0CB024"/>
    <w:rsid w:val="6B847376"/>
    <w:rsid w:val="6C4DC012"/>
    <w:rsid w:val="6DA9E767"/>
    <w:rsid w:val="6DFC587C"/>
    <w:rsid w:val="6DFE1D82"/>
    <w:rsid w:val="6E2F2B82"/>
    <w:rsid w:val="6ED75FAE"/>
    <w:rsid w:val="6F13F4B1"/>
    <w:rsid w:val="6F2B37E9"/>
    <w:rsid w:val="6F477D47"/>
    <w:rsid w:val="70BFF493"/>
    <w:rsid w:val="71153AE9"/>
    <w:rsid w:val="72A73FE0"/>
    <w:rsid w:val="72D25F92"/>
    <w:rsid w:val="73B301A6"/>
    <w:rsid w:val="73DBF6F5"/>
    <w:rsid w:val="740215E2"/>
    <w:rsid w:val="762D2849"/>
    <w:rsid w:val="76B1FEE7"/>
    <w:rsid w:val="7708870B"/>
    <w:rsid w:val="77B71C81"/>
    <w:rsid w:val="7800F377"/>
    <w:rsid w:val="783AD9C8"/>
    <w:rsid w:val="788CCB7C"/>
    <w:rsid w:val="78C5CDEE"/>
    <w:rsid w:val="795CFA31"/>
    <w:rsid w:val="798E54BE"/>
    <w:rsid w:val="79997ED6"/>
    <w:rsid w:val="79BDF2A1"/>
    <w:rsid w:val="79C3E737"/>
    <w:rsid w:val="7A9B0555"/>
    <w:rsid w:val="7B11E677"/>
    <w:rsid w:val="7CFDE091"/>
    <w:rsid w:val="7DC47259"/>
    <w:rsid w:val="7E6C8758"/>
    <w:rsid w:val="7F657849"/>
    <w:rsid w:val="7F8E1C95"/>
    <w:rsid w:val="7F90A8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3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0C6"/>
    <w:pPr>
      <w:spacing w:after="12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31"/>
    <w:unhideWhenUsed/>
    <w:qFormat/>
    <w:rsid w:val="009B33D1"/>
    <w:pPr>
      <w:numPr>
        <w:numId w:val="23"/>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13"/>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D674A5"/>
    <w:pPr>
      <w:spacing w:before="60"/>
    </w:pPr>
    <w:rPr>
      <w:sz w:val="18"/>
    </w:rPr>
  </w:style>
  <w:style w:type="character" w:customStyle="1" w:styleId="FootnoteTextChar">
    <w:name w:val="Footnote Text Char"/>
    <w:basedOn w:val="DefaultParagraphFont"/>
    <w:link w:val="FootnoteText"/>
    <w:uiPriority w:val="13"/>
    <w:rsid w:val="00D674A5"/>
    <w:rPr>
      <w:spacing w:val="-1"/>
      <w:sz w:val="18"/>
    </w:rPr>
  </w:style>
  <w:style w:type="character" w:styleId="FootnoteReference">
    <w:name w:val="footnote reference"/>
    <w:basedOn w:val="DefaultParagraphFont"/>
    <w:uiPriority w:val="39"/>
    <w:rsid w:val="00D674A5"/>
    <w:rPr>
      <w:vertAlign w:val="superscript"/>
    </w:rPr>
  </w:style>
  <w:style w:type="paragraph" w:customStyle="1" w:styleId="AppendixNumbered">
    <w:name w:val="Appendix Numbered"/>
    <w:basedOn w:val="Heading2"/>
    <w:uiPriority w:val="11"/>
    <w:qFormat/>
    <w:rsid w:val="00D674A5"/>
    <w:pPr>
      <w:numPr>
        <w:numId w:val="1"/>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31"/>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3"/>
      </w:numPr>
    </w:pPr>
  </w:style>
  <w:style w:type="paragraph" w:styleId="Caption">
    <w:name w:val="caption"/>
    <w:basedOn w:val="Normal"/>
    <w:next w:val="Normal"/>
    <w:uiPriority w:val="13"/>
    <w:qFormat/>
    <w:rsid w:val="00D674A5"/>
    <w:pPr>
      <w:keepNext/>
      <w:keepLines/>
      <w:spacing w:before="36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3"/>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4"/>
      </w:numPr>
    </w:pPr>
  </w:style>
  <w:style w:type="paragraph" w:customStyle="1" w:styleId="Bullet2">
    <w:name w:val="Bullet 2"/>
    <w:basedOn w:val="Normal"/>
    <w:uiPriority w:val="2"/>
    <w:qFormat/>
    <w:rsid w:val="00A86380"/>
    <w:pPr>
      <w:numPr>
        <w:ilvl w:val="1"/>
        <w:numId w:val="4"/>
      </w:numPr>
      <w:ind w:left="568"/>
    </w:pPr>
  </w:style>
  <w:style w:type="paragraph" w:customStyle="1" w:styleId="Bullet3">
    <w:name w:val="Bullet 3"/>
    <w:basedOn w:val="Normal"/>
    <w:uiPriority w:val="2"/>
    <w:qFormat/>
    <w:rsid w:val="00201EAE"/>
    <w:pPr>
      <w:numPr>
        <w:numId w:val="20"/>
      </w:numPr>
      <w:spacing w:before="70"/>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7"/>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7"/>
      </w:numPr>
    </w:pPr>
  </w:style>
  <w:style w:type="paragraph" w:customStyle="1" w:styleId="Heading3Numbered">
    <w:name w:val="Heading 3 Numbered"/>
    <w:basedOn w:val="Heading3"/>
    <w:uiPriority w:val="10"/>
    <w:qFormat/>
    <w:rsid w:val="00D674A5"/>
    <w:pPr>
      <w:numPr>
        <w:ilvl w:val="2"/>
        <w:numId w:val="7"/>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5"/>
      </w:numPr>
    </w:pPr>
  </w:style>
  <w:style w:type="paragraph" w:customStyle="1" w:styleId="List1Numbered1">
    <w:name w:val="List 1 Numbered 1"/>
    <w:basedOn w:val="Normal"/>
    <w:uiPriority w:val="2"/>
    <w:qFormat/>
    <w:rsid w:val="00D674A5"/>
    <w:pPr>
      <w:numPr>
        <w:numId w:val="15"/>
      </w:numPr>
      <w:spacing w:before="60"/>
    </w:pPr>
  </w:style>
  <w:style w:type="paragraph" w:customStyle="1" w:styleId="List1Numbered2">
    <w:name w:val="List 1 Numbered 2"/>
    <w:basedOn w:val="Normal"/>
    <w:uiPriority w:val="2"/>
    <w:qFormat/>
    <w:rsid w:val="00D674A5"/>
    <w:pPr>
      <w:numPr>
        <w:ilvl w:val="1"/>
        <w:numId w:val="15"/>
      </w:numPr>
      <w:spacing w:before="60"/>
    </w:pPr>
  </w:style>
  <w:style w:type="paragraph" w:customStyle="1" w:styleId="List1Numbered3">
    <w:name w:val="List 1 Numbered 3"/>
    <w:basedOn w:val="Normal"/>
    <w:uiPriority w:val="2"/>
    <w:qFormat/>
    <w:rsid w:val="00D674A5"/>
    <w:pPr>
      <w:numPr>
        <w:ilvl w:val="2"/>
        <w:numId w:val="15"/>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6"/>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6"/>
      </w:numPr>
    </w:pPr>
  </w:style>
  <w:style w:type="numbering" w:customStyle="1" w:styleId="NumberedHeadings">
    <w:name w:val="Numbered Headings"/>
    <w:uiPriority w:val="99"/>
    <w:rsid w:val="00D674A5"/>
    <w:pPr>
      <w:numPr>
        <w:numId w:val="7"/>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18"/>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unhideWhenUsed/>
    <w:rsid w:val="00D674A5"/>
    <w:pPr>
      <w:spacing w:after="114"/>
    </w:pPr>
    <w:rPr>
      <w:sz w:val="20"/>
      <w:szCs w:val="20"/>
    </w:rPr>
  </w:style>
  <w:style w:type="character" w:customStyle="1" w:styleId="CommentTextChar">
    <w:name w:val="Comment Text Char"/>
    <w:basedOn w:val="DefaultParagraphFont"/>
    <w:link w:val="CommentText"/>
    <w:uiPriority w:val="99"/>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11"/>
      </w:numPr>
    </w:pPr>
  </w:style>
  <w:style w:type="numbering" w:customStyle="1" w:styleId="KCBullets">
    <w:name w:val="KC Bullets"/>
    <w:uiPriority w:val="99"/>
    <w:rsid w:val="00D674A5"/>
    <w:pPr>
      <w:numPr>
        <w:numId w:val="14"/>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19"/>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unhideWhenUsed/>
    <w:qFormat/>
    <w:rsid w:val="00935F04"/>
  </w:style>
  <w:style w:type="character" w:customStyle="1" w:styleId="BodyTextChar">
    <w:name w:val="Body Text Char"/>
    <w:basedOn w:val="DefaultParagraphFont"/>
    <w:link w:val="BodyText"/>
    <w:uiPriority w:val="5"/>
    <w:rsid w:val="00935F04"/>
    <w:rPr>
      <w:spacing w:val="-1"/>
    </w:rPr>
  </w:style>
  <w:style w:type="paragraph" w:customStyle="1" w:styleId="TableFootnotes">
    <w:name w:val="Table Footnotes"/>
    <w:basedOn w:val="Normal"/>
    <w:uiPriority w:val="22"/>
    <w:qFormat/>
    <w:rsid w:val="00C000C6"/>
    <w:pPr>
      <w:keepLines/>
      <w:numPr>
        <w:numId w:val="21"/>
      </w:numPr>
      <w:spacing w:before="0" w:line="260" w:lineRule="atLeast"/>
    </w:pPr>
    <w:rPr>
      <w:color w:val="auto"/>
      <w:spacing w:val="0"/>
      <w:sz w:val="20"/>
    </w:rPr>
  </w:style>
  <w:style w:type="paragraph" w:customStyle="1" w:styleId="TableHeading">
    <w:name w:val="Table Heading"/>
    <w:basedOn w:val="Normal"/>
    <w:uiPriority w:val="14"/>
    <w:qFormat/>
    <w:rsid w:val="00C000C6"/>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C000C6"/>
    <w:pPr>
      <w:jc w:val="right"/>
    </w:pPr>
  </w:style>
  <w:style w:type="paragraph" w:customStyle="1" w:styleId="TableTextRight">
    <w:name w:val="Table Text Right"/>
    <w:basedOn w:val="Normal"/>
    <w:uiPriority w:val="19"/>
    <w:qFormat/>
    <w:rsid w:val="00C000C6"/>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C000C6"/>
    <w:rPr>
      <w:b/>
    </w:rPr>
  </w:style>
  <w:style w:type="paragraph" w:styleId="ListParagraph">
    <w:name w:val="List Paragraph"/>
    <w:basedOn w:val="Normal"/>
    <w:uiPriority w:val="39"/>
    <w:semiHidden/>
    <w:rsid w:val="00C000C6"/>
    <w:pPr>
      <w:ind w:left="720"/>
      <w:contextualSpacing/>
    </w:pPr>
  </w:style>
  <w:style w:type="paragraph" w:customStyle="1" w:styleId="TableText">
    <w:name w:val="Table Text"/>
    <w:basedOn w:val="Normal"/>
    <w:uiPriority w:val="17"/>
    <w:qFormat/>
    <w:rsid w:val="000B70EC"/>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0B70EC"/>
    <w:rPr>
      <w:i/>
    </w:rPr>
  </w:style>
  <w:style w:type="paragraph" w:customStyle="1" w:styleId="PRRfootnote1">
    <w:name w:val="PRR footnote 1"/>
    <w:basedOn w:val="Normal"/>
    <w:link w:val="PRRfootnote1Char"/>
    <w:qFormat/>
    <w:rsid w:val="003049B5"/>
    <w:pPr>
      <w:keepNext/>
      <w:keepLines/>
      <w:spacing w:before="0" w:after="0" w:line="240" w:lineRule="auto"/>
      <w:ind w:left="284" w:hanging="284"/>
    </w:pPr>
    <w:rPr>
      <w:sz w:val="20"/>
      <w:szCs w:val="20"/>
    </w:rPr>
  </w:style>
  <w:style w:type="character" w:customStyle="1" w:styleId="PRRfootnote1Char">
    <w:name w:val="PRR footnote 1 Char"/>
    <w:basedOn w:val="DefaultParagraphFont"/>
    <w:link w:val="PRRfootnote1"/>
    <w:rsid w:val="003049B5"/>
    <w:rPr>
      <w:spacing w:val="-1"/>
      <w:sz w:val="20"/>
      <w:szCs w:val="20"/>
    </w:rPr>
  </w:style>
  <w:style w:type="paragraph" w:customStyle="1" w:styleId="PRRfootnote2">
    <w:name w:val="PRR footnote 2"/>
    <w:basedOn w:val="PRRfootnote1"/>
    <w:link w:val="PRRfootnote2Char"/>
    <w:qFormat/>
    <w:rsid w:val="003049B5"/>
    <w:pPr>
      <w:spacing w:line="260" w:lineRule="atLeast"/>
    </w:pPr>
    <w:rPr>
      <w:sz w:val="16"/>
      <w:szCs w:val="16"/>
    </w:rPr>
  </w:style>
  <w:style w:type="character" w:customStyle="1" w:styleId="PRRfootnote2Char">
    <w:name w:val="PRR footnote 2 Char"/>
    <w:basedOn w:val="PRRfootnote1Char"/>
    <w:link w:val="PRRfootnote2"/>
    <w:rsid w:val="003049B5"/>
    <w:rPr>
      <w:spacing w:val="-1"/>
      <w:sz w:val="16"/>
      <w:szCs w:val="16"/>
    </w:rPr>
  </w:style>
  <w:style w:type="table" w:customStyle="1" w:styleId="TableAsPlaceholder">
    <w:name w:val="Table As Placeholder"/>
    <w:basedOn w:val="TableNormal"/>
    <w:uiPriority w:val="99"/>
    <w:qFormat/>
    <w:rsid w:val="002E1EA9"/>
    <w:pPr>
      <w:spacing w:before="0" w:after="0" w:line="300" w:lineRule="atLeast"/>
    </w:pPr>
    <w:rPr>
      <w:rFonts w:eastAsia="Times New Roman" w:cs="Arial"/>
      <w:color w:val="auto"/>
      <w:lang w:eastAsia="en-AU"/>
    </w:rPr>
    <w:tblPr>
      <w:tblCellMar>
        <w:left w:w="0" w:type="dxa"/>
        <w:right w:w="0" w:type="dxa"/>
      </w:tblCellMar>
    </w:tblPr>
  </w:style>
  <w:style w:type="paragraph" w:customStyle="1" w:styleId="AttachmentHeading3">
    <w:name w:val="Attachment Heading 3"/>
    <w:basedOn w:val="Normal"/>
    <w:next w:val="BodyText"/>
    <w:uiPriority w:val="34"/>
    <w:qFormat/>
    <w:rsid w:val="005C0994"/>
    <w:pPr>
      <w:keepNext/>
      <w:keepLines/>
      <w:tabs>
        <w:tab w:val="num" w:pos="0"/>
        <w:tab w:val="left" w:pos="1559"/>
        <w:tab w:val="left" w:pos="1843"/>
        <w:tab w:val="left" w:pos="2126"/>
        <w:tab w:val="left" w:pos="2410"/>
        <w:tab w:val="left" w:pos="6804"/>
      </w:tabs>
      <w:spacing w:before="227" w:after="113"/>
    </w:pPr>
    <w:rPr>
      <w:b/>
      <w:color w:val="3D4D7D" w:themeColor="background2"/>
      <w:spacing w:val="0"/>
    </w:rPr>
  </w:style>
  <w:style w:type="paragraph" w:customStyle="1" w:styleId="Footnotes">
    <w:name w:val="Footnotes"/>
    <w:basedOn w:val="FootnoteText"/>
    <w:link w:val="FootnotesChar"/>
    <w:uiPriority w:val="39"/>
    <w:qFormat/>
    <w:rsid w:val="005C0994"/>
    <w:pPr>
      <w:tabs>
        <w:tab w:val="left" w:pos="425"/>
      </w:tabs>
      <w:spacing w:before="50" w:after="0" w:line="260" w:lineRule="exact"/>
      <w:ind w:left="113" w:hanging="113"/>
    </w:pPr>
    <w:rPr>
      <w:color w:val="auto"/>
      <w:kern w:val="16"/>
    </w:rPr>
  </w:style>
  <w:style w:type="character" w:customStyle="1" w:styleId="FootnotesChar">
    <w:name w:val="Footnotes Char"/>
    <w:basedOn w:val="FootnoteTextChar"/>
    <w:link w:val="Footnotes"/>
    <w:uiPriority w:val="39"/>
    <w:rsid w:val="005C0994"/>
    <w:rPr>
      <w:color w:val="auto"/>
      <w:spacing w:val="-1"/>
      <w:kern w:val="16"/>
      <w:sz w:val="18"/>
    </w:rPr>
  </w:style>
  <w:style w:type="table" w:customStyle="1" w:styleId="TableGrid1">
    <w:name w:val="Table Grid1"/>
    <w:basedOn w:val="TableNormal"/>
    <w:next w:val="TableGrid"/>
    <w:uiPriority w:val="59"/>
    <w:rsid w:val="005C0994"/>
    <w:pPr>
      <w:spacing w:before="70" w:after="70" w:line="260" w:lineRule="atLeast"/>
      <w:ind w:left="113" w:right="113"/>
    </w:pPr>
    <w:rPr>
      <w:rFonts w:eastAsia="Times New Roman" w:cs="Times New Roman"/>
      <w:color w:val="auto"/>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9778B4"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F1873D" w:themeFill="accent3"/>
      </w:tcPr>
    </w:tblStylePr>
    <w:tblStylePr w:type="nwCell">
      <w:pPr>
        <w:jc w:val="left"/>
      </w:pPr>
      <w:tblPr/>
      <w:tcPr>
        <w:vAlign w:val="top"/>
      </w:tcPr>
    </w:tblStylePr>
  </w:style>
  <w:style w:type="character" w:styleId="UnresolvedMention">
    <w:name w:val="Unresolved Mention"/>
    <w:basedOn w:val="DefaultParagraphFont"/>
    <w:uiPriority w:val="99"/>
    <w:unhideWhenUsed/>
    <w:rsid w:val="00D101DA"/>
    <w:rPr>
      <w:color w:val="605E5C"/>
      <w:shd w:val="clear" w:color="auto" w:fill="E1DFDD"/>
    </w:rPr>
  </w:style>
  <w:style w:type="character" w:styleId="Mention">
    <w:name w:val="Mention"/>
    <w:basedOn w:val="DefaultParagraphFont"/>
    <w:uiPriority w:val="99"/>
    <w:unhideWhenUsed/>
    <w:rsid w:val="00D101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226">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635262228">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1910070546">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s.gov.au/statistics/people/population/household-and-family-projections-australia/latest-release" TargetMode="External"/><Relationship Id="rId21" Type="http://schemas.openxmlformats.org/officeDocument/2006/relationships/hyperlink" Target="https://www.actewagl.com.au/-/media/files/new-plan-pricing-pdfs/act-standard-electricity-prices-july-2022.pdf" TargetMode="External"/><Relationship Id="rId34" Type="http://schemas.openxmlformats.org/officeDocument/2006/relationships/hyperlink" Target="https://www.elgas.com.au/autogas-lpg-cars/fuel-cost-savings-autogas-lpg-cars/" TargetMode="External"/><Relationship Id="rId42" Type="http://schemas.openxmlformats.org/officeDocument/2006/relationships/hyperlink" Target="https://www.solarchoice.net.au/blog/solar-power-canberra-act/" TargetMode="External"/><Relationship Id="rId47" Type="http://schemas.openxmlformats.org/officeDocument/2006/relationships/hyperlink" Target="https://www.westpac.com.au/personal-banking/personal-loans/interest-rates/" TargetMode="External"/><Relationship Id="rId50" Type="http://schemas.openxmlformats.org/officeDocument/2006/relationships/image" Target="media/image4.emf"/><Relationship Id="rId55" Type="http://schemas.openxmlformats.org/officeDocument/2006/relationships/oleObject" Target="https://pboprotected.sharepoint.com/sites/PRQHub/47th%20Parliament/PR-2022-044-Suburb%20Zero%20pilot%20in%20the%20ACT/PR-2022-044-Suburb%20Zero%20pilot%20in%20the%20ACT%20-%20CS.xlsx!PRR_2!R16C24:R51C37" TargetMode="External"/><Relationship Id="rId63" Type="http://schemas.openxmlformats.org/officeDocument/2006/relationships/image" Target="media/image12.emf"/><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rec-registry.gov.au/rec-registry/app/calculators/swh-stc-calculator" TargetMode="External"/><Relationship Id="rId11" Type="http://schemas.openxmlformats.org/officeDocument/2006/relationships/endnotes" Target="endnotes.xml"/><Relationship Id="rId24" Type="http://schemas.openxmlformats.org/officeDocument/2006/relationships/hyperlink" Target="https://www.climatechoices.act.gov.au/policy-programs/sustainable-household-scheme" TargetMode="External"/><Relationship Id="rId32" Type="http://schemas.openxmlformats.org/officeDocument/2006/relationships/hyperlink" Target="https://www.ecosave.com.au/news-insights/spot-trade-market-update-environmental-certificate-scheme-prices-stcs-lgcs-veecs-and-escs-march-2022/" TargetMode="External"/><Relationship Id="rId37" Type="http://schemas.openxmlformats.org/officeDocument/2006/relationships/hyperlink" Target="https://fuelprice.io/act/canberra/" TargetMode="External"/><Relationship Id="rId40" Type="http://schemas.openxmlformats.org/officeDocument/2006/relationships/hyperlink" Target="https://global-uploads.webflow.com/612b0b172765f9c62c1c20c9/615a1e5c7bec5c70d6d3f346_Castles%20and%20Cars%20Rewiring%20Australia%20Technical%20Study.pdf" TargetMode="External"/><Relationship Id="rId45" Type="http://schemas.openxmlformats.org/officeDocument/2006/relationships/hyperlink" Target="https://fund-docs.vanguard.com/ETF-Vanguard_Australian_Shares_Index_ETF_8205_FS_VAS.pdf" TargetMode="External"/><Relationship Id="rId53" Type="http://schemas.openxmlformats.org/officeDocument/2006/relationships/oleObject" Target="https://pboprotected.sharepoint.com/sites/PRQHub/47th%20Parliament/PR-2022-044-Suburb%20Zero%20pilot%20in%20the%20ACT/PR-2022-044-Suburb%20Zero%20pilot%20in%20the%20ACT%20-%20CS.xlsx!PRR_1!R94C24:R129C37" TargetMode="External"/><Relationship Id="rId58" Type="http://schemas.openxmlformats.org/officeDocument/2006/relationships/image" Target="media/image8.emf"/><Relationship Id="rId66" Type="http://schemas.openxmlformats.org/officeDocument/2006/relationships/oleObject" Target="https://pboprotected.sharepoint.com/sites/PRQHub/47th%20Parliament/PR-2022-044-Suburb%20Zero%20pilot%20in%20the%20ACT/PR-2022-044-Suburb%20Zero%20pilot%20in%20the%20ACT%20-%20CS.xlsx!Energy%20cost%20&amp;%20GHG!R16C1:R22C2" TargetMode="External"/><Relationship Id="rId5" Type="http://schemas.openxmlformats.org/officeDocument/2006/relationships/customXml" Target="../customXml/item5.xml"/><Relationship Id="rId61" Type="http://schemas.openxmlformats.org/officeDocument/2006/relationships/image" Target="media/image10.emf"/><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actewagl.com.au/-/media/files/new-plan-pricing-pdfs/act-standard-gas-prices-july-2022.pdf" TargetMode="External"/><Relationship Id="rId27" Type="http://schemas.openxmlformats.org/officeDocument/2006/relationships/hyperlink" Target="https://www.abs.gov.au/statistics/industry/tourism-and-transport/survey-motor-vehicle-use-australia/12-months-ended-30-june-2018" TargetMode="External"/><Relationship Id="rId30" Type="http://schemas.openxmlformats.org/officeDocument/2006/relationships/hyperlink" Target="https://www.energyrating.gov.au/document/report-2021-residential-baseline-study-australia-and-new-zealand-2000-2040" TargetMode="External"/><Relationship Id="rId35" Type="http://schemas.openxmlformats.org/officeDocument/2006/relationships/hyperlink" Target="https://evlease.com.au/" TargetMode="External"/><Relationship Id="rId43" Type="http://schemas.openxmlformats.org/officeDocument/2006/relationships/hyperlink" Target="https://www.solarchoice.net.au/blog/solar-power-system-prices/" TargetMode="External"/><Relationship Id="rId48" Type="http://schemas.openxmlformats.org/officeDocument/2006/relationships/image" Target="media/image3.emf"/><Relationship Id="rId56" Type="http://schemas.openxmlformats.org/officeDocument/2006/relationships/image" Target="media/image7.emf"/><Relationship Id="rId64" Type="http://schemas.openxmlformats.org/officeDocument/2006/relationships/image" Target="media/image13.emf"/><Relationship Id="rId8" Type="http://schemas.openxmlformats.org/officeDocument/2006/relationships/settings" Target="settings.xml"/><Relationship Id="rId51" Type="http://schemas.openxmlformats.org/officeDocument/2006/relationships/oleObject" Target="https://pboprotected.sharepoint.com/sites/PRQHub/47th%20Parliament/PR-2022-044-Suburb%20Zero%20pilot%20in%20the%20ACT/PR-2022-044-Suburb%20Zero%20pilot%20in%20the%20ACT%20-%20CS.xlsx!PRR_1!R55C24:R90C37"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yperlink" Target="https://www.abs.gov.au/statistics/industry/tourism-and-transport/motor-vehicle-census-australia/31-jan-2021" TargetMode="External"/><Relationship Id="rId33" Type="http://schemas.openxmlformats.org/officeDocument/2006/relationships/hyperlink" Target="https://www.electriccarsguide.com.au/buyers-guide/how-far-can-electric-cars-travel/" TargetMode="External"/><Relationship Id="rId38" Type="http://schemas.openxmlformats.org/officeDocument/2006/relationships/hyperlink" Target="https://www.toi.no/getfile.php/1349130-1542283560/Publikasjoner/T%C3%98I%20rapporter/2018/1665-2018/1665-2018-sum.pdf" TargetMode="External"/><Relationship Id="rId46" Type="http://schemas.openxmlformats.org/officeDocument/2006/relationships/hyperlink" Target="https://wattever.com.au/actewagl-solar-feed-in-tariffs/" TargetMode="External"/><Relationship Id="rId59" Type="http://schemas.openxmlformats.org/officeDocument/2006/relationships/oleObject" Target="https://pboprotected.sharepoint.com/sites/PRQHub/47th%20Parliament/PR-2022-044-Suburb%20Zero%20pilot%20in%20the%20ACT/PR-2022-044-Suburb%20Zero%20pilot%20in%20the%20ACT%20-%20CS.xlsx!PRR_2!R94C24:R129C37" TargetMode="External"/><Relationship Id="rId67" Type="http://schemas.openxmlformats.org/officeDocument/2006/relationships/fontTable" Target="fontTable.xml"/><Relationship Id="rId20" Type="http://schemas.openxmlformats.org/officeDocument/2006/relationships/hyperlink" Target="https://evse.com.au/" TargetMode="External"/><Relationship Id="rId41" Type="http://schemas.openxmlformats.org/officeDocument/2006/relationships/hyperlink" Target="https://www.solarchoice.net.au/blog/battery-storage-price/" TargetMode="External"/><Relationship Id="rId54" Type="http://schemas.openxmlformats.org/officeDocument/2006/relationships/image" Target="media/image6.emf"/><Relationship Id="rId62"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limatechoices.act.gov.au/policy-programs/next-gen-energy-storage" TargetMode="External"/><Relationship Id="rId28" Type="http://schemas.openxmlformats.org/officeDocument/2006/relationships/hyperlink" Target="https://www.rec-registry.gov.au/rec-registry/app/calculators/sgu-stc-calculator" TargetMode="External"/><Relationship Id="rId36" Type="http://schemas.openxmlformats.org/officeDocument/2006/relationships/hyperlink" Target="https://www.fcai.com.au/news/" TargetMode="External"/><Relationship Id="rId49" Type="http://schemas.openxmlformats.org/officeDocument/2006/relationships/oleObject" Target="https://pboprotected.sharepoint.com/sites/PRQHub/47th%20Parliament/PR-2022-044-Suburb%20Zero%20pilot%20in%20the%20ACT/PR-2022-044-Suburb%20Zero%20pilot%20in%20the%20ACT%20-%20CS.xlsx!PRR_1!R16C24:R51C37" TargetMode="External"/><Relationship Id="rId57" Type="http://schemas.openxmlformats.org/officeDocument/2006/relationships/oleObject" Target="https://pboprotected.sharepoint.com/sites/PRQHub/47th%20Parliament/PR-2022-044-Suburb%20Zero%20pilot%20in%20the%20ACT/PR-2022-044-Suburb%20Zero%20pilot%20in%20the%20ACT%20-%20CS.xlsx!PRR_2!R55C24:R90C37" TargetMode="External"/><Relationship Id="rId10" Type="http://schemas.openxmlformats.org/officeDocument/2006/relationships/footnotes" Target="footnotes.xml"/><Relationship Id="rId31" Type="http://schemas.openxmlformats.org/officeDocument/2006/relationships/hyperlink" Target="https://www.industry.gov.au/sites/default/files/2020-10/national-greenhouse-accounts-factors-2020.pdf" TargetMode="External"/><Relationship Id="rId44" Type="http://schemas.openxmlformats.org/officeDocument/2006/relationships/hyperlink" Target="https://www.canberratimes.com.au/story/7599839/electric-vehicle-uptake-surges-in-2021-with-canberra-consumers-miles-ahead/" TargetMode="External"/><Relationship Id="rId52" Type="http://schemas.openxmlformats.org/officeDocument/2006/relationships/image" Target="media/image5.emf"/><Relationship Id="rId60" Type="http://schemas.openxmlformats.org/officeDocument/2006/relationships/image" Target="media/image9.emf"/><Relationship Id="rId65"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https://pboprotected.sharepoint.com/sites/PRQHub/47th%20Parliament/PR-2022-044-Suburb%20Zero%20pilot%20in%20the%20ACT/PR-2022-044-Suburb%20Zero%20pilot%20in%20the%20ACT%20-%20CS.xlsx!Fin.%20tables!R3C2:R11C7" TargetMode="External"/><Relationship Id="rId18" Type="http://schemas.openxmlformats.org/officeDocument/2006/relationships/header" Target="header3.xml"/><Relationship Id="rId39" Type="http://schemas.openxmlformats.org/officeDocument/2006/relationships/hyperlink" Target="https://www.rba.gov.au/statistics/tab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Budget_Office/Costings_and_budget_in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215EFC147243408AAD18E5E049EEF9" ma:contentTypeVersion="15" ma:contentTypeDescription="Create a new document." ma:contentTypeScope="" ma:versionID="ce1f88862b74b0f39b39e998df35a943">
  <xsd:schema xmlns:xsd="http://www.w3.org/2001/XMLSchema" xmlns:xs="http://www.w3.org/2001/XMLSchema" xmlns:p="http://schemas.microsoft.com/office/2006/metadata/properties" xmlns:ns1="http://schemas.microsoft.com/sharepoint/v3" xmlns:ns2="ad8e907a-e1a6-4b76-8caa-2c3a6e0bcaac" xmlns:ns3="392fc61f-e94e-493b-9859-a48021fe120e" xmlns:ns4="http://schemas.microsoft.com/sharepoint/v4" targetNamespace="http://schemas.microsoft.com/office/2006/metadata/properties" ma:root="true" ma:fieldsID="de85e0cccfc52c5b05748f0cce2456dc" ns1:_="" ns2:_="" ns3:_="" ns4:_="">
    <xsd:import namespace="http://schemas.microsoft.com/sharepoint/v3"/>
    <xsd:import namespace="ad8e907a-e1a6-4b76-8caa-2c3a6e0bcaac"/>
    <xsd:import namespace="392fc61f-e94e-493b-9859-a48021fe120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n5dfb72b69c24bd0be10e5c7f2c63979" minOccurs="0"/>
                <xsd:element ref="ns2:TaxCatchAll" minOccurs="0"/>
                <xsd:element ref="ns2:PR_x0020_ID"/>
                <xsd:element ref="ns3:MediaServiceMetadata" minOccurs="0"/>
                <xsd:element ref="ns3:MediaServiceFastMetadata" minOccurs="0"/>
                <xsd:element ref="ns3:MediaServiceAutoKeyPoints" minOccurs="0"/>
                <xsd:element ref="ns3:MediaServiceKeyPoints" minOccurs="0"/>
                <xsd:element ref="ns4:IconOverlay" minOccurs="0"/>
                <xsd:element ref="ns1:_ip_UnifiedCompliancePolicyProperties" minOccurs="0"/>
                <xsd:element ref="ns1:_ip_UnifiedCompliancePolicyUIAc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e907a-e1a6-4b76-8caa-2c3a6e0bca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162e0b1-20f3-465a-b0e3-74ffe66b3512}" ma:internalName="TaxCatchAll" ma:showField="CatchAllData" ma:web="ad8e907a-e1a6-4b76-8caa-2c3a6e0bcaac">
      <xsd:complexType>
        <xsd:complexContent>
          <xsd:extension base="dms:MultiChoiceLookup">
            <xsd:sequence>
              <xsd:element name="Value" type="dms:Lookup" maxOccurs="unbounded" minOccurs="0" nillable="true"/>
            </xsd:sequence>
          </xsd:extension>
        </xsd:complexContent>
      </xsd:complexType>
    </xsd:element>
    <xsd:element name="PR_x0020_ID" ma:index="14" ma:displayName="PR ID" ma:default="" ma:description="ID of the parliamentarian request" ma:internalName="PR_x0020_ID0">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fc61f-e94e-493b-9859-a48021fe120e" elementFormDefault="qualified">
    <xsd:import namespace="http://schemas.microsoft.com/office/2006/documentManagement/types"/>
    <xsd:import namespace="http://schemas.microsoft.com/office/infopath/2007/PartnerControls"/>
    <xsd:element name="n5dfb72b69c24bd0be10e5c7f2c63979" ma:index="12" ma:taxonomy="true" ma:internalName="n5dfb72b69c24bd0be10e5c7f2c63979" ma:taxonomyFieldName="DocType" ma:displayName="DocType" ma:default="3;#Other|a82e5e6b-4124-495e-bcdc-32042f6b6fbc" ma:fieldId="{75dfb72b-69c2-4bd0-be10-e5c7f2c63979}"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R_x0020_ID xmlns="ad8e907a-e1a6-4b76-8caa-2c3a6e0bcaac">PR-2022-044</PR_x0020_ID>
    <n5dfb72b69c24bd0be10e5c7f2c63979 xmlns="392fc61f-e94e-493b-9859-a48021fe120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n5dfb72b69c24bd0be10e5c7f2c63979>
    <_ip_UnifiedCompliancePolicyUIAction xmlns="http://schemas.microsoft.com/sharepoint/v3" xsi:nil="true"/>
    <IconOverlay xmlns="http://schemas.microsoft.com/sharepoint/v4" xsi:nil="true"/>
    <_ip_UnifiedCompliancePolicyProperties xmlns="http://schemas.microsoft.com/sharepoint/v3" xsi:nil="true"/>
    <TaxCatchAll xmlns="ad8e907a-e1a6-4b76-8caa-2c3a6e0bcaac">
      <Value>3</Value>
    </TaxCatchAll>
    <_dlc_DocId xmlns="ad8e907a-e1a6-4b76-8caa-2c3a6e0bcaac">PRQ-151418482-2922</_dlc_DocId>
    <_dlc_DocIdUrl xmlns="ad8e907a-e1a6-4b76-8caa-2c3a6e0bcaac">
      <Url>https://pboprotected.sharepoint.com/sites/PRQHub/_layouts/15/DocIdRedir.aspx?ID=PRQ-151418482-2922</Url>
      <Description>PRQ-151418482-2922</Description>
    </_dlc_DocIdUrl>
  </documentManagement>
</p:properties>
</file>

<file path=customXml/itemProps1.xml><?xml version="1.0" encoding="utf-8"?>
<ds:datastoreItem xmlns:ds="http://schemas.openxmlformats.org/officeDocument/2006/customXml" ds:itemID="{F6CCFF4B-63CE-41E9-B9C6-CD0C1F38D1DD}">
  <ds:schemaRefs>
    <ds:schemaRef ds:uri="http://schemas.microsoft.com/sharepoint/v3/contenttype/forms"/>
  </ds:schemaRefs>
</ds:datastoreItem>
</file>

<file path=customXml/itemProps2.xml><?xml version="1.0" encoding="utf-8"?>
<ds:datastoreItem xmlns:ds="http://schemas.openxmlformats.org/officeDocument/2006/customXml" ds:itemID="{4E8E8797-133B-4D8D-A9A9-22A257ED219A}">
  <ds:schemaRefs>
    <ds:schemaRef ds:uri="http://schemas.microsoft.com/sharepoint/events"/>
  </ds:schemaRefs>
</ds:datastoreItem>
</file>

<file path=customXml/itemProps3.xml><?xml version="1.0" encoding="utf-8"?>
<ds:datastoreItem xmlns:ds="http://schemas.openxmlformats.org/officeDocument/2006/customXml" ds:itemID="{07D2F4D7-77D8-4E9C-9AD7-A8C3DE0B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e907a-e1a6-4b76-8caa-2c3a6e0bcaac"/>
    <ds:schemaRef ds:uri="392fc61f-e94e-493b-9859-a48021fe12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6DAC7-282D-4C21-8A5D-077A867C5E5B}">
  <ds:schemaRefs>
    <ds:schemaRef ds:uri="http://schemas.openxmlformats.org/officeDocument/2006/bibliography"/>
  </ds:schemaRefs>
</ds:datastoreItem>
</file>

<file path=customXml/itemProps5.xml><?xml version="1.0" encoding="utf-8"?>
<ds:datastoreItem xmlns:ds="http://schemas.openxmlformats.org/officeDocument/2006/customXml" ds:itemID="{A8A57844-AC0A-4E86-9CB6-9E8107CCE41B}">
  <ds:schemaRefs>
    <ds:schemaRef ds:uri="http://schemas.microsoft.com/office/2006/metadata/properties"/>
    <ds:schemaRef ds:uri="http://schemas.microsoft.com/office/infopath/2007/PartnerControls"/>
    <ds:schemaRef ds:uri="ad8e907a-e1a6-4b76-8caa-2c3a6e0bcaac"/>
    <ds:schemaRef ds:uri="392fc61f-e94e-493b-9859-a48021fe120e"/>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Suburb zero pilot in the ACT</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 zero pilot in the ACT</dc:title>
  <dc:subject/>
  <dc:creator>Parliamentary Budget Office (PBO)</dc:creator>
  <cp:keywords/>
  <dc:description/>
  <cp:lastModifiedBy/>
  <dcterms:created xsi:type="dcterms:W3CDTF">2023-02-27T00:48:00Z</dcterms:created>
  <dcterms:modified xsi:type="dcterms:W3CDTF">2023-02-27T00:51:00Z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0x010100C8215EFC147243408AAD18E5E049EEF9</vt:lpwstr>
  </property>
  <property fmtid="{D5CDD505-2E9C-101B-9397-08002B2CF9AE}" pid="3" name="DocType">
    <vt:lpwstr>3;#Other|a82e5e6b-4124-495e-bcdc-32042f6b6fbc</vt:lpwstr>
  </property>
  <property fmtid="{D5CDD505-2E9C-101B-9397-08002B2CF9AE}" pid="4" name="_dlc_DocIdItemGuid">
    <vt:lpwstr>1576b0f8-092e-482e-85fe-de45aa2262d1</vt:lpwstr>
  </property>
  <property fmtid="{D5CDD505-2E9C-101B-9397-08002B2CF9AE}" pid="5" name="MSIP_Label_02081b7c-3c5d-4266-a0e9-2dfd3c6da554_Enabled">
    <vt:lpwstr>true</vt:lpwstr>
  </property>
  <property fmtid="{D5CDD505-2E9C-101B-9397-08002B2CF9AE}" pid="6" name="MSIP_Label_02081b7c-3c5d-4266-a0e9-2dfd3c6da554_SetDate">
    <vt:lpwstr>2023-02-27T00:51:04Z</vt:lpwstr>
  </property>
  <property fmtid="{D5CDD505-2E9C-101B-9397-08002B2CF9AE}" pid="7" name="MSIP_Label_02081b7c-3c5d-4266-a0e9-2dfd3c6da554_Method">
    <vt:lpwstr>Privileged</vt:lpwstr>
  </property>
  <property fmtid="{D5CDD505-2E9C-101B-9397-08002B2CF9AE}" pid="8" name="MSIP_Label_02081b7c-3c5d-4266-a0e9-2dfd3c6da554_Name">
    <vt:lpwstr>OFFICIAL Sensitive</vt:lpwstr>
  </property>
  <property fmtid="{D5CDD505-2E9C-101B-9397-08002B2CF9AE}" pid="9" name="MSIP_Label_02081b7c-3c5d-4266-a0e9-2dfd3c6da554_SiteId">
    <vt:lpwstr>dc2a6fc4-3a5c-4009-8148-25a15ab44bf4</vt:lpwstr>
  </property>
  <property fmtid="{D5CDD505-2E9C-101B-9397-08002B2CF9AE}" pid="10" name="MSIP_Label_02081b7c-3c5d-4266-a0e9-2dfd3c6da554_ActionId">
    <vt:lpwstr>848c694f-0453-4c8b-a69a-e9fac87acb3e</vt:lpwstr>
  </property>
  <property fmtid="{D5CDD505-2E9C-101B-9397-08002B2CF9AE}" pid="11" name="MSIP_Label_02081b7c-3c5d-4266-a0e9-2dfd3c6da554_ContentBits">
    <vt:lpwstr>3</vt:lpwstr>
  </property>
</Properties>
</file>