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D8FF3" w14:textId="77777777" w:rsidR="00AA478E" w:rsidRDefault="00AA478E" w:rsidP="002636AE">
      <w:pPr>
        <w:pStyle w:val="Heading1"/>
        <w:spacing w:before="0"/>
      </w:pPr>
      <w:r w:rsidRPr="008D4FA9">
        <w:t>Policy costing</w:t>
      </w:r>
    </w:p>
    <w:tbl>
      <w:tblPr>
        <w:tblStyle w:val="PBOTable2-11pt"/>
        <w:tblW w:w="4992" w:type="pct"/>
        <w:tblLook w:val="0620" w:firstRow="1" w:lastRow="0" w:firstColumn="0" w:lastColumn="0" w:noHBand="1" w:noVBand="1"/>
      </w:tblPr>
      <w:tblGrid>
        <w:gridCol w:w="3537"/>
        <w:gridCol w:w="2764"/>
        <w:gridCol w:w="2736"/>
      </w:tblGrid>
      <w:tr w:rsidR="00AA478E" w:rsidRPr="004F5F28" w14:paraId="43290106" w14:textId="77777777" w:rsidTr="00D674A5">
        <w:trPr>
          <w:cnfStyle w:val="100000000000" w:firstRow="1" w:lastRow="0" w:firstColumn="0" w:lastColumn="0" w:oddVBand="0" w:evenVBand="0" w:oddHBand="0" w:evenHBand="0" w:firstRowFirstColumn="0" w:firstRowLastColumn="0" w:lastRowFirstColumn="0" w:lastRowLastColumn="0"/>
        </w:trPr>
        <w:tc>
          <w:tcPr>
            <w:tcW w:w="5000" w:type="pct"/>
            <w:gridSpan w:val="3"/>
          </w:tcPr>
          <w:p w14:paraId="7A484FC4" w14:textId="584CCC62" w:rsidR="00AA478E" w:rsidRPr="004F5F28" w:rsidRDefault="005D6807" w:rsidP="002E0CD6">
            <w:pPr>
              <w:pStyle w:val="NameofProposal"/>
              <w:spacing w:before="120" w:line="260" w:lineRule="atLeast"/>
            </w:pPr>
            <w:r>
              <w:t>Make Gas Exporters Pay Taxes and Royalties</w:t>
            </w:r>
          </w:p>
        </w:tc>
      </w:tr>
      <w:tr w:rsidR="00AA478E" w:rsidRPr="004F5F28" w14:paraId="3931927B" w14:textId="77777777" w:rsidTr="00D674A5">
        <w:tc>
          <w:tcPr>
            <w:tcW w:w="1957" w:type="pct"/>
          </w:tcPr>
          <w:p w14:paraId="17190F89" w14:textId="77777777" w:rsidR="00AA478E" w:rsidRPr="004F5F28" w:rsidRDefault="00AA478E" w:rsidP="002E0CD6">
            <w:pPr>
              <w:spacing w:before="120" w:line="260" w:lineRule="atLeast"/>
            </w:pPr>
            <w:r w:rsidRPr="004F5F28">
              <w:t>Person/party requesting the costing:</w:t>
            </w:r>
          </w:p>
        </w:tc>
        <w:tc>
          <w:tcPr>
            <w:tcW w:w="3043" w:type="pct"/>
            <w:gridSpan w:val="2"/>
          </w:tcPr>
          <w:p w14:paraId="3775B1C5" w14:textId="35882146" w:rsidR="00AA478E" w:rsidRPr="004F5F28" w:rsidRDefault="00A373D4" w:rsidP="002E0CD6">
            <w:pPr>
              <w:spacing w:before="120" w:line="260" w:lineRule="atLeast"/>
            </w:pPr>
            <w:sdt>
              <w:sdtPr>
                <w:alias w:val="Requestor"/>
                <w:tag w:val="Requestor"/>
                <w:id w:val="39022088"/>
                <w:placeholder>
                  <w:docPart w:val="CD3B48C8FEC74A37958480157080F774"/>
                </w:placeholder>
                <w:dropDownList>
                  <w:listItem w:value="Choose an item."/>
                  <w:listItem w:displayText="Mr Adam Bandt MP, Australian Greens" w:value="Mr Adam Bandt MP, Australian Greens"/>
                  <w:listItem w:displayText="The Hon Anthony Albanese MP, Australian Labor Party" w:value="The Hon Anthony Albanese MP, Australian Labor Party"/>
                  <w:listItem w:displayText="The Hon Richard Marles MP, Australian Labor Party" w:value="The Hon Richard Marles MP, Australian Labor Party"/>
                  <w:listItem w:displayText="Dr Jim Chalmers MP, Australian Labor Party" w:value="Dr Jim Chalmers MP, Australian Labor Party"/>
                  <w:listItem w:displayText="Mr Stephen Jones MP, Australian Labor Party" w:value="Mr Stephen Jones MP, Australian Labor Party"/>
                  <w:listItem w:displayText="Senator Katy Gallagher, Australian Labor Party" w:value="Senator Katy Gallagher, Australian Labor Party"/>
                  <w:listItem w:displayText="The Hon Tanya Plibersek MP, Australian Labor Party" w:value="The Hon Tanya Plibersek MP, Australian Labor Party"/>
                  <w:listItem w:displayText="The Hon Linda Burney MP, Australian Labor Party" w:value="The Hon Linda Burney MP, Australian Labor Party"/>
                  <w:listItem w:displayText="Senator Jacqui Lambie, Jacqui Lambie Network" w:value="Senator Jacqui Lambie, Jacqui Lambie Network"/>
                  <w:listItem w:displayText="Mr Bert van Manen MP, Member for Forde" w:value="Mr Bert van Manen MP, Member for Forde"/>
                  <w:listItem w:displayText="Ms Rebekha Sharkie MP, Member for Mayo" w:value="Ms Rebekha Sharkie MP, Member for Mayo"/>
                  <w:listItem w:displayText="Senator Kimberley Kitching, Senator for Victoria" w:value="Senator Kimberley Kitching, Senator for Victoria"/>
                </w:dropDownList>
              </w:sdtPr>
              <w:sdtEndPr/>
              <w:sdtContent>
                <w:r w:rsidR="005D6807">
                  <w:t>Mr Adam Bandt MP, Australian Greens</w:t>
                </w:r>
              </w:sdtContent>
            </w:sdt>
          </w:p>
        </w:tc>
      </w:tr>
      <w:tr w:rsidR="00AA478E" w:rsidRPr="004F5F28" w14:paraId="476A7379" w14:textId="77777777" w:rsidTr="00D674A5">
        <w:tc>
          <w:tcPr>
            <w:tcW w:w="1957" w:type="pct"/>
          </w:tcPr>
          <w:p w14:paraId="3DCD5033" w14:textId="77777777" w:rsidR="00AA478E" w:rsidRPr="004F5F28" w:rsidRDefault="00AA478E" w:rsidP="002E0CD6">
            <w:pPr>
              <w:spacing w:before="120" w:line="260" w:lineRule="atLeast"/>
            </w:pPr>
            <w:r w:rsidRPr="004F5F28">
              <w:t>Date costing completed:</w:t>
            </w:r>
          </w:p>
        </w:tc>
        <w:tc>
          <w:tcPr>
            <w:tcW w:w="3043" w:type="pct"/>
            <w:gridSpan w:val="2"/>
          </w:tcPr>
          <w:p w14:paraId="088A945D" w14:textId="115EFC90" w:rsidR="00AA478E" w:rsidRPr="004F5F28" w:rsidRDefault="00683A39" w:rsidP="002E0CD6">
            <w:pPr>
              <w:spacing w:before="120" w:line="260" w:lineRule="atLeast"/>
            </w:pPr>
            <w:r w:rsidRPr="00155898">
              <w:t xml:space="preserve">3 </w:t>
            </w:r>
            <w:r w:rsidR="00B31AA3" w:rsidRPr="00155898">
              <w:t>February</w:t>
            </w:r>
            <w:r w:rsidR="005D6807" w:rsidRPr="00155898">
              <w:t xml:space="preserve"> 2023</w:t>
            </w:r>
          </w:p>
        </w:tc>
      </w:tr>
      <w:tr w:rsidR="00AA478E" w:rsidRPr="004F5F28" w14:paraId="35BDA8F6" w14:textId="77777777" w:rsidTr="00D674A5">
        <w:tc>
          <w:tcPr>
            <w:tcW w:w="1957" w:type="pct"/>
          </w:tcPr>
          <w:p w14:paraId="59DCD1EE" w14:textId="77777777" w:rsidR="00AA478E" w:rsidRPr="004F5F28" w:rsidRDefault="00AA478E" w:rsidP="002E0CD6">
            <w:pPr>
              <w:spacing w:before="120" w:line="260" w:lineRule="atLeast"/>
            </w:pPr>
            <w:r w:rsidRPr="004F5F28">
              <w:t>Expiry date of the costing:</w:t>
            </w:r>
          </w:p>
        </w:tc>
        <w:tc>
          <w:tcPr>
            <w:tcW w:w="3043" w:type="pct"/>
            <w:gridSpan w:val="2"/>
          </w:tcPr>
          <w:p w14:paraId="076E83A9" w14:textId="77777777" w:rsidR="00AA478E" w:rsidRPr="004F5F28" w:rsidRDefault="00AA478E" w:rsidP="002E0CD6">
            <w:pPr>
              <w:spacing w:before="120" w:line="260" w:lineRule="atLeast"/>
            </w:pPr>
            <w:r w:rsidRPr="004F5F28">
              <w:t>Release of the next economic and fiscal outlook report.</w:t>
            </w:r>
          </w:p>
        </w:tc>
      </w:tr>
      <w:tr w:rsidR="00AA478E" w:rsidRPr="004F5F28" w14:paraId="0122E6F8" w14:textId="77777777" w:rsidTr="00D674A5">
        <w:tc>
          <w:tcPr>
            <w:tcW w:w="1957" w:type="pct"/>
            <w:vMerge w:val="restart"/>
          </w:tcPr>
          <w:p w14:paraId="4807B28B" w14:textId="77777777" w:rsidR="00AA478E" w:rsidRPr="004F5F28" w:rsidRDefault="00AA478E" w:rsidP="002E0CD6">
            <w:pPr>
              <w:spacing w:before="120" w:line="260" w:lineRule="atLeast"/>
            </w:pPr>
            <w:r w:rsidRPr="004F5F28">
              <w:t>Status at time of request:</w:t>
            </w:r>
          </w:p>
        </w:tc>
        <w:tc>
          <w:tcPr>
            <w:tcW w:w="3043" w:type="pct"/>
            <w:gridSpan w:val="2"/>
          </w:tcPr>
          <w:p w14:paraId="6A595BC8" w14:textId="77777777" w:rsidR="00AA478E" w:rsidRPr="004F5F28" w:rsidRDefault="00AA478E" w:rsidP="002E0CD6">
            <w:pPr>
              <w:spacing w:before="120" w:line="260" w:lineRule="atLeast"/>
            </w:pPr>
            <w:r w:rsidRPr="004F5F28">
              <w:t>Submitted outside the caretaker period</w:t>
            </w:r>
          </w:p>
        </w:tc>
      </w:tr>
      <w:tr w:rsidR="00AA478E" w:rsidRPr="004F5F28" w14:paraId="537F2677" w14:textId="77777777" w:rsidTr="00D674A5">
        <w:tc>
          <w:tcPr>
            <w:tcW w:w="1957" w:type="pct"/>
            <w:vMerge/>
          </w:tcPr>
          <w:p w14:paraId="33036D5E" w14:textId="77777777" w:rsidR="00AA478E" w:rsidRPr="004F5F28" w:rsidRDefault="00AA478E" w:rsidP="002E0CD6">
            <w:pPr>
              <w:spacing w:before="120" w:line="260" w:lineRule="atLeast"/>
            </w:pPr>
          </w:p>
        </w:tc>
        <w:tc>
          <w:tcPr>
            <w:tcW w:w="1529" w:type="pct"/>
          </w:tcPr>
          <w:p w14:paraId="25878E9C" w14:textId="79CF8BB9" w:rsidR="00AA478E" w:rsidRPr="004F5F28" w:rsidRDefault="00A373D4" w:rsidP="002E0CD6">
            <w:pPr>
              <w:spacing w:before="120" w:line="260" w:lineRule="atLeast"/>
            </w:pPr>
            <w:sdt>
              <w:sdtPr>
                <w:id w:val="-1656444518"/>
                <w14:checkbox>
                  <w14:checked w14:val="0"/>
                  <w14:checkedState w14:val="2612" w14:font="MS Gothic"/>
                  <w14:uncheckedState w14:val="2610" w14:font="MS Gothic"/>
                </w14:checkbox>
              </w:sdtPr>
              <w:sdtEndPr/>
              <w:sdtContent>
                <w:r w:rsidR="003C4CFF">
                  <w:rPr>
                    <w:rFonts w:ascii="MS Gothic" w:eastAsia="MS Gothic" w:hAnsi="MS Gothic" w:hint="eastAsia"/>
                  </w:rPr>
                  <w:t>☐</w:t>
                </w:r>
              </w:sdtContent>
            </w:sdt>
            <w:r w:rsidR="003C4CFF" w:rsidRPr="004F5F28">
              <w:t xml:space="preserve"> </w:t>
            </w:r>
            <w:r w:rsidR="003C4CFF" w:rsidRPr="00217672">
              <w:rPr>
                <w:strike/>
              </w:rPr>
              <w:t>Confidential</w:t>
            </w:r>
            <w:r w:rsidR="003C4CFF">
              <w:t xml:space="preserve"> – </w:t>
            </w:r>
            <w:r w:rsidR="003C4CFF">
              <w:rPr>
                <w:i/>
                <w:iCs/>
              </w:rPr>
              <w:t>Authorised for public release on               21 April 2023</w:t>
            </w:r>
          </w:p>
        </w:tc>
        <w:tc>
          <w:tcPr>
            <w:tcW w:w="1514" w:type="pct"/>
          </w:tcPr>
          <w:p w14:paraId="5C76C562" w14:textId="77777777" w:rsidR="00AA478E" w:rsidRPr="004F5F28" w:rsidRDefault="00A373D4" w:rsidP="002E0CD6">
            <w:pPr>
              <w:spacing w:before="120" w:line="260" w:lineRule="atLeast"/>
            </w:pPr>
            <w:sdt>
              <w:sdtPr>
                <w:id w:val="1635065970"/>
                <w14:checkbox>
                  <w14:checked w14:val="0"/>
                  <w14:checkedState w14:val="2612" w14:font="MS Gothic"/>
                  <w14:uncheckedState w14:val="2610" w14:font="MS Gothic"/>
                </w14:checkbox>
              </w:sdtPr>
              <w:sdtEndPr/>
              <w:sdtContent>
                <w:r w:rsidR="0002159A">
                  <w:rPr>
                    <w:rFonts w:ascii="MS Gothic" w:eastAsia="MS Gothic" w:hAnsi="MS Gothic" w:hint="eastAsia"/>
                  </w:rPr>
                  <w:t>☐</w:t>
                </w:r>
              </w:sdtContent>
            </w:sdt>
            <w:r w:rsidR="00AA478E" w:rsidRPr="004F5F28">
              <w:t xml:space="preserve"> Not confidential</w:t>
            </w:r>
          </w:p>
        </w:tc>
      </w:tr>
      <w:tr w:rsidR="00AA478E" w:rsidRPr="004F5F28" w14:paraId="738D3A92" w14:textId="77777777" w:rsidTr="00D674A5">
        <w:tc>
          <w:tcPr>
            <w:tcW w:w="5000" w:type="pct"/>
            <w:gridSpan w:val="3"/>
          </w:tcPr>
          <w:p w14:paraId="4FF38DED" w14:textId="77777777" w:rsidR="00AA478E" w:rsidRDefault="00AA478E" w:rsidP="002E0CD6">
            <w:pPr>
              <w:spacing w:before="120" w:line="260" w:lineRule="atLeast"/>
            </w:pPr>
            <w:r w:rsidRPr="004F5F28">
              <w:t>Summary of proposal:</w:t>
            </w:r>
          </w:p>
          <w:p w14:paraId="6357E0FF" w14:textId="71E0CFC8" w:rsidR="00284643" w:rsidRDefault="00284643" w:rsidP="004B2153">
            <w:pPr>
              <w:spacing w:before="120" w:line="260" w:lineRule="atLeast"/>
            </w:pPr>
            <w:r>
              <w:t xml:space="preserve">The proposal has two components that would have effect from </w:t>
            </w:r>
            <w:r w:rsidRPr="001E3570">
              <w:t>1 July 202</w:t>
            </w:r>
            <w:r w:rsidR="001E3570" w:rsidRPr="001E3570">
              <w:t>3</w:t>
            </w:r>
            <w:r w:rsidR="00407BA3">
              <w:t>.</w:t>
            </w:r>
            <w:r>
              <w:t xml:space="preserve"> </w:t>
            </w:r>
          </w:p>
          <w:p w14:paraId="7F75F5D1" w14:textId="77777777" w:rsidR="00284643" w:rsidRPr="00284643" w:rsidRDefault="00284643" w:rsidP="004B2153">
            <w:pPr>
              <w:spacing w:before="120" w:line="260" w:lineRule="atLeast"/>
              <w:rPr>
                <w:b/>
                <w:bCs/>
                <w:i/>
                <w:iCs/>
                <w:color w:val="auto"/>
              </w:rPr>
            </w:pPr>
            <w:r w:rsidRPr="00284643">
              <w:rPr>
                <w:b/>
                <w:bCs/>
                <w:i/>
                <w:iCs/>
                <w:color w:val="auto"/>
              </w:rPr>
              <w:t xml:space="preserve">Component 1 </w:t>
            </w:r>
          </w:p>
          <w:p w14:paraId="10E0179E" w14:textId="1BA467B0" w:rsidR="00284643" w:rsidRPr="00284643" w:rsidRDefault="00284643" w:rsidP="004B2153">
            <w:pPr>
              <w:spacing w:before="120" w:line="260" w:lineRule="atLeast"/>
              <w:rPr>
                <w:color w:val="auto"/>
              </w:rPr>
            </w:pPr>
            <w:r w:rsidRPr="00284643">
              <w:rPr>
                <w:color w:val="auto"/>
              </w:rPr>
              <w:t>Replace the existing petroleum resource rent tax (PRRT) method of uplifting excess expenditure to future years that relates to PRRT projects with the following method.</w:t>
            </w:r>
          </w:p>
          <w:p w14:paraId="7ABC37E3" w14:textId="77777777" w:rsidR="00284643" w:rsidRPr="00284643" w:rsidRDefault="00284643" w:rsidP="00284643">
            <w:pPr>
              <w:pStyle w:val="ListParagraph"/>
              <w:numPr>
                <w:ilvl w:val="0"/>
                <w:numId w:val="48"/>
              </w:numPr>
              <w:spacing w:line="260" w:lineRule="atLeast"/>
              <w:ind w:left="284" w:hanging="284"/>
              <w:rPr>
                <w:color w:val="auto"/>
              </w:rPr>
            </w:pPr>
            <w:r w:rsidRPr="00284643">
              <w:rPr>
                <w:color w:val="auto"/>
              </w:rPr>
              <w:t>All excess expenditure recorded before the implementation date would be immediately deducted against PRRT profit. Any unused excess expenditure incurred before the implementation date would not be carried forward to future years.</w:t>
            </w:r>
          </w:p>
          <w:p w14:paraId="7B870707" w14:textId="5DFF4441" w:rsidR="00284643" w:rsidRPr="00284643" w:rsidRDefault="00284643" w:rsidP="00284643">
            <w:pPr>
              <w:pStyle w:val="ListParagraph"/>
              <w:numPr>
                <w:ilvl w:val="0"/>
                <w:numId w:val="48"/>
              </w:numPr>
              <w:spacing w:line="260" w:lineRule="atLeast"/>
              <w:ind w:left="284" w:hanging="284"/>
              <w:rPr>
                <w:color w:val="auto"/>
              </w:rPr>
            </w:pPr>
            <w:r w:rsidRPr="00284643">
              <w:rPr>
                <w:color w:val="auto"/>
              </w:rPr>
              <w:t xml:space="preserve">All expenditure, including general expenditure, incurred after the implementation date, would be deducted based on prime cost depreciation over 15 years so that 6.66% of the expenditure would be deducted each year. There would be no uplift factor applied to unused </w:t>
            </w:r>
            <w:proofErr w:type="gramStart"/>
            <w:r w:rsidRPr="00284643">
              <w:rPr>
                <w:color w:val="auto"/>
              </w:rPr>
              <w:t>expenditure</w:t>
            </w:r>
            <w:proofErr w:type="gramEnd"/>
          </w:p>
          <w:p w14:paraId="24EA677A" w14:textId="17940808" w:rsidR="00921F44" w:rsidRPr="001A07CB" w:rsidRDefault="006C0C59" w:rsidP="00F660F0">
            <w:pPr>
              <w:spacing w:line="260" w:lineRule="atLeast"/>
              <w:rPr>
                <w:color w:val="auto"/>
              </w:rPr>
            </w:pPr>
            <w:r w:rsidRPr="001A07CB">
              <w:rPr>
                <w:color w:val="auto"/>
              </w:rPr>
              <w:t xml:space="preserve">In addition to the </w:t>
            </w:r>
            <w:r w:rsidR="00A60B53" w:rsidRPr="001A07CB">
              <w:rPr>
                <w:color w:val="auto"/>
              </w:rPr>
              <w:t xml:space="preserve">offshore gas projects that are </w:t>
            </w:r>
            <w:r w:rsidR="00135189" w:rsidRPr="001A07CB">
              <w:rPr>
                <w:color w:val="auto"/>
              </w:rPr>
              <w:t xml:space="preserve">liable to pay PRRT currently, the </w:t>
            </w:r>
            <w:r w:rsidR="00B0171D" w:rsidRPr="001A07CB">
              <w:rPr>
                <w:color w:val="auto"/>
              </w:rPr>
              <w:t xml:space="preserve">following </w:t>
            </w:r>
            <w:r w:rsidR="00135189" w:rsidRPr="001A07CB">
              <w:rPr>
                <w:color w:val="auto"/>
              </w:rPr>
              <w:t>four</w:t>
            </w:r>
            <w:r w:rsidR="00921F44" w:rsidRPr="001A07CB">
              <w:rPr>
                <w:color w:val="auto"/>
              </w:rPr>
              <w:t xml:space="preserve"> onshore projects</w:t>
            </w:r>
            <w:r w:rsidR="001939D1" w:rsidRPr="001A07CB">
              <w:rPr>
                <w:color w:val="auto"/>
              </w:rPr>
              <w:t xml:space="preserve"> </w:t>
            </w:r>
            <w:r w:rsidR="00323F4E" w:rsidRPr="001A07CB">
              <w:rPr>
                <w:color w:val="auto"/>
              </w:rPr>
              <w:t xml:space="preserve">would be </w:t>
            </w:r>
            <w:r w:rsidR="001939D1" w:rsidRPr="001A07CB">
              <w:rPr>
                <w:color w:val="auto"/>
              </w:rPr>
              <w:t>included</w:t>
            </w:r>
            <w:r w:rsidR="00921F44" w:rsidRPr="001A07CB">
              <w:rPr>
                <w:color w:val="auto"/>
              </w:rPr>
              <w:t xml:space="preserve"> in the PRRT calculation</w:t>
            </w:r>
            <w:r w:rsidR="001939D1" w:rsidRPr="001A07CB">
              <w:rPr>
                <w:color w:val="auto"/>
              </w:rPr>
              <w:t>:</w:t>
            </w:r>
          </w:p>
          <w:p w14:paraId="0C8031B0" w14:textId="18C49D5F" w:rsidR="00DE4881" w:rsidRPr="001A07CB" w:rsidRDefault="00B857C2" w:rsidP="00F660F0">
            <w:pPr>
              <w:pStyle w:val="ListParagraph"/>
              <w:numPr>
                <w:ilvl w:val="0"/>
                <w:numId w:val="48"/>
              </w:numPr>
              <w:spacing w:line="260" w:lineRule="atLeast"/>
              <w:ind w:left="284" w:hanging="284"/>
              <w:rPr>
                <w:color w:val="auto"/>
              </w:rPr>
            </w:pPr>
            <w:r w:rsidRPr="001A07CB">
              <w:rPr>
                <w:color w:val="auto"/>
              </w:rPr>
              <w:t>Australian Pacific LNG (APLNG)</w:t>
            </w:r>
          </w:p>
          <w:p w14:paraId="664E29A5" w14:textId="212B9638" w:rsidR="00B857C2" w:rsidRPr="001A07CB" w:rsidRDefault="00F51071" w:rsidP="00F660F0">
            <w:pPr>
              <w:pStyle w:val="ListParagraph"/>
              <w:numPr>
                <w:ilvl w:val="0"/>
                <w:numId w:val="48"/>
              </w:numPr>
              <w:spacing w:line="260" w:lineRule="atLeast"/>
              <w:ind w:left="284" w:hanging="284"/>
              <w:rPr>
                <w:color w:val="auto"/>
              </w:rPr>
            </w:pPr>
            <w:r w:rsidRPr="001A07CB">
              <w:rPr>
                <w:color w:val="auto"/>
              </w:rPr>
              <w:t>Cooper Basin</w:t>
            </w:r>
          </w:p>
          <w:p w14:paraId="25467ABB" w14:textId="69749A29" w:rsidR="00F51071" w:rsidRPr="001A07CB" w:rsidRDefault="002615E0" w:rsidP="00F660F0">
            <w:pPr>
              <w:pStyle w:val="ListParagraph"/>
              <w:numPr>
                <w:ilvl w:val="0"/>
                <w:numId w:val="48"/>
              </w:numPr>
              <w:spacing w:line="260" w:lineRule="atLeast"/>
              <w:ind w:left="284" w:hanging="284"/>
              <w:rPr>
                <w:color w:val="auto"/>
              </w:rPr>
            </w:pPr>
            <w:r w:rsidRPr="001A07CB">
              <w:rPr>
                <w:color w:val="auto"/>
              </w:rPr>
              <w:t>Gladstone LNG Project (GLNG)</w:t>
            </w:r>
          </w:p>
          <w:p w14:paraId="07C69220" w14:textId="612142D1" w:rsidR="002615E0" w:rsidRPr="001A07CB" w:rsidRDefault="004C48EB" w:rsidP="00F660F0">
            <w:pPr>
              <w:pStyle w:val="ListParagraph"/>
              <w:numPr>
                <w:ilvl w:val="0"/>
                <w:numId w:val="48"/>
              </w:numPr>
              <w:spacing w:line="260" w:lineRule="atLeast"/>
              <w:ind w:left="284" w:hanging="284"/>
              <w:rPr>
                <w:color w:val="auto"/>
              </w:rPr>
            </w:pPr>
            <w:r w:rsidRPr="001A07CB">
              <w:rPr>
                <w:color w:val="auto"/>
              </w:rPr>
              <w:t>Queensland Curtis LNG Project (QCLNG)</w:t>
            </w:r>
          </w:p>
          <w:p w14:paraId="425A29E3" w14:textId="77777777" w:rsidR="00284643" w:rsidRPr="00284643" w:rsidRDefault="00284643" w:rsidP="00284643">
            <w:pPr>
              <w:spacing w:line="260" w:lineRule="atLeast"/>
              <w:rPr>
                <w:b/>
                <w:bCs/>
                <w:i/>
                <w:iCs/>
              </w:rPr>
            </w:pPr>
            <w:r w:rsidRPr="00284643">
              <w:rPr>
                <w:b/>
                <w:bCs/>
                <w:i/>
                <w:iCs/>
              </w:rPr>
              <w:t xml:space="preserve">Component 2 </w:t>
            </w:r>
          </w:p>
          <w:p w14:paraId="75A91B67" w14:textId="374A8EEF" w:rsidR="0059282B" w:rsidRPr="00284643" w:rsidRDefault="00284643" w:rsidP="00284643">
            <w:pPr>
              <w:spacing w:line="260" w:lineRule="atLeast"/>
              <w:rPr>
                <w:color w:val="FF0000"/>
              </w:rPr>
            </w:pPr>
            <w:r>
              <w:t xml:space="preserve">Place a 10% royalty on offshore projects (excluding the </w:t>
            </w:r>
            <w:proofErr w:type="gramStart"/>
            <w:r>
              <w:t>North West</w:t>
            </w:r>
            <w:proofErr w:type="gramEnd"/>
            <w:r>
              <w:t xml:space="preserve"> Shelf project) that are subject to the PRRT. Royalty payments would be creditable against PRRT liabilities on a one-for-one basis and treated as a deductible expense in calculating company tax liabilities. Any royalties paid that are not credited against PRRT liabilities in a year would be carried forward, to be credited against PRRT liabilities in a later year.</w:t>
            </w:r>
          </w:p>
        </w:tc>
      </w:tr>
    </w:tbl>
    <w:p w14:paraId="0C0CF27F" w14:textId="77777777" w:rsidR="00AA478E" w:rsidRPr="009B33D1" w:rsidRDefault="00AA478E" w:rsidP="009B33D1">
      <w:pPr>
        <w:pStyle w:val="Heading2"/>
      </w:pPr>
      <w:r w:rsidRPr="009B33D1">
        <w:lastRenderedPageBreak/>
        <w:t>Costing overview</w:t>
      </w:r>
    </w:p>
    <w:p w14:paraId="718571C0" w14:textId="7D886508" w:rsidR="0098443D" w:rsidRDefault="0098443D" w:rsidP="0098443D">
      <w:pPr>
        <w:pStyle w:val="BodyText"/>
      </w:pPr>
      <w:bookmarkStart w:id="0" w:name="_Hlk63779408"/>
      <w:r>
        <w:t xml:space="preserve">The proposal would be expected to increase the fiscal balance by around </w:t>
      </w:r>
      <w:r w:rsidRPr="00B22A4A">
        <w:t>$</w:t>
      </w:r>
      <w:r w:rsidR="00323ED1" w:rsidRPr="00B22A4A">
        <w:t>33</w:t>
      </w:r>
      <w:r w:rsidR="00CB457E">
        <w:t>.</w:t>
      </w:r>
      <w:r w:rsidR="00323ED1" w:rsidRPr="00B22A4A">
        <w:t>8</w:t>
      </w:r>
      <w:r w:rsidRPr="00B22A4A">
        <w:t xml:space="preserve"> </w:t>
      </w:r>
      <w:r w:rsidR="00CB457E">
        <w:t>b</w:t>
      </w:r>
      <w:r w:rsidRPr="00B22A4A">
        <w:t>illion</w:t>
      </w:r>
      <w:r>
        <w:t xml:space="preserve"> and the underlying cash balance by around </w:t>
      </w:r>
      <w:r w:rsidRPr="00DB3F0C">
        <w:t>$</w:t>
      </w:r>
      <w:r w:rsidR="00DB3F0C" w:rsidRPr="00DB3F0C">
        <w:t>2</w:t>
      </w:r>
      <w:r w:rsidR="00566203">
        <w:t>9</w:t>
      </w:r>
      <w:r w:rsidR="00CB457E">
        <w:t>.</w:t>
      </w:r>
      <w:r w:rsidR="00DD6B3D">
        <w:t>1</w:t>
      </w:r>
      <w:r>
        <w:t xml:space="preserve"> </w:t>
      </w:r>
      <w:r w:rsidR="00CB457E">
        <w:t>b</w:t>
      </w:r>
      <w:r>
        <w:t xml:space="preserve">illion over the 2022-23 Budget forward estimates period. This impact reflects a net increase in tax and non-tax revenue. </w:t>
      </w:r>
    </w:p>
    <w:p w14:paraId="2769B642" w14:textId="77777777" w:rsidR="0098443D" w:rsidRDefault="0098443D" w:rsidP="0098443D">
      <w:pPr>
        <w:pStyle w:val="BodyText"/>
      </w:pPr>
      <w:r>
        <w:t xml:space="preserve">The proposal would have an ongoing impact beyond the 2022-23 Budget forward estimates period. A breakdown of the financial implications (including separate public debt interest (PDI) tables) over the period to 2032-33 is provided at Attachment A. </w:t>
      </w:r>
    </w:p>
    <w:p w14:paraId="1D81BDD9" w14:textId="77777777" w:rsidR="0098443D" w:rsidRDefault="0098443D" w:rsidP="0098443D">
      <w:pPr>
        <w:pStyle w:val="BodyText"/>
      </w:pPr>
      <w:r>
        <w:t xml:space="preserve">Departmental expenses for the proposal would not be expected to be material because it would not significantly alter the administration of the tax system. It is assumed that the Australian Taxation Office (ATO) would absorb the departmental costs of implementing these changes and as such this proposal would have nil departmental costs. </w:t>
      </w:r>
    </w:p>
    <w:p w14:paraId="155CE655" w14:textId="77777777" w:rsidR="0098443D" w:rsidRDefault="0098443D" w:rsidP="0098443D">
      <w:pPr>
        <w:pStyle w:val="BodyText"/>
      </w:pPr>
      <w:r>
        <w:t xml:space="preserve">The differences between the fiscal and underlying cash balance impacts reflect timing differences between when the PRRT and royalty revenue are recognised and when they are paid. </w:t>
      </w:r>
    </w:p>
    <w:p w14:paraId="27FCFCB5" w14:textId="77777777" w:rsidR="0098443D" w:rsidRDefault="0098443D" w:rsidP="0098443D">
      <w:pPr>
        <w:pStyle w:val="BodyText"/>
      </w:pPr>
      <w:r>
        <w:t>There is a significant degree of uncertainty around the following factors:</w:t>
      </w:r>
    </w:p>
    <w:p w14:paraId="2F777D94" w14:textId="77777777" w:rsidR="0098443D" w:rsidRDefault="0098443D" w:rsidP="0098443D">
      <w:pPr>
        <w:pStyle w:val="BodyText"/>
        <w:numPr>
          <w:ilvl w:val="0"/>
          <w:numId w:val="49"/>
        </w:numPr>
        <w:ind w:left="284" w:hanging="284"/>
      </w:pPr>
      <w:r>
        <w:t>oil and gas production volumes</w:t>
      </w:r>
    </w:p>
    <w:p w14:paraId="161957BB" w14:textId="77777777" w:rsidR="0098443D" w:rsidRDefault="0098443D" w:rsidP="0098443D">
      <w:pPr>
        <w:pStyle w:val="BodyText"/>
        <w:numPr>
          <w:ilvl w:val="0"/>
          <w:numId w:val="49"/>
        </w:numPr>
        <w:ind w:left="284" w:hanging="284"/>
      </w:pPr>
      <w:r>
        <w:t xml:space="preserve">capital and operating costs </w:t>
      </w:r>
    </w:p>
    <w:p w14:paraId="654766EA" w14:textId="77777777" w:rsidR="0098443D" w:rsidRDefault="0098443D" w:rsidP="0098443D">
      <w:pPr>
        <w:pStyle w:val="BodyText"/>
        <w:numPr>
          <w:ilvl w:val="0"/>
          <w:numId w:val="49"/>
        </w:numPr>
        <w:ind w:left="284" w:hanging="284"/>
      </w:pPr>
      <w:r>
        <w:t xml:space="preserve">future oil and gas prices </w:t>
      </w:r>
    </w:p>
    <w:p w14:paraId="7F4411DF" w14:textId="77777777" w:rsidR="0098443D" w:rsidRDefault="0098443D" w:rsidP="0098443D">
      <w:pPr>
        <w:pStyle w:val="BodyText"/>
        <w:numPr>
          <w:ilvl w:val="0"/>
          <w:numId w:val="49"/>
        </w:numPr>
        <w:ind w:left="284" w:hanging="284"/>
      </w:pPr>
      <w:r>
        <w:t xml:space="preserve">long-term bond rate </w:t>
      </w:r>
    </w:p>
    <w:p w14:paraId="716E834E" w14:textId="77777777" w:rsidR="0098443D" w:rsidRDefault="0098443D" w:rsidP="0098443D">
      <w:pPr>
        <w:pStyle w:val="BodyText"/>
        <w:numPr>
          <w:ilvl w:val="0"/>
          <w:numId w:val="49"/>
        </w:numPr>
        <w:ind w:left="284" w:hanging="284"/>
      </w:pPr>
      <w:r>
        <w:t xml:space="preserve">expected behavioural responses to the proposal. </w:t>
      </w:r>
    </w:p>
    <w:p w14:paraId="37B04BBC" w14:textId="159C5740" w:rsidR="0098443D" w:rsidRDefault="0098443D" w:rsidP="0098443D">
      <w:pPr>
        <w:pStyle w:val="BodyText"/>
      </w:pPr>
      <w:r>
        <w:t>It is possible that some projects would close sooner than they otherwise would. This is because the proposal would reduce the post-tax return on projects, possibly making them unviable. The uncertainty of these factors means that revenue from this proposal could vary substantially from the estimates provided, both over the timeframe of this costing or in individual years. For example, lower oil or gas prices can rapidly reduce PRRT profit and tax payable.</w:t>
      </w:r>
    </w:p>
    <w:p w14:paraId="70BD79FF" w14:textId="6E29AFC8" w:rsidR="00583F71" w:rsidRPr="006152F5" w:rsidRDefault="00583F71" w:rsidP="00583F71">
      <w:pPr>
        <w:pStyle w:val="Caption"/>
        <w:rPr>
          <w:lang w:val="fr-FR"/>
        </w:rPr>
      </w:pPr>
      <w:r w:rsidRPr="006152F5">
        <w:rPr>
          <w:lang w:val="fr-FR"/>
        </w:rPr>
        <w:t xml:space="preserve">Table </w:t>
      </w:r>
      <w:proofErr w:type="gramStart"/>
      <w:r w:rsidRPr="006152F5">
        <w:rPr>
          <w:lang w:val="fr-FR"/>
        </w:rPr>
        <w:t>1:</w:t>
      </w:r>
      <w:proofErr w:type="gramEnd"/>
      <w:r w:rsidRPr="006152F5">
        <w:rPr>
          <w:lang w:val="fr-FR"/>
        </w:rPr>
        <w:t xml:space="preserve"> </w:t>
      </w:r>
      <w:r w:rsidRPr="006152F5">
        <w:rPr>
          <w:noProof/>
        </w:rPr>
        <w:fldChar w:fldCharType="begin"/>
      </w:r>
      <w:r w:rsidRPr="006152F5">
        <w:rPr>
          <w:noProof/>
        </w:rPr>
        <w:instrText xml:space="preserve"> STYLEREF  "Name of Proposal"  \* MERGEFORMAT </w:instrText>
      </w:r>
      <w:r w:rsidRPr="006152F5">
        <w:rPr>
          <w:noProof/>
        </w:rPr>
        <w:fldChar w:fldCharType="separate"/>
      </w:r>
      <w:r w:rsidR="0070110A">
        <w:rPr>
          <w:noProof/>
        </w:rPr>
        <w:t>Make Gas Exporters Pay Taxes and Royalties</w:t>
      </w:r>
      <w:r w:rsidRPr="006152F5">
        <w:rPr>
          <w:noProof/>
        </w:rPr>
        <w:fldChar w:fldCharType="end"/>
      </w:r>
      <w:r w:rsidRPr="006152F5">
        <w:rPr>
          <w:lang w:val="fr-FR"/>
        </w:rPr>
        <w:t>Financial implications ($m)</w:t>
      </w:r>
      <w:r w:rsidRPr="006152F5">
        <w:rPr>
          <w:vertAlign w:val="superscript"/>
          <w:lang w:val="fr-FR"/>
        </w:rPr>
        <w:t>(a)(b)</w:t>
      </w:r>
    </w:p>
    <w:tbl>
      <w:tblPr>
        <w:tblW w:w="9641" w:type="dxa"/>
        <w:tblLook w:val="04A0" w:firstRow="1" w:lastRow="0" w:firstColumn="1" w:lastColumn="0" w:noHBand="0" w:noVBand="1"/>
      </w:tblPr>
      <w:tblGrid>
        <w:gridCol w:w="2547"/>
        <w:gridCol w:w="1418"/>
        <w:gridCol w:w="1419"/>
        <w:gridCol w:w="1419"/>
        <w:gridCol w:w="1419"/>
        <w:gridCol w:w="1419"/>
      </w:tblGrid>
      <w:tr w:rsidR="009B79B2" w:rsidRPr="009B79B2" w14:paraId="0336D8ED" w14:textId="77777777" w:rsidTr="009B79B2">
        <w:trPr>
          <w:trHeight w:val="387"/>
        </w:trPr>
        <w:tc>
          <w:tcPr>
            <w:tcW w:w="2547" w:type="dxa"/>
            <w:tcBorders>
              <w:top w:val="single" w:sz="4" w:space="0" w:color="788184"/>
              <w:left w:val="single" w:sz="4" w:space="0" w:color="788184"/>
              <w:bottom w:val="single" w:sz="4" w:space="0" w:color="788184"/>
              <w:right w:val="single" w:sz="4" w:space="0" w:color="788184"/>
            </w:tcBorders>
            <w:shd w:val="clear" w:color="000000" w:fill="A7B2D4"/>
            <w:vAlign w:val="center"/>
            <w:hideMark/>
          </w:tcPr>
          <w:p w14:paraId="61C94E1B" w14:textId="77777777" w:rsidR="009B79B2" w:rsidRPr="009B79B2" w:rsidRDefault="009B79B2" w:rsidP="009B79B2">
            <w:pPr>
              <w:spacing w:before="0" w:after="0" w:line="240" w:lineRule="auto"/>
              <w:rPr>
                <w:rFonts w:ascii="Calibri" w:eastAsia="Times New Roman" w:hAnsi="Calibri" w:cs="Calibri"/>
                <w:color w:val="000000"/>
                <w:spacing w:val="0"/>
                <w:sz w:val="20"/>
                <w:szCs w:val="20"/>
                <w:lang w:eastAsia="en-AU"/>
              </w:rPr>
            </w:pPr>
            <w:r w:rsidRPr="009B79B2">
              <w:rPr>
                <w:rFonts w:ascii="Calibri" w:eastAsia="Times New Roman" w:hAnsi="Calibri" w:cs="Calibri"/>
                <w:color w:val="000000"/>
                <w:spacing w:val="0"/>
                <w:sz w:val="20"/>
                <w:szCs w:val="20"/>
                <w:lang w:eastAsia="en-AU"/>
              </w:rPr>
              <w:t> </w:t>
            </w:r>
          </w:p>
        </w:tc>
        <w:tc>
          <w:tcPr>
            <w:tcW w:w="1418" w:type="dxa"/>
            <w:tcBorders>
              <w:top w:val="single" w:sz="4" w:space="0" w:color="788184"/>
              <w:left w:val="nil"/>
              <w:bottom w:val="single" w:sz="4" w:space="0" w:color="788184"/>
              <w:right w:val="single" w:sz="4" w:space="0" w:color="788184"/>
            </w:tcBorders>
            <w:shd w:val="clear" w:color="000000" w:fill="A7B2D4"/>
            <w:vAlign w:val="center"/>
            <w:hideMark/>
          </w:tcPr>
          <w:p w14:paraId="02C6507B" w14:textId="77777777" w:rsidR="009B79B2" w:rsidRPr="009B79B2" w:rsidRDefault="009B79B2" w:rsidP="009B79B2">
            <w:pPr>
              <w:spacing w:before="0" w:after="0" w:line="240" w:lineRule="auto"/>
              <w:jc w:val="right"/>
              <w:rPr>
                <w:rFonts w:ascii="Calibri" w:eastAsia="Times New Roman" w:hAnsi="Calibri" w:cs="Calibri"/>
                <w:color w:val="000000"/>
                <w:spacing w:val="0"/>
                <w:sz w:val="20"/>
                <w:szCs w:val="20"/>
                <w:lang w:eastAsia="en-AU"/>
              </w:rPr>
            </w:pPr>
            <w:r w:rsidRPr="009B79B2">
              <w:rPr>
                <w:rFonts w:ascii="Calibri" w:eastAsia="Times New Roman" w:hAnsi="Calibri" w:cs="Calibri"/>
                <w:color w:val="000000"/>
                <w:spacing w:val="0"/>
                <w:sz w:val="20"/>
                <w:szCs w:val="20"/>
                <w:lang w:eastAsia="en-AU"/>
              </w:rPr>
              <w:t>2022-23</w:t>
            </w:r>
          </w:p>
        </w:tc>
        <w:tc>
          <w:tcPr>
            <w:tcW w:w="1419" w:type="dxa"/>
            <w:tcBorders>
              <w:top w:val="single" w:sz="4" w:space="0" w:color="788184"/>
              <w:left w:val="nil"/>
              <w:bottom w:val="single" w:sz="4" w:space="0" w:color="788184"/>
              <w:right w:val="single" w:sz="4" w:space="0" w:color="788184"/>
            </w:tcBorders>
            <w:shd w:val="clear" w:color="000000" w:fill="A7B2D4"/>
            <w:vAlign w:val="center"/>
            <w:hideMark/>
          </w:tcPr>
          <w:p w14:paraId="0D0A3D07" w14:textId="77777777" w:rsidR="009B79B2" w:rsidRPr="009B79B2" w:rsidRDefault="009B79B2" w:rsidP="009B79B2">
            <w:pPr>
              <w:spacing w:before="0" w:after="0" w:line="240" w:lineRule="auto"/>
              <w:jc w:val="right"/>
              <w:rPr>
                <w:rFonts w:ascii="Calibri" w:eastAsia="Times New Roman" w:hAnsi="Calibri" w:cs="Calibri"/>
                <w:color w:val="000000"/>
                <w:spacing w:val="0"/>
                <w:sz w:val="20"/>
                <w:szCs w:val="20"/>
                <w:lang w:eastAsia="en-AU"/>
              </w:rPr>
            </w:pPr>
            <w:r w:rsidRPr="009B79B2">
              <w:rPr>
                <w:rFonts w:ascii="Calibri" w:eastAsia="Times New Roman" w:hAnsi="Calibri" w:cs="Calibri"/>
                <w:color w:val="000000"/>
                <w:spacing w:val="0"/>
                <w:sz w:val="20"/>
                <w:szCs w:val="20"/>
                <w:lang w:eastAsia="en-AU"/>
              </w:rPr>
              <w:t>2023-24</w:t>
            </w:r>
          </w:p>
        </w:tc>
        <w:tc>
          <w:tcPr>
            <w:tcW w:w="1419" w:type="dxa"/>
            <w:tcBorders>
              <w:top w:val="single" w:sz="4" w:space="0" w:color="788184"/>
              <w:left w:val="nil"/>
              <w:bottom w:val="single" w:sz="4" w:space="0" w:color="788184"/>
              <w:right w:val="single" w:sz="4" w:space="0" w:color="788184"/>
            </w:tcBorders>
            <w:shd w:val="clear" w:color="000000" w:fill="A7B2D4"/>
            <w:vAlign w:val="center"/>
            <w:hideMark/>
          </w:tcPr>
          <w:p w14:paraId="5CD3EDD1" w14:textId="77777777" w:rsidR="009B79B2" w:rsidRPr="009B79B2" w:rsidRDefault="009B79B2" w:rsidP="009B79B2">
            <w:pPr>
              <w:spacing w:before="0" w:after="0" w:line="240" w:lineRule="auto"/>
              <w:jc w:val="right"/>
              <w:rPr>
                <w:rFonts w:ascii="Calibri" w:eastAsia="Times New Roman" w:hAnsi="Calibri" w:cs="Calibri"/>
                <w:color w:val="000000"/>
                <w:spacing w:val="0"/>
                <w:sz w:val="20"/>
                <w:szCs w:val="20"/>
                <w:lang w:eastAsia="en-AU"/>
              </w:rPr>
            </w:pPr>
            <w:r w:rsidRPr="009B79B2">
              <w:rPr>
                <w:rFonts w:ascii="Calibri" w:eastAsia="Times New Roman" w:hAnsi="Calibri" w:cs="Calibri"/>
                <w:color w:val="000000"/>
                <w:spacing w:val="0"/>
                <w:sz w:val="20"/>
                <w:szCs w:val="20"/>
                <w:lang w:eastAsia="en-AU"/>
              </w:rPr>
              <w:t>2024-25</w:t>
            </w:r>
          </w:p>
        </w:tc>
        <w:tc>
          <w:tcPr>
            <w:tcW w:w="1419" w:type="dxa"/>
            <w:tcBorders>
              <w:top w:val="single" w:sz="4" w:space="0" w:color="788184"/>
              <w:left w:val="nil"/>
              <w:bottom w:val="single" w:sz="4" w:space="0" w:color="788184"/>
              <w:right w:val="single" w:sz="4" w:space="0" w:color="788184"/>
            </w:tcBorders>
            <w:shd w:val="clear" w:color="000000" w:fill="A7B2D4"/>
            <w:vAlign w:val="center"/>
            <w:hideMark/>
          </w:tcPr>
          <w:p w14:paraId="49574534" w14:textId="77777777" w:rsidR="009B79B2" w:rsidRPr="009B79B2" w:rsidRDefault="009B79B2" w:rsidP="009B79B2">
            <w:pPr>
              <w:spacing w:before="0" w:after="0" w:line="240" w:lineRule="auto"/>
              <w:jc w:val="right"/>
              <w:rPr>
                <w:rFonts w:ascii="Calibri" w:eastAsia="Times New Roman" w:hAnsi="Calibri" w:cs="Calibri"/>
                <w:color w:val="000000"/>
                <w:spacing w:val="0"/>
                <w:sz w:val="20"/>
                <w:szCs w:val="20"/>
                <w:lang w:eastAsia="en-AU"/>
              </w:rPr>
            </w:pPr>
            <w:r w:rsidRPr="009B79B2">
              <w:rPr>
                <w:rFonts w:ascii="Calibri" w:eastAsia="Times New Roman" w:hAnsi="Calibri" w:cs="Calibri"/>
                <w:color w:val="000000"/>
                <w:spacing w:val="0"/>
                <w:sz w:val="20"/>
                <w:szCs w:val="20"/>
                <w:lang w:eastAsia="en-AU"/>
              </w:rPr>
              <w:t>2025-26</w:t>
            </w:r>
          </w:p>
        </w:tc>
        <w:tc>
          <w:tcPr>
            <w:tcW w:w="1419" w:type="dxa"/>
            <w:tcBorders>
              <w:top w:val="single" w:sz="4" w:space="0" w:color="788184"/>
              <w:left w:val="nil"/>
              <w:bottom w:val="single" w:sz="4" w:space="0" w:color="788184"/>
              <w:right w:val="single" w:sz="4" w:space="0" w:color="788184"/>
            </w:tcBorders>
            <w:shd w:val="clear" w:color="000000" w:fill="A7B2D4"/>
            <w:vAlign w:val="center"/>
            <w:hideMark/>
          </w:tcPr>
          <w:p w14:paraId="3406C817" w14:textId="77777777" w:rsidR="009B79B2" w:rsidRPr="009B79B2" w:rsidRDefault="009B79B2" w:rsidP="009B79B2">
            <w:pPr>
              <w:spacing w:before="0" w:after="0" w:line="240" w:lineRule="auto"/>
              <w:jc w:val="right"/>
              <w:rPr>
                <w:rFonts w:ascii="Calibri" w:eastAsia="Times New Roman" w:hAnsi="Calibri" w:cs="Calibri"/>
                <w:b/>
                <w:bCs/>
                <w:color w:val="000000"/>
                <w:spacing w:val="0"/>
                <w:sz w:val="20"/>
                <w:szCs w:val="20"/>
                <w:lang w:eastAsia="en-AU"/>
              </w:rPr>
            </w:pPr>
            <w:r w:rsidRPr="009B79B2">
              <w:rPr>
                <w:rFonts w:ascii="Calibri" w:eastAsia="Times New Roman" w:hAnsi="Calibri" w:cs="Calibri"/>
                <w:b/>
                <w:bCs/>
                <w:color w:val="000000"/>
                <w:spacing w:val="0"/>
                <w:sz w:val="20"/>
                <w:szCs w:val="20"/>
                <w:lang w:eastAsia="en-AU"/>
              </w:rPr>
              <w:t xml:space="preserve"> Total to </w:t>
            </w:r>
            <w:r w:rsidRPr="009B79B2">
              <w:rPr>
                <w:rFonts w:ascii="Calibri" w:eastAsia="Times New Roman" w:hAnsi="Calibri" w:cs="Calibri"/>
                <w:b/>
                <w:bCs/>
                <w:color w:val="000000"/>
                <w:spacing w:val="0"/>
                <w:sz w:val="20"/>
                <w:szCs w:val="20"/>
                <w:lang w:eastAsia="en-AU"/>
              </w:rPr>
              <w:br/>
              <w:t xml:space="preserve">2025-26 </w:t>
            </w:r>
          </w:p>
        </w:tc>
      </w:tr>
      <w:tr w:rsidR="009B79B2" w:rsidRPr="009B79B2" w14:paraId="666609C7" w14:textId="77777777" w:rsidTr="009B79B2">
        <w:trPr>
          <w:trHeight w:val="218"/>
        </w:trPr>
        <w:tc>
          <w:tcPr>
            <w:tcW w:w="2547" w:type="dxa"/>
            <w:tcBorders>
              <w:top w:val="nil"/>
              <w:left w:val="single" w:sz="4" w:space="0" w:color="788184"/>
              <w:bottom w:val="single" w:sz="4" w:space="0" w:color="788184"/>
              <w:right w:val="single" w:sz="4" w:space="0" w:color="788184"/>
            </w:tcBorders>
            <w:shd w:val="clear" w:color="auto" w:fill="auto"/>
            <w:vAlign w:val="center"/>
            <w:hideMark/>
          </w:tcPr>
          <w:p w14:paraId="6A2CA2E9" w14:textId="77777777" w:rsidR="009B79B2" w:rsidRPr="009B79B2" w:rsidRDefault="009B79B2" w:rsidP="009B79B2">
            <w:pPr>
              <w:spacing w:before="0" w:after="0" w:line="240" w:lineRule="auto"/>
              <w:rPr>
                <w:rFonts w:ascii="Calibri" w:eastAsia="Times New Roman" w:hAnsi="Calibri" w:cs="Calibri"/>
                <w:color w:val="000000"/>
                <w:spacing w:val="0"/>
                <w:sz w:val="20"/>
                <w:szCs w:val="20"/>
                <w:lang w:eastAsia="en-AU"/>
              </w:rPr>
            </w:pPr>
            <w:r w:rsidRPr="009B79B2">
              <w:rPr>
                <w:rFonts w:ascii="Calibri" w:eastAsia="Times New Roman" w:hAnsi="Calibri" w:cs="Calibri"/>
                <w:color w:val="000000"/>
                <w:spacing w:val="0"/>
                <w:sz w:val="20"/>
                <w:szCs w:val="20"/>
                <w:lang w:eastAsia="en-AU"/>
              </w:rPr>
              <w:t>Fiscal balance</w:t>
            </w:r>
          </w:p>
        </w:tc>
        <w:tc>
          <w:tcPr>
            <w:tcW w:w="1418" w:type="dxa"/>
            <w:tcBorders>
              <w:top w:val="nil"/>
              <w:left w:val="nil"/>
              <w:bottom w:val="single" w:sz="4" w:space="0" w:color="788184"/>
              <w:right w:val="single" w:sz="4" w:space="0" w:color="788184"/>
            </w:tcBorders>
            <w:shd w:val="clear" w:color="auto" w:fill="auto"/>
            <w:vAlign w:val="center"/>
            <w:hideMark/>
          </w:tcPr>
          <w:p w14:paraId="4D72A1EF" w14:textId="04A6E909" w:rsidR="009B79B2" w:rsidRPr="009B79B2" w:rsidRDefault="009B79B2" w:rsidP="009B79B2">
            <w:pPr>
              <w:spacing w:before="0" w:after="0" w:line="240" w:lineRule="auto"/>
              <w:jc w:val="right"/>
              <w:rPr>
                <w:rFonts w:ascii="Calibri" w:eastAsia="Times New Roman" w:hAnsi="Calibri" w:cs="Calibri"/>
                <w:color w:val="000000"/>
                <w:spacing w:val="0"/>
                <w:sz w:val="20"/>
                <w:szCs w:val="20"/>
                <w:lang w:eastAsia="en-AU"/>
              </w:rPr>
            </w:pPr>
            <w:r>
              <w:rPr>
                <w:rFonts w:ascii="Calibri" w:eastAsia="Times New Roman" w:hAnsi="Calibri" w:cs="Calibri"/>
                <w:color w:val="000000"/>
                <w:spacing w:val="0"/>
                <w:sz w:val="20"/>
                <w:szCs w:val="20"/>
                <w:lang w:eastAsia="en-AU"/>
              </w:rPr>
              <w:t>-</w:t>
            </w:r>
          </w:p>
        </w:tc>
        <w:tc>
          <w:tcPr>
            <w:tcW w:w="1419" w:type="dxa"/>
            <w:tcBorders>
              <w:top w:val="nil"/>
              <w:left w:val="nil"/>
              <w:bottom w:val="single" w:sz="4" w:space="0" w:color="788184"/>
              <w:right w:val="single" w:sz="4" w:space="0" w:color="788184"/>
            </w:tcBorders>
            <w:shd w:val="clear" w:color="auto" w:fill="auto"/>
            <w:vAlign w:val="center"/>
            <w:hideMark/>
          </w:tcPr>
          <w:p w14:paraId="41BB1DC6" w14:textId="77777777" w:rsidR="009B79B2" w:rsidRPr="009B79B2" w:rsidRDefault="009B79B2" w:rsidP="009B79B2">
            <w:pPr>
              <w:spacing w:before="0" w:after="0" w:line="240" w:lineRule="auto"/>
              <w:jc w:val="right"/>
              <w:rPr>
                <w:rFonts w:ascii="Calibri" w:eastAsia="Times New Roman" w:hAnsi="Calibri" w:cs="Calibri"/>
                <w:color w:val="000000"/>
                <w:spacing w:val="0"/>
                <w:sz w:val="20"/>
                <w:szCs w:val="20"/>
                <w:lang w:eastAsia="en-AU"/>
              </w:rPr>
            </w:pPr>
            <w:r w:rsidRPr="009B79B2">
              <w:rPr>
                <w:rFonts w:ascii="Calibri" w:eastAsia="Times New Roman" w:hAnsi="Calibri" w:cs="Calibri"/>
                <w:color w:val="000000"/>
                <w:spacing w:val="0"/>
                <w:sz w:val="20"/>
                <w:szCs w:val="20"/>
                <w:lang w:eastAsia="en-AU"/>
              </w:rPr>
              <w:t>5,330.0</w:t>
            </w:r>
          </w:p>
        </w:tc>
        <w:tc>
          <w:tcPr>
            <w:tcW w:w="1419" w:type="dxa"/>
            <w:tcBorders>
              <w:top w:val="nil"/>
              <w:left w:val="nil"/>
              <w:bottom w:val="single" w:sz="4" w:space="0" w:color="788184"/>
              <w:right w:val="single" w:sz="4" w:space="0" w:color="788184"/>
            </w:tcBorders>
            <w:shd w:val="clear" w:color="auto" w:fill="auto"/>
            <w:vAlign w:val="center"/>
            <w:hideMark/>
          </w:tcPr>
          <w:p w14:paraId="42720780" w14:textId="77777777" w:rsidR="009B79B2" w:rsidRPr="009B79B2" w:rsidRDefault="009B79B2" w:rsidP="009B79B2">
            <w:pPr>
              <w:spacing w:before="0" w:after="0" w:line="240" w:lineRule="auto"/>
              <w:jc w:val="right"/>
              <w:rPr>
                <w:rFonts w:ascii="Calibri" w:eastAsia="Times New Roman" w:hAnsi="Calibri" w:cs="Calibri"/>
                <w:color w:val="000000"/>
                <w:spacing w:val="0"/>
                <w:sz w:val="20"/>
                <w:szCs w:val="20"/>
                <w:lang w:eastAsia="en-AU"/>
              </w:rPr>
            </w:pPr>
            <w:r w:rsidRPr="009B79B2">
              <w:rPr>
                <w:rFonts w:ascii="Calibri" w:eastAsia="Times New Roman" w:hAnsi="Calibri" w:cs="Calibri"/>
                <w:color w:val="000000"/>
                <w:spacing w:val="0"/>
                <w:sz w:val="20"/>
                <w:szCs w:val="20"/>
                <w:lang w:eastAsia="en-AU"/>
              </w:rPr>
              <w:t>12,870.0</w:t>
            </w:r>
          </w:p>
        </w:tc>
        <w:tc>
          <w:tcPr>
            <w:tcW w:w="1419" w:type="dxa"/>
            <w:tcBorders>
              <w:top w:val="nil"/>
              <w:left w:val="nil"/>
              <w:bottom w:val="single" w:sz="4" w:space="0" w:color="788184"/>
              <w:right w:val="single" w:sz="4" w:space="0" w:color="788184"/>
            </w:tcBorders>
            <w:shd w:val="clear" w:color="auto" w:fill="auto"/>
            <w:vAlign w:val="center"/>
            <w:hideMark/>
          </w:tcPr>
          <w:p w14:paraId="2B9699C9" w14:textId="77777777" w:rsidR="009B79B2" w:rsidRPr="009B79B2" w:rsidRDefault="009B79B2" w:rsidP="009B79B2">
            <w:pPr>
              <w:spacing w:before="0" w:after="0" w:line="240" w:lineRule="auto"/>
              <w:jc w:val="right"/>
              <w:rPr>
                <w:rFonts w:ascii="Calibri" w:eastAsia="Times New Roman" w:hAnsi="Calibri" w:cs="Calibri"/>
                <w:color w:val="000000"/>
                <w:spacing w:val="0"/>
                <w:sz w:val="20"/>
                <w:szCs w:val="20"/>
                <w:lang w:eastAsia="en-AU"/>
              </w:rPr>
            </w:pPr>
            <w:r w:rsidRPr="009B79B2">
              <w:rPr>
                <w:rFonts w:ascii="Calibri" w:eastAsia="Times New Roman" w:hAnsi="Calibri" w:cs="Calibri"/>
                <w:color w:val="000000"/>
                <w:spacing w:val="0"/>
                <w:sz w:val="20"/>
                <w:szCs w:val="20"/>
                <w:lang w:eastAsia="en-AU"/>
              </w:rPr>
              <w:t>15,600.0</w:t>
            </w:r>
          </w:p>
        </w:tc>
        <w:tc>
          <w:tcPr>
            <w:tcW w:w="1419" w:type="dxa"/>
            <w:tcBorders>
              <w:top w:val="nil"/>
              <w:left w:val="nil"/>
              <w:bottom w:val="single" w:sz="4" w:space="0" w:color="788184"/>
              <w:right w:val="single" w:sz="4" w:space="0" w:color="788184"/>
            </w:tcBorders>
            <w:shd w:val="clear" w:color="auto" w:fill="auto"/>
            <w:vAlign w:val="center"/>
            <w:hideMark/>
          </w:tcPr>
          <w:p w14:paraId="4B967728" w14:textId="77777777" w:rsidR="009B79B2" w:rsidRPr="009B79B2" w:rsidRDefault="009B79B2" w:rsidP="009B79B2">
            <w:pPr>
              <w:spacing w:before="0" w:after="0" w:line="240" w:lineRule="auto"/>
              <w:jc w:val="right"/>
              <w:rPr>
                <w:rFonts w:ascii="Calibri" w:eastAsia="Times New Roman" w:hAnsi="Calibri" w:cs="Calibri"/>
                <w:b/>
                <w:bCs/>
                <w:color w:val="000000"/>
                <w:spacing w:val="0"/>
                <w:sz w:val="20"/>
                <w:szCs w:val="20"/>
                <w:lang w:eastAsia="en-AU"/>
              </w:rPr>
            </w:pPr>
            <w:r w:rsidRPr="009B79B2">
              <w:rPr>
                <w:rFonts w:ascii="Calibri" w:eastAsia="Times New Roman" w:hAnsi="Calibri" w:cs="Calibri"/>
                <w:b/>
                <w:bCs/>
                <w:color w:val="000000"/>
                <w:spacing w:val="0"/>
                <w:sz w:val="20"/>
                <w:szCs w:val="20"/>
                <w:lang w:eastAsia="en-AU"/>
              </w:rPr>
              <w:t>33,800.0</w:t>
            </w:r>
          </w:p>
        </w:tc>
      </w:tr>
      <w:tr w:rsidR="009B79B2" w:rsidRPr="009B79B2" w14:paraId="25975648" w14:textId="77777777" w:rsidTr="009B79B2">
        <w:trPr>
          <w:trHeight w:val="218"/>
        </w:trPr>
        <w:tc>
          <w:tcPr>
            <w:tcW w:w="2547" w:type="dxa"/>
            <w:tcBorders>
              <w:top w:val="nil"/>
              <w:left w:val="single" w:sz="4" w:space="0" w:color="788184"/>
              <w:bottom w:val="single" w:sz="4" w:space="0" w:color="788184"/>
              <w:right w:val="single" w:sz="4" w:space="0" w:color="788184"/>
            </w:tcBorders>
            <w:shd w:val="clear" w:color="auto" w:fill="auto"/>
            <w:vAlign w:val="center"/>
            <w:hideMark/>
          </w:tcPr>
          <w:p w14:paraId="739205BC" w14:textId="77777777" w:rsidR="009B79B2" w:rsidRPr="009B79B2" w:rsidRDefault="009B79B2" w:rsidP="009B79B2">
            <w:pPr>
              <w:spacing w:before="0" w:after="0" w:line="240" w:lineRule="auto"/>
              <w:rPr>
                <w:rFonts w:ascii="Calibri" w:eastAsia="Times New Roman" w:hAnsi="Calibri" w:cs="Calibri"/>
                <w:color w:val="000000"/>
                <w:spacing w:val="0"/>
                <w:sz w:val="20"/>
                <w:szCs w:val="20"/>
                <w:lang w:eastAsia="en-AU"/>
              </w:rPr>
            </w:pPr>
            <w:r w:rsidRPr="009B79B2">
              <w:rPr>
                <w:rFonts w:ascii="Calibri" w:eastAsia="Times New Roman" w:hAnsi="Calibri" w:cs="Calibri"/>
                <w:color w:val="000000"/>
                <w:spacing w:val="0"/>
                <w:sz w:val="20"/>
                <w:szCs w:val="20"/>
                <w:lang w:eastAsia="en-AU"/>
              </w:rPr>
              <w:t>Underlying cash balance</w:t>
            </w:r>
          </w:p>
        </w:tc>
        <w:tc>
          <w:tcPr>
            <w:tcW w:w="1418" w:type="dxa"/>
            <w:tcBorders>
              <w:top w:val="nil"/>
              <w:left w:val="nil"/>
              <w:bottom w:val="single" w:sz="4" w:space="0" w:color="788184"/>
              <w:right w:val="single" w:sz="4" w:space="0" w:color="788184"/>
            </w:tcBorders>
            <w:shd w:val="clear" w:color="auto" w:fill="auto"/>
            <w:vAlign w:val="center"/>
            <w:hideMark/>
          </w:tcPr>
          <w:p w14:paraId="43F2F375" w14:textId="3746574E" w:rsidR="009B79B2" w:rsidRPr="009B79B2" w:rsidRDefault="009B79B2" w:rsidP="009B79B2">
            <w:pPr>
              <w:spacing w:before="0" w:after="0" w:line="240" w:lineRule="auto"/>
              <w:jc w:val="right"/>
              <w:rPr>
                <w:rFonts w:ascii="Calibri" w:eastAsia="Times New Roman" w:hAnsi="Calibri" w:cs="Calibri"/>
                <w:color w:val="000000"/>
                <w:spacing w:val="0"/>
                <w:sz w:val="20"/>
                <w:szCs w:val="20"/>
                <w:lang w:eastAsia="en-AU"/>
              </w:rPr>
            </w:pPr>
            <w:r>
              <w:rPr>
                <w:rFonts w:ascii="Calibri" w:eastAsia="Times New Roman" w:hAnsi="Calibri" w:cs="Calibri"/>
                <w:color w:val="000000"/>
                <w:spacing w:val="0"/>
                <w:sz w:val="20"/>
                <w:szCs w:val="20"/>
                <w:lang w:eastAsia="en-AU"/>
              </w:rPr>
              <w:t>-</w:t>
            </w:r>
          </w:p>
        </w:tc>
        <w:tc>
          <w:tcPr>
            <w:tcW w:w="1419" w:type="dxa"/>
            <w:tcBorders>
              <w:top w:val="nil"/>
              <w:left w:val="nil"/>
              <w:bottom w:val="single" w:sz="4" w:space="0" w:color="788184"/>
              <w:right w:val="single" w:sz="4" w:space="0" w:color="788184"/>
            </w:tcBorders>
            <w:shd w:val="clear" w:color="auto" w:fill="auto"/>
            <w:vAlign w:val="center"/>
            <w:hideMark/>
          </w:tcPr>
          <w:p w14:paraId="5A72BA93" w14:textId="77777777" w:rsidR="009B79B2" w:rsidRPr="009B79B2" w:rsidRDefault="009B79B2" w:rsidP="009B79B2">
            <w:pPr>
              <w:spacing w:before="0" w:after="0" w:line="240" w:lineRule="auto"/>
              <w:jc w:val="right"/>
              <w:rPr>
                <w:rFonts w:ascii="Calibri" w:eastAsia="Times New Roman" w:hAnsi="Calibri" w:cs="Calibri"/>
                <w:color w:val="000000"/>
                <w:spacing w:val="0"/>
                <w:sz w:val="20"/>
                <w:szCs w:val="20"/>
                <w:lang w:eastAsia="en-AU"/>
              </w:rPr>
            </w:pPr>
            <w:r w:rsidRPr="009B79B2">
              <w:rPr>
                <w:rFonts w:ascii="Calibri" w:eastAsia="Times New Roman" w:hAnsi="Calibri" w:cs="Calibri"/>
                <w:color w:val="000000"/>
                <w:spacing w:val="0"/>
                <w:sz w:val="20"/>
                <w:szCs w:val="20"/>
                <w:lang w:eastAsia="en-AU"/>
              </w:rPr>
              <w:t>4,740.0</w:t>
            </w:r>
          </w:p>
        </w:tc>
        <w:tc>
          <w:tcPr>
            <w:tcW w:w="1419" w:type="dxa"/>
            <w:tcBorders>
              <w:top w:val="nil"/>
              <w:left w:val="nil"/>
              <w:bottom w:val="single" w:sz="4" w:space="0" w:color="788184"/>
              <w:right w:val="single" w:sz="4" w:space="0" w:color="788184"/>
            </w:tcBorders>
            <w:shd w:val="clear" w:color="auto" w:fill="auto"/>
            <w:vAlign w:val="center"/>
            <w:hideMark/>
          </w:tcPr>
          <w:p w14:paraId="7E6C88E4" w14:textId="77777777" w:rsidR="009B79B2" w:rsidRPr="009B79B2" w:rsidRDefault="009B79B2" w:rsidP="009B79B2">
            <w:pPr>
              <w:spacing w:before="0" w:after="0" w:line="240" w:lineRule="auto"/>
              <w:jc w:val="right"/>
              <w:rPr>
                <w:rFonts w:ascii="Calibri" w:eastAsia="Times New Roman" w:hAnsi="Calibri" w:cs="Calibri"/>
                <w:color w:val="000000"/>
                <w:spacing w:val="0"/>
                <w:sz w:val="20"/>
                <w:szCs w:val="20"/>
                <w:lang w:eastAsia="en-AU"/>
              </w:rPr>
            </w:pPr>
            <w:r w:rsidRPr="009B79B2">
              <w:rPr>
                <w:rFonts w:ascii="Calibri" w:eastAsia="Times New Roman" w:hAnsi="Calibri" w:cs="Calibri"/>
                <w:color w:val="000000"/>
                <w:spacing w:val="0"/>
                <w:sz w:val="20"/>
                <w:szCs w:val="20"/>
                <w:lang w:eastAsia="en-AU"/>
              </w:rPr>
              <w:t>9,670.0</w:t>
            </w:r>
          </w:p>
        </w:tc>
        <w:tc>
          <w:tcPr>
            <w:tcW w:w="1419" w:type="dxa"/>
            <w:tcBorders>
              <w:top w:val="nil"/>
              <w:left w:val="nil"/>
              <w:bottom w:val="single" w:sz="4" w:space="0" w:color="788184"/>
              <w:right w:val="single" w:sz="4" w:space="0" w:color="788184"/>
            </w:tcBorders>
            <w:shd w:val="clear" w:color="auto" w:fill="auto"/>
            <w:vAlign w:val="center"/>
            <w:hideMark/>
          </w:tcPr>
          <w:p w14:paraId="24CC9DD2" w14:textId="77777777" w:rsidR="009B79B2" w:rsidRPr="009B79B2" w:rsidRDefault="009B79B2" w:rsidP="009B79B2">
            <w:pPr>
              <w:spacing w:before="0" w:after="0" w:line="240" w:lineRule="auto"/>
              <w:jc w:val="right"/>
              <w:rPr>
                <w:rFonts w:ascii="Calibri" w:eastAsia="Times New Roman" w:hAnsi="Calibri" w:cs="Calibri"/>
                <w:color w:val="000000"/>
                <w:spacing w:val="0"/>
                <w:sz w:val="20"/>
                <w:szCs w:val="20"/>
                <w:lang w:eastAsia="en-AU"/>
              </w:rPr>
            </w:pPr>
            <w:r w:rsidRPr="009B79B2">
              <w:rPr>
                <w:rFonts w:ascii="Calibri" w:eastAsia="Times New Roman" w:hAnsi="Calibri" w:cs="Calibri"/>
                <w:color w:val="000000"/>
                <w:spacing w:val="0"/>
                <w:sz w:val="20"/>
                <w:szCs w:val="20"/>
                <w:lang w:eastAsia="en-AU"/>
              </w:rPr>
              <w:t>14,710.0</w:t>
            </w:r>
          </w:p>
        </w:tc>
        <w:tc>
          <w:tcPr>
            <w:tcW w:w="1419" w:type="dxa"/>
            <w:tcBorders>
              <w:top w:val="nil"/>
              <w:left w:val="nil"/>
              <w:bottom w:val="single" w:sz="4" w:space="0" w:color="788184"/>
              <w:right w:val="single" w:sz="4" w:space="0" w:color="788184"/>
            </w:tcBorders>
            <w:shd w:val="clear" w:color="auto" w:fill="auto"/>
            <w:vAlign w:val="center"/>
            <w:hideMark/>
          </w:tcPr>
          <w:p w14:paraId="58CF5907" w14:textId="77777777" w:rsidR="009B79B2" w:rsidRPr="009B79B2" w:rsidRDefault="009B79B2" w:rsidP="009B79B2">
            <w:pPr>
              <w:spacing w:before="0" w:after="0" w:line="240" w:lineRule="auto"/>
              <w:jc w:val="right"/>
              <w:rPr>
                <w:rFonts w:ascii="Calibri" w:eastAsia="Times New Roman" w:hAnsi="Calibri" w:cs="Calibri"/>
                <w:b/>
                <w:bCs/>
                <w:color w:val="000000"/>
                <w:spacing w:val="0"/>
                <w:sz w:val="20"/>
                <w:szCs w:val="20"/>
                <w:lang w:eastAsia="en-AU"/>
              </w:rPr>
            </w:pPr>
            <w:r w:rsidRPr="009B79B2">
              <w:rPr>
                <w:rFonts w:ascii="Calibri" w:eastAsia="Times New Roman" w:hAnsi="Calibri" w:cs="Calibri"/>
                <w:b/>
                <w:bCs/>
                <w:color w:val="000000"/>
                <w:spacing w:val="0"/>
                <w:sz w:val="20"/>
                <w:szCs w:val="20"/>
                <w:lang w:eastAsia="en-AU"/>
              </w:rPr>
              <w:t>29,120.0</w:t>
            </w:r>
          </w:p>
        </w:tc>
      </w:tr>
    </w:tbl>
    <w:p w14:paraId="2FFE234C" w14:textId="12432A76" w:rsidR="00583F71" w:rsidRPr="006152F5" w:rsidRDefault="00583F71" w:rsidP="00583F71">
      <w:pPr>
        <w:pStyle w:val="PRRfootnote1"/>
        <w:rPr>
          <w:color w:val="FF0000"/>
        </w:rPr>
      </w:pPr>
    </w:p>
    <w:p w14:paraId="439CF798" w14:textId="77777777" w:rsidR="00583F71" w:rsidRPr="006152F5" w:rsidRDefault="00583F71" w:rsidP="00583F71">
      <w:pPr>
        <w:pStyle w:val="PRRfootnote1"/>
      </w:pPr>
      <w:r w:rsidRPr="006152F5">
        <w:t>(a)</w:t>
      </w:r>
      <w:r w:rsidRPr="006152F5">
        <w:tab/>
        <w:t xml:space="preserve">A positive number represents an increase in the relevant budget balance; a negative number represents a decrease. </w:t>
      </w:r>
    </w:p>
    <w:p w14:paraId="77D36C04" w14:textId="77777777" w:rsidR="00583F71" w:rsidRPr="006152F5" w:rsidRDefault="00583F71" w:rsidP="00583F71">
      <w:pPr>
        <w:pStyle w:val="PRRfootnote1"/>
      </w:pPr>
      <w:r w:rsidRPr="006152F5">
        <w:t>(b)</w:t>
      </w:r>
      <w:r w:rsidRPr="006152F5">
        <w:tab/>
        <w:t>PDI impacts are not included in the totals.</w:t>
      </w:r>
    </w:p>
    <w:p w14:paraId="04E3C194" w14:textId="77777777" w:rsidR="00583F71" w:rsidRPr="006152F5" w:rsidRDefault="00583F71" w:rsidP="00583F71">
      <w:pPr>
        <w:pStyle w:val="PRRfootnote1"/>
        <w:numPr>
          <w:ilvl w:val="0"/>
          <w:numId w:val="46"/>
        </w:numPr>
        <w:ind w:left="284" w:hanging="284"/>
      </w:pPr>
      <w:r w:rsidRPr="006152F5">
        <w:t>Indicates nil.</w:t>
      </w:r>
    </w:p>
    <w:p w14:paraId="3A38668B" w14:textId="77777777" w:rsidR="0098443D" w:rsidRPr="00D014E1" w:rsidRDefault="0098443D" w:rsidP="0098443D">
      <w:pPr>
        <w:pStyle w:val="Heading2"/>
      </w:pPr>
      <w:r w:rsidRPr="00D014E1">
        <w:t>Key assumptions</w:t>
      </w:r>
    </w:p>
    <w:p w14:paraId="20C2B4B2" w14:textId="77777777" w:rsidR="0098443D" w:rsidRDefault="0098443D" w:rsidP="0098443D">
      <w:r>
        <w:t>The Parliamentary Budget Office has made the following assumptions in costing this proposal.</w:t>
      </w:r>
    </w:p>
    <w:p w14:paraId="689ACE1A" w14:textId="77777777" w:rsidR="0098443D" w:rsidRDefault="0098443D" w:rsidP="0098443D">
      <w:pPr>
        <w:pStyle w:val="Bullet1"/>
        <w:ind w:left="284"/>
      </w:pPr>
      <w:r>
        <w:t>Oil and gas production volumes over the period to 2032-33 would not be affected by the proposal.</w:t>
      </w:r>
    </w:p>
    <w:p w14:paraId="15E1B98D" w14:textId="77777777" w:rsidR="0098443D" w:rsidRDefault="0098443D" w:rsidP="0098443D">
      <w:pPr>
        <w:pStyle w:val="Bullet1"/>
        <w:ind w:left="284"/>
      </w:pPr>
      <w:r>
        <w:t>No new oil and gas projects would begin production over the period to 2032-33.</w:t>
      </w:r>
    </w:p>
    <w:p w14:paraId="0F98249A" w14:textId="77777777" w:rsidR="0098443D" w:rsidRDefault="0098443D" w:rsidP="0098443D">
      <w:pPr>
        <w:pStyle w:val="Bullet1"/>
        <w:ind w:left="284"/>
      </w:pPr>
      <w:r>
        <w:t>Companies affected by this proposal would be subject to the full company tax rate of 30%, and PRRT payments would be deductible for company tax purposes.</w:t>
      </w:r>
    </w:p>
    <w:p w14:paraId="5AC0DB45" w14:textId="77777777" w:rsidR="0098443D" w:rsidRDefault="0098443D" w:rsidP="0098443D">
      <w:pPr>
        <w:pStyle w:val="Bullet1"/>
        <w:ind w:left="284"/>
      </w:pPr>
      <w:r>
        <w:t xml:space="preserve">Companies would not vary their company tax instalment payments </w:t>
      </w:r>
      <w:proofErr w:type="gramStart"/>
      <w:r>
        <w:t>as a result of</w:t>
      </w:r>
      <w:proofErr w:type="gramEnd"/>
      <w:r>
        <w:t xml:space="preserve"> this proposal.</w:t>
      </w:r>
    </w:p>
    <w:p w14:paraId="33A8D02A" w14:textId="7498D2B9" w:rsidR="0098443D" w:rsidRDefault="0098443D" w:rsidP="0098443D">
      <w:pPr>
        <w:pStyle w:val="Bullet1"/>
        <w:ind w:left="284"/>
      </w:pPr>
      <w:r>
        <w:lastRenderedPageBreak/>
        <w:t xml:space="preserve">The gross-up price of oil would be around </w:t>
      </w:r>
      <w:r w:rsidRPr="008F5D6A">
        <w:t>US$9</w:t>
      </w:r>
      <w:r w:rsidR="004C19E5" w:rsidRPr="008F5D6A">
        <w:t>5</w:t>
      </w:r>
      <w:r>
        <w:t xml:space="preserve"> per barrel at the end of the 2022-23 Budget forward estimates period and grow over the period to 2032-33 in line with changes in the consumer price index.</w:t>
      </w:r>
    </w:p>
    <w:p w14:paraId="6E46BCE3" w14:textId="77777777" w:rsidR="0098443D" w:rsidRDefault="0098443D" w:rsidP="0098443D">
      <w:pPr>
        <w:pStyle w:val="Bullet1"/>
        <w:ind w:left="284"/>
      </w:pPr>
      <w:r>
        <w:t>There would be no new transfers of exploration expenditure between PRRT projects.</w:t>
      </w:r>
    </w:p>
    <w:p w14:paraId="54123348" w14:textId="17876EC2" w:rsidR="00BA6FC3" w:rsidRDefault="00D3694A" w:rsidP="0098443D">
      <w:pPr>
        <w:pStyle w:val="Bullet1"/>
        <w:ind w:left="284"/>
      </w:pPr>
      <w:r>
        <w:t>Under the proposal, r</w:t>
      </w:r>
      <w:r w:rsidR="00BA6FC3">
        <w:t xml:space="preserve">oyalties </w:t>
      </w:r>
      <w:r>
        <w:t xml:space="preserve">for offshore projects </w:t>
      </w:r>
      <w:r w:rsidR="00BA6FC3">
        <w:t xml:space="preserve">would be calculated </w:t>
      </w:r>
      <w:r>
        <w:t xml:space="preserve">in line with the royalties currently paid by the </w:t>
      </w:r>
      <w:proofErr w:type="gramStart"/>
      <w:r>
        <w:t>North West</w:t>
      </w:r>
      <w:proofErr w:type="gramEnd"/>
      <w:r>
        <w:t xml:space="preserve"> Shelf project.</w:t>
      </w:r>
    </w:p>
    <w:p w14:paraId="2AC9444E" w14:textId="690A0A1E" w:rsidR="0098443D" w:rsidRDefault="0098443D" w:rsidP="0098443D">
      <w:pPr>
        <w:pStyle w:val="Bullet1"/>
        <w:ind w:left="284"/>
      </w:pPr>
      <w:r>
        <w:t>Royalties would be paid monthly, consistent with company tax instalments.</w:t>
      </w:r>
    </w:p>
    <w:p w14:paraId="064E3749" w14:textId="77777777" w:rsidR="0098443D" w:rsidRDefault="0098443D" w:rsidP="0098443D">
      <w:pPr>
        <w:pStyle w:val="Bullet1"/>
        <w:ind w:left="284"/>
      </w:pPr>
      <w:proofErr w:type="gramStart"/>
      <w:r>
        <w:t>The majority of</w:t>
      </w:r>
      <w:proofErr w:type="gramEnd"/>
      <w:r>
        <w:t xml:space="preserve"> companies that are investors in PRRT projects would continue to be primarily foreign owned over the period to 2032-33.</w:t>
      </w:r>
    </w:p>
    <w:p w14:paraId="01ABA1EC" w14:textId="77777777" w:rsidR="0098443D" w:rsidRPr="00D014E1" w:rsidRDefault="0098443D" w:rsidP="0098443D">
      <w:pPr>
        <w:pStyle w:val="Heading2"/>
      </w:pPr>
      <w:r w:rsidRPr="00D014E1">
        <w:t>Methodology</w:t>
      </w:r>
    </w:p>
    <w:p w14:paraId="085898F1" w14:textId="77777777" w:rsidR="0098443D" w:rsidRPr="000D2CDF" w:rsidRDefault="0098443D" w:rsidP="0098443D">
      <w:pPr>
        <w:pStyle w:val="Heading3"/>
        <w:rPr>
          <w:sz w:val="22"/>
          <w:szCs w:val="22"/>
        </w:rPr>
      </w:pPr>
      <w:r w:rsidRPr="000D2CDF">
        <w:rPr>
          <w:sz w:val="22"/>
          <w:szCs w:val="22"/>
        </w:rPr>
        <w:t xml:space="preserve">Royalties </w:t>
      </w:r>
    </w:p>
    <w:p w14:paraId="49F0134B" w14:textId="3F5991EF" w:rsidR="0098443D" w:rsidRDefault="0098443D" w:rsidP="0098443D">
      <w:r>
        <w:t>Royalty revenue was estimated by multiplying the royalty rate by the wellhead value of the forecast production levels of projects that would be subject to the proposed royalty</w:t>
      </w:r>
      <w:r w:rsidR="0045129B">
        <w:t xml:space="preserve"> minus allowable deductions</w:t>
      </w:r>
      <w:r>
        <w:t xml:space="preserve">. Estimated production of offshore oil and gas projects that would become subject to the royalty was based on PBO analysis and data from Wood Mackenzie. </w:t>
      </w:r>
    </w:p>
    <w:p w14:paraId="64B5AEDB" w14:textId="77777777" w:rsidR="00971FF0" w:rsidRDefault="00971FF0" w:rsidP="00971FF0">
      <w:pPr>
        <w:pStyle w:val="Heading3"/>
      </w:pPr>
      <w:r w:rsidRPr="000D2CDF">
        <w:rPr>
          <w:sz w:val="22"/>
          <w:szCs w:val="22"/>
        </w:rPr>
        <w:t>PRRT</w:t>
      </w:r>
      <w:r>
        <w:t xml:space="preserve"> </w:t>
      </w:r>
    </w:p>
    <w:p w14:paraId="2901EB37" w14:textId="77777777" w:rsidR="00971FF0" w:rsidRDefault="00971FF0" w:rsidP="00971FF0">
      <w:r>
        <w:t xml:space="preserve">The PRRT impact was estimated by calculating the difference between the amount of PRRT revenue raised under the proposal and the baseline on a project-by-project basis. </w:t>
      </w:r>
    </w:p>
    <w:p w14:paraId="49A966C9" w14:textId="429FCDA7" w:rsidR="00971FF0" w:rsidRDefault="00971FF0" w:rsidP="00971FF0">
      <w:r>
        <w:t xml:space="preserve">Under the baseline, taxable PRRT profit was calculated by deducting estimated eligible project expenses from the assessable receipts derived from the project. PRRT profit was multiplied by 40% to derive the </w:t>
      </w:r>
      <w:r w:rsidR="1DCA3191">
        <w:t xml:space="preserve">final </w:t>
      </w:r>
      <w:r>
        <w:t xml:space="preserve">PRRT liability. </w:t>
      </w:r>
    </w:p>
    <w:p w14:paraId="1A20F180" w14:textId="28E44388" w:rsidR="0098443D" w:rsidRDefault="00971FF0" w:rsidP="0098443D">
      <w:r>
        <w:t>Under the proposal,</w:t>
      </w:r>
      <w:r w:rsidR="6A3279B9" w:rsidRPr="1A102AD5">
        <w:rPr>
          <w:rFonts w:ascii="Calibri" w:eastAsia="Calibri" w:hAnsi="Calibri" w:cs="Calibri"/>
        </w:rPr>
        <w:t xml:space="preserve"> </w:t>
      </w:r>
      <w:r w:rsidR="6A3279B9" w:rsidRPr="10DBA1A7">
        <w:rPr>
          <w:rFonts w:ascii="Calibri" w:eastAsia="Calibri" w:hAnsi="Calibri" w:cs="Calibri"/>
        </w:rPr>
        <w:t>taxable</w:t>
      </w:r>
      <w:r w:rsidR="6A3279B9" w:rsidRPr="1A102AD5">
        <w:rPr>
          <w:rFonts w:ascii="Calibri" w:eastAsia="Calibri" w:hAnsi="Calibri" w:cs="Calibri"/>
        </w:rPr>
        <w:t xml:space="preserve"> PRRT profit was calculated by modifying eligible expenses as specified </w:t>
      </w:r>
      <w:r w:rsidR="6A3279B9" w:rsidRPr="4CC966CC">
        <w:rPr>
          <w:rFonts w:ascii="Calibri" w:eastAsia="Calibri" w:hAnsi="Calibri" w:cs="Calibri"/>
        </w:rPr>
        <w:t xml:space="preserve">in the </w:t>
      </w:r>
      <w:r w:rsidR="6A3279B9" w:rsidRPr="43B988F3">
        <w:rPr>
          <w:rFonts w:ascii="Calibri" w:eastAsia="Calibri" w:hAnsi="Calibri" w:cs="Calibri"/>
        </w:rPr>
        <w:t>proposal and</w:t>
      </w:r>
      <w:r w:rsidR="6A3279B9" w:rsidRPr="1A102AD5">
        <w:rPr>
          <w:rFonts w:ascii="Calibri" w:eastAsia="Calibri" w:hAnsi="Calibri" w:cs="Calibri"/>
        </w:rPr>
        <w:t xml:space="preserve"> then subtracting this amount from the assessable receipts derived from the project.</w:t>
      </w:r>
      <w:r>
        <w:t xml:space="preserve"> </w:t>
      </w:r>
      <w:r w:rsidR="75FFA189">
        <w:t xml:space="preserve">PRRT liability before royalties was then calculated by multiplying the taxable PRRT profit by 40%. </w:t>
      </w:r>
      <w:r w:rsidR="0098443D">
        <w:t xml:space="preserve">Royalties paid by projects </w:t>
      </w:r>
      <w:r w:rsidR="5F1F8801">
        <w:t>were</w:t>
      </w:r>
      <w:r w:rsidR="7926D0C2">
        <w:t xml:space="preserve"> then</w:t>
      </w:r>
      <w:r w:rsidR="5F1F8801">
        <w:t xml:space="preserve"> credited </w:t>
      </w:r>
      <w:r w:rsidR="6F1AE903">
        <w:t>against</w:t>
      </w:r>
      <w:r w:rsidR="0098443D">
        <w:t xml:space="preserve"> </w:t>
      </w:r>
      <w:r w:rsidR="44440E49">
        <w:t xml:space="preserve">these </w:t>
      </w:r>
      <w:r w:rsidR="6F1AE903">
        <w:t xml:space="preserve">PRRT </w:t>
      </w:r>
      <w:r w:rsidR="0098443D">
        <w:t xml:space="preserve">liabilities to </w:t>
      </w:r>
      <w:r w:rsidR="005374FF">
        <w:t>derive</w:t>
      </w:r>
      <w:r w:rsidR="00BF41DB">
        <w:t xml:space="preserve"> the </w:t>
      </w:r>
      <w:r w:rsidR="1D583D20">
        <w:t xml:space="preserve">final </w:t>
      </w:r>
      <w:r w:rsidR="0098443D">
        <w:t>PRRT payable</w:t>
      </w:r>
      <w:r w:rsidR="13B780FD">
        <w:t xml:space="preserve"> amount</w:t>
      </w:r>
      <w:r w:rsidR="07261440">
        <w:t>.</w:t>
      </w:r>
    </w:p>
    <w:p w14:paraId="7CDD7963" w14:textId="77777777" w:rsidR="0098443D" w:rsidRPr="000D2CDF" w:rsidRDefault="0098443D" w:rsidP="0098443D">
      <w:pPr>
        <w:pStyle w:val="Heading3"/>
        <w:rPr>
          <w:sz w:val="22"/>
          <w:szCs w:val="22"/>
        </w:rPr>
      </w:pPr>
      <w:r w:rsidRPr="000D2CDF">
        <w:rPr>
          <w:sz w:val="22"/>
          <w:szCs w:val="22"/>
        </w:rPr>
        <w:t xml:space="preserve">Company tax </w:t>
      </w:r>
    </w:p>
    <w:p w14:paraId="5786CC84" w14:textId="77777777" w:rsidR="0098443D" w:rsidRDefault="0098443D" w:rsidP="0098443D">
      <w:r>
        <w:t xml:space="preserve">The company tax impact was calculated based on the net amount of the estimated increase in PRRT and the estimated royalty amount that would become deductible from company taxable income. </w:t>
      </w:r>
    </w:p>
    <w:p w14:paraId="6960C00A" w14:textId="77777777" w:rsidR="0098443D" w:rsidRPr="000D2CDF" w:rsidRDefault="0098443D" w:rsidP="0098443D">
      <w:pPr>
        <w:pStyle w:val="Heading3"/>
        <w:rPr>
          <w:sz w:val="22"/>
          <w:szCs w:val="22"/>
        </w:rPr>
      </w:pPr>
      <w:r w:rsidRPr="000D2CDF">
        <w:rPr>
          <w:sz w:val="22"/>
          <w:szCs w:val="22"/>
        </w:rPr>
        <w:t xml:space="preserve">Other </w:t>
      </w:r>
    </w:p>
    <w:p w14:paraId="3FB4228A" w14:textId="77777777" w:rsidR="0098443D" w:rsidRDefault="0098443D" w:rsidP="0098443D">
      <w:r>
        <w:t xml:space="preserve">As </w:t>
      </w:r>
      <w:proofErr w:type="gramStart"/>
      <w:r>
        <w:t>the majority of</w:t>
      </w:r>
      <w:proofErr w:type="gramEnd"/>
      <w:r>
        <w:t xml:space="preserve"> shareholders in companies that operate PRRT projects are not Australian tax residents, the PBO has not calculated the dividend effect of this proposal or any impact on Australian resident shareholders under the dividend imputation arrangements. </w:t>
      </w:r>
    </w:p>
    <w:p w14:paraId="7C9DD8FA" w14:textId="77777777" w:rsidR="0098443D" w:rsidRDefault="0098443D" w:rsidP="0098443D">
      <w:r>
        <w:t xml:space="preserve">The costing has </w:t>
      </w:r>
      <w:proofErr w:type="gramStart"/>
      <w:r>
        <w:t>taken into account</w:t>
      </w:r>
      <w:proofErr w:type="gramEnd"/>
      <w:r>
        <w:t xml:space="preserve"> the timing of tax collections.</w:t>
      </w:r>
    </w:p>
    <w:p w14:paraId="4E99EEA6" w14:textId="77777777" w:rsidR="0098443D" w:rsidRPr="00592227" w:rsidRDefault="0098443D" w:rsidP="0098443D">
      <w:pPr>
        <w:pStyle w:val="BodyText"/>
      </w:pPr>
      <w:r>
        <w:t>Financial implications were rounded consistent with the PBO’s rounding rules as outlined on the PBO Costings and budget information webpage.</w:t>
      </w:r>
      <w:r>
        <w:rPr>
          <w:rStyle w:val="FootnoteReference"/>
        </w:rPr>
        <w:footnoteReference w:id="2"/>
      </w:r>
    </w:p>
    <w:p w14:paraId="02652BA7" w14:textId="77777777" w:rsidR="0098443D" w:rsidRPr="00D014E1" w:rsidRDefault="0098443D" w:rsidP="0098443D">
      <w:pPr>
        <w:pStyle w:val="Heading2"/>
      </w:pPr>
      <w:r w:rsidRPr="00D014E1">
        <w:lastRenderedPageBreak/>
        <w:t>Data sources</w:t>
      </w:r>
    </w:p>
    <w:p w14:paraId="7E4854DF" w14:textId="77777777" w:rsidR="0098443D" w:rsidRDefault="0098443D" w:rsidP="0098443D">
      <w:r>
        <w:t xml:space="preserve">Wood Mackenzie provided project level data on oil and gas production. </w:t>
      </w:r>
    </w:p>
    <w:p w14:paraId="37ECD97D" w14:textId="0E815DC0" w:rsidR="0098443D" w:rsidRDefault="0098443D" w:rsidP="0098443D">
      <w:r>
        <w:t>The Treasury provided economic parameters as at the 2022-23</w:t>
      </w:r>
      <w:r w:rsidR="009A5D12">
        <w:t xml:space="preserve"> October Budget</w:t>
      </w:r>
      <w:r>
        <w:t>.</w:t>
      </w:r>
    </w:p>
    <w:p w14:paraId="7EEF74DE" w14:textId="77777777" w:rsidR="005D2248" w:rsidRPr="00087777" w:rsidRDefault="005D2248" w:rsidP="005D2248">
      <w:pPr>
        <w:sectPr w:rsidR="005D2248" w:rsidRPr="00087777" w:rsidSect="007C4069">
          <w:headerReference w:type="even" r:id="rId12"/>
          <w:headerReference w:type="default" r:id="rId13"/>
          <w:footerReference w:type="even" r:id="rId14"/>
          <w:footerReference w:type="default" r:id="rId15"/>
          <w:headerReference w:type="first" r:id="rId16"/>
          <w:footerReference w:type="first" r:id="rId17"/>
          <w:pgSz w:w="11907" w:h="16839" w:code="9"/>
          <w:pgMar w:top="907" w:right="1418" w:bottom="1134" w:left="1418" w:header="284" w:footer="454" w:gutter="0"/>
          <w:pgNumType w:start="1"/>
          <w:cols w:space="708"/>
          <w:formProt w:val="0"/>
          <w:titlePg/>
          <w:docGrid w:linePitch="360"/>
        </w:sectPr>
      </w:pPr>
    </w:p>
    <w:p w14:paraId="4363603C" w14:textId="43CDAD15" w:rsidR="00087777" w:rsidRDefault="0098443D" w:rsidP="00087777">
      <w:pPr>
        <w:pStyle w:val="Heading8"/>
        <w:spacing w:before="240" w:after="120"/>
      </w:pPr>
      <w:r>
        <w:rPr>
          <w:noProof/>
        </w:rPr>
        <w:lastRenderedPageBreak/>
        <w:t>Make Gas Exporters Pay Taxes and Royalties</w:t>
      </w:r>
      <w:r w:rsidR="00087777">
        <w:t xml:space="preserve"> </w:t>
      </w:r>
      <w:r w:rsidR="00EA1AD9">
        <w:t xml:space="preserve">– financial </w:t>
      </w:r>
      <w:proofErr w:type="gramStart"/>
      <w:r w:rsidR="00EA1AD9">
        <w:t>implications</w:t>
      </w:r>
      <w:proofErr w:type="gramEnd"/>
    </w:p>
    <w:p w14:paraId="39AACBE9" w14:textId="404FB8A1" w:rsidR="00804804" w:rsidRDefault="00804804" w:rsidP="00804804">
      <w:pPr>
        <w:pStyle w:val="Caption"/>
        <w:widowControl w:val="0"/>
        <w:tabs>
          <w:tab w:val="left" w:pos="9356"/>
        </w:tabs>
        <w:rPr>
          <w:vertAlign w:val="superscript"/>
        </w:rPr>
      </w:pPr>
      <w:r w:rsidRPr="002D239A">
        <w:t xml:space="preserve">Table </w:t>
      </w:r>
      <w:r>
        <w:rPr>
          <w:noProof/>
        </w:rPr>
        <w:fldChar w:fldCharType="begin"/>
      </w:r>
      <w:r>
        <w:rPr>
          <w:noProof/>
        </w:rPr>
        <w:instrText xml:space="preserve"> STYLEREF 8 \s </w:instrText>
      </w:r>
      <w:r>
        <w:rPr>
          <w:noProof/>
        </w:rPr>
        <w:fldChar w:fldCharType="separate"/>
      </w:r>
      <w:r w:rsidR="0070110A">
        <w:rPr>
          <w:noProof/>
        </w:rPr>
        <w:t>A</w:t>
      </w:r>
      <w:r>
        <w:rPr>
          <w:noProof/>
        </w:rPr>
        <w:fldChar w:fldCharType="end"/>
      </w:r>
      <w:r>
        <w:rPr>
          <w:noProof/>
        </w:rPr>
        <w:fldChar w:fldCharType="begin"/>
      </w:r>
      <w:r>
        <w:rPr>
          <w:noProof/>
        </w:rPr>
        <w:instrText xml:space="preserve"> SEQ AppendixTable\s 8 </w:instrText>
      </w:r>
      <w:r>
        <w:rPr>
          <w:noProof/>
        </w:rPr>
        <w:fldChar w:fldCharType="separate"/>
      </w:r>
      <w:r w:rsidR="0070110A">
        <w:rPr>
          <w:noProof/>
        </w:rPr>
        <w:t>1</w:t>
      </w:r>
      <w:r>
        <w:rPr>
          <w:noProof/>
        </w:rPr>
        <w:fldChar w:fldCharType="end"/>
      </w:r>
      <w:r w:rsidRPr="002D239A">
        <w:t xml:space="preserve">: </w:t>
      </w:r>
      <w:r>
        <w:rPr>
          <w:noProof/>
        </w:rPr>
        <w:t>Make Gas E</w:t>
      </w:r>
      <w:r w:rsidR="008D5060">
        <w:rPr>
          <w:noProof/>
        </w:rPr>
        <w:t>xporters Pay Taxes and Royalties</w:t>
      </w:r>
      <w:r>
        <w:t>–Fiscal balance ($</w:t>
      </w:r>
      <w:proofErr w:type="gramStart"/>
      <w:r>
        <w:t>m)</w:t>
      </w:r>
      <w:r>
        <w:rPr>
          <w:vertAlign w:val="superscript"/>
        </w:rPr>
        <w:t>(</w:t>
      </w:r>
      <w:proofErr w:type="gramEnd"/>
      <w:r>
        <w:rPr>
          <w:vertAlign w:val="superscript"/>
        </w:rPr>
        <w:t>a)</w:t>
      </w:r>
    </w:p>
    <w:tbl>
      <w:tblPr>
        <w:tblW w:w="13740" w:type="dxa"/>
        <w:tblLook w:val="04A0" w:firstRow="1" w:lastRow="0" w:firstColumn="1" w:lastColumn="0" w:noHBand="0" w:noVBand="1"/>
      </w:tblPr>
      <w:tblGrid>
        <w:gridCol w:w="2140"/>
        <w:gridCol w:w="1000"/>
        <w:gridCol w:w="880"/>
        <w:gridCol w:w="880"/>
        <w:gridCol w:w="880"/>
        <w:gridCol w:w="880"/>
        <w:gridCol w:w="880"/>
        <w:gridCol w:w="880"/>
        <w:gridCol w:w="880"/>
        <w:gridCol w:w="880"/>
        <w:gridCol w:w="880"/>
        <w:gridCol w:w="880"/>
        <w:gridCol w:w="880"/>
        <w:gridCol w:w="920"/>
      </w:tblGrid>
      <w:tr w:rsidR="009E45C9" w:rsidRPr="009E45C9" w14:paraId="4324365A" w14:textId="77777777" w:rsidTr="009E45C9">
        <w:trPr>
          <w:trHeight w:val="533"/>
        </w:trPr>
        <w:tc>
          <w:tcPr>
            <w:tcW w:w="2140" w:type="dxa"/>
            <w:tcBorders>
              <w:top w:val="single" w:sz="4" w:space="0" w:color="788184"/>
              <w:left w:val="single" w:sz="4" w:space="0" w:color="788184"/>
              <w:bottom w:val="single" w:sz="4" w:space="0" w:color="788184"/>
              <w:right w:val="single" w:sz="4" w:space="0" w:color="788184"/>
            </w:tcBorders>
            <w:shd w:val="clear" w:color="000000" w:fill="A7B2D4"/>
            <w:vAlign w:val="center"/>
            <w:hideMark/>
          </w:tcPr>
          <w:p w14:paraId="77BDC8B5" w14:textId="77777777" w:rsidR="009E45C9" w:rsidRPr="009E45C9" w:rsidRDefault="009E45C9" w:rsidP="009E45C9">
            <w:pPr>
              <w:spacing w:before="0" w:after="0" w:line="240" w:lineRule="auto"/>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 </w:t>
            </w:r>
          </w:p>
        </w:tc>
        <w:tc>
          <w:tcPr>
            <w:tcW w:w="1000" w:type="dxa"/>
            <w:tcBorders>
              <w:top w:val="single" w:sz="4" w:space="0" w:color="788184"/>
              <w:left w:val="nil"/>
              <w:bottom w:val="single" w:sz="4" w:space="0" w:color="788184"/>
              <w:right w:val="single" w:sz="4" w:space="0" w:color="788184"/>
            </w:tcBorders>
            <w:shd w:val="clear" w:color="000000" w:fill="A7B2D4"/>
            <w:vAlign w:val="center"/>
            <w:hideMark/>
          </w:tcPr>
          <w:p w14:paraId="46C9CEA0" w14:textId="77777777" w:rsidR="009E45C9" w:rsidRPr="009E45C9" w:rsidRDefault="009E45C9" w:rsidP="009E45C9">
            <w:pPr>
              <w:spacing w:before="0" w:after="0" w:line="240" w:lineRule="auto"/>
              <w:jc w:val="right"/>
              <w:rPr>
                <w:rFonts w:ascii="Calibri" w:eastAsia="Times New Roman" w:hAnsi="Calibri" w:cs="Calibri"/>
                <w:color w:val="000000"/>
                <w:spacing w:val="0"/>
                <w:sz w:val="16"/>
                <w:szCs w:val="16"/>
                <w:lang w:eastAsia="en-AU"/>
              </w:rPr>
            </w:pPr>
            <w:r w:rsidRPr="009E45C9">
              <w:rPr>
                <w:rFonts w:ascii="Calibri" w:eastAsia="Times New Roman" w:hAnsi="Calibri" w:cs="Calibri"/>
                <w:color w:val="000000"/>
                <w:spacing w:val="0"/>
                <w:sz w:val="16"/>
                <w:szCs w:val="16"/>
                <w:lang w:eastAsia="en-AU"/>
              </w:rPr>
              <w:t>2022-23</w:t>
            </w:r>
          </w:p>
        </w:tc>
        <w:tc>
          <w:tcPr>
            <w:tcW w:w="880" w:type="dxa"/>
            <w:tcBorders>
              <w:top w:val="single" w:sz="4" w:space="0" w:color="788184"/>
              <w:left w:val="nil"/>
              <w:bottom w:val="single" w:sz="4" w:space="0" w:color="788184"/>
              <w:right w:val="single" w:sz="4" w:space="0" w:color="788184"/>
            </w:tcBorders>
            <w:shd w:val="clear" w:color="000000" w:fill="A7B2D4"/>
            <w:vAlign w:val="center"/>
            <w:hideMark/>
          </w:tcPr>
          <w:p w14:paraId="4708A82A" w14:textId="77777777" w:rsidR="009E45C9" w:rsidRPr="009E45C9" w:rsidRDefault="009E45C9" w:rsidP="009E45C9">
            <w:pPr>
              <w:spacing w:before="0" w:after="0" w:line="240" w:lineRule="auto"/>
              <w:jc w:val="right"/>
              <w:rPr>
                <w:rFonts w:ascii="Calibri" w:eastAsia="Times New Roman" w:hAnsi="Calibri" w:cs="Calibri"/>
                <w:color w:val="000000"/>
                <w:spacing w:val="0"/>
                <w:sz w:val="16"/>
                <w:szCs w:val="16"/>
                <w:lang w:eastAsia="en-AU"/>
              </w:rPr>
            </w:pPr>
            <w:r w:rsidRPr="009E45C9">
              <w:rPr>
                <w:rFonts w:ascii="Calibri" w:eastAsia="Times New Roman" w:hAnsi="Calibri" w:cs="Calibri"/>
                <w:color w:val="000000"/>
                <w:spacing w:val="0"/>
                <w:sz w:val="16"/>
                <w:szCs w:val="16"/>
                <w:lang w:eastAsia="en-AU"/>
              </w:rPr>
              <w:t>2023-24</w:t>
            </w:r>
          </w:p>
        </w:tc>
        <w:tc>
          <w:tcPr>
            <w:tcW w:w="880" w:type="dxa"/>
            <w:tcBorders>
              <w:top w:val="single" w:sz="4" w:space="0" w:color="788184"/>
              <w:left w:val="nil"/>
              <w:bottom w:val="single" w:sz="4" w:space="0" w:color="788184"/>
              <w:right w:val="single" w:sz="4" w:space="0" w:color="788184"/>
            </w:tcBorders>
            <w:shd w:val="clear" w:color="000000" w:fill="A7B2D4"/>
            <w:vAlign w:val="center"/>
            <w:hideMark/>
          </w:tcPr>
          <w:p w14:paraId="32283D82" w14:textId="77777777" w:rsidR="009E45C9" w:rsidRPr="009E45C9" w:rsidRDefault="009E45C9" w:rsidP="009E45C9">
            <w:pPr>
              <w:spacing w:before="0" w:after="0" w:line="240" w:lineRule="auto"/>
              <w:jc w:val="right"/>
              <w:rPr>
                <w:rFonts w:ascii="Calibri" w:eastAsia="Times New Roman" w:hAnsi="Calibri" w:cs="Calibri"/>
                <w:color w:val="000000"/>
                <w:spacing w:val="0"/>
                <w:sz w:val="16"/>
                <w:szCs w:val="16"/>
                <w:lang w:eastAsia="en-AU"/>
              </w:rPr>
            </w:pPr>
            <w:r w:rsidRPr="009E45C9">
              <w:rPr>
                <w:rFonts w:ascii="Calibri" w:eastAsia="Times New Roman" w:hAnsi="Calibri" w:cs="Calibri"/>
                <w:color w:val="000000"/>
                <w:spacing w:val="0"/>
                <w:sz w:val="16"/>
                <w:szCs w:val="16"/>
                <w:lang w:eastAsia="en-AU"/>
              </w:rPr>
              <w:t>2024-25</w:t>
            </w:r>
          </w:p>
        </w:tc>
        <w:tc>
          <w:tcPr>
            <w:tcW w:w="880" w:type="dxa"/>
            <w:tcBorders>
              <w:top w:val="single" w:sz="4" w:space="0" w:color="788184"/>
              <w:left w:val="nil"/>
              <w:bottom w:val="single" w:sz="4" w:space="0" w:color="788184"/>
              <w:right w:val="single" w:sz="4" w:space="0" w:color="788184"/>
            </w:tcBorders>
            <w:shd w:val="clear" w:color="000000" w:fill="A7B2D4"/>
            <w:vAlign w:val="center"/>
            <w:hideMark/>
          </w:tcPr>
          <w:p w14:paraId="4CCC6D6E" w14:textId="77777777" w:rsidR="009E45C9" w:rsidRPr="009E45C9" w:rsidRDefault="009E45C9" w:rsidP="009E45C9">
            <w:pPr>
              <w:spacing w:before="0" w:after="0" w:line="240" w:lineRule="auto"/>
              <w:jc w:val="right"/>
              <w:rPr>
                <w:rFonts w:ascii="Calibri" w:eastAsia="Times New Roman" w:hAnsi="Calibri" w:cs="Calibri"/>
                <w:color w:val="000000"/>
                <w:spacing w:val="0"/>
                <w:sz w:val="16"/>
                <w:szCs w:val="16"/>
                <w:lang w:eastAsia="en-AU"/>
              </w:rPr>
            </w:pPr>
            <w:r w:rsidRPr="009E45C9">
              <w:rPr>
                <w:rFonts w:ascii="Calibri" w:eastAsia="Times New Roman" w:hAnsi="Calibri" w:cs="Calibri"/>
                <w:color w:val="000000"/>
                <w:spacing w:val="0"/>
                <w:sz w:val="16"/>
                <w:szCs w:val="16"/>
                <w:lang w:eastAsia="en-AU"/>
              </w:rPr>
              <w:t>2025-26</w:t>
            </w:r>
          </w:p>
        </w:tc>
        <w:tc>
          <w:tcPr>
            <w:tcW w:w="880" w:type="dxa"/>
            <w:tcBorders>
              <w:top w:val="single" w:sz="4" w:space="0" w:color="788184"/>
              <w:left w:val="nil"/>
              <w:bottom w:val="single" w:sz="4" w:space="0" w:color="788184"/>
              <w:right w:val="single" w:sz="4" w:space="0" w:color="788184"/>
            </w:tcBorders>
            <w:shd w:val="clear" w:color="000000" w:fill="A7B2D4"/>
            <w:vAlign w:val="center"/>
            <w:hideMark/>
          </w:tcPr>
          <w:p w14:paraId="598F008F" w14:textId="77777777" w:rsidR="009E45C9" w:rsidRPr="009E45C9" w:rsidRDefault="009E45C9" w:rsidP="009E45C9">
            <w:pPr>
              <w:spacing w:before="0" w:after="0" w:line="240" w:lineRule="auto"/>
              <w:jc w:val="right"/>
              <w:rPr>
                <w:rFonts w:ascii="Calibri" w:eastAsia="Times New Roman" w:hAnsi="Calibri" w:cs="Calibri"/>
                <w:color w:val="000000"/>
                <w:spacing w:val="0"/>
                <w:sz w:val="16"/>
                <w:szCs w:val="16"/>
                <w:lang w:eastAsia="en-AU"/>
              </w:rPr>
            </w:pPr>
            <w:r w:rsidRPr="009E45C9">
              <w:rPr>
                <w:rFonts w:ascii="Calibri" w:eastAsia="Times New Roman" w:hAnsi="Calibri" w:cs="Calibri"/>
                <w:color w:val="000000"/>
                <w:spacing w:val="0"/>
                <w:sz w:val="16"/>
                <w:szCs w:val="16"/>
                <w:lang w:eastAsia="en-AU"/>
              </w:rPr>
              <w:t xml:space="preserve"> 2026-27 </w:t>
            </w:r>
          </w:p>
        </w:tc>
        <w:tc>
          <w:tcPr>
            <w:tcW w:w="880" w:type="dxa"/>
            <w:tcBorders>
              <w:top w:val="single" w:sz="4" w:space="0" w:color="788184"/>
              <w:left w:val="nil"/>
              <w:bottom w:val="single" w:sz="4" w:space="0" w:color="788184"/>
              <w:right w:val="single" w:sz="4" w:space="0" w:color="788184"/>
            </w:tcBorders>
            <w:shd w:val="clear" w:color="000000" w:fill="A7B2D4"/>
            <w:vAlign w:val="center"/>
            <w:hideMark/>
          </w:tcPr>
          <w:p w14:paraId="5E15417E" w14:textId="77777777" w:rsidR="009E45C9" w:rsidRPr="009E45C9" w:rsidRDefault="009E45C9" w:rsidP="009E45C9">
            <w:pPr>
              <w:spacing w:before="0" w:after="0" w:line="240" w:lineRule="auto"/>
              <w:jc w:val="right"/>
              <w:rPr>
                <w:rFonts w:ascii="Calibri" w:eastAsia="Times New Roman" w:hAnsi="Calibri" w:cs="Calibri"/>
                <w:color w:val="000000"/>
                <w:spacing w:val="0"/>
                <w:sz w:val="16"/>
                <w:szCs w:val="16"/>
                <w:lang w:eastAsia="en-AU"/>
              </w:rPr>
            </w:pPr>
            <w:r w:rsidRPr="009E45C9">
              <w:rPr>
                <w:rFonts w:ascii="Calibri" w:eastAsia="Times New Roman" w:hAnsi="Calibri" w:cs="Calibri"/>
                <w:color w:val="000000"/>
                <w:spacing w:val="0"/>
                <w:sz w:val="16"/>
                <w:szCs w:val="16"/>
                <w:lang w:eastAsia="en-AU"/>
              </w:rPr>
              <w:t>2027-28</w:t>
            </w:r>
          </w:p>
        </w:tc>
        <w:tc>
          <w:tcPr>
            <w:tcW w:w="880" w:type="dxa"/>
            <w:tcBorders>
              <w:top w:val="single" w:sz="4" w:space="0" w:color="788184"/>
              <w:left w:val="nil"/>
              <w:bottom w:val="single" w:sz="4" w:space="0" w:color="788184"/>
              <w:right w:val="single" w:sz="4" w:space="0" w:color="788184"/>
            </w:tcBorders>
            <w:shd w:val="clear" w:color="000000" w:fill="A7B2D4"/>
            <w:vAlign w:val="center"/>
            <w:hideMark/>
          </w:tcPr>
          <w:p w14:paraId="707E6CEA" w14:textId="77777777" w:rsidR="009E45C9" w:rsidRPr="009E45C9" w:rsidRDefault="009E45C9" w:rsidP="009E45C9">
            <w:pPr>
              <w:spacing w:before="0" w:after="0" w:line="240" w:lineRule="auto"/>
              <w:jc w:val="right"/>
              <w:rPr>
                <w:rFonts w:ascii="Calibri" w:eastAsia="Times New Roman" w:hAnsi="Calibri" w:cs="Calibri"/>
                <w:color w:val="000000"/>
                <w:spacing w:val="0"/>
                <w:sz w:val="16"/>
                <w:szCs w:val="16"/>
                <w:lang w:eastAsia="en-AU"/>
              </w:rPr>
            </w:pPr>
            <w:r w:rsidRPr="009E45C9">
              <w:rPr>
                <w:rFonts w:ascii="Calibri" w:eastAsia="Times New Roman" w:hAnsi="Calibri" w:cs="Calibri"/>
                <w:color w:val="000000"/>
                <w:spacing w:val="0"/>
                <w:sz w:val="16"/>
                <w:szCs w:val="16"/>
                <w:lang w:eastAsia="en-AU"/>
              </w:rPr>
              <w:t>2028-29</w:t>
            </w:r>
          </w:p>
        </w:tc>
        <w:tc>
          <w:tcPr>
            <w:tcW w:w="880" w:type="dxa"/>
            <w:tcBorders>
              <w:top w:val="single" w:sz="4" w:space="0" w:color="788184"/>
              <w:left w:val="nil"/>
              <w:bottom w:val="single" w:sz="4" w:space="0" w:color="788184"/>
              <w:right w:val="single" w:sz="4" w:space="0" w:color="788184"/>
            </w:tcBorders>
            <w:shd w:val="clear" w:color="000000" w:fill="A7B2D4"/>
            <w:vAlign w:val="center"/>
            <w:hideMark/>
          </w:tcPr>
          <w:p w14:paraId="3D254DA9" w14:textId="77777777" w:rsidR="009E45C9" w:rsidRPr="009E45C9" w:rsidRDefault="009E45C9" w:rsidP="009E45C9">
            <w:pPr>
              <w:spacing w:before="0" w:after="0" w:line="240" w:lineRule="auto"/>
              <w:jc w:val="right"/>
              <w:rPr>
                <w:rFonts w:ascii="Calibri" w:eastAsia="Times New Roman" w:hAnsi="Calibri" w:cs="Calibri"/>
                <w:color w:val="000000"/>
                <w:spacing w:val="0"/>
                <w:sz w:val="16"/>
                <w:szCs w:val="16"/>
                <w:lang w:eastAsia="en-AU"/>
              </w:rPr>
            </w:pPr>
            <w:r w:rsidRPr="009E45C9">
              <w:rPr>
                <w:rFonts w:ascii="Calibri" w:eastAsia="Times New Roman" w:hAnsi="Calibri" w:cs="Calibri"/>
                <w:color w:val="000000"/>
                <w:spacing w:val="0"/>
                <w:sz w:val="16"/>
                <w:szCs w:val="16"/>
                <w:lang w:eastAsia="en-AU"/>
              </w:rPr>
              <w:t>2029-30</w:t>
            </w:r>
          </w:p>
        </w:tc>
        <w:tc>
          <w:tcPr>
            <w:tcW w:w="880" w:type="dxa"/>
            <w:tcBorders>
              <w:top w:val="single" w:sz="4" w:space="0" w:color="788184"/>
              <w:left w:val="nil"/>
              <w:bottom w:val="single" w:sz="4" w:space="0" w:color="788184"/>
              <w:right w:val="single" w:sz="4" w:space="0" w:color="788184"/>
            </w:tcBorders>
            <w:shd w:val="clear" w:color="000000" w:fill="A7B2D4"/>
            <w:vAlign w:val="center"/>
            <w:hideMark/>
          </w:tcPr>
          <w:p w14:paraId="5B212196" w14:textId="77777777" w:rsidR="009E45C9" w:rsidRPr="009E45C9" w:rsidRDefault="009E45C9" w:rsidP="009E45C9">
            <w:pPr>
              <w:spacing w:before="0" w:after="0" w:line="240" w:lineRule="auto"/>
              <w:jc w:val="right"/>
              <w:rPr>
                <w:rFonts w:ascii="Calibri" w:eastAsia="Times New Roman" w:hAnsi="Calibri" w:cs="Calibri"/>
                <w:color w:val="000000"/>
                <w:spacing w:val="0"/>
                <w:sz w:val="16"/>
                <w:szCs w:val="16"/>
                <w:lang w:eastAsia="en-AU"/>
              </w:rPr>
            </w:pPr>
            <w:r w:rsidRPr="009E45C9">
              <w:rPr>
                <w:rFonts w:ascii="Calibri" w:eastAsia="Times New Roman" w:hAnsi="Calibri" w:cs="Calibri"/>
                <w:color w:val="000000"/>
                <w:spacing w:val="0"/>
                <w:sz w:val="16"/>
                <w:szCs w:val="16"/>
                <w:lang w:eastAsia="en-AU"/>
              </w:rPr>
              <w:t>2030-31</w:t>
            </w:r>
          </w:p>
        </w:tc>
        <w:tc>
          <w:tcPr>
            <w:tcW w:w="880" w:type="dxa"/>
            <w:tcBorders>
              <w:top w:val="single" w:sz="4" w:space="0" w:color="788184"/>
              <w:left w:val="nil"/>
              <w:bottom w:val="single" w:sz="4" w:space="0" w:color="788184"/>
              <w:right w:val="single" w:sz="4" w:space="0" w:color="788184"/>
            </w:tcBorders>
            <w:shd w:val="clear" w:color="000000" w:fill="A7B2D4"/>
            <w:vAlign w:val="center"/>
            <w:hideMark/>
          </w:tcPr>
          <w:p w14:paraId="2112657D" w14:textId="77777777" w:rsidR="009E45C9" w:rsidRPr="009E45C9" w:rsidRDefault="009E45C9" w:rsidP="009E45C9">
            <w:pPr>
              <w:spacing w:before="0" w:after="0" w:line="240" w:lineRule="auto"/>
              <w:jc w:val="right"/>
              <w:rPr>
                <w:rFonts w:ascii="Calibri" w:eastAsia="Times New Roman" w:hAnsi="Calibri" w:cs="Calibri"/>
                <w:color w:val="000000"/>
                <w:spacing w:val="0"/>
                <w:sz w:val="16"/>
                <w:szCs w:val="16"/>
                <w:lang w:eastAsia="en-AU"/>
              </w:rPr>
            </w:pPr>
            <w:r w:rsidRPr="009E45C9">
              <w:rPr>
                <w:rFonts w:ascii="Calibri" w:eastAsia="Times New Roman" w:hAnsi="Calibri" w:cs="Calibri"/>
                <w:color w:val="000000"/>
                <w:spacing w:val="0"/>
                <w:sz w:val="16"/>
                <w:szCs w:val="16"/>
                <w:lang w:eastAsia="en-AU"/>
              </w:rPr>
              <w:t>2031-32</w:t>
            </w:r>
          </w:p>
        </w:tc>
        <w:tc>
          <w:tcPr>
            <w:tcW w:w="880" w:type="dxa"/>
            <w:tcBorders>
              <w:top w:val="single" w:sz="4" w:space="0" w:color="788184"/>
              <w:left w:val="nil"/>
              <w:bottom w:val="single" w:sz="4" w:space="0" w:color="788184"/>
              <w:right w:val="single" w:sz="4" w:space="0" w:color="788184"/>
            </w:tcBorders>
            <w:shd w:val="clear" w:color="000000" w:fill="A7B2D4"/>
            <w:vAlign w:val="center"/>
            <w:hideMark/>
          </w:tcPr>
          <w:p w14:paraId="59CC38C3" w14:textId="77777777" w:rsidR="009E45C9" w:rsidRPr="009E45C9" w:rsidRDefault="009E45C9" w:rsidP="009E45C9">
            <w:pPr>
              <w:spacing w:before="0" w:after="0" w:line="240" w:lineRule="auto"/>
              <w:jc w:val="right"/>
              <w:rPr>
                <w:rFonts w:ascii="Calibri" w:eastAsia="Times New Roman" w:hAnsi="Calibri" w:cs="Calibri"/>
                <w:color w:val="000000"/>
                <w:spacing w:val="0"/>
                <w:sz w:val="16"/>
                <w:szCs w:val="16"/>
                <w:lang w:eastAsia="en-AU"/>
              </w:rPr>
            </w:pPr>
            <w:r w:rsidRPr="009E45C9">
              <w:rPr>
                <w:rFonts w:ascii="Calibri" w:eastAsia="Times New Roman" w:hAnsi="Calibri" w:cs="Calibri"/>
                <w:color w:val="000000"/>
                <w:spacing w:val="0"/>
                <w:sz w:val="16"/>
                <w:szCs w:val="16"/>
                <w:lang w:eastAsia="en-AU"/>
              </w:rPr>
              <w:t>2032-33</w:t>
            </w:r>
          </w:p>
        </w:tc>
        <w:tc>
          <w:tcPr>
            <w:tcW w:w="880" w:type="dxa"/>
            <w:tcBorders>
              <w:top w:val="single" w:sz="4" w:space="0" w:color="788184"/>
              <w:left w:val="nil"/>
              <w:bottom w:val="single" w:sz="4" w:space="0" w:color="788184"/>
              <w:right w:val="single" w:sz="4" w:space="0" w:color="788184"/>
            </w:tcBorders>
            <w:shd w:val="clear" w:color="000000" w:fill="A7B2D4"/>
            <w:vAlign w:val="center"/>
            <w:hideMark/>
          </w:tcPr>
          <w:p w14:paraId="0AAA6E34" w14:textId="77777777" w:rsidR="009E45C9" w:rsidRPr="009E45C9" w:rsidRDefault="009E45C9" w:rsidP="009E45C9">
            <w:pPr>
              <w:spacing w:before="0" w:after="0" w:line="240" w:lineRule="auto"/>
              <w:jc w:val="right"/>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 xml:space="preserve">Total to </w:t>
            </w:r>
            <w:r w:rsidRPr="009E45C9">
              <w:rPr>
                <w:rFonts w:ascii="Calibri" w:eastAsia="Times New Roman" w:hAnsi="Calibri" w:cs="Calibri"/>
                <w:b/>
                <w:bCs/>
                <w:color w:val="000000"/>
                <w:spacing w:val="0"/>
                <w:sz w:val="16"/>
                <w:szCs w:val="16"/>
                <w:lang w:eastAsia="en-AU"/>
              </w:rPr>
              <w:br/>
              <w:t>2025-26</w:t>
            </w:r>
          </w:p>
        </w:tc>
        <w:tc>
          <w:tcPr>
            <w:tcW w:w="920" w:type="dxa"/>
            <w:tcBorders>
              <w:top w:val="single" w:sz="4" w:space="0" w:color="788184"/>
              <w:left w:val="nil"/>
              <w:bottom w:val="single" w:sz="4" w:space="0" w:color="788184"/>
              <w:right w:val="single" w:sz="4" w:space="0" w:color="788184"/>
            </w:tcBorders>
            <w:shd w:val="clear" w:color="000000" w:fill="A7B2D4"/>
            <w:vAlign w:val="center"/>
            <w:hideMark/>
          </w:tcPr>
          <w:p w14:paraId="475280CE" w14:textId="77777777" w:rsidR="009E45C9" w:rsidRPr="009E45C9" w:rsidRDefault="009E45C9" w:rsidP="009E45C9">
            <w:pPr>
              <w:spacing w:before="0" w:after="0" w:line="240" w:lineRule="auto"/>
              <w:jc w:val="right"/>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 xml:space="preserve">Total to </w:t>
            </w:r>
            <w:r w:rsidRPr="009E45C9">
              <w:rPr>
                <w:rFonts w:ascii="Calibri" w:eastAsia="Times New Roman" w:hAnsi="Calibri" w:cs="Calibri"/>
                <w:b/>
                <w:bCs/>
                <w:color w:val="000000"/>
                <w:spacing w:val="0"/>
                <w:sz w:val="16"/>
                <w:szCs w:val="16"/>
                <w:lang w:eastAsia="en-AU"/>
              </w:rPr>
              <w:br/>
              <w:t>2032-33</w:t>
            </w:r>
          </w:p>
        </w:tc>
      </w:tr>
      <w:tr w:rsidR="009E45C9" w:rsidRPr="009E45C9" w14:paraId="4610C231" w14:textId="77777777" w:rsidTr="009E45C9">
        <w:trPr>
          <w:trHeight w:val="315"/>
        </w:trPr>
        <w:tc>
          <w:tcPr>
            <w:tcW w:w="2140" w:type="dxa"/>
            <w:tcBorders>
              <w:top w:val="nil"/>
              <w:left w:val="single" w:sz="4" w:space="0" w:color="788184"/>
              <w:bottom w:val="single" w:sz="4" w:space="0" w:color="788184"/>
              <w:right w:val="nil"/>
            </w:tcBorders>
            <w:shd w:val="clear" w:color="000000" w:fill="D3D8E9"/>
            <w:vAlign w:val="center"/>
            <w:hideMark/>
          </w:tcPr>
          <w:p w14:paraId="5F45FA87" w14:textId="77777777" w:rsidR="009E45C9" w:rsidRPr="009E45C9" w:rsidRDefault="009E45C9" w:rsidP="009E45C9">
            <w:pPr>
              <w:spacing w:before="0" w:after="0" w:line="240" w:lineRule="auto"/>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Revenue</w:t>
            </w:r>
          </w:p>
        </w:tc>
        <w:tc>
          <w:tcPr>
            <w:tcW w:w="1000" w:type="dxa"/>
            <w:tcBorders>
              <w:top w:val="single" w:sz="4" w:space="0" w:color="788184"/>
              <w:left w:val="nil"/>
              <w:bottom w:val="single" w:sz="4" w:space="0" w:color="788184"/>
              <w:right w:val="nil"/>
            </w:tcBorders>
            <w:shd w:val="clear" w:color="000000" w:fill="D3D8E9"/>
            <w:vAlign w:val="center"/>
            <w:hideMark/>
          </w:tcPr>
          <w:p w14:paraId="1AA8F319"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 </w:t>
            </w:r>
          </w:p>
        </w:tc>
        <w:tc>
          <w:tcPr>
            <w:tcW w:w="880" w:type="dxa"/>
            <w:tcBorders>
              <w:top w:val="single" w:sz="4" w:space="0" w:color="788184"/>
              <w:left w:val="nil"/>
              <w:bottom w:val="single" w:sz="4" w:space="0" w:color="788184"/>
              <w:right w:val="nil"/>
            </w:tcBorders>
            <w:shd w:val="clear" w:color="000000" w:fill="D3D8E9"/>
            <w:vAlign w:val="center"/>
            <w:hideMark/>
          </w:tcPr>
          <w:p w14:paraId="5E82C8B1"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 </w:t>
            </w:r>
          </w:p>
        </w:tc>
        <w:tc>
          <w:tcPr>
            <w:tcW w:w="880" w:type="dxa"/>
            <w:tcBorders>
              <w:top w:val="single" w:sz="4" w:space="0" w:color="788184"/>
              <w:left w:val="nil"/>
              <w:bottom w:val="single" w:sz="4" w:space="0" w:color="788184"/>
              <w:right w:val="nil"/>
            </w:tcBorders>
            <w:shd w:val="clear" w:color="000000" w:fill="D3D8E9"/>
            <w:vAlign w:val="center"/>
            <w:hideMark/>
          </w:tcPr>
          <w:p w14:paraId="5A5A1A7F"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 </w:t>
            </w:r>
          </w:p>
        </w:tc>
        <w:tc>
          <w:tcPr>
            <w:tcW w:w="880" w:type="dxa"/>
            <w:tcBorders>
              <w:top w:val="single" w:sz="4" w:space="0" w:color="788184"/>
              <w:left w:val="nil"/>
              <w:bottom w:val="single" w:sz="4" w:space="0" w:color="788184"/>
              <w:right w:val="nil"/>
            </w:tcBorders>
            <w:shd w:val="clear" w:color="000000" w:fill="D3D8E9"/>
            <w:vAlign w:val="center"/>
            <w:hideMark/>
          </w:tcPr>
          <w:p w14:paraId="4DB75F11"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 </w:t>
            </w:r>
          </w:p>
        </w:tc>
        <w:tc>
          <w:tcPr>
            <w:tcW w:w="880" w:type="dxa"/>
            <w:tcBorders>
              <w:top w:val="single" w:sz="4" w:space="0" w:color="788184"/>
              <w:left w:val="nil"/>
              <w:bottom w:val="single" w:sz="4" w:space="0" w:color="788184"/>
              <w:right w:val="nil"/>
            </w:tcBorders>
            <w:shd w:val="clear" w:color="000000" w:fill="D3D8E9"/>
            <w:vAlign w:val="center"/>
            <w:hideMark/>
          </w:tcPr>
          <w:p w14:paraId="0EC6DC5B"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 </w:t>
            </w:r>
          </w:p>
        </w:tc>
        <w:tc>
          <w:tcPr>
            <w:tcW w:w="880" w:type="dxa"/>
            <w:tcBorders>
              <w:top w:val="single" w:sz="4" w:space="0" w:color="788184"/>
              <w:left w:val="nil"/>
              <w:bottom w:val="single" w:sz="4" w:space="0" w:color="788184"/>
              <w:right w:val="nil"/>
            </w:tcBorders>
            <w:shd w:val="clear" w:color="000000" w:fill="D3D8E9"/>
            <w:vAlign w:val="center"/>
            <w:hideMark/>
          </w:tcPr>
          <w:p w14:paraId="7E0045FA"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 </w:t>
            </w:r>
          </w:p>
        </w:tc>
        <w:tc>
          <w:tcPr>
            <w:tcW w:w="880" w:type="dxa"/>
            <w:tcBorders>
              <w:top w:val="single" w:sz="4" w:space="0" w:color="788184"/>
              <w:left w:val="nil"/>
              <w:bottom w:val="single" w:sz="4" w:space="0" w:color="788184"/>
              <w:right w:val="nil"/>
            </w:tcBorders>
            <w:shd w:val="clear" w:color="000000" w:fill="D3D8E9"/>
            <w:vAlign w:val="center"/>
            <w:hideMark/>
          </w:tcPr>
          <w:p w14:paraId="6B898D7D"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 </w:t>
            </w:r>
          </w:p>
        </w:tc>
        <w:tc>
          <w:tcPr>
            <w:tcW w:w="880" w:type="dxa"/>
            <w:tcBorders>
              <w:top w:val="single" w:sz="4" w:space="0" w:color="788184"/>
              <w:left w:val="nil"/>
              <w:bottom w:val="single" w:sz="4" w:space="0" w:color="788184"/>
              <w:right w:val="nil"/>
            </w:tcBorders>
            <w:shd w:val="clear" w:color="000000" w:fill="D3D8E9"/>
            <w:vAlign w:val="center"/>
            <w:hideMark/>
          </w:tcPr>
          <w:p w14:paraId="1705F66A"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 </w:t>
            </w:r>
          </w:p>
        </w:tc>
        <w:tc>
          <w:tcPr>
            <w:tcW w:w="880" w:type="dxa"/>
            <w:tcBorders>
              <w:top w:val="single" w:sz="4" w:space="0" w:color="788184"/>
              <w:left w:val="nil"/>
              <w:bottom w:val="single" w:sz="4" w:space="0" w:color="788184"/>
              <w:right w:val="nil"/>
            </w:tcBorders>
            <w:shd w:val="clear" w:color="000000" w:fill="D3D8E9"/>
            <w:vAlign w:val="center"/>
            <w:hideMark/>
          </w:tcPr>
          <w:p w14:paraId="5ACAF9AD"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 </w:t>
            </w:r>
          </w:p>
        </w:tc>
        <w:tc>
          <w:tcPr>
            <w:tcW w:w="880" w:type="dxa"/>
            <w:tcBorders>
              <w:top w:val="single" w:sz="4" w:space="0" w:color="788184"/>
              <w:left w:val="nil"/>
              <w:bottom w:val="single" w:sz="4" w:space="0" w:color="788184"/>
              <w:right w:val="nil"/>
            </w:tcBorders>
            <w:shd w:val="clear" w:color="000000" w:fill="D3D8E9"/>
            <w:vAlign w:val="center"/>
            <w:hideMark/>
          </w:tcPr>
          <w:p w14:paraId="37D95264"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 </w:t>
            </w:r>
          </w:p>
        </w:tc>
        <w:tc>
          <w:tcPr>
            <w:tcW w:w="880" w:type="dxa"/>
            <w:tcBorders>
              <w:top w:val="single" w:sz="4" w:space="0" w:color="788184"/>
              <w:left w:val="nil"/>
              <w:bottom w:val="single" w:sz="4" w:space="0" w:color="788184"/>
              <w:right w:val="nil"/>
            </w:tcBorders>
            <w:shd w:val="clear" w:color="000000" w:fill="D3D8E9"/>
            <w:vAlign w:val="center"/>
            <w:hideMark/>
          </w:tcPr>
          <w:p w14:paraId="273A996D"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 </w:t>
            </w:r>
          </w:p>
        </w:tc>
        <w:tc>
          <w:tcPr>
            <w:tcW w:w="880" w:type="dxa"/>
            <w:tcBorders>
              <w:top w:val="single" w:sz="4" w:space="0" w:color="788184"/>
              <w:left w:val="nil"/>
              <w:bottom w:val="single" w:sz="4" w:space="0" w:color="788184"/>
              <w:right w:val="nil"/>
            </w:tcBorders>
            <w:shd w:val="clear" w:color="000000" w:fill="D3D8E9"/>
            <w:vAlign w:val="center"/>
            <w:hideMark/>
          </w:tcPr>
          <w:p w14:paraId="0E1CAEF0"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 </w:t>
            </w:r>
          </w:p>
        </w:tc>
        <w:tc>
          <w:tcPr>
            <w:tcW w:w="920" w:type="dxa"/>
            <w:tcBorders>
              <w:top w:val="single" w:sz="4" w:space="0" w:color="788184"/>
              <w:left w:val="nil"/>
              <w:bottom w:val="single" w:sz="4" w:space="0" w:color="788184"/>
              <w:right w:val="single" w:sz="4" w:space="0" w:color="788184"/>
            </w:tcBorders>
            <w:shd w:val="clear" w:color="000000" w:fill="D3D8E9"/>
            <w:vAlign w:val="center"/>
            <w:hideMark/>
          </w:tcPr>
          <w:p w14:paraId="7D6FD379"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 </w:t>
            </w:r>
          </w:p>
        </w:tc>
      </w:tr>
      <w:tr w:rsidR="009E45C9" w:rsidRPr="009E45C9" w14:paraId="5209336F" w14:textId="77777777" w:rsidTr="009E45C9">
        <w:trPr>
          <w:trHeight w:val="315"/>
        </w:trPr>
        <w:tc>
          <w:tcPr>
            <w:tcW w:w="2140" w:type="dxa"/>
            <w:tcBorders>
              <w:top w:val="nil"/>
              <w:left w:val="single" w:sz="4" w:space="0" w:color="788184"/>
              <w:bottom w:val="single" w:sz="4" w:space="0" w:color="788184"/>
              <w:right w:val="nil"/>
            </w:tcBorders>
            <w:shd w:val="clear" w:color="000000" w:fill="D3D8E9"/>
            <w:vAlign w:val="center"/>
            <w:hideMark/>
          </w:tcPr>
          <w:p w14:paraId="0BF6A7BF" w14:textId="77777777" w:rsidR="009E45C9" w:rsidRPr="009E45C9" w:rsidRDefault="009E45C9" w:rsidP="009E45C9">
            <w:pPr>
              <w:spacing w:before="0" w:after="0" w:line="240" w:lineRule="auto"/>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Tax revenue</w:t>
            </w:r>
          </w:p>
        </w:tc>
        <w:tc>
          <w:tcPr>
            <w:tcW w:w="1000" w:type="dxa"/>
            <w:tcBorders>
              <w:top w:val="single" w:sz="4" w:space="0" w:color="788184"/>
              <w:left w:val="nil"/>
              <w:bottom w:val="single" w:sz="4" w:space="0" w:color="788184"/>
              <w:right w:val="nil"/>
            </w:tcBorders>
            <w:shd w:val="clear" w:color="000000" w:fill="D3D8E9"/>
            <w:vAlign w:val="center"/>
            <w:hideMark/>
          </w:tcPr>
          <w:p w14:paraId="108E0AFA"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 </w:t>
            </w:r>
          </w:p>
        </w:tc>
        <w:tc>
          <w:tcPr>
            <w:tcW w:w="880" w:type="dxa"/>
            <w:tcBorders>
              <w:top w:val="single" w:sz="4" w:space="0" w:color="788184"/>
              <w:left w:val="nil"/>
              <w:bottom w:val="single" w:sz="4" w:space="0" w:color="788184"/>
              <w:right w:val="nil"/>
            </w:tcBorders>
            <w:shd w:val="clear" w:color="000000" w:fill="D3D8E9"/>
            <w:vAlign w:val="center"/>
            <w:hideMark/>
          </w:tcPr>
          <w:p w14:paraId="3447E253"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 </w:t>
            </w:r>
          </w:p>
        </w:tc>
        <w:tc>
          <w:tcPr>
            <w:tcW w:w="880" w:type="dxa"/>
            <w:tcBorders>
              <w:top w:val="single" w:sz="4" w:space="0" w:color="788184"/>
              <w:left w:val="nil"/>
              <w:bottom w:val="single" w:sz="4" w:space="0" w:color="788184"/>
              <w:right w:val="nil"/>
            </w:tcBorders>
            <w:shd w:val="clear" w:color="000000" w:fill="D3D8E9"/>
            <w:vAlign w:val="center"/>
            <w:hideMark/>
          </w:tcPr>
          <w:p w14:paraId="44C26B42"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 </w:t>
            </w:r>
          </w:p>
        </w:tc>
        <w:tc>
          <w:tcPr>
            <w:tcW w:w="880" w:type="dxa"/>
            <w:tcBorders>
              <w:top w:val="single" w:sz="4" w:space="0" w:color="788184"/>
              <w:left w:val="nil"/>
              <w:bottom w:val="single" w:sz="4" w:space="0" w:color="788184"/>
              <w:right w:val="nil"/>
            </w:tcBorders>
            <w:shd w:val="clear" w:color="000000" w:fill="D3D8E9"/>
            <w:vAlign w:val="center"/>
            <w:hideMark/>
          </w:tcPr>
          <w:p w14:paraId="7199AC66"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 </w:t>
            </w:r>
          </w:p>
        </w:tc>
        <w:tc>
          <w:tcPr>
            <w:tcW w:w="880" w:type="dxa"/>
            <w:tcBorders>
              <w:top w:val="single" w:sz="4" w:space="0" w:color="788184"/>
              <w:left w:val="nil"/>
              <w:bottom w:val="single" w:sz="4" w:space="0" w:color="788184"/>
              <w:right w:val="nil"/>
            </w:tcBorders>
            <w:shd w:val="clear" w:color="000000" w:fill="D3D8E9"/>
            <w:vAlign w:val="center"/>
            <w:hideMark/>
          </w:tcPr>
          <w:p w14:paraId="2F77B4B3"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 </w:t>
            </w:r>
          </w:p>
        </w:tc>
        <w:tc>
          <w:tcPr>
            <w:tcW w:w="880" w:type="dxa"/>
            <w:tcBorders>
              <w:top w:val="single" w:sz="4" w:space="0" w:color="788184"/>
              <w:left w:val="nil"/>
              <w:bottom w:val="single" w:sz="4" w:space="0" w:color="788184"/>
              <w:right w:val="nil"/>
            </w:tcBorders>
            <w:shd w:val="clear" w:color="000000" w:fill="D3D8E9"/>
            <w:vAlign w:val="center"/>
            <w:hideMark/>
          </w:tcPr>
          <w:p w14:paraId="1E5C0362"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 </w:t>
            </w:r>
          </w:p>
        </w:tc>
        <w:tc>
          <w:tcPr>
            <w:tcW w:w="880" w:type="dxa"/>
            <w:tcBorders>
              <w:top w:val="single" w:sz="4" w:space="0" w:color="788184"/>
              <w:left w:val="nil"/>
              <w:bottom w:val="single" w:sz="4" w:space="0" w:color="788184"/>
              <w:right w:val="nil"/>
            </w:tcBorders>
            <w:shd w:val="clear" w:color="000000" w:fill="D3D8E9"/>
            <w:vAlign w:val="center"/>
            <w:hideMark/>
          </w:tcPr>
          <w:p w14:paraId="4AFA7D99"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 </w:t>
            </w:r>
          </w:p>
        </w:tc>
        <w:tc>
          <w:tcPr>
            <w:tcW w:w="880" w:type="dxa"/>
            <w:tcBorders>
              <w:top w:val="single" w:sz="4" w:space="0" w:color="788184"/>
              <w:left w:val="nil"/>
              <w:bottom w:val="single" w:sz="4" w:space="0" w:color="788184"/>
              <w:right w:val="nil"/>
            </w:tcBorders>
            <w:shd w:val="clear" w:color="000000" w:fill="D3D8E9"/>
            <w:vAlign w:val="center"/>
            <w:hideMark/>
          </w:tcPr>
          <w:p w14:paraId="06B13CDD"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 </w:t>
            </w:r>
          </w:p>
        </w:tc>
        <w:tc>
          <w:tcPr>
            <w:tcW w:w="880" w:type="dxa"/>
            <w:tcBorders>
              <w:top w:val="single" w:sz="4" w:space="0" w:color="788184"/>
              <w:left w:val="nil"/>
              <w:bottom w:val="single" w:sz="4" w:space="0" w:color="788184"/>
              <w:right w:val="nil"/>
            </w:tcBorders>
            <w:shd w:val="clear" w:color="000000" w:fill="D3D8E9"/>
            <w:vAlign w:val="center"/>
            <w:hideMark/>
          </w:tcPr>
          <w:p w14:paraId="58789B70"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 </w:t>
            </w:r>
          </w:p>
        </w:tc>
        <w:tc>
          <w:tcPr>
            <w:tcW w:w="880" w:type="dxa"/>
            <w:tcBorders>
              <w:top w:val="single" w:sz="4" w:space="0" w:color="788184"/>
              <w:left w:val="nil"/>
              <w:bottom w:val="single" w:sz="4" w:space="0" w:color="788184"/>
              <w:right w:val="nil"/>
            </w:tcBorders>
            <w:shd w:val="clear" w:color="000000" w:fill="D3D8E9"/>
            <w:vAlign w:val="center"/>
            <w:hideMark/>
          </w:tcPr>
          <w:p w14:paraId="25EFF786"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 </w:t>
            </w:r>
          </w:p>
        </w:tc>
        <w:tc>
          <w:tcPr>
            <w:tcW w:w="880" w:type="dxa"/>
            <w:tcBorders>
              <w:top w:val="single" w:sz="4" w:space="0" w:color="788184"/>
              <w:left w:val="nil"/>
              <w:bottom w:val="single" w:sz="4" w:space="0" w:color="788184"/>
              <w:right w:val="nil"/>
            </w:tcBorders>
            <w:shd w:val="clear" w:color="000000" w:fill="D3D8E9"/>
            <w:vAlign w:val="center"/>
            <w:hideMark/>
          </w:tcPr>
          <w:p w14:paraId="01F78F5F"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 </w:t>
            </w:r>
          </w:p>
        </w:tc>
        <w:tc>
          <w:tcPr>
            <w:tcW w:w="880" w:type="dxa"/>
            <w:tcBorders>
              <w:top w:val="single" w:sz="4" w:space="0" w:color="788184"/>
              <w:left w:val="nil"/>
              <w:bottom w:val="single" w:sz="4" w:space="0" w:color="788184"/>
              <w:right w:val="nil"/>
            </w:tcBorders>
            <w:shd w:val="clear" w:color="000000" w:fill="D3D8E9"/>
            <w:vAlign w:val="center"/>
            <w:hideMark/>
          </w:tcPr>
          <w:p w14:paraId="1143F220"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 </w:t>
            </w:r>
          </w:p>
        </w:tc>
        <w:tc>
          <w:tcPr>
            <w:tcW w:w="920" w:type="dxa"/>
            <w:tcBorders>
              <w:top w:val="single" w:sz="4" w:space="0" w:color="788184"/>
              <w:left w:val="nil"/>
              <w:bottom w:val="single" w:sz="4" w:space="0" w:color="788184"/>
              <w:right w:val="single" w:sz="4" w:space="0" w:color="788184"/>
            </w:tcBorders>
            <w:shd w:val="clear" w:color="000000" w:fill="D3D8E9"/>
            <w:vAlign w:val="center"/>
            <w:hideMark/>
          </w:tcPr>
          <w:p w14:paraId="76AC7B75"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 </w:t>
            </w:r>
          </w:p>
        </w:tc>
      </w:tr>
      <w:tr w:rsidR="009E45C9" w:rsidRPr="009E45C9" w14:paraId="39CDC7A0" w14:textId="77777777" w:rsidTr="009E45C9">
        <w:trPr>
          <w:trHeight w:val="315"/>
        </w:trPr>
        <w:tc>
          <w:tcPr>
            <w:tcW w:w="2140" w:type="dxa"/>
            <w:tcBorders>
              <w:top w:val="nil"/>
              <w:left w:val="single" w:sz="4" w:space="0" w:color="788184"/>
              <w:bottom w:val="single" w:sz="4" w:space="0" w:color="788184"/>
              <w:right w:val="single" w:sz="4" w:space="0" w:color="788184"/>
            </w:tcBorders>
            <w:shd w:val="clear" w:color="000000" w:fill="FFFFFF"/>
            <w:vAlign w:val="center"/>
            <w:hideMark/>
          </w:tcPr>
          <w:p w14:paraId="460713F2" w14:textId="77777777" w:rsidR="009E45C9" w:rsidRPr="009E45C9" w:rsidRDefault="009E45C9" w:rsidP="009E45C9">
            <w:pPr>
              <w:spacing w:before="0" w:after="0" w:line="240" w:lineRule="auto"/>
              <w:rPr>
                <w:rFonts w:ascii="Calibri" w:eastAsia="Times New Roman" w:hAnsi="Calibri" w:cs="Calibri"/>
                <w:i/>
                <w:iCs/>
                <w:color w:val="000000"/>
                <w:spacing w:val="0"/>
                <w:sz w:val="16"/>
                <w:szCs w:val="16"/>
                <w:lang w:eastAsia="en-AU"/>
              </w:rPr>
            </w:pPr>
            <w:r w:rsidRPr="009E45C9">
              <w:rPr>
                <w:rFonts w:ascii="Calibri" w:eastAsia="Times New Roman" w:hAnsi="Calibri" w:cs="Calibri"/>
                <w:i/>
                <w:iCs/>
                <w:color w:val="000000"/>
                <w:spacing w:val="0"/>
                <w:sz w:val="16"/>
                <w:szCs w:val="16"/>
                <w:lang w:eastAsia="en-AU"/>
              </w:rPr>
              <w:t>PRRT</w:t>
            </w:r>
          </w:p>
        </w:tc>
        <w:tc>
          <w:tcPr>
            <w:tcW w:w="1000"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14:paraId="189516F7" w14:textId="5EECDB62" w:rsidR="009E45C9" w:rsidRPr="009E45C9" w:rsidRDefault="009E45C9" w:rsidP="009E45C9">
            <w:pPr>
              <w:spacing w:before="0" w:after="0" w:line="240" w:lineRule="auto"/>
              <w:jc w:val="right"/>
              <w:rPr>
                <w:rFonts w:ascii="Calibri" w:eastAsia="Times New Roman" w:hAnsi="Calibri" w:cs="Calibri"/>
                <w:i/>
                <w:iCs/>
                <w:color w:val="000000"/>
                <w:spacing w:val="0"/>
                <w:sz w:val="16"/>
                <w:szCs w:val="16"/>
                <w:lang w:eastAsia="en-AU"/>
              </w:rPr>
            </w:pPr>
            <w:r>
              <w:rPr>
                <w:rFonts w:ascii="Calibri" w:eastAsia="Times New Roman" w:hAnsi="Calibri" w:cs="Calibri"/>
                <w:i/>
                <w:iCs/>
                <w:color w:val="000000"/>
                <w:spacing w:val="0"/>
                <w:sz w:val="16"/>
                <w:szCs w:val="16"/>
                <w:lang w:eastAsia="en-AU"/>
              </w:rPr>
              <w:t>-</w:t>
            </w:r>
          </w:p>
        </w:tc>
        <w:tc>
          <w:tcPr>
            <w:tcW w:w="880" w:type="dxa"/>
            <w:tcBorders>
              <w:top w:val="nil"/>
              <w:left w:val="nil"/>
              <w:bottom w:val="single" w:sz="4" w:space="0" w:color="788184"/>
              <w:right w:val="single" w:sz="4" w:space="0" w:color="788184"/>
            </w:tcBorders>
            <w:shd w:val="clear" w:color="auto" w:fill="auto"/>
            <w:vAlign w:val="center"/>
            <w:hideMark/>
          </w:tcPr>
          <w:p w14:paraId="2A9EB25C" w14:textId="77777777" w:rsidR="009E45C9" w:rsidRPr="009E45C9" w:rsidRDefault="009E45C9" w:rsidP="009E45C9">
            <w:pPr>
              <w:spacing w:before="0" w:after="0" w:line="240" w:lineRule="auto"/>
              <w:jc w:val="right"/>
              <w:rPr>
                <w:rFonts w:ascii="Calibri" w:eastAsia="Times New Roman" w:hAnsi="Calibri" w:cs="Calibri"/>
                <w:i/>
                <w:iCs/>
                <w:color w:val="000000"/>
                <w:spacing w:val="0"/>
                <w:sz w:val="16"/>
                <w:szCs w:val="16"/>
                <w:lang w:eastAsia="en-AU"/>
              </w:rPr>
            </w:pPr>
            <w:r w:rsidRPr="009E45C9">
              <w:rPr>
                <w:rFonts w:ascii="Calibri" w:eastAsia="Times New Roman" w:hAnsi="Calibri" w:cs="Calibri"/>
                <w:i/>
                <w:iCs/>
                <w:color w:val="000000"/>
                <w:spacing w:val="0"/>
                <w:sz w:val="16"/>
                <w:szCs w:val="16"/>
                <w:lang w:eastAsia="en-AU"/>
              </w:rPr>
              <w:t>600.0</w:t>
            </w:r>
          </w:p>
        </w:tc>
        <w:tc>
          <w:tcPr>
            <w:tcW w:w="880" w:type="dxa"/>
            <w:tcBorders>
              <w:top w:val="nil"/>
              <w:left w:val="nil"/>
              <w:bottom w:val="single" w:sz="4" w:space="0" w:color="788184"/>
              <w:right w:val="single" w:sz="4" w:space="0" w:color="788184"/>
            </w:tcBorders>
            <w:shd w:val="clear" w:color="auto" w:fill="auto"/>
            <w:vAlign w:val="center"/>
            <w:hideMark/>
          </w:tcPr>
          <w:p w14:paraId="252D48D8" w14:textId="77777777" w:rsidR="009E45C9" w:rsidRPr="009E45C9" w:rsidRDefault="009E45C9" w:rsidP="009E45C9">
            <w:pPr>
              <w:spacing w:before="0" w:after="0" w:line="240" w:lineRule="auto"/>
              <w:jc w:val="right"/>
              <w:rPr>
                <w:rFonts w:ascii="Calibri" w:eastAsia="Times New Roman" w:hAnsi="Calibri" w:cs="Calibri"/>
                <w:i/>
                <w:iCs/>
                <w:color w:val="000000"/>
                <w:spacing w:val="0"/>
                <w:sz w:val="16"/>
                <w:szCs w:val="16"/>
                <w:lang w:eastAsia="en-AU"/>
              </w:rPr>
            </w:pPr>
            <w:r w:rsidRPr="009E45C9">
              <w:rPr>
                <w:rFonts w:ascii="Calibri" w:eastAsia="Times New Roman" w:hAnsi="Calibri" w:cs="Calibri"/>
                <w:i/>
                <w:iCs/>
                <w:color w:val="000000"/>
                <w:spacing w:val="0"/>
                <w:sz w:val="16"/>
                <w:szCs w:val="16"/>
                <w:lang w:eastAsia="en-AU"/>
              </w:rPr>
              <w:t>13,300.0</w:t>
            </w:r>
          </w:p>
        </w:tc>
        <w:tc>
          <w:tcPr>
            <w:tcW w:w="880" w:type="dxa"/>
            <w:tcBorders>
              <w:top w:val="nil"/>
              <w:left w:val="nil"/>
              <w:bottom w:val="single" w:sz="4" w:space="0" w:color="788184"/>
              <w:right w:val="single" w:sz="4" w:space="0" w:color="788184"/>
            </w:tcBorders>
            <w:shd w:val="clear" w:color="auto" w:fill="auto"/>
            <w:vAlign w:val="center"/>
            <w:hideMark/>
          </w:tcPr>
          <w:p w14:paraId="55503CA4" w14:textId="77777777" w:rsidR="009E45C9" w:rsidRPr="009E45C9" w:rsidRDefault="009E45C9" w:rsidP="009E45C9">
            <w:pPr>
              <w:spacing w:before="0" w:after="0" w:line="240" w:lineRule="auto"/>
              <w:jc w:val="right"/>
              <w:rPr>
                <w:rFonts w:ascii="Calibri" w:eastAsia="Times New Roman" w:hAnsi="Calibri" w:cs="Calibri"/>
                <w:i/>
                <w:iCs/>
                <w:color w:val="000000"/>
                <w:spacing w:val="0"/>
                <w:sz w:val="16"/>
                <w:szCs w:val="16"/>
                <w:lang w:eastAsia="en-AU"/>
              </w:rPr>
            </w:pPr>
            <w:r w:rsidRPr="009E45C9">
              <w:rPr>
                <w:rFonts w:ascii="Calibri" w:eastAsia="Times New Roman" w:hAnsi="Calibri" w:cs="Calibri"/>
                <w:i/>
                <w:iCs/>
                <w:color w:val="000000"/>
                <w:spacing w:val="0"/>
                <w:sz w:val="16"/>
                <w:szCs w:val="16"/>
                <w:lang w:eastAsia="en-AU"/>
              </w:rPr>
              <w:t>16,900.0</w:t>
            </w:r>
          </w:p>
        </w:tc>
        <w:tc>
          <w:tcPr>
            <w:tcW w:w="880" w:type="dxa"/>
            <w:tcBorders>
              <w:top w:val="nil"/>
              <w:left w:val="nil"/>
              <w:bottom w:val="single" w:sz="4" w:space="0" w:color="788184"/>
              <w:right w:val="single" w:sz="4" w:space="0" w:color="788184"/>
            </w:tcBorders>
            <w:shd w:val="clear" w:color="auto" w:fill="auto"/>
            <w:vAlign w:val="center"/>
            <w:hideMark/>
          </w:tcPr>
          <w:p w14:paraId="023345EF" w14:textId="77777777" w:rsidR="009E45C9" w:rsidRPr="009E45C9" w:rsidRDefault="009E45C9" w:rsidP="009E45C9">
            <w:pPr>
              <w:spacing w:before="0" w:after="0" w:line="240" w:lineRule="auto"/>
              <w:jc w:val="right"/>
              <w:rPr>
                <w:rFonts w:ascii="Calibri" w:eastAsia="Times New Roman" w:hAnsi="Calibri" w:cs="Calibri"/>
                <w:i/>
                <w:iCs/>
                <w:color w:val="000000"/>
                <w:spacing w:val="0"/>
                <w:sz w:val="16"/>
                <w:szCs w:val="16"/>
                <w:lang w:eastAsia="en-AU"/>
              </w:rPr>
            </w:pPr>
            <w:r w:rsidRPr="009E45C9">
              <w:rPr>
                <w:rFonts w:ascii="Calibri" w:eastAsia="Times New Roman" w:hAnsi="Calibri" w:cs="Calibri"/>
                <w:i/>
                <w:iCs/>
                <w:color w:val="000000"/>
                <w:spacing w:val="0"/>
                <w:sz w:val="16"/>
                <w:szCs w:val="16"/>
                <w:lang w:eastAsia="en-AU"/>
              </w:rPr>
              <w:t>16,300.0</w:t>
            </w:r>
          </w:p>
        </w:tc>
        <w:tc>
          <w:tcPr>
            <w:tcW w:w="880" w:type="dxa"/>
            <w:tcBorders>
              <w:top w:val="nil"/>
              <w:left w:val="nil"/>
              <w:bottom w:val="single" w:sz="4" w:space="0" w:color="788184"/>
              <w:right w:val="single" w:sz="4" w:space="0" w:color="788184"/>
            </w:tcBorders>
            <w:shd w:val="clear" w:color="auto" w:fill="auto"/>
            <w:vAlign w:val="center"/>
            <w:hideMark/>
          </w:tcPr>
          <w:p w14:paraId="040E99F3" w14:textId="77777777" w:rsidR="009E45C9" w:rsidRPr="009E45C9" w:rsidRDefault="009E45C9" w:rsidP="009E45C9">
            <w:pPr>
              <w:spacing w:before="0" w:after="0" w:line="240" w:lineRule="auto"/>
              <w:jc w:val="right"/>
              <w:rPr>
                <w:rFonts w:ascii="Calibri" w:eastAsia="Times New Roman" w:hAnsi="Calibri" w:cs="Calibri"/>
                <w:i/>
                <w:iCs/>
                <w:color w:val="000000"/>
                <w:spacing w:val="0"/>
                <w:sz w:val="16"/>
                <w:szCs w:val="16"/>
                <w:lang w:eastAsia="en-AU"/>
              </w:rPr>
            </w:pPr>
            <w:r w:rsidRPr="009E45C9">
              <w:rPr>
                <w:rFonts w:ascii="Calibri" w:eastAsia="Times New Roman" w:hAnsi="Calibri" w:cs="Calibri"/>
                <w:i/>
                <w:iCs/>
                <w:color w:val="000000"/>
                <w:spacing w:val="0"/>
                <w:sz w:val="16"/>
                <w:szCs w:val="16"/>
                <w:lang w:eastAsia="en-AU"/>
              </w:rPr>
              <w:t>15,200.0</w:t>
            </w:r>
          </w:p>
        </w:tc>
        <w:tc>
          <w:tcPr>
            <w:tcW w:w="880" w:type="dxa"/>
            <w:tcBorders>
              <w:top w:val="nil"/>
              <w:left w:val="nil"/>
              <w:bottom w:val="single" w:sz="4" w:space="0" w:color="788184"/>
              <w:right w:val="single" w:sz="4" w:space="0" w:color="788184"/>
            </w:tcBorders>
            <w:shd w:val="clear" w:color="auto" w:fill="auto"/>
            <w:vAlign w:val="center"/>
            <w:hideMark/>
          </w:tcPr>
          <w:p w14:paraId="3F34B4A1" w14:textId="77777777" w:rsidR="009E45C9" w:rsidRPr="009E45C9" w:rsidRDefault="009E45C9" w:rsidP="009E45C9">
            <w:pPr>
              <w:spacing w:before="0" w:after="0" w:line="240" w:lineRule="auto"/>
              <w:jc w:val="right"/>
              <w:rPr>
                <w:rFonts w:ascii="Calibri" w:eastAsia="Times New Roman" w:hAnsi="Calibri" w:cs="Calibri"/>
                <w:i/>
                <w:iCs/>
                <w:color w:val="000000"/>
                <w:spacing w:val="0"/>
                <w:sz w:val="16"/>
                <w:szCs w:val="16"/>
                <w:lang w:eastAsia="en-AU"/>
              </w:rPr>
            </w:pPr>
            <w:r w:rsidRPr="009E45C9">
              <w:rPr>
                <w:rFonts w:ascii="Calibri" w:eastAsia="Times New Roman" w:hAnsi="Calibri" w:cs="Calibri"/>
                <w:i/>
                <w:iCs/>
                <w:color w:val="000000"/>
                <w:spacing w:val="0"/>
                <w:sz w:val="16"/>
                <w:szCs w:val="16"/>
                <w:lang w:eastAsia="en-AU"/>
              </w:rPr>
              <w:t>12,400.0</w:t>
            </w:r>
          </w:p>
        </w:tc>
        <w:tc>
          <w:tcPr>
            <w:tcW w:w="880" w:type="dxa"/>
            <w:tcBorders>
              <w:top w:val="nil"/>
              <w:left w:val="nil"/>
              <w:bottom w:val="single" w:sz="4" w:space="0" w:color="788184"/>
              <w:right w:val="single" w:sz="4" w:space="0" w:color="788184"/>
            </w:tcBorders>
            <w:shd w:val="clear" w:color="auto" w:fill="auto"/>
            <w:vAlign w:val="center"/>
            <w:hideMark/>
          </w:tcPr>
          <w:p w14:paraId="64025B8B" w14:textId="77777777" w:rsidR="009E45C9" w:rsidRPr="009E45C9" w:rsidRDefault="009E45C9" w:rsidP="009E45C9">
            <w:pPr>
              <w:spacing w:before="0" w:after="0" w:line="240" w:lineRule="auto"/>
              <w:jc w:val="right"/>
              <w:rPr>
                <w:rFonts w:ascii="Calibri" w:eastAsia="Times New Roman" w:hAnsi="Calibri" w:cs="Calibri"/>
                <w:i/>
                <w:iCs/>
                <w:color w:val="000000"/>
                <w:spacing w:val="0"/>
                <w:sz w:val="16"/>
                <w:szCs w:val="16"/>
                <w:lang w:eastAsia="en-AU"/>
              </w:rPr>
            </w:pPr>
            <w:r w:rsidRPr="009E45C9">
              <w:rPr>
                <w:rFonts w:ascii="Calibri" w:eastAsia="Times New Roman" w:hAnsi="Calibri" w:cs="Calibri"/>
                <w:i/>
                <w:iCs/>
                <w:color w:val="000000"/>
                <w:spacing w:val="0"/>
                <w:sz w:val="16"/>
                <w:szCs w:val="16"/>
                <w:lang w:eastAsia="en-AU"/>
              </w:rPr>
              <w:t>9,700.0</w:t>
            </w:r>
          </w:p>
        </w:tc>
        <w:tc>
          <w:tcPr>
            <w:tcW w:w="880" w:type="dxa"/>
            <w:tcBorders>
              <w:top w:val="nil"/>
              <w:left w:val="nil"/>
              <w:bottom w:val="single" w:sz="4" w:space="0" w:color="788184"/>
              <w:right w:val="single" w:sz="4" w:space="0" w:color="788184"/>
            </w:tcBorders>
            <w:shd w:val="clear" w:color="auto" w:fill="auto"/>
            <w:vAlign w:val="center"/>
            <w:hideMark/>
          </w:tcPr>
          <w:p w14:paraId="497ED6F6" w14:textId="77777777" w:rsidR="009E45C9" w:rsidRPr="009E45C9" w:rsidRDefault="009E45C9" w:rsidP="009E45C9">
            <w:pPr>
              <w:spacing w:before="0" w:after="0" w:line="240" w:lineRule="auto"/>
              <w:jc w:val="right"/>
              <w:rPr>
                <w:rFonts w:ascii="Calibri" w:eastAsia="Times New Roman" w:hAnsi="Calibri" w:cs="Calibri"/>
                <w:i/>
                <w:iCs/>
                <w:color w:val="000000"/>
                <w:spacing w:val="0"/>
                <w:sz w:val="16"/>
                <w:szCs w:val="16"/>
                <w:lang w:eastAsia="en-AU"/>
              </w:rPr>
            </w:pPr>
            <w:r w:rsidRPr="009E45C9">
              <w:rPr>
                <w:rFonts w:ascii="Calibri" w:eastAsia="Times New Roman" w:hAnsi="Calibri" w:cs="Calibri"/>
                <w:i/>
                <w:iCs/>
                <w:color w:val="000000"/>
                <w:spacing w:val="0"/>
                <w:sz w:val="16"/>
                <w:szCs w:val="16"/>
                <w:lang w:eastAsia="en-AU"/>
              </w:rPr>
              <w:t>3,000.0</w:t>
            </w:r>
          </w:p>
        </w:tc>
        <w:tc>
          <w:tcPr>
            <w:tcW w:w="880" w:type="dxa"/>
            <w:tcBorders>
              <w:top w:val="nil"/>
              <w:left w:val="nil"/>
              <w:bottom w:val="single" w:sz="4" w:space="0" w:color="788184"/>
              <w:right w:val="single" w:sz="4" w:space="0" w:color="788184"/>
            </w:tcBorders>
            <w:shd w:val="clear" w:color="auto" w:fill="auto"/>
            <w:vAlign w:val="center"/>
            <w:hideMark/>
          </w:tcPr>
          <w:p w14:paraId="220971B0" w14:textId="77777777" w:rsidR="009E45C9" w:rsidRPr="009E45C9" w:rsidRDefault="009E45C9" w:rsidP="009E45C9">
            <w:pPr>
              <w:spacing w:before="0" w:after="0" w:line="240" w:lineRule="auto"/>
              <w:jc w:val="right"/>
              <w:rPr>
                <w:rFonts w:ascii="Calibri" w:eastAsia="Times New Roman" w:hAnsi="Calibri" w:cs="Calibri"/>
                <w:i/>
                <w:iCs/>
                <w:color w:val="000000"/>
                <w:spacing w:val="0"/>
                <w:sz w:val="16"/>
                <w:szCs w:val="16"/>
                <w:lang w:eastAsia="en-AU"/>
              </w:rPr>
            </w:pPr>
            <w:r w:rsidRPr="009E45C9">
              <w:rPr>
                <w:rFonts w:ascii="Calibri" w:eastAsia="Times New Roman" w:hAnsi="Calibri" w:cs="Calibri"/>
                <w:i/>
                <w:iCs/>
                <w:color w:val="000000"/>
                <w:spacing w:val="0"/>
                <w:sz w:val="16"/>
                <w:szCs w:val="16"/>
                <w:lang w:eastAsia="en-AU"/>
              </w:rPr>
              <w:t>1,400.0</w:t>
            </w:r>
          </w:p>
        </w:tc>
        <w:tc>
          <w:tcPr>
            <w:tcW w:w="880" w:type="dxa"/>
            <w:tcBorders>
              <w:top w:val="nil"/>
              <w:left w:val="nil"/>
              <w:bottom w:val="single" w:sz="4" w:space="0" w:color="788184"/>
              <w:right w:val="single" w:sz="4" w:space="0" w:color="788184"/>
            </w:tcBorders>
            <w:shd w:val="clear" w:color="auto" w:fill="auto"/>
            <w:vAlign w:val="center"/>
            <w:hideMark/>
          </w:tcPr>
          <w:p w14:paraId="5F5B2A01" w14:textId="77777777" w:rsidR="009E45C9" w:rsidRPr="009E45C9" w:rsidRDefault="009E45C9" w:rsidP="009E45C9">
            <w:pPr>
              <w:spacing w:before="0" w:after="0" w:line="240" w:lineRule="auto"/>
              <w:jc w:val="right"/>
              <w:rPr>
                <w:rFonts w:ascii="Calibri" w:eastAsia="Times New Roman" w:hAnsi="Calibri" w:cs="Calibri"/>
                <w:i/>
                <w:iCs/>
                <w:color w:val="000000"/>
                <w:spacing w:val="0"/>
                <w:sz w:val="16"/>
                <w:szCs w:val="16"/>
                <w:lang w:eastAsia="en-AU"/>
              </w:rPr>
            </w:pPr>
            <w:r w:rsidRPr="009E45C9">
              <w:rPr>
                <w:rFonts w:ascii="Calibri" w:eastAsia="Times New Roman" w:hAnsi="Calibri" w:cs="Calibri"/>
                <w:i/>
                <w:iCs/>
                <w:color w:val="000000"/>
                <w:spacing w:val="0"/>
                <w:sz w:val="16"/>
                <w:szCs w:val="16"/>
                <w:lang w:eastAsia="en-AU"/>
              </w:rPr>
              <w:t>1,500.0</w:t>
            </w:r>
          </w:p>
        </w:tc>
        <w:tc>
          <w:tcPr>
            <w:tcW w:w="880" w:type="dxa"/>
            <w:tcBorders>
              <w:top w:val="nil"/>
              <w:left w:val="nil"/>
              <w:bottom w:val="single" w:sz="4" w:space="0" w:color="788184"/>
              <w:right w:val="single" w:sz="4" w:space="0" w:color="788184"/>
            </w:tcBorders>
            <w:shd w:val="clear" w:color="000000" w:fill="FFFFFF"/>
            <w:vAlign w:val="center"/>
            <w:hideMark/>
          </w:tcPr>
          <w:p w14:paraId="476743A0"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30,800.0</w:t>
            </w:r>
          </w:p>
        </w:tc>
        <w:tc>
          <w:tcPr>
            <w:tcW w:w="920" w:type="dxa"/>
            <w:tcBorders>
              <w:top w:val="nil"/>
              <w:left w:val="nil"/>
              <w:bottom w:val="single" w:sz="4" w:space="0" w:color="788184"/>
              <w:right w:val="single" w:sz="4" w:space="0" w:color="788184"/>
            </w:tcBorders>
            <w:shd w:val="clear" w:color="000000" w:fill="FFFFFF"/>
            <w:vAlign w:val="center"/>
            <w:hideMark/>
          </w:tcPr>
          <w:p w14:paraId="5F9A341B"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90,300.0</w:t>
            </w:r>
          </w:p>
        </w:tc>
      </w:tr>
      <w:tr w:rsidR="009E45C9" w:rsidRPr="009E45C9" w14:paraId="62806EEF" w14:textId="77777777" w:rsidTr="009E45C9">
        <w:trPr>
          <w:trHeight w:val="225"/>
        </w:trPr>
        <w:tc>
          <w:tcPr>
            <w:tcW w:w="2140" w:type="dxa"/>
            <w:tcBorders>
              <w:top w:val="nil"/>
              <w:left w:val="single" w:sz="4" w:space="0" w:color="788184"/>
              <w:bottom w:val="single" w:sz="4" w:space="0" w:color="788184"/>
              <w:right w:val="single" w:sz="4" w:space="0" w:color="788184"/>
            </w:tcBorders>
            <w:shd w:val="clear" w:color="000000" w:fill="FFFFFF"/>
            <w:vAlign w:val="center"/>
            <w:hideMark/>
          </w:tcPr>
          <w:p w14:paraId="26701A78" w14:textId="77777777" w:rsidR="009E45C9" w:rsidRPr="009E45C9" w:rsidRDefault="009E45C9" w:rsidP="009E45C9">
            <w:pPr>
              <w:spacing w:before="0" w:after="0" w:line="240" w:lineRule="auto"/>
              <w:rPr>
                <w:rFonts w:ascii="Calibri" w:eastAsia="Times New Roman" w:hAnsi="Calibri" w:cs="Calibri"/>
                <w:i/>
                <w:iCs/>
                <w:color w:val="000000"/>
                <w:spacing w:val="0"/>
                <w:sz w:val="16"/>
                <w:szCs w:val="16"/>
                <w:lang w:eastAsia="en-AU"/>
              </w:rPr>
            </w:pPr>
            <w:r w:rsidRPr="009E45C9">
              <w:rPr>
                <w:rFonts w:ascii="Calibri" w:eastAsia="Times New Roman" w:hAnsi="Calibri" w:cs="Calibri"/>
                <w:i/>
                <w:iCs/>
                <w:color w:val="000000"/>
                <w:spacing w:val="0"/>
                <w:sz w:val="16"/>
                <w:szCs w:val="16"/>
                <w:lang w:eastAsia="en-AU"/>
              </w:rPr>
              <w:t>Company Tax</w:t>
            </w:r>
          </w:p>
        </w:tc>
        <w:tc>
          <w:tcPr>
            <w:tcW w:w="1000"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14:paraId="35B4432A" w14:textId="553B174D" w:rsidR="009E45C9" w:rsidRPr="009E45C9" w:rsidRDefault="009E45C9" w:rsidP="009E45C9">
            <w:pPr>
              <w:spacing w:before="0" w:after="0" w:line="240" w:lineRule="auto"/>
              <w:jc w:val="right"/>
              <w:rPr>
                <w:rFonts w:ascii="Calibri" w:eastAsia="Times New Roman" w:hAnsi="Calibri" w:cs="Calibri"/>
                <w:i/>
                <w:iCs/>
                <w:color w:val="000000"/>
                <w:spacing w:val="0"/>
                <w:sz w:val="16"/>
                <w:szCs w:val="16"/>
                <w:lang w:eastAsia="en-AU"/>
              </w:rPr>
            </w:pPr>
            <w:r>
              <w:rPr>
                <w:rFonts w:ascii="Calibri" w:eastAsia="Times New Roman" w:hAnsi="Calibri" w:cs="Calibri"/>
                <w:i/>
                <w:iCs/>
                <w:color w:val="000000"/>
                <w:spacing w:val="0"/>
                <w:sz w:val="16"/>
                <w:szCs w:val="16"/>
                <w:lang w:eastAsia="en-AU"/>
              </w:rPr>
              <w:t>-</w:t>
            </w:r>
          </w:p>
        </w:tc>
        <w:tc>
          <w:tcPr>
            <w:tcW w:w="880"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14:paraId="5F81665E" w14:textId="47DDE20E" w:rsidR="009E45C9" w:rsidRPr="009E45C9" w:rsidRDefault="009E45C9" w:rsidP="009E45C9">
            <w:pPr>
              <w:spacing w:before="0" w:after="0" w:line="240" w:lineRule="auto"/>
              <w:jc w:val="right"/>
              <w:rPr>
                <w:rFonts w:ascii="Calibri" w:eastAsia="Times New Roman" w:hAnsi="Calibri" w:cs="Calibri"/>
                <w:i/>
                <w:iCs/>
                <w:color w:val="000000"/>
                <w:spacing w:val="0"/>
                <w:sz w:val="16"/>
                <w:szCs w:val="16"/>
                <w:lang w:eastAsia="en-AU"/>
              </w:rPr>
            </w:pPr>
            <w:r>
              <w:rPr>
                <w:rFonts w:ascii="Calibri" w:eastAsia="Times New Roman" w:hAnsi="Calibri" w:cs="Calibri"/>
                <w:i/>
                <w:iCs/>
                <w:color w:val="000000"/>
                <w:spacing w:val="0"/>
                <w:sz w:val="16"/>
                <w:szCs w:val="16"/>
                <w:lang w:eastAsia="en-AU"/>
              </w:rPr>
              <w:t>-</w:t>
            </w:r>
          </w:p>
        </w:tc>
        <w:tc>
          <w:tcPr>
            <w:tcW w:w="880" w:type="dxa"/>
            <w:tcBorders>
              <w:top w:val="nil"/>
              <w:left w:val="nil"/>
              <w:bottom w:val="single" w:sz="4" w:space="0" w:color="788184"/>
              <w:right w:val="single" w:sz="4" w:space="0" w:color="788184"/>
            </w:tcBorders>
            <w:shd w:val="clear" w:color="auto" w:fill="auto"/>
            <w:vAlign w:val="center"/>
            <w:hideMark/>
          </w:tcPr>
          <w:p w14:paraId="02410243" w14:textId="77777777" w:rsidR="009E45C9" w:rsidRPr="009E45C9" w:rsidRDefault="009E45C9" w:rsidP="009E45C9">
            <w:pPr>
              <w:spacing w:before="0" w:after="0" w:line="240" w:lineRule="auto"/>
              <w:jc w:val="right"/>
              <w:rPr>
                <w:rFonts w:ascii="Calibri" w:eastAsia="Times New Roman" w:hAnsi="Calibri" w:cs="Calibri"/>
                <w:i/>
                <w:iCs/>
                <w:color w:val="000000"/>
                <w:spacing w:val="0"/>
                <w:sz w:val="16"/>
                <w:szCs w:val="16"/>
                <w:lang w:eastAsia="en-AU"/>
              </w:rPr>
            </w:pPr>
            <w:r w:rsidRPr="009E45C9">
              <w:rPr>
                <w:rFonts w:ascii="Calibri" w:eastAsia="Times New Roman" w:hAnsi="Calibri" w:cs="Calibri"/>
                <w:i/>
                <w:iCs/>
                <w:color w:val="000000"/>
                <w:spacing w:val="0"/>
                <w:sz w:val="16"/>
                <w:szCs w:val="16"/>
                <w:lang w:eastAsia="en-AU"/>
              </w:rPr>
              <w:t>-5,130.0</w:t>
            </w:r>
          </w:p>
        </w:tc>
        <w:tc>
          <w:tcPr>
            <w:tcW w:w="880" w:type="dxa"/>
            <w:tcBorders>
              <w:top w:val="nil"/>
              <w:left w:val="nil"/>
              <w:bottom w:val="single" w:sz="4" w:space="0" w:color="788184"/>
              <w:right w:val="single" w:sz="4" w:space="0" w:color="788184"/>
            </w:tcBorders>
            <w:shd w:val="clear" w:color="auto" w:fill="auto"/>
            <w:vAlign w:val="center"/>
            <w:hideMark/>
          </w:tcPr>
          <w:p w14:paraId="13007D37" w14:textId="77777777" w:rsidR="009E45C9" w:rsidRPr="009E45C9" w:rsidRDefault="009E45C9" w:rsidP="009E45C9">
            <w:pPr>
              <w:spacing w:before="0" w:after="0" w:line="240" w:lineRule="auto"/>
              <w:jc w:val="right"/>
              <w:rPr>
                <w:rFonts w:ascii="Calibri" w:eastAsia="Times New Roman" w:hAnsi="Calibri" w:cs="Calibri"/>
                <w:i/>
                <w:iCs/>
                <w:color w:val="000000"/>
                <w:spacing w:val="0"/>
                <w:sz w:val="16"/>
                <w:szCs w:val="16"/>
                <w:lang w:eastAsia="en-AU"/>
              </w:rPr>
            </w:pPr>
            <w:r w:rsidRPr="009E45C9">
              <w:rPr>
                <w:rFonts w:ascii="Calibri" w:eastAsia="Times New Roman" w:hAnsi="Calibri" w:cs="Calibri"/>
                <w:i/>
                <w:iCs/>
                <w:color w:val="000000"/>
                <w:spacing w:val="0"/>
                <w:sz w:val="16"/>
                <w:szCs w:val="16"/>
                <w:lang w:eastAsia="en-AU"/>
              </w:rPr>
              <w:t>-5,880.0</w:t>
            </w:r>
          </w:p>
        </w:tc>
        <w:tc>
          <w:tcPr>
            <w:tcW w:w="880" w:type="dxa"/>
            <w:tcBorders>
              <w:top w:val="nil"/>
              <w:left w:val="nil"/>
              <w:bottom w:val="single" w:sz="4" w:space="0" w:color="788184"/>
              <w:right w:val="single" w:sz="4" w:space="0" w:color="788184"/>
            </w:tcBorders>
            <w:shd w:val="clear" w:color="auto" w:fill="auto"/>
            <w:vAlign w:val="center"/>
            <w:hideMark/>
          </w:tcPr>
          <w:p w14:paraId="14D0554B" w14:textId="77777777" w:rsidR="009E45C9" w:rsidRPr="009E45C9" w:rsidRDefault="009E45C9" w:rsidP="009E45C9">
            <w:pPr>
              <w:spacing w:before="0" w:after="0" w:line="240" w:lineRule="auto"/>
              <w:jc w:val="right"/>
              <w:rPr>
                <w:rFonts w:ascii="Calibri" w:eastAsia="Times New Roman" w:hAnsi="Calibri" w:cs="Calibri"/>
                <w:i/>
                <w:iCs/>
                <w:color w:val="000000"/>
                <w:spacing w:val="0"/>
                <w:sz w:val="16"/>
                <w:szCs w:val="16"/>
                <w:lang w:eastAsia="en-AU"/>
              </w:rPr>
            </w:pPr>
            <w:r w:rsidRPr="009E45C9">
              <w:rPr>
                <w:rFonts w:ascii="Calibri" w:eastAsia="Times New Roman" w:hAnsi="Calibri" w:cs="Calibri"/>
                <w:i/>
                <w:iCs/>
                <w:color w:val="000000"/>
                <w:spacing w:val="0"/>
                <w:sz w:val="16"/>
                <w:szCs w:val="16"/>
                <w:lang w:eastAsia="en-AU"/>
              </w:rPr>
              <w:t>-6,270.0</w:t>
            </w:r>
          </w:p>
        </w:tc>
        <w:tc>
          <w:tcPr>
            <w:tcW w:w="880" w:type="dxa"/>
            <w:tcBorders>
              <w:top w:val="nil"/>
              <w:left w:val="nil"/>
              <w:bottom w:val="single" w:sz="4" w:space="0" w:color="788184"/>
              <w:right w:val="single" w:sz="4" w:space="0" w:color="788184"/>
            </w:tcBorders>
            <w:shd w:val="clear" w:color="auto" w:fill="auto"/>
            <w:vAlign w:val="center"/>
            <w:hideMark/>
          </w:tcPr>
          <w:p w14:paraId="1764CC1B" w14:textId="77777777" w:rsidR="009E45C9" w:rsidRPr="009E45C9" w:rsidRDefault="009E45C9" w:rsidP="009E45C9">
            <w:pPr>
              <w:spacing w:before="0" w:after="0" w:line="240" w:lineRule="auto"/>
              <w:jc w:val="right"/>
              <w:rPr>
                <w:rFonts w:ascii="Calibri" w:eastAsia="Times New Roman" w:hAnsi="Calibri" w:cs="Calibri"/>
                <w:i/>
                <w:iCs/>
                <w:color w:val="000000"/>
                <w:spacing w:val="0"/>
                <w:sz w:val="16"/>
                <w:szCs w:val="16"/>
                <w:lang w:eastAsia="en-AU"/>
              </w:rPr>
            </w:pPr>
            <w:r w:rsidRPr="009E45C9">
              <w:rPr>
                <w:rFonts w:ascii="Calibri" w:eastAsia="Times New Roman" w:hAnsi="Calibri" w:cs="Calibri"/>
                <w:i/>
                <w:iCs/>
                <w:color w:val="000000"/>
                <w:spacing w:val="0"/>
                <w:sz w:val="16"/>
                <w:szCs w:val="16"/>
                <w:lang w:eastAsia="en-AU"/>
              </w:rPr>
              <w:t>-6,020.0</w:t>
            </w:r>
          </w:p>
        </w:tc>
        <w:tc>
          <w:tcPr>
            <w:tcW w:w="880" w:type="dxa"/>
            <w:tcBorders>
              <w:top w:val="nil"/>
              <w:left w:val="nil"/>
              <w:bottom w:val="single" w:sz="4" w:space="0" w:color="788184"/>
              <w:right w:val="single" w:sz="4" w:space="0" w:color="788184"/>
            </w:tcBorders>
            <w:shd w:val="clear" w:color="auto" w:fill="auto"/>
            <w:vAlign w:val="center"/>
            <w:hideMark/>
          </w:tcPr>
          <w:p w14:paraId="10F6E195" w14:textId="77777777" w:rsidR="009E45C9" w:rsidRPr="009E45C9" w:rsidRDefault="009E45C9" w:rsidP="009E45C9">
            <w:pPr>
              <w:spacing w:before="0" w:after="0" w:line="240" w:lineRule="auto"/>
              <w:jc w:val="right"/>
              <w:rPr>
                <w:rFonts w:ascii="Calibri" w:eastAsia="Times New Roman" w:hAnsi="Calibri" w:cs="Calibri"/>
                <w:i/>
                <w:iCs/>
                <w:color w:val="000000"/>
                <w:spacing w:val="0"/>
                <w:sz w:val="16"/>
                <w:szCs w:val="16"/>
                <w:lang w:eastAsia="en-AU"/>
              </w:rPr>
            </w:pPr>
            <w:r w:rsidRPr="009E45C9">
              <w:rPr>
                <w:rFonts w:ascii="Calibri" w:eastAsia="Times New Roman" w:hAnsi="Calibri" w:cs="Calibri"/>
                <w:i/>
                <w:iCs/>
                <w:color w:val="000000"/>
                <w:spacing w:val="0"/>
                <w:sz w:val="16"/>
                <w:szCs w:val="16"/>
                <w:lang w:eastAsia="en-AU"/>
              </w:rPr>
              <w:t>-5,350.0</w:t>
            </w:r>
          </w:p>
        </w:tc>
        <w:tc>
          <w:tcPr>
            <w:tcW w:w="880" w:type="dxa"/>
            <w:tcBorders>
              <w:top w:val="nil"/>
              <w:left w:val="nil"/>
              <w:bottom w:val="single" w:sz="4" w:space="0" w:color="788184"/>
              <w:right w:val="single" w:sz="4" w:space="0" w:color="788184"/>
            </w:tcBorders>
            <w:shd w:val="clear" w:color="auto" w:fill="auto"/>
            <w:vAlign w:val="center"/>
            <w:hideMark/>
          </w:tcPr>
          <w:p w14:paraId="6A38C653" w14:textId="77777777" w:rsidR="009E45C9" w:rsidRPr="009E45C9" w:rsidRDefault="009E45C9" w:rsidP="009E45C9">
            <w:pPr>
              <w:spacing w:before="0" w:after="0" w:line="240" w:lineRule="auto"/>
              <w:jc w:val="right"/>
              <w:rPr>
                <w:rFonts w:ascii="Calibri" w:eastAsia="Times New Roman" w:hAnsi="Calibri" w:cs="Calibri"/>
                <w:i/>
                <w:iCs/>
                <w:color w:val="000000"/>
                <w:spacing w:val="0"/>
                <w:sz w:val="16"/>
                <w:szCs w:val="16"/>
                <w:lang w:eastAsia="en-AU"/>
              </w:rPr>
            </w:pPr>
            <w:r w:rsidRPr="009E45C9">
              <w:rPr>
                <w:rFonts w:ascii="Calibri" w:eastAsia="Times New Roman" w:hAnsi="Calibri" w:cs="Calibri"/>
                <w:i/>
                <w:iCs/>
                <w:color w:val="000000"/>
                <w:spacing w:val="0"/>
                <w:sz w:val="16"/>
                <w:szCs w:val="16"/>
                <w:lang w:eastAsia="en-AU"/>
              </w:rPr>
              <w:t>-4,540.0</w:t>
            </w:r>
          </w:p>
        </w:tc>
        <w:tc>
          <w:tcPr>
            <w:tcW w:w="880" w:type="dxa"/>
            <w:tcBorders>
              <w:top w:val="nil"/>
              <w:left w:val="nil"/>
              <w:bottom w:val="single" w:sz="4" w:space="0" w:color="788184"/>
              <w:right w:val="single" w:sz="4" w:space="0" w:color="788184"/>
            </w:tcBorders>
            <w:shd w:val="clear" w:color="auto" w:fill="auto"/>
            <w:vAlign w:val="center"/>
            <w:hideMark/>
          </w:tcPr>
          <w:p w14:paraId="1F1D5D02" w14:textId="77777777" w:rsidR="009E45C9" w:rsidRPr="009E45C9" w:rsidRDefault="009E45C9" w:rsidP="009E45C9">
            <w:pPr>
              <w:spacing w:before="0" w:after="0" w:line="240" w:lineRule="auto"/>
              <w:jc w:val="right"/>
              <w:rPr>
                <w:rFonts w:ascii="Calibri" w:eastAsia="Times New Roman" w:hAnsi="Calibri" w:cs="Calibri"/>
                <w:i/>
                <w:iCs/>
                <w:color w:val="000000"/>
                <w:spacing w:val="0"/>
                <w:sz w:val="16"/>
                <w:szCs w:val="16"/>
                <w:lang w:eastAsia="en-AU"/>
              </w:rPr>
            </w:pPr>
            <w:r w:rsidRPr="009E45C9">
              <w:rPr>
                <w:rFonts w:ascii="Calibri" w:eastAsia="Times New Roman" w:hAnsi="Calibri" w:cs="Calibri"/>
                <w:i/>
                <w:iCs/>
                <w:color w:val="000000"/>
                <w:spacing w:val="0"/>
                <w:sz w:val="16"/>
                <w:szCs w:val="16"/>
                <w:lang w:eastAsia="en-AU"/>
              </w:rPr>
              <w:t>-2,960.0</w:t>
            </w:r>
          </w:p>
        </w:tc>
        <w:tc>
          <w:tcPr>
            <w:tcW w:w="880" w:type="dxa"/>
            <w:tcBorders>
              <w:top w:val="nil"/>
              <w:left w:val="nil"/>
              <w:bottom w:val="single" w:sz="4" w:space="0" w:color="788184"/>
              <w:right w:val="single" w:sz="4" w:space="0" w:color="788184"/>
            </w:tcBorders>
            <w:shd w:val="clear" w:color="auto" w:fill="auto"/>
            <w:vAlign w:val="center"/>
            <w:hideMark/>
          </w:tcPr>
          <w:p w14:paraId="4485DD0F" w14:textId="77777777" w:rsidR="009E45C9" w:rsidRPr="009E45C9" w:rsidRDefault="009E45C9" w:rsidP="009E45C9">
            <w:pPr>
              <w:spacing w:before="0" w:after="0" w:line="240" w:lineRule="auto"/>
              <w:jc w:val="right"/>
              <w:rPr>
                <w:rFonts w:ascii="Calibri" w:eastAsia="Times New Roman" w:hAnsi="Calibri" w:cs="Calibri"/>
                <w:i/>
                <w:iCs/>
                <w:color w:val="000000"/>
                <w:spacing w:val="0"/>
                <w:sz w:val="16"/>
                <w:szCs w:val="16"/>
                <w:lang w:eastAsia="en-AU"/>
              </w:rPr>
            </w:pPr>
            <w:r w:rsidRPr="009E45C9">
              <w:rPr>
                <w:rFonts w:ascii="Calibri" w:eastAsia="Times New Roman" w:hAnsi="Calibri" w:cs="Calibri"/>
                <w:i/>
                <w:iCs/>
                <w:color w:val="000000"/>
                <w:spacing w:val="0"/>
                <w:sz w:val="16"/>
                <w:szCs w:val="16"/>
                <w:lang w:eastAsia="en-AU"/>
              </w:rPr>
              <w:t>-1,940.0</w:t>
            </w:r>
          </w:p>
        </w:tc>
        <w:tc>
          <w:tcPr>
            <w:tcW w:w="880" w:type="dxa"/>
            <w:tcBorders>
              <w:top w:val="nil"/>
              <w:left w:val="nil"/>
              <w:bottom w:val="single" w:sz="4" w:space="0" w:color="788184"/>
              <w:right w:val="single" w:sz="4" w:space="0" w:color="788184"/>
            </w:tcBorders>
            <w:shd w:val="clear" w:color="auto" w:fill="auto"/>
            <w:vAlign w:val="center"/>
            <w:hideMark/>
          </w:tcPr>
          <w:p w14:paraId="5E7E5F4A" w14:textId="77777777" w:rsidR="009E45C9" w:rsidRPr="009E45C9" w:rsidRDefault="009E45C9" w:rsidP="009E45C9">
            <w:pPr>
              <w:spacing w:before="0" w:after="0" w:line="240" w:lineRule="auto"/>
              <w:jc w:val="right"/>
              <w:rPr>
                <w:rFonts w:ascii="Calibri" w:eastAsia="Times New Roman" w:hAnsi="Calibri" w:cs="Calibri"/>
                <w:i/>
                <w:iCs/>
                <w:color w:val="000000"/>
                <w:spacing w:val="0"/>
                <w:sz w:val="16"/>
                <w:szCs w:val="16"/>
                <w:lang w:eastAsia="en-AU"/>
              </w:rPr>
            </w:pPr>
            <w:r w:rsidRPr="009E45C9">
              <w:rPr>
                <w:rFonts w:ascii="Calibri" w:eastAsia="Times New Roman" w:hAnsi="Calibri" w:cs="Calibri"/>
                <w:i/>
                <w:iCs/>
                <w:color w:val="000000"/>
                <w:spacing w:val="0"/>
                <w:sz w:val="16"/>
                <w:szCs w:val="16"/>
                <w:lang w:eastAsia="en-AU"/>
              </w:rPr>
              <w:t>-1,680.0</w:t>
            </w:r>
          </w:p>
        </w:tc>
        <w:tc>
          <w:tcPr>
            <w:tcW w:w="880" w:type="dxa"/>
            <w:tcBorders>
              <w:top w:val="nil"/>
              <w:left w:val="nil"/>
              <w:bottom w:val="single" w:sz="4" w:space="0" w:color="788184"/>
              <w:right w:val="single" w:sz="4" w:space="0" w:color="788184"/>
            </w:tcBorders>
            <w:shd w:val="clear" w:color="000000" w:fill="FFFFFF"/>
            <w:vAlign w:val="center"/>
            <w:hideMark/>
          </w:tcPr>
          <w:p w14:paraId="311A87BB"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-11,010.0</w:t>
            </w:r>
          </w:p>
        </w:tc>
        <w:tc>
          <w:tcPr>
            <w:tcW w:w="920" w:type="dxa"/>
            <w:tcBorders>
              <w:top w:val="nil"/>
              <w:left w:val="nil"/>
              <w:bottom w:val="single" w:sz="4" w:space="0" w:color="788184"/>
              <w:right w:val="single" w:sz="4" w:space="0" w:color="788184"/>
            </w:tcBorders>
            <w:shd w:val="clear" w:color="000000" w:fill="FFFFFF"/>
            <w:vAlign w:val="center"/>
            <w:hideMark/>
          </w:tcPr>
          <w:p w14:paraId="61D5CF59"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-39,770.0</w:t>
            </w:r>
          </w:p>
        </w:tc>
      </w:tr>
      <w:tr w:rsidR="009E45C9" w:rsidRPr="009E45C9" w14:paraId="6B945E7B" w14:textId="77777777" w:rsidTr="009E45C9">
        <w:trPr>
          <w:trHeight w:val="315"/>
        </w:trPr>
        <w:tc>
          <w:tcPr>
            <w:tcW w:w="2140" w:type="dxa"/>
            <w:tcBorders>
              <w:top w:val="nil"/>
              <w:left w:val="single" w:sz="4" w:space="0" w:color="788184"/>
              <w:bottom w:val="single" w:sz="4" w:space="0" w:color="788184"/>
              <w:right w:val="single" w:sz="4" w:space="0" w:color="788184"/>
            </w:tcBorders>
            <w:shd w:val="clear" w:color="000000" w:fill="FFFFFF"/>
            <w:vAlign w:val="center"/>
            <w:hideMark/>
          </w:tcPr>
          <w:p w14:paraId="742CAC59" w14:textId="77777777" w:rsidR="009E45C9" w:rsidRPr="009E45C9" w:rsidRDefault="009E45C9" w:rsidP="009E45C9">
            <w:pPr>
              <w:spacing w:before="0" w:after="0" w:line="240" w:lineRule="auto"/>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Total – tax revenue</w:t>
            </w:r>
          </w:p>
        </w:tc>
        <w:tc>
          <w:tcPr>
            <w:tcW w:w="1000" w:type="dxa"/>
            <w:tcBorders>
              <w:top w:val="single" w:sz="4" w:space="0" w:color="788184"/>
              <w:left w:val="single" w:sz="4" w:space="0" w:color="788184"/>
              <w:bottom w:val="single" w:sz="4" w:space="0" w:color="788184"/>
              <w:right w:val="single" w:sz="4" w:space="0" w:color="788184"/>
            </w:tcBorders>
            <w:shd w:val="clear" w:color="000000" w:fill="FFFFFF"/>
            <w:vAlign w:val="center"/>
            <w:hideMark/>
          </w:tcPr>
          <w:p w14:paraId="70DCD741" w14:textId="44FD700A" w:rsidR="009E45C9" w:rsidRPr="009E45C9" w:rsidRDefault="009E45C9" w:rsidP="009E45C9">
            <w:pPr>
              <w:spacing w:before="0" w:after="0" w:line="240" w:lineRule="auto"/>
              <w:jc w:val="right"/>
              <w:rPr>
                <w:rFonts w:ascii="Calibri" w:eastAsia="Times New Roman" w:hAnsi="Calibri" w:cs="Calibri"/>
                <w:b/>
                <w:bCs/>
                <w:color w:val="000000"/>
                <w:spacing w:val="0"/>
                <w:sz w:val="16"/>
                <w:szCs w:val="16"/>
                <w:lang w:eastAsia="en-AU"/>
              </w:rPr>
            </w:pPr>
            <w:r>
              <w:rPr>
                <w:rFonts w:ascii="Calibri" w:eastAsia="Times New Roman" w:hAnsi="Calibri" w:cs="Calibri"/>
                <w:b/>
                <w:bCs/>
                <w:color w:val="000000"/>
                <w:spacing w:val="0"/>
                <w:sz w:val="16"/>
                <w:szCs w:val="16"/>
                <w:lang w:eastAsia="en-AU"/>
              </w:rPr>
              <w:t>-</w:t>
            </w:r>
          </w:p>
        </w:tc>
        <w:tc>
          <w:tcPr>
            <w:tcW w:w="880" w:type="dxa"/>
            <w:tcBorders>
              <w:top w:val="nil"/>
              <w:left w:val="nil"/>
              <w:bottom w:val="single" w:sz="4" w:space="0" w:color="788184"/>
              <w:right w:val="single" w:sz="4" w:space="0" w:color="788184"/>
            </w:tcBorders>
            <w:shd w:val="clear" w:color="000000" w:fill="FFFFFF"/>
            <w:vAlign w:val="center"/>
            <w:hideMark/>
          </w:tcPr>
          <w:p w14:paraId="633ABB71" w14:textId="77777777" w:rsidR="009E45C9" w:rsidRPr="009E45C9" w:rsidRDefault="009E45C9" w:rsidP="009E45C9">
            <w:pPr>
              <w:spacing w:before="0" w:after="0" w:line="240" w:lineRule="auto"/>
              <w:jc w:val="right"/>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600.0</w:t>
            </w:r>
          </w:p>
        </w:tc>
        <w:tc>
          <w:tcPr>
            <w:tcW w:w="880" w:type="dxa"/>
            <w:tcBorders>
              <w:top w:val="nil"/>
              <w:left w:val="nil"/>
              <w:bottom w:val="single" w:sz="4" w:space="0" w:color="788184"/>
              <w:right w:val="single" w:sz="4" w:space="0" w:color="788184"/>
            </w:tcBorders>
            <w:shd w:val="clear" w:color="000000" w:fill="FFFFFF"/>
            <w:vAlign w:val="center"/>
            <w:hideMark/>
          </w:tcPr>
          <w:p w14:paraId="5F35CE5E" w14:textId="77777777" w:rsidR="009E45C9" w:rsidRPr="009E45C9" w:rsidRDefault="009E45C9" w:rsidP="009E45C9">
            <w:pPr>
              <w:spacing w:before="0" w:after="0" w:line="240" w:lineRule="auto"/>
              <w:jc w:val="right"/>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8,170.0</w:t>
            </w:r>
          </w:p>
        </w:tc>
        <w:tc>
          <w:tcPr>
            <w:tcW w:w="880" w:type="dxa"/>
            <w:tcBorders>
              <w:top w:val="nil"/>
              <w:left w:val="nil"/>
              <w:bottom w:val="single" w:sz="4" w:space="0" w:color="788184"/>
              <w:right w:val="single" w:sz="4" w:space="0" w:color="788184"/>
            </w:tcBorders>
            <w:shd w:val="clear" w:color="000000" w:fill="FFFFFF"/>
            <w:vAlign w:val="center"/>
            <w:hideMark/>
          </w:tcPr>
          <w:p w14:paraId="2E3AD0B4" w14:textId="77777777" w:rsidR="009E45C9" w:rsidRPr="009E45C9" w:rsidRDefault="009E45C9" w:rsidP="009E45C9">
            <w:pPr>
              <w:spacing w:before="0" w:after="0" w:line="240" w:lineRule="auto"/>
              <w:jc w:val="right"/>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11,020.0</w:t>
            </w:r>
          </w:p>
        </w:tc>
        <w:tc>
          <w:tcPr>
            <w:tcW w:w="880" w:type="dxa"/>
            <w:tcBorders>
              <w:top w:val="nil"/>
              <w:left w:val="nil"/>
              <w:bottom w:val="single" w:sz="4" w:space="0" w:color="788184"/>
              <w:right w:val="single" w:sz="4" w:space="0" w:color="788184"/>
            </w:tcBorders>
            <w:shd w:val="clear" w:color="000000" w:fill="FFFFFF"/>
            <w:vAlign w:val="center"/>
            <w:hideMark/>
          </w:tcPr>
          <w:p w14:paraId="21655A17" w14:textId="77777777" w:rsidR="009E45C9" w:rsidRPr="009E45C9" w:rsidRDefault="009E45C9" w:rsidP="009E45C9">
            <w:pPr>
              <w:spacing w:before="0" w:after="0" w:line="240" w:lineRule="auto"/>
              <w:jc w:val="right"/>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10,030.0</w:t>
            </w:r>
          </w:p>
        </w:tc>
        <w:tc>
          <w:tcPr>
            <w:tcW w:w="880" w:type="dxa"/>
            <w:tcBorders>
              <w:top w:val="nil"/>
              <w:left w:val="nil"/>
              <w:bottom w:val="single" w:sz="4" w:space="0" w:color="788184"/>
              <w:right w:val="single" w:sz="4" w:space="0" w:color="788184"/>
            </w:tcBorders>
            <w:shd w:val="clear" w:color="000000" w:fill="FFFFFF"/>
            <w:vAlign w:val="center"/>
            <w:hideMark/>
          </w:tcPr>
          <w:p w14:paraId="483DEFE2" w14:textId="77777777" w:rsidR="009E45C9" w:rsidRPr="009E45C9" w:rsidRDefault="009E45C9" w:rsidP="009E45C9">
            <w:pPr>
              <w:spacing w:before="0" w:after="0" w:line="240" w:lineRule="auto"/>
              <w:jc w:val="right"/>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9,180.0</w:t>
            </w:r>
          </w:p>
        </w:tc>
        <w:tc>
          <w:tcPr>
            <w:tcW w:w="880" w:type="dxa"/>
            <w:tcBorders>
              <w:top w:val="nil"/>
              <w:left w:val="nil"/>
              <w:bottom w:val="single" w:sz="4" w:space="0" w:color="788184"/>
              <w:right w:val="single" w:sz="4" w:space="0" w:color="788184"/>
            </w:tcBorders>
            <w:shd w:val="clear" w:color="000000" w:fill="FFFFFF"/>
            <w:vAlign w:val="center"/>
            <w:hideMark/>
          </w:tcPr>
          <w:p w14:paraId="0B288E8A" w14:textId="77777777" w:rsidR="009E45C9" w:rsidRPr="009E45C9" w:rsidRDefault="009E45C9" w:rsidP="009E45C9">
            <w:pPr>
              <w:spacing w:before="0" w:after="0" w:line="240" w:lineRule="auto"/>
              <w:jc w:val="right"/>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7,050.0</w:t>
            </w:r>
          </w:p>
        </w:tc>
        <w:tc>
          <w:tcPr>
            <w:tcW w:w="880" w:type="dxa"/>
            <w:tcBorders>
              <w:top w:val="nil"/>
              <w:left w:val="nil"/>
              <w:bottom w:val="single" w:sz="4" w:space="0" w:color="788184"/>
              <w:right w:val="single" w:sz="4" w:space="0" w:color="788184"/>
            </w:tcBorders>
            <w:shd w:val="clear" w:color="000000" w:fill="FFFFFF"/>
            <w:vAlign w:val="center"/>
            <w:hideMark/>
          </w:tcPr>
          <w:p w14:paraId="2DF10B04" w14:textId="77777777" w:rsidR="009E45C9" w:rsidRPr="009E45C9" w:rsidRDefault="009E45C9" w:rsidP="009E45C9">
            <w:pPr>
              <w:spacing w:before="0" w:after="0" w:line="240" w:lineRule="auto"/>
              <w:jc w:val="right"/>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5,160.0</w:t>
            </w:r>
          </w:p>
        </w:tc>
        <w:tc>
          <w:tcPr>
            <w:tcW w:w="880" w:type="dxa"/>
            <w:tcBorders>
              <w:top w:val="nil"/>
              <w:left w:val="nil"/>
              <w:bottom w:val="single" w:sz="4" w:space="0" w:color="788184"/>
              <w:right w:val="single" w:sz="4" w:space="0" w:color="788184"/>
            </w:tcBorders>
            <w:shd w:val="clear" w:color="000000" w:fill="FFFFFF"/>
            <w:vAlign w:val="center"/>
            <w:hideMark/>
          </w:tcPr>
          <w:p w14:paraId="13406BDA" w14:textId="77777777" w:rsidR="009E45C9" w:rsidRPr="009E45C9" w:rsidRDefault="009E45C9" w:rsidP="009E45C9">
            <w:pPr>
              <w:spacing w:before="0" w:after="0" w:line="240" w:lineRule="auto"/>
              <w:jc w:val="right"/>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40.0</w:t>
            </w:r>
          </w:p>
        </w:tc>
        <w:tc>
          <w:tcPr>
            <w:tcW w:w="880" w:type="dxa"/>
            <w:tcBorders>
              <w:top w:val="nil"/>
              <w:left w:val="nil"/>
              <w:bottom w:val="single" w:sz="4" w:space="0" w:color="788184"/>
              <w:right w:val="single" w:sz="4" w:space="0" w:color="788184"/>
            </w:tcBorders>
            <w:shd w:val="clear" w:color="000000" w:fill="FFFFFF"/>
            <w:vAlign w:val="center"/>
            <w:hideMark/>
          </w:tcPr>
          <w:p w14:paraId="2976440B" w14:textId="77777777" w:rsidR="009E45C9" w:rsidRPr="009E45C9" w:rsidRDefault="009E45C9" w:rsidP="009E45C9">
            <w:pPr>
              <w:spacing w:before="0" w:after="0" w:line="240" w:lineRule="auto"/>
              <w:jc w:val="right"/>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-540.0</w:t>
            </w:r>
          </w:p>
        </w:tc>
        <w:tc>
          <w:tcPr>
            <w:tcW w:w="880" w:type="dxa"/>
            <w:tcBorders>
              <w:top w:val="nil"/>
              <w:left w:val="nil"/>
              <w:bottom w:val="single" w:sz="4" w:space="0" w:color="788184"/>
              <w:right w:val="single" w:sz="4" w:space="0" w:color="788184"/>
            </w:tcBorders>
            <w:shd w:val="clear" w:color="000000" w:fill="FFFFFF"/>
            <w:vAlign w:val="center"/>
            <w:hideMark/>
          </w:tcPr>
          <w:p w14:paraId="391D162A" w14:textId="77777777" w:rsidR="009E45C9" w:rsidRPr="009E45C9" w:rsidRDefault="009E45C9" w:rsidP="009E45C9">
            <w:pPr>
              <w:spacing w:before="0" w:after="0" w:line="240" w:lineRule="auto"/>
              <w:jc w:val="right"/>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-180.0</w:t>
            </w:r>
          </w:p>
        </w:tc>
        <w:tc>
          <w:tcPr>
            <w:tcW w:w="880" w:type="dxa"/>
            <w:tcBorders>
              <w:top w:val="nil"/>
              <w:left w:val="nil"/>
              <w:bottom w:val="single" w:sz="4" w:space="0" w:color="788184"/>
              <w:right w:val="single" w:sz="4" w:space="0" w:color="788184"/>
            </w:tcBorders>
            <w:shd w:val="clear" w:color="000000" w:fill="FFFFFF"/>
            <w:vAlign w:val="center"/>
            <w:hideMark/>
          </w:tcPr>
          <w:p w14:paraId="2BE81DA1" w14:textId="77777777" w:rsidR="009E45C9" w:rsidRPr="009E45C9" w:rsidRDefault="009E45C9" w:rsidP="009E45C9">
            <w:pPr>
              <w:spacing w:before="0" w:after="0" w:line="240" w:lineRule="auto"/>
              <w:jc w:val="right"/>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19,790.0</w:t>
            </w:r>
          </w:p>
        </w:tc>
        <w:tc>
          <w:tcPr>
            <w:tcW w:w="920" w:type="dxa"/>
            <w:tcBorders>
              <w:top w:val="nil"/>
              <w:left w:val="nil"/>
              <w:bottom w:val="single" w:sz="4" w:space="0" w:color="788184"/>
              <w:right w:val="single" w:sz="4" w:space="0" w:color="788184"/>
            </w:tcBorders>
            <w:shd w:val="clear" w:color="000000" w:fill="FFFFFF"/>
            <w:vAlign w:val="center"/>
            <w:hideMark/>
          </w:tcPr>
          <w:p w14:paraId="02C57133" w14:textId="77777777" w:rsidR="009E45C9" w:rsidRPr="009E45C9" w:rsidRDefault="009E45C9" w:rsidP="009E45C9">
            <w:pPr>
              <w:spacing w:before="0" w:after="0" w:line="240" w:lineRule="auto"/>
              <w:jc w:val="right"/>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50,530.0</w:t>
            </w:r>
          </w:p>
        </w:tc>
      </w:tr>
      <w:tr w:rsidR="009E45C9" w:rsidRPr="009E45C9" w14:paraId="70EDB17B" w14:textId="77777777" w:rsidTr="009E45C9">
        <w:trPr>
          <w:trHeight w:val="315"/>
        </w:trPr>
        <w:tc>
          <w:tcPr>
            <w:tcW w:w="2140" w:type="dxa"/>
            <w:tcBorders>
              <w:top w:val="nil"/>
              <w:left w:val="single" w:sz="4" w:space="0" w:color="788184"/>
              <w:bottom w:val="single" w:sz="4" w:space="0" w:color="788184"/>
              <w:right w:val="nil"/>
            </w:tcBorders>
            <w:shd w:val="clear" w:color="000000" w:fill="D3D8E9"/>
            <w:vAlign w:val="center"/>
            <w:hideMark/>
          </w:tcPr>
          <w:p w14:paraId="35F9944A" w14:textId="77777777" w:rsidR="009E45C9" w:rsidRPr="009E45C9" w:rsidRDefault="009E45C9" w:rsidP="009E45C9">
            <w:pPr>
              <w:spacing w:before="0" w:after="0" w:line="240" w:lineRule="auto"/>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Non – tax revenue</w:t>
            </w:r>
          </w:p>
        </w:tc>
        <w:tc>
          <w:tcPr>
            <w:tcW w:w="1000" w:type="dxa"/>
            <w:tcBorders>
              <w:top w:val="single" w:sz="4" w:space="0" w:color="788184"/>
              <w:left w:val="nil"/>
              <w:bottom w:val="single" w:sz="4" w:space="0" w:color="788184"/>
              <w:right w:val="nil"/>
            </w:tcBorders>
            <w:shd w:val="clear" w:color="000000" w:fill="D3D8E9"/>
            <w:vAlign w:val="center"/>
            <w:hideMark/>
          </w:tcPr>
          <w:p w14:paraId="42BAB22D"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 </w:t>
            </w:r>
          </w:p>
        </w:tc>
        <w:tc>
          <w:tcPr>
            <w:tcW w:w="880" w:type="dxa"/>
            <w:tcBorders>
              <w:top w:val="single" w:sz="4" w:space="0" w:color="788184"/>
              <w:left w:val="nil"/>
              <w:bottom w:val="single" w:sz="4" w:space="0" w:color="788184"/>
              <w:right w:val="nil"/>
            </w:tcBorders>
            <w:shd w:val="clear" w:color="000000" w:fill="D3D8E9"/>
            <w:vAlign w:val="center"/>
            <w:hideMark/>
          </w:tcPr>
          <w:p w14:paraId="0F523347"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 </w:t>
            </w:r>
          </w:p>
        </w:tc>
        <w:tc>
          <w:tcPr>
            <w:tcW w:w="880" w:type="dxa"/>
            <w:tcBorders>
              <w:top w:val="single" w:sz="4" w:space="0" w:color="788184"/>
              <w:left w:val="nil"/>
              <w:bottom w:val="single" w:sz="4" w:space="0" w:color="788184"/>
              <w:right w:val="nil"/>
            </w:tcBorders>
            <w:shd w:val="clear" w:color="000000" w:fill="D3D8E9"/>
            <w:vAlign w:val="center"/>
            <w:hideMark/>
          </w:tcPr>
          <w:p w14:paraId="5F85F6D8"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 </w:t>
            </w:r>
          </w:p>
        </w:tc>
        <w:tc>
          <w:tcPr>
            <w:tcW w:w="880" w:type="dxa"/>
            <w:tcBorders>
              <w:top w:val="single" w:sz="4" w:space="0" w:color="788184"/>
              <w:left w:val="nil"/>
              <w:bottom w:val="single" w:sz="4" w:space="0" w:color="788184"/>
              <w:right w:val="nil"/>
            </w:tcBorders>
            <w:shd w:val="clear" w:color="000000" w:fill="D3D8E9"/>
            <w:vAlign w:val="center"/>
            <w:hideMark/>
          </w:tcPr>
          <w:p w14:paraId="315BA452"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 </w:t>
            </w:r>
          </w:p>
        </w:tc>
        <w:tc>
          <w:tcPr>
            <w:tcW w:w="880" w:type="dxa"/>
            <w:tcBorders>
              <w:top w:val="single" w:sz="4" w:space="0" w:color="788184"/>
              <w:left w:val="nil"/>
              <w:bottom w:val="single" w:sz="4" w:space="0" w:color="788184"/>
              <w:right w:val="nil"/>
            </w:tcBorders>
            <w:shd w:val="clear" w:color="000000" w:fill="D3D8E9"/>
            <w:vAlign w:val="center"/>
            <w:hideMark/>
          </w:tcPr>
          <w:p w14:paraId="23BBAE30"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 </w:t>
            </w:r>
          </w:p>
        </w:tc>
        <w:tc>
          <w:tcPr>
            <w:tcW w:w="880" w:type="dxa"/>
            <w:tcBorders>
              <w:top w:val="single" w:sz="4" w:space="0" w:color="788184"/>
              <w:left w:val="nil"/>
              <w:bottom w:val="single" w:sz="4" w:space="0" w:color="788184"/>
              <w:right w:val="nil"/>
            </w:tcBorders>
            <w:shd w:val="clear" w:color="000000" w:fill="D3D8E9"/>
            <w:vAlign w:val="center"/>
            <w:hideMark/>
          </w:tcPr>
          <w:p w14:paraId="72163D74"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 </w:t>
            </w:r>
          </w:p>
        </w:tc>
        <w:tc>
          <w:tcPr>
            <w:tcW w:w="880" w:type="dxa"/>
            <w:tcBorders>
              <w:top w:val="single" w:sz="4" w:space="0" w:color="788184"/>
              <w:left w:val="nil"/>
              <w:bottom w:val="single" w:sz="4" w:space="0" w:color="788184"/>
              <w:right w:val="nil"/>
            </w:tcBorders>
            <w:shd w:val="clear" w:color="000000" w:fill="D3D8E9"/>
            <w:vAlign w:val="center"/>
            <w:hideMark/>
          </w:tcPr>
          <w:p w14:paraId="5A40790F"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 </w:t>
            </w:r>
          </w:p>
        </w:tc>
        <w:tc>
          <w:tcPr>
            <w:tcW w:w="880" w:type="dxa"/>
            <w:tcBorders>
              <w:top w:val="single" w:sz="4" w:space="0" w:color="788184"/>
              <w:left w:val="nil"/>
              <w:bottom w:val="single" w:sz="4" w:space="0" w:color="788184"/>
              <w:right w:val="nil"/>
            </w:tcBorders>
            <w:shd w:val="clear" w:color="000000" w:fill="D3D8E9"/>
            <w:vAlign w:val="center"/>
            <w:hideMark/>
          </w:tcPr>
          <w:p w14:paraId="76712045"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 </w:t>
            </w:r>
          </w:p>
        </w:tc>
        <w:tc>
          <w:tcPr>
            <w:tcW w:w="880" w:type="dxa"/>
            <w:tcBorders>
              <w:top w:val="single" w:sz="4" w:space="0" w:color="788184"/>
              <w:left w:val="nil"/>
              <w:bottom w:val="single" w:sz="4" w:space="0" w:color="788184"/>
              <w:right w:val="nil"/>
            </w:tcBorders>
            <w:shd w:val="clear" w:color="000000" w:fill="D3D8E9"/>
            <w:vAlign w:val="center"/>
            <w:hideMark/>
          </w:tcPr>
          <w:p w14:paraId="6CEFDF84"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 </w:t>
            </w:r>
          </w:p>
        </w:tc>
        <w:tc>
          <w:tcPr>
            <w:tcW w:w="880" w:type="dxa"/>
            <w:tcBorders>
              <w:top w:val="single" w:sz="4" w:space="0" w:color="788184"/>
              <w:left w:val="nil"/>
              <w:bottom w:val="single" w:sz="4" w:space="0" w:color="788184"/>
              <w:right w:val="nil"/>
            </w:tcBorders>
            <w:shd w:val="clear" w:color="000000" w:fill="D3D8E9"/>
            <w:vAlign w:val="center"/>
            <w:hideMark/>
          </w:tcPr>
          <w:p w14:paraId="495EACE2"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 </w:t>
            </w:r>
          </w:p>
        </w:tc>
        <w:tc>
          <w:tcPr>
            <w:tcW w:w="880" w:type="dxa"/>
            <w:tcBorders>
              <w:top w:val="single" w:sz="4" w:space="0" w:color="788184"/>
              <w:left w:val="nil"/>
              <w:bottom w:val="single" w:sz="4" w:space="0" w:color="788184"/>
              <w:right w:val="nil"/>
            </w:tcBorders>
            <w:shd w:val="clear" w:color="000000" w:fill="D3D8E9"/>
            <w:vAlign w:val="center"/>
            <w:hideMark/>
          </w:tcPr>
          <w:p w14:paraId="501B4386"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 </w:t>
            </w:r>
          </w:p>
        </w:tc>
        <w:tc>
          <w:tcPr>
            <w:tcW w:w="880" w:type="dxa"/>
            <w:tcBorders>
              <w:top w:val="single" w:sz="4" w:space="0" w:color="788184"/>
              <w:left w:val="nil"/>
              <w:bottom w:val="single" w:sz="4" w:space="0" w:color="788184"/>
              <w:right w:val="nil"/>
            </w:tcBorders>
            <w:shd w:val="clear" w:color="000000" w:fill="D3D8E9"/>
            <w:vAlign w:val="center"/>
            <w:hideMark/>
          </w:tcPr>
          <w:p w14:paraId="40FA5B53"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 </w:t>
            </w:r>
          </w:p>
        </w:tc>
        <w:tc>
          <w:tcPr>
            <w:tcW w:w="920" w:type="dxa"/>
            <w:tcBorders>
              <w:top w:val="single" w:sz="4" w:space="0" w:color="788184"/>
              <w:left w:val="nil"/>
              <w:bottom w:val="single" w:sz="4" w:space="0" w:color="788184"/>
              <w:right w:val="single" w:sz="4" w:space="0" w:color="788184"/>
            </w:tcBorders>
            <w:shd w:val="clear" w:color="000000" w:fill="D3D8E9"/>
            <w:vAlign w:val="center"/>
            <w:hideMark/>
          </w:tcPr>
          <w:p w14:paraId="5F8E4B5A"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 </w:t>
            </w:r>
          </w:p>
        </w:tc>
      </w:tr>
      <w:tr w:rsidR="009E45C9" w:rsidRPr="009E45C9" w14:paraId="1084A2B3" w14:textId="77777777" w:rsidTr="009E45C9">
        <w:trPr>
          <w:trHeight w:val="315"/>
        </w:trPr>
        <w:tc>
          <w:tcPr>
            <w:tcW w:w="2140" w:type="dxa"/>
            <w:tcBorders>
              <w:top w:val="nil"/>
              <w:left w:val="single" w:sz="4" w:space="0" w:color="788184"/>
              <w:bottom w:val="single" w:sz="4" w:space="0" w:color="788184"/>
              <w:right w:val="single" w:sz="4" w:space="0" w:color="788184"/>
            </w:tcBorders>
            <w:shd w:val="clear" w:color="000000" w:fill="FFFFFF"/>
            <w:vAlign w:val="center"/>
            <w:hideMark/>
          </w:tcPr>
          <w:p w14:paraId="69BEAA33" w14:textId="77777777" w:rsidR="009E45C9" w:rsidRPr="009E45C9" w:rsidRDefault="009E45C9" w:rsidP="009E45C9">
            <w:pPr>
              <w:spacing w:before="0" w:after="0" w:line="240" w:lineRule="auto"/>
              <w:rPr>
                <w:rFonts w:ascii="Calibri" w:eastAsia="Times New Roman" w:hAnsi="Calibri" w:cs="Calibri"/>
                <w:i/>
                <w:iCs/>
                <w:color w:val="000000"/>
                <w:spacing w:val="0"/>
                <w:sz w:val="16"/>
                <w:szCs w:val="16"/>
                <w:lang w:eastAsia="en-AU"/>
              </w:rPr>
            </w:pPr>
            <w:r w:rsidRPr="009E45C9">
              <w:rPr>
                <w:rFonts w:ascii="Calibri" w:eastAsia="Times New Roman" w:hAnsi="Calibri" w:cs="Calibri"/>
                <w:i/>
                <w:iCs/>
                <w:color w:val="000000"/>
                <w:spacing w:val="0"/>
                <w:sz w:val="16"/>
                <w:szCs w:val="16"/>
                <w:lang w:eastAsia="en-AU"/>
              </w:rPr>
              <w:t>Royalties</w:t>
            </w:r>
          </w:p>
        </w:tc>
        <w:tc>
          <w:tcPr>
            <w:tcW w:w="1000" w:type="dxa"/>
            <w:tcBorders>
              <w:top w:val="single" w:sz="4" w:space="0" w:color="788184"/>
              <w:left w:val="single" w:sz="4" w:space="0" w:color="788184"/>
              <w:bottom w:val="single" w:sz="4" w:space="0" w:color="788184"/>
              <w:right w:val="single" w:sz="4" w:space="0" w:color="788184"/>
            </w:tcBorders>
            <w:shd w:val="clear" w:color="auto" w:fill="auto"/>
            <w:vAlign w:val="center"/>
            <w:hideMark/>
          </w:tcPr>
          <w:p w14:paraId="529463BB" w14:textId="650D7196" w:rsidR="009E45C9" w:rsidRPr="009E45C9" w:rsidRDefault="009E45C9" w:rsidP="009E45C9">
            <w:pPr>
              <w:spacing w:before="0" w:after="0" w:line="240" w:lineRule="auto"/>
              <w:jc w:val="right"/>
              <w:rPr>
                <w:rFonts w:ascii="Calibri" w:eastAsia="Times New Roman" w:hAnsi="Calibri" w:cs="Calibri"/>
                <w:i/>
                <w:iCs/>
                <w:color w:val="000000"/>
                <w:spacing w:val="0"/>
                <w:sz w:val="16"/>
                <w:szCs w:val="16"/>
                <w:lang w:eastAsia="en-AU"/>
              </w:rPr>
            </w:pPr>
            <w:r>
              <w:rPr>
                <w:rFonts w:ascii="Calibri" w:eastAsia="Times New Roman" w:hAnsi="Calibri" w:cs="Calibri"/>
                <w:i/>
                <w:iCs/>
                <w:color w:val="000000"/>
                <w:spacing w:val="0"/>
                <w:sz w:val="16"/>
                <w:szCs w:val="16"/>
                <w:lang w:eastAsia="en-AU"/>
              </w:rPr>
              <w:t>-</w:t>
            </w:r>
          </w:p>
        </w:tc>
        <w:tc>
          <w:tcPr>
            <w:tcW w:w="880" w:type="dxa"/>
            <w:tcBorders>
              <w:top w:val="nil"/>
              <w:left w:val="nil"/>
              <w:bottom w:val="single" w:sz="4" w:space="0" w:color="788184"/>
              <w:right w:val="single" w:sz="4" w:space="0" w:color="788184"/>
            </w:tcBorders>
            <w:shd w:val="clear" w:color="auto" w:fill="auto"/>
            <w:vAlign w:val="center"/>
            <w:hideMark/>
          </w:tcPr>
          <w:p w14:paraId="21C2EAC8" w14:textId="77777777" w:rsidR="009E45C9" w:rsidRPr="009E45C9" w:rsidRDefault="009E45C9" w:rsidP="009E45C9">
            <w:pPr>
              <w:spacing w:before="0" w:after="0" w:line="240" w:lineRule="auto"/>
              <w:jc w:val="right"/>
              <w:rPr>
                <w:rFonts w:ascii="Calibri" w:eastAsia="Times New Roman" w:hAnsi="Calibri" w:cs="Calibri"/>
                <w:i/>
                <w:iCs/>
                <w:color w:val="000000"/>
                <w:spacing w:val="0"/>
                <w:sz w:val="16"/>
                <w:szCs w:val="16"/>
                <w:lang w:eastAsia="en-AU"/>
              </w:rPr>
            </w:pPr>
            <w:r w:rsidRPr="009E45C9">
              <w:rPr>
                <w:rFonts w:ascii="Calibri" w:eastAsia="Times New Roman" w:hAnsi="Calibri" w:cs="Calibri"/>
                <w:i/>
                <w:iCs/>
                <w:color w:val="000000"/>
                <w:spacing w:val="0"/>
                <w:sz w:val="16"/>
                <w:szCs w:val="16"/>
                <w:lang w:eastAsia="en-AU"/>
              </w:rPr>
              <w:t>4,730.0</w:t>
            </w:r>
          </w:p>
        </w:tc>
        <w:tc>
          <w:tcPr>
            <w:tcW w:w="880" w:type="dxa"/>
            <w:tcBorders>
              <w:top w:val="nil"/>
              <w:left w:val="nil"/>
              <w:bottom w:val="single" w:sz="4" w:space="0" w:color="788184"/>
              <w:right w:val="single" w:sz="4" w:space="0" w:color="788184"/>
            </w:tcBorders>
            <w:shd w:val="clear" w:color="auto" w:fill="auto"/>
            <w:vAlign w:val="center"/>
            <w:hideMark/>
          </w:tcPr>
          <w:p w14:paraId="4DB5B912" w14:textId="77777777" w:rsidR="009E45C9" w:rsidRPr="009E45C9" w:rsidRDefault="009E45C9" w:rsidP="009E45C9">
            <w:pPr>
              <w:spacing w:before="0" w:after="0" w:line="240" w:lineRule="auto"/>
              <w:jc w:val="right"/>
              <w:rPr>
                <w:rFonts w:ascii="Calibri" w:eastAsia="Times New Roman" w:hAnsi="Calibri" w:cs="Calibri"/>
                <w:i/>
                <w:iCs/>
                <w:color w:val="000000"/>
                <w:spacing w:val="0"/>
                <w:sz w:val="16"/>
                <w:szCs w:val="16"/>
                <w:lang w:eastAsia="en-AU"/>
              </w:rPr>
            </w:pPr>
            <w:r w:rsidRPr="009E45C9">
              <w:rPr>
                <w:rFonts w:ascii="Calibri" w:eastAsia="Times New Roman" w:hAnsi="Calibri" w:cs="Calibri"/>
                <w:i/>
                <w:iCs/>
                <w:color w:val="000000"/>
                <w:spacing w:val="0"/>
                <w:sz w:val="16"/>
                <w:szCs w:val="16"/>
                <w:lang w:eastAsia="en-AU"/>
              </w:rPr>
              <w:t>4,700.0</w:t>
            </w:r>
          </w:p>
        </w:tc>
        <w:tc>
          <w:tcPr>
            <w:tcW w:w="880" w:type="dxa"/>
            <w:tcBorders>
              <w:top w:val="nil"/>
              <w:left w:val="nil"/>
              <w:bottom w:val="single" w:sz="4" w:space="0" w:color="788184"/>
              <w:right w:val="single" w:sz="4" w:space="0" w:color="788184"/>
            </w:tcBorders>
            <w:shd w:val="clear" w:color="auto" w:fill="auto"/>
            <w:vAlign w:val="center"/>
            <w:hideMark/>
          </w:tcPr>
          <w:p w14:paraId="4F89CD24" w14:textId="77777777" w:rsidR="009E45C9" w:rsidRPr="009E45C9" w:rsidRDefault="009E45C9" w:rsidP="009E45C9">
            <w:pPr>
              <w:spacing w:before="0" w:after="0" w:line="240" w:lineRule="auto"/>
              <w:jc w:val="right"/>
              <w:rPr>
                <w:rFonts w:ascii="Calibri" w:eastAsia="Times New Roman" w:hAnsi="Calibri" w:cs="Calibri"/>
                <w:i/>
                <w:iCs/>
                <w:color w:val="000000"/>
                <w:spacing w:val="0"/>
                <w:sz w:val="16"/>
                <w:szCs w:val="16"/>
                <w:lang w:eastAsia="en-AU"/>
              </w:rPr>
            </w:pPr>
            <w:r w:rsidRPr="009E45C9">
              <w:rPr>
                <w:rFonts w:ascii="Calibri" w:eastAsia="Times New Roman" w:hAnsi="Calibri" w:cs="Calibri"/>
                <w:i/>
                <w:iCs/>
                <w:color w:val="000000"/>
                <w:spacing w:val="0"/>
                <w:sz w:val="16"/>
                <w:szCs w:val="16"/>
                <w:lang w:eastAsia="en-AU"/>
              </w:rPr>
              <w:t>4,580.0</w:t>
            </w:r>
          </w:p>
        </w:tc>
        <w:tc>
          <w:tcPr>
            <w:tcW w:w="880" w:type="dxa"/>
            <w:tcBorders>
              <w:top w:val="nil"/>
              <w:left w:val="nil"/>
              <w:bottom w:val="single" w:sz="4" w:space="0" w:color="788184"/>
              <w:right w:val="single" w:sz="4" w:space="0" w:color="788184"/>
            </w:tcBorders>
            <w:shd w:val="clear" w:color="auto" w:fill="auto"/>
            <w:vAlign w:val="center"/>
            <w:hideMark/>
          </w:tcPr>
          <w:p w14:paraId="748FC39A" w14:textId="77777777" w:rsidR="009E45C9" w:rsidRPr="009E45C9" w:rsidRDefault="009E45C9" w:rsidP="009E45C9">
            <w:pPr>
              <w:spacing w:before="0" w:after="0" w:line="240" w:lineRule="auto"/>
              <w:jc w:val="right"/>
              <w:rPr>
                <w:rFonts w:ascii="Calibri" w:eastAsia="Times New Roman" w:hAnsi="Calibri" w:cs="Calibri"/>
                <w:i/>
                <w:iCs/>
                <w:color w:val="000000"/>
                <w:spacing w:val="0"/>
                <w:sz w:val="16"/>
                <w:szCs w:val="16"/>
                <w:lang w:eastAsia="en-AU"/>
              </w:rPr>
            </w:pPr>
            <w:r w:rsidRPr="009E45C9">
              <w:rPr>
                <w:rFonts w:ascii="Calibri" w:eastAsia="Times New Roman" w:hAnsi="Calibri" w:cs="Calibri"/>
                <w:i/>
                <w:iCs/>
                <w:color w:val="000000"/>
                <w:spacing w:val="0"/>
                <w:sz w:val="16"/>
                <w:szCs w:val="16"/>
                <w:lang w:eastAsia="en-AU"/>
              </w:rPr>
              <w:t>4,530.0</w:t>
            </w:r>
          </w:p>
        </w:tc>
        <w:tc>
          <w:tcPr>
            <w:tcW w:w="880" w:type="dxa"/>
            <w:tcBorders>
              <w:top w:val="nil"/>
              <w:left w:val="nil"/>
              <w:bottom w:val="single" w:sz="4" w:space="0" w:color="788184"/>
              <w:right w:val="single" w:sz="4" w:space="0" w:color="788184"/>
            </w:tcBorders>
            <w:shd w:val="clear" w:color="auto" w:fill="auto"/>
            <w:vAlign w:val="center"/>
            <w:hideMark/>
          </w:tcPr>
          <w:p w14:paraId="4A4FEFDE" w14:textId="77777777" w:rsidR="009E45C9" w:rsidRPr="009E45C9" w:rsidRDefault="009E45C9" w:rsidP="009E45C9">
            <w:pPr>
              <w:spacing w:before="0" w:after="0" w:line="240" w:lineRule="auto"/>
              <w:jc w:val="right"/>
              <w:rPr>
                <w:rFonts w:ascii="Calibri" w:eastAsia="Times New Roman" w:hAnsi="Calibri" w:cs="Calibri"/>
                <w:i/>
                <w:iCs/>
                <w:color w:val="000000"/>
                <w:spacing w:val="0"/>
                <w:sz w:val="16"/>
                <w:szCs w:val="16"/>
                <w:lang w:eastAsia="en-AU"/>
              </w:rPr>
            </w:pPr>
            <w:r w:rsidRPr="009E45C9">
              <w:rPr>
                <w:rFonts w:ascii="Calibri" w:eastAsia="Times New Roman" w:hAnsi="Calibri" w:cs="Calibri"/>
                <w:i/>
                <w:iCs/>
                <w:color w:val="000000"/>
                <w:spacing w:val="0"/>
                <w:sz w:val="16"/>
                <w:szCs w:val="16"/>
                <w:lang w:eastAsia="en-AU"/>
              </w:rPr>
              <w:t>4,400.0</w:t>
            </w:r>
          </w:p>
        </w:tc>
        <w:tc>
          <w:tcPr>
            <w:tcW w:w="880" w:type="dxa"/>
            <w:tcBorders>
              <w:top w:val="nil"/>
              <w:left w:val="nil"/>
              <w:bottom w:val="single" w:sz="4" w:space="0" w:color="788184"/>
              <w:right w:val="single" w:sz="4" w:space="0" w:color="788184"/>
            </w:tcBorders>
            <w:shd w:val="clear" w:color="auto" w:fill="auto"/>
            <w:vAlign w:val="center"/>
            <w:hideMark/>
          </w:tcPr>
          <w:p w14:paraId="77B1FA7A" w14:textId="77777777" w:rsidR="009E45C9" w:rsidRPr="009E45C9" w:rsidRDefault="009E45C9" w:rsidP="009E45C9">
            <w:pPr>
              <w:spacing w:before="0" w:after="0" w:line="240" w:lineRule="auto"/>
              <w:jc w:val="right"/>
              <w:rPr>
                <w:rFonts w:ascii="Calibri" w:eastAsia="Times New Roman" w:hAnsi="Calibri" w:cs="Calibri"/>
                <w:i/>
                <w:iCs/>
                <w:color w:val="000000"/>
                <w:spacing w:val="0"/>
                <w:sz w:val="16"/>
                <w:szCs w:val="16"/>
                <w:lang w:eastAsia="en-AU"/>
              </w:rPr>
            </w:pPr>
            <w:r w:rsidRPr="009E45C9">
              <w:rPr>
                <w:rFonts w:ascii="Calibri" w:eastAsia="Times New Roman" w:hAnsi="Calibri" w:cs="Calibri"/>
                <w:i/>
                <w:iCs/>
                <w:color w:val="000000"/>
                <w:spacing w:val="0"/>
                <w:sz w:val="16"/>
                <w:szCs w:val="16"/>
                <w:lang w:eastAsia="en-AU"/>
              </w:rPr>
              <w:t>4,320.0</w:t>
            </w:r>
          </w:p>
        </w:tc>
        <w:tc>
          <w:tcPr>
            <w:tcW w:w="880" w:type="dxa"/>
            <w:tcBorders>
              <w:top w:val="nil"/>
              <w:left w:val="nil"/>
              <w:bottom w:val="single" w:sz="4" w:space="0" w:color="788184"/>
              <w:right w:val="single" w:sz="4" w:space="0" w:color="788184"/>
            </w:tcBorders>
            <w:shd w:val="clear" w:color="auto" w:fill="auto"/>
            <w:vAlign w:val="center"/>
            <w:hideMark/>
          </w:tcPr>
          <w:p w14:paraId="01E30A91" w14:textId="77777777" w:rsidR="009E45C9" w:rsidRPr="009E45C9" w:rsidRDefault="009E45C9" w:rsidP="009E45C9">
            <w:pPr>
              <w:spacing w:before="0" w:after="0" w:line="240" w:lineRule="auto"/>
              <w:jc w:val="right"/>
              <w:rPr>
                <w:rFonts w:ascii="Calibri" w:eastAsia="Times New Roman" w:hAnsi="Calibri" w:cs="Calibri"/>
                <w:i/>
                <w:iCs/>
                <w:color w:val="000000"/>
                <w:spacing w:val="0"/>
                <w:sz w:val="16"/>
                <w:szCs w:val="16"/>
                <w:lang w:eastAsia="en-AU"/>
              </w:rPr>
            </w:pPr>
            <w:r w:rsidRPr="009E45C9">
              <w:rPr>
                <w:rFonts w:ascii="Calibri" w:eastAsia="Times New Roman" w:hAnsi="Calibri" w:cs="Calibri"/>
                <w:i/>
                <w:iCs/>
                <w:color w:val="000000"/>
                <w:spacing w:val="0"/>
                <w:sz w:val="16"/>
                <w:szCs w:val="16"/>
                <w:lang w:eastAsia="en-AU"/>
              </w:rPr>
              <w:t>4,290.0</w:t>
            </w:r>
          </w:p>
        </w:tc>
        <w:tc>
          <w:tcPr>
            <w:tcW w:w="880" w:type="dxa"/>
            <w:tcBorders>
              <w:top w:val="nil"/>
              <w:left w:val="nil"/>
              <w:bottom w:val="single" w:sz="4" w:space="0" w:color="788184"/>
              <w:right w:val="single" w:sz="4" w:space="0" w:color="788184"/>
            </w:tcBorders>
            <w:shd w:val="clear" w:color="auto" w:fill="auto"/>
            <w:vAlign w:val="center"/>
            <w:hideMark/>
          </w:tcPr>
          <w:p w14:paraId="7E19140B" w14:textId="77777777" w:rsidR="009E45C9" w:rsidRPr="009E45C9" w:rsidRDefault="009E45C9" w:rsidP="009E45C9">
            <w:pPr>
              <w:spacing w:before="0" w:after="0" w:line="240" w:lineRule="auto"/>
              <w:jc w:val="right"/>
              <w:rPr>
                <w:rFonts w:ascii="Calibri" w:eastAsia="Times New Roman" w:hAnsi="Calibri" w:cs="Calibri"/>
                <w:i/>
                <w:iCs/>
                <w:color w:val="000000"/>
                <w:spacing w:val="0"/>
                <w:sz w:val="16"/>
                <w:szCs w:val="16"/>
                <w:lang w:eastAsia="en-AU"/>
              </w:rPr>
            </w:pPr>
            <w:r w:rsidRPr="009E45C9">
              <w:rPr>
                <w:rFonts w:ascii="Calibri" w:eastAsia="Times New Roman" w:hAnsi="Calibri" w:cs="Calibri"/>
                <w:i/>
                <w:iCs/>
                <w:color w:val="000000"/>
                <w:spacing w:val="0"/>
                <w:sz w:val="16"/>
                <w:szCs w:val="16"/>
                <w:lang w:eastAsia="en-AU"/>
              </w:rPr>
              <w:t>4,230.0</w:t>
            </w:r>
          </w:p>
        </w:tc>
        <w:tc>
          <w:tcPr>
            <w:tcW w:w="880" w:type="dxa"/>
            <w:tcBorders>
              <w:top w:val="nil"/>
              <w:left w:val="nil"/>
              <w:bottom w:val="single" w:sz="4" w:space="0" w:color="788184"/>
              <w:right w:val="single" w:sz="4" w:space="0" w:color="788184"/>
            </w:tcBorders>
            <w:shd w:val="clear" w:color="auto" w:fill="auto"/>
            <w:vAlign w:val="center"/>
            <w:hideMark/>
          </w:tcPr>
          <w:p w14:paraId="2322F31F" w14:textId="77777777" w:rsidR="009E45C9" w:rsidRPr="009E45C9" w:rsidRDefault="009E45C9" w:rsidP="009E45C9">
            <w:pPr>
              <w:spacing w:before="0" w:after="0" w:line="240" w:lineRule="auto"/>
              <w:jc w:val="right"/>
              <w:rPr>
                <w:rFonts w:ascii="Calibri" w:eastAsia="Times New Roman" w:hAnsi="Calibri" w:cs="Calibri"/>
                <w:i/>
                <w:iCs/>
                <w:color w:val="000000"/>
                <w:spacing w:val="0"/>
                <w:sz w:val="16"/>
                <w:szCs w:val="16"/>
                <w:lang w:eastAsia="en-AU"/>
              </w:rPr>
            </w:pPr>
            <w:r w:rsidRPr="009E45C9">
              <w:rPr>
                <w:rFonts w:ascii="Calibri" w:eastAsia="Times New Roman" w:hAnsi="Calibri" w:cs="Calibri"/>
                <w:i/>
                <w:iCs/>
                <w:color w:val="000000"/>
                <w:spacing w:val="0"/>
                <w:sz w:val="16"/>
                <w:szCs w:val="16"/>
                <w:lang w:eastAsia="en-AU"/>
              </w:rPr>
              <w:t>4,160.0</w:t>
            </w:r>
          </w:p>
        </w:tc>
        <w:tc>
          <w:tcPr>
            <w:tcW w:w="880" w:type="dxa"/>
            <w:tcBorders>
              <w:top w:val="nil"/>
              <w:left w:val="nil"/>
              <w:bottom w:val="single" w:sz="4" w:space="0" w:color="788184"/>
              <w:right w:val="single" w:sz="4" w:space="0" w:color="788184"/>
            </w:tcBorders>
            <w:shd w:val="clear" w:color="auto" w:fill="auto"/>
            <w:vAlign w:val="center"/>
            <w:hideMark/>
          </w:tcPr>
          <w:p w14:paraId="0ED59FE4" w14:textId="77777777" w:rsidR="009E45C9" w:rsidRPr="009E45C9" w:rsidRDefault="009E45C9" w:rsidP="009E45C9">
            <w:pPr>
              <w:spacing w:before="0" w:after="0" w:line="240" w:lineRule="auto"/>
              <w:jc w:val="right"/>
              <w:rPr>
                <w:rFonts w:ascii="Calibri" w:eastAsia="Times New Roman" w:hAnsi="Calibri" w:cs="Calibri"/>
                <w:i/>
                <w:iCs/>
                <w:color w:val="000000"/>
                <w:spacing w:val="0"/>
                <w:sz w:val="16"/>
                <w:szCs w:val="16"/>
                <w:lang w:eastAsia="en-AU"/>
              </w:rPr>
            </w:pPr>
            <w:r w:rsidRPr="009E45C9">
              <w:rPr>
                <w:rFonts w:ascii="Calibri" w:eastAsia="Times New Roman" w:hAnsi="Calibri" w:cs="Calibri"/>
                <w:i/>
                <w:iCs/>
                <w:color w:val="000000"/>
                <w:spacing w:val="0"/>
                <w:sz w:val="16"/>
                <w:szCs w:val="16"/>
                <w:lang w:eastAsia="en-AU"/>
              </w:rPr>
              <w:t>4,050.0</w:t>
            </w:r>
          </w:p>
        </w:tc>
        <w:tc>
          <w:tcPr>
            <w:tcW w:w="880" w:type="dxa"/>
            <w:tcBorders>
              <w:top w:val="nil"/>
              <w:left w:val="nil"/>
              <w:bottom w:val="single" w:sz="4" w:space="0" w:color="788184"/>
              <w:right w:val="single" w:sz="4" w:space="0" w:color="788184"/>
            </w:tcBorders>
            <w:shd w:val="clear" w:color="000000" w:fill="FFFFFF"/>
            <w:vAlign w:val="center"/>
            <w:hideMark/>
          </w:tcPr>
          <w:p w14:paraId="3463A713"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14,010.0</w:t>
            </w:r>
          </w:p>
        </w:tc>
        <w:tc>
          <w:tcPr>
            <w:tcW w:w="920" w:type="dxa"/>
            <w:tcBorders>
              <w:top w:val="nil"/>
              <w:left w:val="nil"/>
              <w:bottom w:val="single" w:sz="4" w:space="0" w:color="788184"/>
              <w:right w:val="single" w:sz="4" w:space="0" w:color="788184"/>
            </w:tcBorders>
            <w:shd w:val="clear" w:color="000000" w:fill="FFFFFF"/>
            <w:vAlign w:val="center"/>
            <w:hideMark/>
          </w:tcPr>
          <w:p w14:paraId="6E0D550C"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43,990.0</w:t>
            </w:r>
          </w:p>
        </w:tc>
      </w:tr>
      <w:tr w:rsidR="009E45C9" w:rsidRPr="009E45C9" w14:paraId="752B9000" w14:textId="77777777" w:rsidTr="009E45C9">
        <w:trPr>
          <w:trHeight w:val="315"/>
        </w:trPr>
        <w:tc>
          <w:tcPr>
            <w:tcW w:w="2140" w:type="dxa"/>
            <w:tcBorders>
              <w:top w:val="nil"/>
              <w:left w:val="single" w:sz="4" w:space="0" w:color="788184"/>
              <w:bottom w:val="single" w:sz="4" w:space="0" w:color="788184"/>
              <w:right w:val="single" w:sz="4" w:space="0" w:color="788184"/>
            </w:tcBorders>
            <w:shd w:val="clear" w:color="000000" w:fill="FFFFFF"/>
            <w:vAlign w:val="center"/>
            <w:hideMark/>
          </w:tcPr>
          <w:p w14:paraId="4B6271E3" w14:textId="77777777" w:rsidR="009E45C9" w:rsidRPr="009E45C9" w:rsidRDefault="009E45C9" w:rsidP="009E45C9">
            <w:pPr>
              <w:spacing w:before="0" w:after="0" w:line="240" w:lineRule="auto"/>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Total – non-tax revenue</w:t>
            </w:r>
          </w:p>
        </w:tc>
        <w:tc>
          <w:tcPr>
            <w:tcW w:w="1000" w:type="dxa"/>
            <w:tcBorders>
              <w:top w:val="single" w:sz="4" w:space="0" w:color="788184"/>
              <w:left w:val="single" w:sz="4" w:space="0" w:color="788184"/>
              <w:bottom w:val="single" w:sz="4" w:space="0" w:color="788184"/>
              <w:right w:val="single" w:sz="4" w:space="0" w:color="788184"/>
            </w:tcBorders>
            <w:shd w:val="clear" w:color="000000" w:fill="FFFFFF"/>
            <w:vAlign w:val="center"/>
            <w:hideMark/>
          </w:tcPr>
          <w:p w14:paraId="1AB7E889" w14:textId="4C867BD4"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Pr>
                <w:rFonts w:ascii="Calibri" w:eastAsia="Times New Roman" w:hAnsi="Calibri" w:cs="Calibri"/>
                <w:b/>
                <w:bCs/>
                <w:i/>
                <w:iCs/>
                <w:color w:val="000000"/>
                <w:spacing w:val="0"/>
                <w:sz w:val="16"/>
                <w:szCs w:val="16"/>
                <w:lang w:eastAsia="en-AU"/>
              </w:rPr>
              <w:t>-</w:t>
            </w:r>
          </w:p>
        </w:tc>
        <w:tc>
          <w:tcPr>
            <w:tcW w:w="880" w:type="dxa"/>
            <w:tcBorders>
              <w:top w:val="nil"/>
              <w:left w:val="nil"/>
              <w:bottom w:val="single" w:sz="4" w:space="0" w:color="788184"/>
              <w:right w:val="single" w:sz="4" w:space="0" w:color="788184"/>
            </w:tcBorders>
            <w:shd w:val="clear" w:color="000000" w:fill="FFFFFF"/>
            <w:vAlign w:val="center"/>
            <w:hideMark/>
          </w:tcPr>
          <w:p w14:paraId="1C6085CC"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4,730.0</w:t>
            </w:r>
          </w:p>
        </w:tc>
        <w:tc>
          <w:tcPr>
            <w:tcW w:w="880" w:type="dxa"/>
            <w:tcBorders>
              <w:top w:val="nil"/>
              <w:left w:val="nil"/>
              <w:bottom w:val="single" w:sz="4" w:space="0" w:color="788184"/>
              <w:right w:val="single" w:sz="4" w:space="0" w:color="788184"/>
            </w:tcBorders>
            <w:shd w:val="clear" w:color="000000" w:fill="FFFFFF"/>
            <w:vAlign w:val="center"/>
            <w:hideMark/>
          </w:tcPr>
          <w:p w14:paraId="3DF99529"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4,700.0</w:t>
            </w:r>
          </w:p>
        </w:tc>
        <w:tc>
          <w:tcPr>
            <w:tcW w:w="880" w:type="dxa"/>
            <w:tcBorders>
              <w:top w:val="nil"/>
              <w:left w:val="nil"/>
              <w:bottom w:val="single" w:sz="4" w:space="0" w:color="788184"/>
              <w:right w:val="single" w:sz="4" w:space="0" w:color="788184"/>
            </w:tcBorders>
            <w:shd w:val="clear" w:color="000000" w:fill="FFFFFF"/>
            <w:vAlign w:val="center"/>
            <w:hideMark/>
          </w:tcPr>
          <w:p w14:paraId="2ADC2C9F"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4,580.0</w:t>
            </w:r>
          </w:p>
        </w:tc>
        <w:tc>
          <w:tcPr>
            <w:tcW w:w="880" w:type="dxa"/>
            <w:tcBorders>
              <w:top w:val="nil"/>
              <w:left w:val="nil"/>
              <w:bottom w:val="single" w:sz="4" w:space="0" w:color="788184"/>
              <w:right w:val="single" w:sz="4" w:space="0" w:color="788184"/>
            </w:tcBorders>
            <w:shd w:val="clear" w:color="000000" w:fill="FFFFFF"/>
            <w:vAlign w:val="center"/>
            <w:hideMark/>
          </w:tcPr>
          <w:p w14:paraId="5BA8AAB9"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4,530.0</w:t>
            </w:r>
          </w:p>
        </w:tc>
        <w:tc>
          <w:tcPr>
            <w:tcW w:w="880" w:type="dxa"/>
            <w:tcBorders>
              <w:top w:val="nil"/>
              <w:left w:val="nil"/>
              <w:bottom w:val="single" w:sz="4" w:space="0" w:color="788184"/>
              <w:right w:val="single" w:sz="4" w:space="0" w:color="788184"/>
            </w:tcBorders>
            <w:shd w:val="clear" w:color="000000" w:fill="FFFFFF"/>
            <w:vAlign w:val="center"/>
            <w:hideMark/>
          </w:tcPr>
          <w:p w14:paraId="70AA68AD"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4,400.0</w:t>
            </w:r>
          </w:p>
        </w:tc>
        <w:tc>
          <w:tcPr>
            <w:tcW w:w="880" w:type="dxa"/>
            <w:tcBorders>
              <w:top w:val="nil"/>
              <w:left w:val="nil"/>
              <w:bottom w:val="single" w:sz="4" w:space="0" w:color="788184"/>
              <w:right w:val="single" w:sz="4" w:space="0" w:color="788184"/>
            </w:tcBorders>
            <w:shd w:val="clear" w:color="000000" w:fill="FFFFFF"/>
            <w:vAlign w:val="center"/>
            <w:hideMark/>
          </w:tcPr>
          <w:p w14:paraId="547E9D26"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4,320.0</w:t>
            </w:r>
          </w:p>
        </w:tc>
        <w:tc>
          <w:tcPr>
            <w:tcW w:w="880" w:type="dxa"/>
            <w:tcBorders>
              <w:top w:val="nil"/>
              <w:left w:val="nil"/>
              <w:bottom w:val="single" w:sz="4" w:space="0" w:color="788184"/>
              <w:right w:val="single" w:sz="4" w:space="0" w:color="788184"/>
            </w:tcBorders>
            <w:shd w:val="clear" w:color="000000" w:fill="FFFFFF"/>
            <w:vAlign w:val="center"/>
            <w:hideMark/>
          </w:tcPr>
          <w:p w14:paraId="185F8EA7"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4,290.0</w:t>
            </w:r>
          </w:p>
        </w:tc>
        <w:tc>
          <w:tcPr>
            <w:tcW w:w="880" w:type="dxa"/>
            <w:tcBorders>
              <w:top w:val="nil"/>
              <w:left w:val="nil"/>
              <w:bottom w:val="single" w:sz="4" w:space="0" w:color="788184"/>
              <w:right w:val="single" w:sz="4" w:space="0" w:color="788184"/>
            </w:tcBorders>
            <w:shd w:val="clear" w:color="000000" w:fill="FFFFFF"/>
            <w:vAlign w:val="center"/>
            <w:hideMark/>
          </w:tcPr>
          <w:p w14:paraId="24F059F6"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4,230.0</w:t>
            </w:r>
          </w:p>
        </w:tc>
        <w:tc>
          <w:tcPr>
            <w:tcW w:w="880" w:type="dxa"/>
            <w:tcBorders>
              <w:top w:val="nil"/>
              <w:left w:val="nil"/>
              <w:bottom w:val="single" w:sz="4" w:space="0" w:color="788184"/>
              <w:right w:val="single" w:sz="4" w:space="0" w:color="788184"/>
            </w:tcBorders>
            <w:shd w:val="clear" w:color="000000" w:fill="FFFFFF"/>
            <w:vAlign w:val="center"/>
            <w:hideMark/>
          </w:tcPr>
          <w:p w14:paraId="33B7FC2C"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4,160.0</w:t>
            </w:r>
          </w:p>
        </w:tc>
        <w:tc>
          <w:tcPr>
            <w:tcW w:w="880" w:type="dxa"/>
            <w:tcBorders>
              <w:top w:val="nil"/>
              <w:left w:val="nil"/>
              <w:bottom w:val="single" w:sz="4" w:space="0" w:color="788184"/>
              <w:right w:val="single" w:sz="4" w:space="0" w:color="788184"/>
            </w:tcBorders>
            <w:shd w:val="clear" w:color="000000" w:fill="FFFFFF"/>
            <w:vAlign w:val="center"/>
            <w:hideMark/>
          </w:tcPr>
          <w:p w14:paraId="3451FA9A"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4,050.0</w:t>
            </w:r>
          </w:p>
        </w:tc>
        <w:tc>
          <w:tcPr>
            <w:tcW w:w="880" w:type="dxa"/>
            <w:tcBorders>
              <w:top w:val="nil"/>
              <w:left w:val="nil"/>
              <w:bottom w:val="single" w:sz="4" w:space="0" w:color="788184"/>
              <w:right w:val="single" w:sz="4" w:space="0" w:color="788184"/>
            </w:tcBorders>
            <w:shd w:val="clear" w:color="000000" w:fill="FFFFFF"/>
            <w:vAlign w:val="center"/>
            <w:hideMark/>
          </w:tcPr>
          <w:p w14:paraId="4807BEE3"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14,010.0</w:t>
            </w:r>
          </w:p>
        </w:tc>
        <w:tc>
          <w:tcPr>
            <w:tcW w:w="920" w:type="dxa"/>
            <w:tcBorders>
              <w:top w:val="nil"/>
              <w:left w:val="nil"/>
              <w:bottom w:val="single" w:sz="4" w:space="0" w:color="788184"/>
              <w:right w:val="single" w:sz="4" w:space="0" w:color="788184"/>
            </w:tcBorders>
            <w:shd w:val="clear" w:color="000000" w:fill="FFFFFF"/>
            <w:vAlign w:val="center"/>
            <w:hideMark/>
          </w:tcPr>
          <w:p w14:paraId="6C32D53E" w14:textId="77777777" w:rsidR="009E45C9" w:rsidRPr="009E45C9" w:rsidRDefault="009E45C9" w:rsidP="009E45C9">
            <w:pPr>
              <w:spacing w:before="0" w:after="0" w:line="240" w:lineRule="auto"/>
              <w:jc w:val="right"/>
              <w:rPr>
                <w:rFonts w:ascii="Calibri" w:eastAsia="Times New Roman" w:hAnsi="Calibri" w:cs="Calibri"/>
                <w:b/>
                <w:bCs/>
                <w:i/>
                <w:iCs/>
                <w:color w:val="000000"/>
                <w:spacing w:val="0"/>
                <w:sz w:val="16"/>
                <w:szCs w:val="16"/>
                <w:lang w:eastAsia="en-AU"/>
              </w:rPr>
            </w:pPr>
            <w:r w:rsidRPr="009E45C9">
              <w:rPr>
                <w:rFonts w:ascii="Calibri" w:eastAsia="Times New Roman" w:hAnsi="Calibri" w:cs="Calibri"/>
                <w:b/>
                <w:bCs/>
                <w:i/>
                <w:iCs/>
                <w:color w:val="000000"/>
                <w:spacing w:val="0"/>
                <w:sz w:val="16"/>
                <w:szCs w:val="16"/>
                <w:lang w:eastAsia="en-AU"/>
              </w:rPr>
              <w:t>43,990.0</w:t>
            </w:r>
          </w:p>
        </w:tc>
      </w:tr>
      <w:tr w:rsidR="009E45C9" w:rsidRPr="009E45C9" w14:paraId="27DA5148" w14:textId="77777777" w:rsidTr="009E45C9">
        <w:trPr>
          <w:trHeight w:val="315"/>
        </w:trPr>
        <w:tc>
          <w:tcPr>
            <w:tcW w:w="2140" w:type="dxa"/>
            <w:tcBorders>
              <w:top w:val="nil"/>
              <w:left w:val="single" w:sz="4" w:space="0" w:color="788184"/>
              <w:bottom w:val="single" w:sz="4" w:space="0" w:color="788184"/>
              <w:right w:val="single" w:sz="4" w:space="0" w:color="788184"/>
            </w:tcBorders>
            <w:shd w:val="clear" w:color="000000" w:fill="FFFFFF"/>
            <w:vAlign w:val="center"/>
            <w:hideMark/>
          </w:tcPr>
          <w:p w14:paraId="2340402B" w14:textId="77777777" w:rsidR="009E45C9" w:rsidRPr="009E45C9" w:rsidRDefault="009E45C9" w:rsidP="009E45C9">
            <w:pPr>
              <w:spacing w:before="0" w:after="0" w:line="240" w:lineRule="auto"/>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Total – revenue</w:t>
            </w:r>
          </w:p>
        </w:tc>
        <w:tc>
          <w:tcPr>
            <w:tcW w:w="1000" w:type="dxa"/>
            <w:tcBorders>
              <w:top w:val="single" w:sz="4" w:space="0" w:color="788184"/>
              <w:left w:val="single" w:sz="4" w:space="0" w:color="788184"/>
              <w:bottom w:val="single" w:sz="4" w:space="0" w:color="788184"/>
              <w:right w:val="single" w:sz="4" w:space="0" w:color="788184"/>
            </w:tcBorders>
            <w:shd w:val="clear" w:color="000000" w:fill="FFFFFF"/>
            <w:vAlign w:val="center"/>
            <w:hideMark/>
          </w:tcPr>
          <w:p w14:paraId="72EA884F" w14:textId="3F3F2515" w:rsidR="009E45C9" w:rsidRPr="009E45C9" w:rsidRDefault="009E45C9" w:rsidP="009E45C9">
            <w:pPr>
              <w:spacing w:before="0" w:after="0" w:line="240" w:lineRule="auto"/>
              <w:jc w:val="right"/>
              <w:rPr>
                <w:rFonts w:ascii="Calibri" w:eastAsia="Times New Roman" w:hAnsi="Calibri" w:cs="Calibri"/>
                <w:b/>
                <w:bCs/>
                <w:color w:val="000000"/>
                <w:spacing w:val="0"/>
                <w:sz w:val="16"/>
                <w:szCs w:val="16"/>
                <w:lang w:eastAsia="en-AU"/>
              </w:rPr>
            </w:pPr>
            <w:r>
              <w:rPr>
                <w:rFonts w:ascii="Calibri" w:eastAsia="Times New Roman" w:hAnsi="Calibri" w:cs="Calibri"/>
                <w:b/>
                <w:bCs/>
                <w:color w:val="000000"/>
                <w:spacing w:val="0"/>
                <w:sz w:val="16"/>
                <w:szCs w:val="16"/>
                <w:lang w:eastAsia="en-AU"/>
              </w:rPr>
              <w:t>-</w:t>
            </w:r>
          </w:p>
        </w:tc>
        <w:tc>
          <w:tcPr>
            <w:tcW w:w="880" w:type="dxa"/>
            <w:tcBorders>
              <w:top w:val="nil"/>
              <w:left w:val="nil"/>
              <w:bottom w:val="single" w:sz="4" w:space="0" w:color="788184"/>
              <w:right w:val="single" w:sz="4" w:space="0" w:color="788184"/>
            </w:tcBorders>
            <w:shd w:val="clear" w:color="000000" w:fill="FFFFFF"/>
            <w:vAlign w:val="center"/>
            <w:hideMark/>
          </w:tcPr>
          <w:p w14:paraId="2A7C44F9" w14:textId="77777777" w:rsidR="009E45C9" w:rsidRPr="009E45C9" w:rsidRDefault="009E45C9" w:rsidP="009E45C9">
            <w:pPr>
              <w:spacing w:before="0" w:after="0" w:line="240" w:lineRule="auto"/>
              <w:jc w:val="right"/>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5,330.0</w:t>
            </w:r>
          </w:p>
        </w:tc>
        <w:tc>
          <w:tcPr>
            <w:tcW w:w="880" w:type="dxa"/>
            <w:tcBorders>
              <w:top w:val="nil"/>
              <w:left w:val="nil"/>
              <w:bottom w:val="single" w:sz="4" w:space="0" w:color="788184"/>
              <w:right w:val="single" w:sz="4" w:space="0" w:color="788184"/>
            </w:tcBorders>
            <w:shd w:val="clear" w:color="000000" w:fill="FFFFFF"/>
            <w:vAlign w:val="center"/>
            <w:hideMark/>
          </w:tcPr>
          <w:p w14:paraId="7C6ECB1C" w14:textId="77777777" w:rsidR="009E45C9" w:rsidRPr="009E45C9" w:rsidRDefault="009E45C9" w:rsidP="009E45C9">
            <w:pPr>
              <w:spacing w:before="0" w:after="0" w:line="240" w:lineRule="auto"/>
              <w:jc w:val="right"/>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12,870.0</w:t>
            </w:r>
          </w:p>
        </w:tc>
        <w:tc>
          <w:tcPr>
            <w:tcW w:w="880" w:type="dxa"/>
            <w:tcBorders>
              <w:top w:val="nil"/>
              <w:left w:val="nil"/>
              <w:bottom w:val="single" w:sz="4" w:space="0" w:color="788184"/>
              <w:right w:val="single" w:sz="4" w:space="0" w:color="788184"/>
            </w:tcBorders>
            <w:shd w:val="clear" w:color="000000" w:fill="FFFFFF"/>
            <w:vAlign w:val="center"/>
            <w:hideMark/>
          </w:tcPr>
          <w:p w14:paraId="4172FC64" w14:textId="77777777" w:rsidR="009E45C9" w:rsidRPr="009E45C9" w:rsidRDefault="009E45C9" w:rsidP="009E45C9">
            <w:pPr>
              <w:spacing w:before="0" w:after="0" w:line="240" w:lineRule="auto"/>
              <w:jc w:val="right"/>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15,600.0</w:t>
            </w:r>
          </w:p>
        </w:tc>
        <w:tc>
          <w:tcPr>
            <w:tcW w:w="880" w:type="dxa"/>
            <w:tcBorders>
              <w:top w:val="nil"/>
              <w:left w:val="nil"/>
              <w:bottom w:val="single" w:sz="4" w:space="0" w:color="788184"/>
              <w:right w:val="single" w:sz="4" w:space="0" w:color="788184"/>
            </w:tcBorders>
            <w:shd w:val="clear" w:color="000000" w:fill="FFFFFF"/>
            <w:vAlign w:val="center"/>
            <w:hideMark/>
          </w:tcPr>
          <w:p w14:paraId="73494EAF" w14:textId="77777777" w:rsidR="009E45C9" w:rsidRPr="009E45C9" w:rsidRDefault="009E45C9" w:rsidP="009E45C9">
            <w:pPr>
              <w:spacing w:before="0" w:after="0" w:line="240" w:lineRule="auto"/>
              <w:jc w:val="right"/>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14,560.0</w:t>
            </w:r>
          </w:p>
        </w:tc>
        <w:tc>
          <w:tcPr>
            <w:tcW w:w="880" w:type="dxa"/>
            <w:tcBorders>
              <w:top w:val="nil"/>
              <w:left w:val="nil"/>
              <w:bottom w:val="single" w:sz="4" w:space="0" w:color="788184"/>
              <w:right w:val="single" w:sz="4" w:space="0" w:color="788184"/>
            </w:tcBorders>
            <w:shd w:val="clear" w:color="000000" w:fill="FFFFFF"/>
            <w:vAlign w:val="center"/>
            <w:hideMark/>
          </w:tcPr>
          <w:p w14:paraId="5E5C7EEB" w14:textId="77777777" w:rsidR="009E45C9" w:rsidRPr="009E45C9" w:rsidRDefault="009E45C9" w:rsidP="009E45C9">
            <w:pPr>
              <w:spacing w:before="0" w:after="0" w:line="240" w:lineRule="auto"/>
              <w:jc w:val="right"/>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13,580.0</w:t>
            </w:r>
          </w:p>
        </w:tc>
        <w:tc>
          <w:tcPr>
            <w:tcW w:w="880" w:type="dxa"/>
            <w:tcBorders>
              <w:top w:val="nil"/>
              <w:left w:val="nil"/>
              <w:bottom w:val="single" w:sz="4" w:space="0" w:color="788184"/>
              <w:right w:val="single" w:sz="4" w:space="0" w:color="788184"/>
            </w:tcBorders>
            <w:shd w:val="clear" w:color="000000" w:fill="FFFFFF"/>
            <w:vAlign w:val="center"/>
            <w:hideMark/>
          </w:tcPr>
          <w:p w14:paraId="1D7DD437" w14:textId="77777777" w:rsidR="009E45C9" w:rsidRPr="009E45C9" w:rsidRDefault="009E45C9" w:rsidP="009E45C9">
            <w:pPr>
              <w:spacing w:before="0" w:after="0" w:line="240" w:lineRule="auto"/>
              <w:jc w:val="right"/>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11,370.0</w:t>
            </w:r>
          </w:p>
        </w:tc>
        <w:tc>
          <w:tcPr>
            <w:tcW w:w="880" w:type="dxa"/>
            <w:tcBorders>
              <w:top w:val="nil"/>
              <w:left w:val="nil"/>
              <w:bottom w:val="single" w:sz="4" w:space="0" w:color="788184"/>
              <w:right w:val="single" w:sz="4" w:space="0" w:color="788184"/>
            </w:tcBorders>
            <w:shd w:val="clear" w:color="000000" w:fill="FFFFFF"/>
            <w:vAlign w:val="center"/>
            <w:hideMark/>
          </w:tcPr>
          <w:p w14:paraId="7F430975" w14:textId="77777777" w:rsidR="009E45C9" w:rsidRPr="009E45C9" w:rsidRDefault="009E45C9" w:rsidP="009E45C9">
            <w:pPr>
              <w:spacing w:before="0" w:after="0" w:line="240" w:lineRule="auto"/>
              <w:jc w:val="right"/>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9,450.0</w:t>
            </w:r>
          </w:p>
        </w:tc>
        <w:tc>
          <w:tcPr>
            <w:tcW w:w="880" w:type="dxa"/>
            <w:tcBorders>
              <w:top w:val="nil"/>
              <w:left w:val="nil"/>
              <w:bottom w:val="single" w:sz="4" w:space="0" w:color="788184"/>
              <w:right w:val="single" w:sz="4" w:space="0" w:color="788184"/>
            </w:tcBorders>
            <w:shd w:val="clear" w:color="000000" w:fill="FFFFFF"/>
            <w:vAlign w:val="center"/>
            <w:hideMark/>
          </w:tcPr>
          <w:p w14:paraId="49CED8A5" w14:textId="77777777" w:rsidR="009E45C9" w:rsidRPr="009E45C9" w:rsidRDefault="009E45C9" w:rsidP="009E45C9">
            <w:pPr>
              <w:spacing w:before="0" w:after="0" w:line="240" w:lineRule="auto"/>
              <w:jc w:val="right"/>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4,270.0</w:t>
            </w:r>
          </w:p>
        </w:tc>
        <w:tc>
          <w:tcPr>
            <w:tcW w:w="880" w:type="dxa"/>
            <w:tcBorders>
              <w:top w:val="nil"/>
              <w:left w:val="nil"/>
              <w:bottom w:val="single" w:sz="4" w:space="0" w:color="788184"/>
              <w:right w:val="single" w:sz="4" w:space="0" w:color="788184"/>
            </w:tcBorders>
            <w:shd w:val="clear" w:color="000000" w:fill="FFFFFF"/>
            <w:vAlign w:val="center"/>
            <w:hideMark/>
          </w:tcPr>
          <w:p w14:paraId="1F5A179F" w14:textId="77777777" w:rsidR="009E45C9" w:rsidRPr="009E45C9" w:rsidRDefault="009E45C9" w:rsidP="009E45C9">
            <w:pPr>
              <w:spacing w:before="0" w:after="0" w:line="240" w:lineRule="auto"/>
              <w:jc w:val="right"/>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3,620.0</w:t>
            </w:r>
          </w:p>
        </w:tc>
        <w:tc>
          <w:tcPr>
            <w:tcW w:w="880" w:type="dxa"/>
            <w:tcBorders>
              <w:top w:val="nil"/>
              <w:left w:val="nil"/>
              <w:bottom w:val="single" w:sz="4" w:space="0" w:color="788184"/>
              <w:right w:val="single" w:sz="4" w:space="0" w:color="788184"/>
            </w:tcBorders>
            <w:shd w:val="clear" w:color="000000" w:fill="FFFFFF"/>
            <w:vAlign w:val="center"/>
            <w:hideMark/>
          </w:tcPr>
          <w:p w14:paraId="5E48F4E5" w14:textId="77777777" w:rsidR="009E45C9" w:rsidRPr="009E45C9" w:rsidRDefault="009E45C9" w:rsidP="009E45C9">
            <w:pPr>
              <w:spacing w:before="0" w:after="0" w:line="240" w:lineRule="auto"/>
              <w:jc w:val="right"/>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3,870.0</w:t>
            </w:r>
          </w:p>
        </w:tc>
        <w:tc>
          <w:tcPr>
            <w:tcW w:w="880" w:type="dxa"/>
            <w:tcBorders>
              <w:top w:val="nil"/>
              <w:left w:val="nil"/>
              <w:bottom w:val="single" w:sz="4" w:space="0" w:color="788184"/>
              <w:right w:val="single" w:sz="4" w:space="0" w:color="788184"/>
            </w:tcBorders>
            <w:shd w:val="clear" w:color="000000" w:fill="FFFFFF"/>
            <w:vAlign w:val="center"/>
            <w:hideMark/>
          </w:tcPr>
          <w:p w14:paraId="2FE7CFA2" w14:textId="77777777" w:rsidR="009E45C9" w:rsidRPr="009E45C9" w:rsidRDefault="009E45C9" w:rsidP="009E45C9">
            <w:pPr>
              <w:spacing w:before="0" w:after="0" w:line="240" w:lineRule="auto"/>
              <w:jc w:val="right"/>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33,800.0</w:t>
            </w:r>
          </w:p>
        </w:tc>
        <w:tc>
          <w:tcPr>
            <w:tcW w:w="920" w:type="dxa"/>
            <w:tcBorders>
              <w:top w:val="nil"/>
              <w:left w:val="nil"/>
              <w:bottom w:val="single" w:sz="4" w:space="0" w:color="788184"/>
              <w:right w:val="single" w:sz="4" w:space="0" w:color="788184"/>
            </w:tcBorders>
            <w:shd w:val="clear" w:color="000000" w:fill="FFFFFF"/>
            <w:vAlign w:val="center"/>
            <w:hideMark/>
          </w:tcPr>
          <w:p w14:paraId="6B15368B" w14:textId="77777777" w:rsidR="009E45C9" w:rsidRPr="009E45C9" w:rsidRDefault="009E45C9" w:rsidP="009E45C9">
            <w:pPr>
              <w:spacing w:before="0" w:after="0" w:line="240" w:lineRule="auto"/>
              <w:jc w:val="right"/>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94,520.0</w:t>
            </w:r>
          </w:p>
        </w:tc>
      </w:tr>
      <w:tr w:rsidR="009E45C9" w:rsidRPr="009E45C9" w14:paraId="3FC0B53C" w14:textId="77777777" w:rsidTr="009E45C9">
        <w:trPr>
          <w:trHeight w:val="315"/>
        </w:trPr>
        <w:tc>
          <w:tcPr>
            <w:tcW w:w="2140" w:type="dxa"/>
            <w:tcBorders>
              <w:top w:val="nil"/>
              <w:left w:val="single" w:sz="4" w:space="0" w:color="788184"/>
              <w:bottom w:val="single" w:sz="4" w:space="0" w:color="788184"/>
              <w:right w:val="single" w:sz="4" w:space="0" w:color="788184"/>
            </w:tcBorders>
            <w:shd w:val="clear" w:color="000000" w:fill="A7B2D4"/>
            <w:vAlign w:val="center"/>
            <w:hideMark/>
          </w:tcPr>
          <w:p w14:paraId="7D6D0873" w14:textId="77777777" w:rsidR="009E45C9" w:rsidRPr="009E45C9" w:rsidRDefault="009E45C9" w:rsidP="009E45C9">
            <w:pPr>
              <w:spacing w:before="0" w:after="0" w:line="240" w:lineRule="auto"/>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Total (excluding PDI)</w:t>
            </w:r>
          </w:p>
        </w:tc>
        <w:tc>
          <w:tcPr>
            <w:tcW w:w="1000" w:type="dxa"/>
            <w:tcBorders>
              <w:top w:val="single" w:sz="4" w:space="0" w:color="788184"/>
              <w:left w:val="single" w:sz="4" w:space="0" w:color="788184"/>
              <w:bottom w:val="single" w:sz="4" w:space="0" w:color="788184"/>
              <w:right w:val="single" w:sz="4" w:space="0" w:color="788184"/>
            </w:tcBorders>
            <w:shd w:val="clear" w:color="000000" w:fill="A7B2D4"/>
            <w:vAlign w:val="center"/>
            <w:hideMark/>
          </w:tcPr>
          <w:p w14:paraId="5AEA270D" w14:textId="304BED2D" w:rsidR="009E45C9" w:rsidRPr="009E45C9" w:rsidRDefault="009E45C9" w:rsidP="009E45C9">
            <w:pPr>
              <w:spacing w:before="0" w:after="0" w:line="240" w:lineRule="auto"/>
              <w:jc w:val="right"/>
              <w:rPr>
                <w:rFonts w:ascii="Calibri" w:eastAsia="Times New Roman" w:hAnsi="Calibri" w:cs="Calibri"/>
                <w:b/>
                <w:bCs/>
                <w:color w:val="000000"/>
                <w:spacing w:val="0"/>
                <w:sz w:val="16"/>
                <w:szCs w:val="16"/>
                <w:lang w:eastAsia="en-AU"/>
              </w:rPr>
            </w:pPr>
            <w:r>
              <w:rPr>
                <w:rFonts w:ascii="Calibri" w:eastAsia="Times New Roman" w:hAnsi="Calibri" w:cs="Calibri"/>
                <w:b/>
                <w:bCs/>
                <w:color w:val="000000"/>
                <w:spacing w:val="0"/>
                <w:sz w:val="16"/>
                <w:szCs w:val="16"/>
                <w:lang w:eastAsia="en-AU"/>
              </w:rPr>
              <w:t>-</w:t>
            </w:r>
          </w:p>
        </w:tc>
        <w:tc>
          <w:tcPr>
            <w:tcW w:w="880" w:type="dxa"/>
            <w:tcBorders>
              <w:top w:val="nil"/>
              <w:left w:val="nil"/>
              <w:bottom w:val="single" w:sz="4" w:space="0" w:color="788184"/>
              <w:right w:val="single" w:sz="4" w:space="0" w:color="788184"/>
            </w:tcBorders>
            <w:shd w:val="clear" w:color="000000" w:fill="A7B2D4"/>
            <w:vAlign w:val="center"/>
            <w:hideMark/>
          </w:tcPr>
          <w:p w14:paraId="63E9008D" w14:textId="77777777" w:rsidR="009E45C9" w:rsidRPr="009E45C9" w:rsidRDefault="009E45C9" w:rsidP="009E45C9">
            <w:pPr>
              <w:spacing w:before="0" w:after="0" w:line="240" w:lineRule="auto"/>
              <w:jc w:val="right"/>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5,330.0</w:t>
            </w:r>
          </w:p>
        </w:tc>
        <w:tc>
          <w:tcPr>
            <w:tcW w:w="880" w:type="dxa"/>
            <w:tcBorders>
              <w:top w:val="nil"/>
              <w:left w:val="nil"/>
              <w:bottom w:val="single" w:sz="4" w:space="0" w:color="788184"/>
              <w:right w:val="single" w:sz="4" w:space="0" w:color="788184"/>
            </w:tcBorders>
            <w:shd w:val="clear" w:color="000000" w:fill="A7B2D4"/>
            <w:vAlign w:val="center"/>
            <w:hideMark/>
          </w:tcPr>
          <w:p w14:paraId="7CC71176" w14:textId="77777777" w:rsidR="009E45C9" w:rsidRPr="009E45C9" w:rsidRDefault="009E45C9" w:rsidP="009E45C9">
            <w:pPr>
              <w:spacing w:before="0" w:after="0" w:line="240" w:lineRule="auto"/>
              <w:jc w:val="right"/>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12,870.0</w:t>
            </w:r>
          </w:p>
        </w:tc>
        <w:tc>
          <w:tcPr>
            <w:tcW w:w="880" w:type="dxa"/>
            <w:tcBorders>
              <w:top w:val="nil"/>
              <w:left w:val="nil"/>
              <w:bottom w:val="single" w:sz="4" w:space="0" w:color="788184"/>
              <w:right w:val="single" w:sz="4" w:space="0" w:color="788184"/>
            </w:tcBorders>
            <w:shd w:val="clear" w:color="000000" w:fill="A7B2D4"/>
            <w:vAlign w:val="center"/>
            <w:hideMark/>
          </w:tcPr>
          <w:p w14:paraId="7BF5DFD0" w14:textId="77777777" w:rsidR="009E45C9" w:rsidRPr="009E45C9" w:rsidRDefault="009E45C9" w:rsidP="009E45C9">
            <w:pPr>
              <w:spacing w:before="0" w:after="0" w:line="240" w:lineRule="auto"/>
              <w:jc w:val="right"/>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15,600.0</w:t>
            </w:r>
          </w:p>
        </w:tc>
        <w:tc>
          <w:tcPr>
            <w:tcW w:w="880" w:type="dxa"/>
            <w:tcBorders>
              <w:top w:val="nil"/>
              <w:left w:val="nil"/>
              <w:bottom w:val="single" w:sz="4" w:space="0" w:color="788184"/>
              <w:right w:val="single" w:sz="4" w:space="0" w:color="788184"/>
            </w:tcBorders>
            <w:shd w:val="clear" w:color="000000" w:fill="A7B2D4"/>
            <w:vAlign w:val="center"/>
            <w:hideMark/>
          </w:tcPr>
          <w:p w14:paraId="229829D2" w14:textId="77777777" w:rsidR="009E45C9" w:rsidRPr="009E45C9" w:rsidRDefault="009E45C9" w:rsidP="009E45C9">
            <w:pPr>
              <w:spacing w:before="0" w:after="0" w:line="240" w:lineRule="auto"/>
              <w:jc w:val="right"/>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14,560.0</w:t>
            </w:r>
          </w:p>
        </w:tc>
        <w:tc>
          <w:tcPr>
            <w:tcW w:w="880" w:type="dxa"/>
            <w:tcBorders>
              <w:top w:val="nil"/>
              <w:left w:val="nil"/>
              <w:bottom w:val="single" w:sz="4" w:space="0" w:color="788184"/>
              <w:right w:val="single" w:sz="4" w:space="0" w:color="788184"/>
            </w:tcBorders>
            <w:shd w:val="clear" w:color="000000" w:fill="A7B2D4"/>
            <w:vAlign w:val="center"/>
            <w:hideMark/>
          </w:tcPr>
          <w:p w14:paraId="42892F7C" w14:textId="77777777" w:rsidR="009E45C9" w:rsidRPr="009E45C9" w:rsidRDefault="009E45C9" w:rsidP="009E45C9">
            <w:pPr>
              <w:spacing w:before="0" w:after="0" w:line="240" w:lineRule="auto"/>
              <w:jc w:val="right"/>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13,580.0</w:t>
            </w:r>
          </w:p>
        </w:tc>
        <w:tc>
          <w:tcPr>
            <w:tcW w:w="880" w:type="dxa"/>
            <w:tcBorders>
              <w:top w:val="nil"/>
              <w:left w:val="nil"/>
              <w:bottom w:val="single" w:sz="4" w:space="0" w:color="788184"/>
              <w:right w:val="single" w:sz="4" w:space="0" w:color="788184"/>
            </w:tcBorders>
            <w:shd w:val="clear" w:color="000000" w:fill="A7B2D4"/>
            <w:vAlign w:val="center"/>
            <w:hideMark/>
          </w:tcPr>
          <w:p w14:paraId="23EF8BDA" w14:textId="77777777" w:rsidR="009E45C9" w:rsidRPr="009E45C9" w:rsidRDefault="009E45C9" w:rsidP="009E45C9">
            <w:pPr>
              <w:spacing w:before="0" w:after="0" w:line="240" w:lineRule="auto"/>
              <w:jc w:val="right"/>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11,370.0</w:t>
            </w:r>
          </w:p>
        </w:tc>
        <w:tc>
          <w:tcPr>
            <w:tcW w:w="880" w:type="dxa"/>
            <w:tcBorders>
              <w:top w:val="nil"/>
              <w:left w:val="nil"/>
              <w:bottom w:val="single" w:sz="4" w:space="0" w:color="788184"/>
              <w:right w:val="single" w:sz="4" w:space="0" w:color="788184"/>
            </w:tcBorders>
            <w:shd w:val="clear" w:color="000000" w:fill="A7B2D4"/>
            <w:vAlign w:val="center"/>
            <w:hideMark/>
          </w:tcPr>
          <w:p w14:paraId="37D501F0" w14:textId="77777777" w:rsidR="009E45C9" w:rsidRPr="009E45C9" w:rsidRDefault="009E45C9" w:rsidP="009E45C9">
            <w:pPr>
              <w:spacing w:before="0" w:after="0" w:line="240" w:lineRule="auto"/>
              <w:jc w:val="right"/>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9,450.0</w:t>
            </w:r>
          </w:p>
        </w:tc>
        <w:tc>
          <w:tcPr>
            <w:tcW w:w="880" w:type="dxa"/>
            <w:tcBorders>
              <w:top w:val="nil"/>
              <w:left w:val="nil"/>
              <w:bottom w:val="single" w:sz="4" w:space="0" w:color="788184"/>
              <w:right w:val="single" w:sz="4" w:space="0" w:color="788184"/>
            </w:tcBorders>
            <w:shd w:val="clear" w:color="000000" w:fill="A7B2D4"/>
            <w:vAlign w:val="center"/>
            <w:hideMark/>
          </w:tcPr>
          <w:p w14:paraId="01B82291" w14:textId="77777777" w:rsidR="009E45C9" w:rsidRPr="009E45C9" w:rsidRDefault="009E45C9" w:rsidP="009E45C9">
            <w:pPr>
              <w:spacing w:before="0" w:after="0" w:line="240" w:lineRule="auto"/>
              <w:jc w:val="right"/>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4,270.0</w:t>
            </w:r>
          </w:p>
        </w:tc>
        <w:tc>
          <w:tcPr>
            <w:tcW w:w="880" w:type="dxa"/>
            <w:tcBorders>
              <w:top w:val="nil"/>
              <w:left w:val="nil"/>
              <w:bottom w:val="single" w:sz="4" w:space="0" w:color="788184"/>
              <w:right w:val="single" w:sz="4" w:space="0" w:color="788184"/>
            </w:tcBorders>
            <w:shd w:val="clear" w:color="000000" w:fill="A7B2D4"/>
            <w:vAlign w:val="center"/>
            <w:hideMark/>
          </w:tcPr>
          <w:p w14:paraId="1012C801" w14:textId="77777777" w:rsidR="009E45C9" w:rsidRPr="009E45C9" w:rsidRDefault="009E45C9" w:rsidP="009E45C9">
            <w:pPr>
              <w:spacing w:before="0" w:after="0" w:line="240" w:lineRule="auto"/>
              <w:jc w:val="right"/>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3,620.0</w:t>
            </w:r>
          </w:p>
        </w:tc>
        <w:tc>
          <w:tcPr>
            <w:tcW w:w="880" w:type="dxa"/>
            <w:tcBorders>
              <w:top w:val="nil"/>
              <w:left w:val="nil"/>
              <w:bottom w:val="single" w:sz="4" w:space="0" w:color="788184"/>
              <w:right w:val="single" w:sz="4" w:space="0" w:color="788184"/>
            </w:tcBorders>
            <w:shd w:val="clear" w:color="000000" w:fill="A7B2D4"/>
            <w:vAlign w:val="center"/>
            <w:hideMark/>
          </w:tcPr>
          <w:p w14:paraId="3B8F921A" w14:textId="77777777" w:rsidR="009E45C9" w:rsidRPr="009E45C9" w:rsidRDefault="009E45C9" w:rsidP="009E45C9">
            <w:pPr>
              <w:spacing w:before="0" w:after="0" w:line="240" w:lineRule="auto"/>
              <w:jc w:val="right"/>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3,870.0</w:t>
            </w:r>
          </w:p>
        </w:tc>
        <w:tc>
          <w:tcPr>
            <w:tcW w:w="880" w:type="dxa"/>
            <w:tcBorders>
              <w:top w:val="nil"/>
              <w:left w:val="nil"/>
              <w:bottom w:val="single" w:sz="4" w:space="0" w:color="788184"/>
              <w:right w:val="single" w:sz="4" w:space="0" w:color="788184"/>
            </w:tcBorders>
            <w:shd w:val="clear" w:color="000000" w:fill="A7B2D4"/>
            <w:vAlign w:val="center"/>
            <w:hideMark/>
          </w:tcPr>
          <w:p w14:paraId="0DE4C1B8" w14:textId="77777777" w:rsidR="009E45C9" w:rsidRPr="009E45C9" w:rsidRDefault="009E45C9" w:rsidP="009E45C9">
            <w:pPr>
              <w:spacing w:before="0" w:after="0" w:line="240" w:lineRule="auto"/>
              <w:jc w:val="right"/>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33,800.0</w:t>
            </w:r>
          </w:p>
        </w:tc>
        <w:tc>
          <w:tcPr>
            <w:tcW w:w="920" w:type="dxa"/>
            <w:tcBorders>
              <w:top w:val="nil"/>
              <w:left w:val="nil"/>
              <w:bottom w:val="single" w:sz="4" w:space="0" w:color="788184"/>
              <w:right w:val="single" w:sz="4" w:space="0" w:color="788184"/>
            </w:tcBorders>
            <w:shd w:val="clear" w:color="000000" w:fill="A7B2D4"/>
            <w:vAlign w:val="center"/>
            <w:hideMark/>
          </w:tcPr>
          <w:p w14:paraId="1BE87441" w14:textId="77777777" w:rsidR="009E45C9" w:rsidRPr="009E45C9" w:rsidRDefault="009E45C9" w:rsidP="009E45C9">
            <w:pPr>
              <w:spacing w:before="0" w:after="0" w:line="240" w:lineRule="auto"/>
              <w:jc w:val="right"/>
              <w:rPr>
                <w:rFonts w:ascii="Calibri" w:eastAsia="Times New Roman" w:hAnsi="Calibri" w:cs="Calibri"/>
                <w:b/>
                <w:bCs/>
                <w:color w:val="000000"/>
                <w:spacing w:val="0"/>
                <w:sz w:val="16"/>
                <w:szCs w:val="16"/>
                <w:lang w:eastAsia="en-AU"/>
              </w:rPr>
            </w:pPr>
            <w:r w:rsidRPr="009E45C9">
              <w:rPr>
                <w:rFonts w:ascii="Calibri" w:eastAsia="Times New Roman" w:hAnsi="Calibri" w:cs="Calibri"/>
                <w:b/>
                <w:bCs/>
                <w:color w:val="000000"/>
                <w:spacing w:val="0"/>
                <w:sz w:val="16"/>
                <w:szCs w:val="16"/>
                <w:lang w:eastAsia="en-AU"/>
              </w:rPr>
              <w:t>94,520.0</w:t>
            </w:r>
          </w:p>
        </w:tc>
      </w:tr>
    </w:tbl>
    <w:p w14:paraId="463D71C2" w14:textId="77777777" w:rsidR="00DF35FA" w:rsidRPr="00CD1811" w:rsidRDefault="00DF35FA" w:rsidP="00DF35FA">
      <w:pPr>
        <w:pStyle w:val="PRRfootnote2"/>
      </w:pPr>
      <w:r w:rsidRPr="00CD1811">
        <w:t>(a)</w:t>
      </w:r>
      <w:r w:rsidRPr="00CD1811">
        <w:tab/>
        <w:t xml:space="preserve">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  </w:t>
      </w:r>
    </w:p>
    <w:p w14:paraId="2453D453" w14:textId="77777777" w:rsidR="00DF35FA" w:rsidRDefault="00DF35FA" w:rsidP="00DF35FA">
      <w:pPr>
        <w:pStyle w:val="PRRfootnote2"/>
        <w:numPr>
          <w:ilvl w:val="0"/>
          <w:numId w:val="46"/>
        </w:numPr>
        <w:ind w:left="284" w:hanging="284"/>
      </w:pPr>
      <w:r w:rsidRPr="00CD1811">
        <w:t>Indicates nil.</w:t>
      </w:r>
    </w:p>
    <w:p w14:paraId="5D52E634" w14:textId="77777777" w:rsidR="00DF35FA" w:rsidRDefault="00DF35FA" w:rsidP="00703D72"/>
    <w:p w14:paraId="675C8729" w14:textId="77777777" w:rsidR="00703D72" w:rsidRPr="00703D72" w:rsidRDefault="00703D72" w:rsidP="00703D72"/>
    <w:p w14:paraId="436B405D" w14:textId="77777777" w:rsidR="00703D72" w:rsidRDefault="00703D72" w:rsidP="00FB1838">
      <w:pPr>
        <w:pStyle w:val="Caption"/>
        <w:widowControl w:val="0"/>
        <w:tabs>
          <w:tab w:val="left" w:pos="9356"/>
        </w:tabs>
      </w:pPr>
    </w:p>
    <w:p w14:paraId="27982AFC" w14:textId="03C6A636" w:rsidR="00FB1838" w:rsidRDefault="00FB1838" w:rsidP="00FB1838">
      <w:pPr>
        <w:pStyle w:val="Caption"/>
        <w:widowControl w:val="0"/>
        <w:tabs>
          <w:tab w:val="left" w:pos="9356"/>
        </w:tabs>
        <w:rPr>
          <w:vertAlign w:val="superscript"/>
        </w:rPr>
      </w:pPr>
      <w:r w:rsidRPr="002D239A">
        <w:t xml:space="preserve">Table </w:t>
      </w:r>
      <w:r>
        <w:rPr>
          <w:noProof/>
        </w:rPr>
        <w:fldChar w:fldCharType="begin"/>
      </w:r>
      <w:r>
        <w:rPr>
          <w:noProof/>
        </w:rPr>
        <w:instrText xml:space="preserve"> STYLEREF 8 \s </w:instrText>
      </w:r>
      <w:r>
        <w:rPr>
          <w:noProof/>
        </w:rPr>
        <w:fldChar w:fldCharType="separate"/>
      </w:r>
      <w:r w:rsidR="0070110A">
        <w:rPr>
          <w:noProof/>
        </w:rPr>
        <w:t>A</w:t>
      </w:r>
      <w:r>
        <w:rPr>
          <w:noProof/>
        </w:rPr>
        <w:fldChar w:fldCharType="end"/>
      </w:r>
      <w:r>
        <w:rPr>
          <w:noProof/>
        </w:rPr>
        <w:fldChar w:fldCharType="begin"/>
      </w:r>
      <w:r>
        <w:rPr>
          <w:noProof/>
        </w:rPr>
        <w:instrText xml:space="preserve"> SEQ AppendixTable\s 8 </w:instrText>
      </w:r>
      <w:r>
        <w:rPr>
          <w:noProof/>
        </w:rPr>
        <w:fldChar w:fldCharType="separate"/>
      </w:r>
      <w:r w:rsidR="0070110A">
        <w:rPr>
          <w:noProof/>
        </w:rPr>
        <w:t>2</w:t>
      </w:r>
      <w:r>
        <w:rPr>
          <w:noProof/>
        </w:rPr>
        <w:fldChar w:fldCharType="end"/>
      </w:r>
      <w:r w:rsidRPr="00FB1838">
        <w:rPr>
          <w:noProof/>
        </w:rPr>
        <w:t xml:space="preserve"> </w:t>
      </w:r>
      <w:r>
        <w:rPr>
          <w:noProof/>
        </w:rPr>
        <w:t>Make Gas Exporters Pay Taxes and Royalties</w:t>
      </w:r>
      <w:r>
        <w:t xml:space="preserve"> –Underlying cash balance ($</w:t>
      </w:r>
      <w:proofErr w:type="gramStart"/>
      <w:r>
        <w:t>m)</w:t>
      </w:r>
      <w:r>
        <w:rPr>
          <w:vertAlign w:val="superscript"/>
        </w:rPr>
        <w:t>(</w:t>
      </w:r>
      <w:proofErr w:type="gramEnd"/>
      <w:r>
        <w:rPr>
          <w:vertAlign w:val="superscript"/>
        </w:rPr>
        <w:t>a)</w:t>
      </w:r>
    </w:p>
    <w:p w14:paraId="40B48BB4" w14:textId="486E5536" w:rsidR="00DC4F43" w:rsidRPr="00DC4F43" w:rsidRDefault="00AF655B" w:rsidP="00DC4F43">
      <w:r>
        <w:object w:dxaOrig="14470" w:dyaOrig="3540" w14:anchorId="781A5E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3.75pt;height:177pt" o:ole="">
            <v:imagedata r:id="rId18" o:title=""/>
          </v:shape>
          <o:OLEObject Type="Embed" ProgID="Excel.Sheet.12" ShapeID="_x0000_i1025" DrawAspect="Content" ObjectID="_1744005738" r:id="rId19"/>
        </w:object>
      </w:r>
    </w:p>
    <w:p w14:paraId="42985287" w14:textId="77777777" w:rsidR="00FB1838" w:rsidRPr="00CD1811" w:rsidRDefault="00FB1838" w:rsidP="00FB1838">
      <w:pPr>
        <w:pStyle w:val="PRRfootnote2"/>
      </w:pPr>
      <w:r w:rsidRPr="00CD1811">
        <w:t>(a)</w:t>
      </w:r>
      <w:r w:rsidRPr="00CD1811">
        <w:tab/>
      </w:r>
      <w:r w:rsidRPr="00816E26">
        <w:t>A positive number for the underlying cash balance indicates an increase in receipts or a decrease in payments or net capital investment in cash terms. A negative number for the underlying cash balance indicates a decrease in receipts or an increase in payments or net capital investment in cash terms</w:t>
      </w:r>
      <w:r w:rsidRPr="00CD1811">
        <w:t xml:space="preserve">.  </w:t>
      </w:r>
    </w:p>
    <w:p w14:paraId="7C937F7D" w14:textId="77777777" w:rsidR="00FB1838" w:rsidRDefault="00FB1838" w:rsidP="00FB1838">
      <w:pPr>
        <w:pStyle w:val="PRRfootnote2"/>
        <w:numPr>
          <w:ilvl w:val="0"/>
          <w:numId w:val="46"/>
        </w:numPr>
        <w:ind w:left="284" w:hanging="284"/>
      </w:pPr>
      <w:r w:rsidRPr="00CD1811">
        <w:t>Indicates nil.</w:t>
      </w:r>
    </w:p>
    <w:bookmarkEnd w:id="0"/>
    <w:p w14:paraId="78E548B6" w14:textId="60D02D24" w:rsidR="002F1C1A" w:rsidRDefault="002F1C1A" w:rsidP="00804804"/>
    <w:p w14:paraId="0C907BDD" w14:textId="77777777" w:rsidR="00703D72" w:rsidRDefault="00703D72" w:rsidP="003B625E">
      <w:pPr>
        <w:pStyle w:val="Caption"/>
        <w:widowControl w:val="0"/>
        <w:tabs>
          <w:tab w:val="left" w:pos="9356"/>
        </w:tabs>
      </w:pPr>
    </w:p>
    <w:p w14:paraId="43C51048" w14:textId="77777777" w:rsidR="00703D72" w:rsidRDefault="00703D72" w:rsidP="003B625E">
      <w:pPr>
        <w:pStyle w:val="Caption"/>
        <w:widowControl w:val="0"/>
        <w:tabs>
          <w:tab w:val="left" w:pos="9356"/>
        </w:tabs>
      </w:pPr>
    </w:p>
    <w:p w14:paraId="0D99E563" w14:textId="13A65519" w:rsidR="00703D72" w:rsidRDefault="00703D72" w:rsidP="003B625E">
      <w:pPr>
        <w:pStyle w:val="Caption"/>
        <w:widowControl w:val="0"/>
        <w:tabs>
          <w:tab w:val="left" w:pos="9356"/>
        </w:tabs>
      </w:pPr>
    </w:p>
    <w:p w14:paraId="6F1B68FC" w14:textId="77777777" w:rsidR="00703D72" w:rsidRPr="00703D72" w:rsidRDefault="00703D72" w:rsidP="00703D72"/>
    <w:p w14:paraId="6F28CD9A" w14:textId="77777777" w:rsidR="006A7492" w:rsidRDefault="006A7492">
      <w:pPr>
        <w:spacing w:after="60" w:line="240" w:lineRule="auto"/>
        <w:rPr>
          <w:b/>
          <w:iCs/>
          <w:color w:val="3D4D7D" w:themeColor="background2"/>
          <w:szCs w:val="18"/>
        </w:rPr>
      </w:pPr>
      <w:r>
        <w:br w:type="page"/>
      </w:r>
    </w:p>
    <w:p w14:paraId="495E3B20" w14:textId="16A212DC" w:rsidR="003B625E" w:rsidRDefault="003B625E" w:rsidP="003B625E">
      <w:pPr>
        <w:pStyle w:val="Caption"/>
        <w:widowControl w:val="0"/>
        <w:tabs>
          <w:tab w:val="left" w:pos="9356"/>
        </w:tabs>
        <w:rPr>
          <w:vertAlign w:val="superscript"/>
        </w:rPr>
      </w:pPr>
      <w:r w:rsidRPr="002D239A">
        <w:lastRenderedPageBreak/>
        <w:t xml:space="preserve">Table </w:t>
      </w:r>
      <w:r>
        <w:rPr>
          <w:noProof/>
        </w:rPr>
        <w:fldChar w:fldCharType="begin"/>
      </w:r>
      <w:r>
        <w:rPr>
          <w:noProof/>
        </w:rPr>
        <w:instrText xml:space="preserve"> STYLEREF 8 \s </w:instrText>
      </w:r>
      <w:r>
        <w:rPr>
          <w:noProof/>
        </w:rPr>
        <w:fldChar w:fldCharType="separate"/>
      </w:r>
      <w:r w:rsidR="0070110A">
        <w:rPr>
          <w:noProof/>
        </w:rPr>
        <w:t>A</w:t>
      </w:r>
      <w:r>
        <w:rPr>
          <w:noProof/>
        </w:rPr>
        <w:fldChar w:fldCharType="end"/>
      </w:r>
      <w:r w:rsidR="00703D72">
        <w:rPr>
          <w:noProof/>
        </w:rPr>
        <w:t>3</w:t>
      </w:r>
      <w:r w:rsidRPr="002D239A">
        <w:t xml:space="preserve">: </w:t>
      </w:r>
      <w:r>
        <w:rPr>
          <w:noProof/>
        </w:rPr>
        <w:t>Make Gas Exporters Pay Taxes and Royalties</w:t>
      </w:r>
      <w:r>
        <w:t xml:space="preserve"> –</w:t>
      </w:r>
      <w:r w:rsidRPr="00422CB1">
        <w:t>Memorandum item: Public Debt Interest</w:t>
      </w:r>
      <w:r>
        <w:t> </w:t>
      </w:r>
      <w:r w:rsidRPr="00422CB1">
        <w:t>(PDI) impacts</w:t>
      </w:r>
      <w:r>
        <w:t xml:space="preserve"> – Fiscal and underlying cash balances ($</w:t>
      </w:r>
      <w:proofErr w:type="gramStart"/>
      <w:r>
        <w:t>m)</w:t>
      </w:r>
      <w:r>
        <w:rPr>
          <w:vertAlign w:val="superscript"/>
        </w:rPr>
        <w:t>(</w:t>
      </w:r>
      <w:proofErr w:type="gramEnd"/>
      <w:r>
        <w:rPr>
          <w:vertAlign w:val="superscript"/>
        </w:rPr>
        <w:t>a)(b)</w:t>
      </w:r>
    </w:p>
    <w:p w14:paraId="080600C0" w14:textId="4BC7C199" w:rsidR="003B625E" w:rsidRPr="003B625E" w:rsidRDefault="008165CC" w:rsidP="003B625E">
      <w:r>
        <w:object w:dxaOrig="14470" w:dyaOrig="1020" w14:anchorId="1E609271">
          <v:shape id="_x0000_i1026" type="#_x0000_t75" style="width:723.75pt;height:51pt" o:ole="">
            <v:imagedata r:id="rId20" o:title=""/>
          </v:shape>
          <o:OLEObject Type="Embed" ProgID="Excel.Sheet.12" ShapeID="_x0000_i1026" DrawAspect="Content" ObjectID="_1744005739" r:id="rId21"/>
        </w:object>
      </w:r>
    </w:p>
    <w:p w14:paraId="40BEE8D5" w14:textId="73C2F96D" w:rsidR="003B625E" w:rsidRPr="00CD1811" w:rsidRDefault="003B625E" w:rsidP="003B625E">
      <w:pPr>
        <w:pStyle w:val="PRRfootnote2"/>
      </w:pPr>
      <w:r w:rsidRPr="00CD1811">
        <w:t>(a)</w:t>
      </w:r>
      <w:r w:rsidRPr="00CD1811">
        <w:tab/>
      </w:r>
      <w:r>
        <w:t xml:space="preserve">As this table is presented as a memorandum item, these figures are not reflected in </w:t>
      </w:r>
      <w:r w:rsidRPr="00710ADF">
        <w:t xml:space="preserve">the totals in </w:t>
      </w:r>
      <w:r>
        <w:t>the tables above. This is consistent with the approach taken in the budget where the budget impact of most measures is presented excluding the impact on PDI. If the reader would like a complete picture of the total aggregate, then these figures would need to be added to the figures above. For further information on government borrowing and financing please refer to the PBO’s online budget glossary</w:t>
      </w:r>
      <w:r>
        <w:rPr>
          <w:rStyle w:val="FootnoteReference"/>
        </w:rPr>
        <w:footnoteReference w:id="3"/>
      </w:r>
      <w:r>
        <w:t>.</w:t>
      </w:r>
    </w:p>
    <w:p w14:paraId="76F7178E" w14:textId="77777777" w:rsidR="003B625E" w:rsidRDefault="003B625E" w:rsidP="003B625E">
      <w:pPr>
        <w:pStyle w:val="PRRfootnote2"/>
      </w:pPr>
      <w:r>
        <w:t>(b)</w:t>
      </w:r>
      <w:r>
        <w:tab/>
        <w:t>A</w:t>
      </w:r>
      <w:r w:rsidRPr="00CD1811">
        <w:t xml:space="preserve"> </w:t>
      </w:r>
      <w:r w:rsidRPr="001E5635">
        <w:t>positive number for the fiscal balance indicates an increase in revenue or a decrease in expenses or net capital investment in accrual terms. A negative number for the</w:t>
      </w:r>
      <w:r w:rsidRPr="00CD1811">
        <w:t xml:space="preserve"> fiscal balance indicates a decrease in revenue or an increase in expenses or net capital investment in accrual terms. </w:t>
      </w:r>
      <w:r w:rsidRPr="00816E26">
        <w:t xml:space="preserve">A positive number for the underlying cash balance indicates an increase in receipts or a decrease in payments or net capital investment in cash terms. A negative number for the underlying cash balance indicates a decrease in receipts or an increase in payments or net capital investment in cash terms. </w:t>
      </w:r>
    </w:p>
    <w:p w14:paraId="3C0BC8B7" w14:textId="77777777" w:rsidR="003B625E" w:rsidRDefault="003B625E" w:rsidP="003B625E">
      <w:pPr>
        <w:pStyle w:val="PRRfootnote2"/>
        <w:numPr>
          <w:ilvl w:val="0"/>
          <w:numId w:val="46"/>
        </w:numPr>
        <w:ind w:left="284" w:hanging="284"/>
      </w:pPr>
      <w:r w:rsidRPr="00CD1811">
        <w:t>Indicates nil.</w:t>
      </w:r>
    </w:p>
    <w:p w14:paraId="2D60B84A" w14:textId="77777777" w:rsidR="002F1C1A" w:rsidRPr="00804804" w:rsidRDefault="002F1C1A" w:rsidP="00804804"/>
    <w:sectPr w:rsidR="002F1C1A" w:rsidRPr="00804804" w:rsidSect="00617691">
      <w:footerReference w:type="default" r:id="rId22"/>
      <w:pgSz w:w="16839" w:h="11907" w:orient="landscape" w:code="9"/>
      <w:pgMar w:top="992" w:right="907" w:bottom="992" w:left="1134" w:header="284" w:footer="45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9B7E2" w14:textId="77777777" w:rsidR="008D15E3" w:rsidRDefault="008D15E3" w:rsidP="00A20802">
      <w:r>
        <w:separator/>
      </w:r>
    </w:p>
    <w:p w14:paraId="66401A70" w14:textId="77777777" w:rsidR="008D15E3" w:rsidRDefault="008D15E3"/>
    <w:p w14:paraId="44432383" w14:textId="77777777" w:rsidR="008D15E3" w:rsidRDefault="008D15E3"/>
  </w:endnote>
  <w:endnote w:type="continuationSeparator" w:id="0">
    <w:p w14:paraId="0F631001" w14:textId="77777777" w:rsidR="008D15E3" w:rsidRDefault="008D15E3" w:rsidP="00A20802">
      <w:r>
        <w:continuationSeparator/>
      </w:r>
    </w:p>
    <w:p w14:paraId="6669C2CA" w14:textId="77777777" w:rsidR="008D15E3" w:rsidRDefault="008D15E3"/>
    <w:p w14:paraId="0262A3B7" w14:textId="77777777" w:rsidR="008D15E3" w:rsidRDefault="008D15E3"/>
  </w:endnote>
  <w:endnote w:type="continuationNotice" w:id="1">
    <w:p w14:paraId="3D66D853" w14:textId="77777777" w:rsidR="008D15E3" w:rsidRDefault="008D15E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D05F1" w14:textId="77777777" w:rsidR="0070110A" w:rsidRDefault="007011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CFDBB" w14:textId="0AEB1882" w:rsidR="00C44D85" w:rsidRPr="004B52AF" w:rsidRDefault="00F91A0D" w:rsidP="00F91A0D">
    <w:pPr>
      <w:pStyle w:val="Footer"/>
      <w:tabs>
        <w:tab w:val="clear" w:pos="4513"/>
        <w:tab w:val="center" w:pos="4535"/>
        <w:tab w:val="right" w:pos="9071"/>
      </w:tabs>
      <w:rPr>
        <w:b/>
        <w:bCs/>
        <w:sz w:val="22"/>
      </w:rPr>
    </w:pPr>
    <w:r>
      <w:rPr>
        <w:rStyle w:val="FooterChar"/>
        <w:b/>
        <w:bCs/>
        <w:sz w:val="22"/>
      </w:rPr>
      <w:tab/>
    </w:r>
    <w:r w:rsidR="00B3201B" w:rsidRPr="006A7492">
      <w:rPr>
        <w:rFonts w:ascii="Calibri" w:hAnsi="Calibri" w:cs="Calibri"/>
        <w:strike/>
        <w:color w:val="FF0000"/>
        <w:sz w:val="20"/>
      </w:rPr>
      <w:t>OFFICIAL: Sensitive</w:t>
    </w:r>
    <w:r>
      <w:rPr>
        <w:rStyle w:val="FooterChar"/>
        <w:b/>
        <w:bCs/>
        <w:sz w:val="22"/>
      </w:rPr>
      <w:tab/>
    </w:r>
    <w:r w:rsidR="003A34E7" w:rsidRPr="007C4069">
      <w:rPr>
        <w:rStyle w:val="FooterChar"/>
        <w:b/>
        <w:bCs/>
        <w:sz w:val="22"/>
      </w:rPr>
      <w:t xml:space="preserve">Page </w:t>
    </w:r>
    <w:r w:rsidR="003A34E7" w:rsidRPr="007C4069">
      <w:rPr>
        <w:rStyle w:val="FooterChar"/>
        <w:b/>
        <w:bCs/>
        <w:sz w:val="22"/>
      </w:rPr>
      <w:fldChar w:fldCharType="begin"/>
    </w:r>
    <w:r w:rsidR="003A34E7" w:rsidRPr="007C4069">
      <w:rPr>
        <w:rStyle w:val="FooterChar"/>
        <w:b/>
        <w:bCs/>
        <w:sz w:val="22"/>
      </w:rPr>
      <w:instrText xml:space="preserve"> PAGE  \* Arabic  \* MERGEFORMAT </w:instrText>
    </w:r>
    <w:r w:rsidR="003A34E7" w:rsidRPr="007C4069">
      <w:rPr>
        <w:rStyle w:val="FooterChar"/>
        <w:b/>
        <w:bCs/>
        <w:sz w:val="22"/>
      </w:rPr>
      <w:fldChar w:fldCharType="separate"/>
    </w:r>
    <w:r w:rsidR="00DB2819">
      <w:rPr>
        <w:rStyle w:val="FooterChar"/>
        <w:b/>
        <w:bCs/>
        <w:noProof/>
        <w:sz w:val="22"/>
      </w:rPr>
      <w:t>3</w:t>
    </w:r>
    <w:r w:rsidR="003A34E7" w:rsidRPr="007C4069">
      <w:rPr>
        <w:rStyle w:val="FooterChar"/>
        <w:b/>
        <w:bCs/>
        <w:sz w:val="22"/>
      </w:rPr>
      <w:fldChar w:fldCharType="end"/>
    </w:r>
    <w:r w:rsidR="003A34E7" w:rsidRPr="007C4069">
      <w:rPr>
        <w:rStyle w:val="FooterChar"/>
        <w:b/>
        <w:bCs/>
        <w:sz w:val="22"/>
      </w:rPr>
      <w:t xml:space="preserve"> of</w:t>
    </w:r>
    <w:r w:rsidR="004B52AF">
      <w:rPr>
        <w:rStyle w:val="FooterChar"/>
        <w:b/>
        <w:bCs/>
        <w:sz w:val="22"/>
      </w:rPr>
      <w:t xml:space="preserve"> </w:t>
    </w:r>
    <w:r w:rsidR="0087382F">
      <w:rPr>
        <w:rStyle w:val="FooterChar"/>
        <w:b/>
        <w:bCs/>
        <w:sz w:val="22"/>
      </w:rPr>
      <w:t>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2064F" w14:textId="77777777" w:rsidR="00ED7120" w:rsidRPr="006A7492" w:rsidRDefault="00F91A0D" w:rsidP="00ED7120">
    <w:pPr>
      <w:spacing w:before="0" w:after="0"/>
      <w:rPr>
        <w:rFonts w:ascii="Calibri" w:hAnsi="Calibri" w:cs="Calibri"/>
        <w:strike/>
        <w:color w:val="FF0000"/>
        <w:sz w:val="20"/>
      </w:rPr>
    </w:pPr>
    <w:r w:rsidRPr="002E1EA9">
      <w:rPr>
        <w:rStyle w:val="FooterChar"/>
        <w:rFonts w:ascii="Calibri" w:hAnsi="Calibri" w:cs="Arial"/>
        <w:b/>
        <w:color w:val="auto"/>
        <w:sz w:val="20"/>
        <w:szCs w:val="20"/>
      </w:rPr>
      <w:t>PBO reference P</w:t>
    </w:r>
    <w:r w:rsidR="0098443D">
      <w:rPr>
        <w:rStyle w:val="FooterChar"/>
        <w:rFonts w:ascii="Calibri" w:hAnsi="Calibri" w:cs="Arial"/>
        <w:b/>
        <w:color w:val="auto"/>
        <w:sz w:val="20"/>
        <w:szCs w:val="20"/>
      </w:rPr>
      <w:t>R-2022-110</w:t>
    </w:r>
    <w:r w:rsidR="00ED7120">
      <w:rPr>
        <w:rStyle w:val="FooterChar"/>
        <w:rFonts w:ascii="Calibri" w:hAnsi="Calibri" w:cs="Arial"/>
        <w:b/>
        <w:color w:val="auto"/>
        <w:sz w:val="20"/>
        <w:szCs w:val="20"/>
      </w:rPr>
      <w:t xml:space="preserve">                                  </w:t>
    </w:r>
    <w:r w:rsidR="00ED7120" w:rsidRPr="006A7492">
      <w:rPr>
        <w:rFonts w:ascii="Calibri" w:hAnsi="Calibri" w:cs="Calibri"/>
        <w:strike/>
        <w:color w:val="FF0000"/>
        <w:sz w:val="20"/>
      </w:rPr>
      <w:t>OFFICIAL: Sensitive</w:t>
    </w:r>
  </w:p>
  <w:p w14:paraId="5C0D403E" w14:textId="6568D22C" w:rsidR="00F91A0D" w:rsidRPr="002E1EA9" w:rsidRDefault="00F91A0D" w:rsidP="00F91A0D">
    <w:pPr>
      <w:pStyle w:val="Footer"/>
      <w:rPr>
        <w:b/>
        <w:color w:val="auto"/>
        <w:sz w:val="20"/>
        <w:szCs w:val="20"/>
      </w:rPr>
    </w:pPr>
    <w:r w:rsidRPr="002E1EA9">
      <w:rPr>
        <w:rStyle w:val="FooterChar"/>
        <w:rFonts w:ascii="Calibri" w:hAnsi="Calibri" w:cs="Arial"/>
        <w:b/>
        <w:color w:val="auto"/>
        <w:sz w:val="20"/>
        <w:szCs w:val="20"/>
      </w:rPr>
      <w:tab/>
    </w:r>
    <w:r w:rsidRPr="002E1EA9">
      <w:rPr>
        <w:rStyle w:val="FooterChar"/>
        <w:rFonts w:ascii="Calibri" w:hAnsi="Calibri" w:cs="Arial"/>
        <w:b/>
        <w:color w:val="auto"/>
        <w:sz w:val="20"/>
        <w:szCs w:val="20"/>
      </w:rPr>
      <w:tab/>
    </w:r>
    <w:r w:rsidRPr="002E1EA9">
      <w:rPr>
        <w:rStyle w:val="FooterChar"/>
        <w:b/>
        <w:color w:val="auto"/>
        <w:sz w:val="20"/>
        <w:szCs w:val="20"/>
      </w:rPr>
      <w:t xml:space="preserve">Page </w:t>
    </w:r>
    <w:r w:rsidRPr="002E1EA9">
      <w:rPr>
        <w:rStyle w:val="FooterChar"/>
        <w:b/>
        <w:color w:val="auto"/>
        <w:sz w:val="20"/>
        <w:szCs w:val="20"/>
      </w:rPr>
      <w:fldChar w:fldCharType="begin"/>
    </w:r>
    <w:r w:rsidRPr="002E1EA9">
      <w:rPr>
        <w:rStyle w:val="FooterChar"/>
        <w:b/>
        <w:color w:val="auto"/>
        <w:sz w:val="20"/>
        <w:szCs w:val="20"/>
      </w:rPr>
      <w:instrText xml:space="preserve"> PAGE  \* Arabic  \* MERGEFORMAT </w:instrText>
    </w:r>
    <w:r w:rsidRPr="002E1EA9">
      <w:rPr>
        <w:rStyle w:val="FooterChar"/>
        <w:b/>
        <w:color w:val="auto"/>
        <w:sz w:val="20"/>
        <w:szCs w:val="20"/>
      </w:rPr>
      <w:fldChar w:fldCharType="separate"/>
    </w:r>
    <w:r w:rsidR="00DB2819" w:rsidRPr="002E1EA9">
      <w:rPr>
        <w:rStyle w:val="FooterChar"/>
        <w:b/>
        <w:noProof/>
        <w:color w:val="auto"/>
        <w:sz w:val="20"/>
        <w:szCs w:val="20"/>
      </w:rPr>
      <w:t>1</w:t>
    </w:r>
    <w:r w:rsidRPr="002E1EA9">
      <w:rPr>
        <w:rStyle w:val="FooterChar"/>
        <w:b/>
        <w:color w:val="auto"/>
        <w:sz w:val="20"/>
        <w:szCs w:val="20"/>
      </w:rPr>
      <w:fldChar w:fldCharType="end"/>
    </w:r>
    <w:r w:rsidRPr="002E1EA9">
      <w:rPr>
        <w:rStyle w:val="FooterChar"/>
        <w:b/>
        <w:color w:val="auto"/>
        <w:sz w:val="20"/>
        <w:szCs w:val="20"/>
      </w:rPr>
      <w:t xml:space="preserve"> of </w:t>
    </w:r>
    <w:r w:rsidR="0087382F">
      <w:rPr>
        <w:rStyle w:val="FooterChar"/>
        <w:b/>
        <w:bCs/>
        <w:color w:val="auto"/>
        <w:sz w:val="20"/>
        <w:szCs w:val="20"/>
      </w:rPr>
      <w:t>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A01CE" w14:textId="4793A41D" w:rsidR="00617691" w:rsidRPr="004B52AF" w:rsidRDefault="00617691" w:rsidP="00F91A0D">
    <w:pPr>
      <w:pStyle w:val="Footer"/>
      <w:tabs>
        <w:tab w:val="clear" w:pos="4513"/>
        <w:tab w:val="center" w:pos="4535"/>
        <w:tab w:val="right" w:pos="9071"/>
      </w:tabs>
      <w:rPr>
        <w:b/>
        <w:bCs/>
        <w:sz w:val="22"/>
      </w:rPr>
    </w:pPr>
    <w:r>
      <w:rPr>
        <w:rStyle w:val="FooterChar"/>
        <w:b/>
        <w:bCs/>
        <w:sz w:val="22"/>
      </w:rPr>
      <w:tab/>
    </w:r>
    <w:r w:rsidR="00B3201B">
      <w:rPr>
        <w:rStyle w:val="FooterChar"/>
        <w:b/>
        <w:bCs/>
        <w:sz w:val="22"/>
      </w:rPr>
      <w:t xml:space="preserve">                                                                                                                     </w:t>
    </w:r>
    <w:r w:rsidR="00B3201B" w:rsidRPr="006A7492">
      <w:rPr>
        <w:rFonts w:ascii="Calibri" w:hAnsi="Calibri" w:cs="Calibri"/>
        <w:strike/>
        <w:color w:val="FF0000"/>
        <w:sz w:val="20"/>
      </w:rPr>
      <w:t>OFFICIAL: Sensitive</w:t>
    </w:r>
    <w:r>
      <w:rPr>
        <w:rStyle w:val="FooterChar"/>
        <w:b/>
        <w:bCs/>
        <w:sz w:val="22"/>
      </w:rPr>
      <w:tab/>
    </w:r>
    <w:r>
      <w:rPr>
        <w:rStyle w:val="FooterChar"/>
        <w:b/>
        <w:bCs/>
        <w:sz w:val="22"/>
      </w:rPr>
      <w:tab/>
    </w:r>
    <w:r>
      <w:rPr>
        <w:rStyle w:val="FooterChar"/>
        <w:b/>
        <w:bCs/>
        <w:sz w:val="22"/>
      </w:rPr>
      <w:tab/>
    </w:r>
    <w:r>
      <w:rPr>
        <w:rStyle w:val="FooterChar"/>
        <w:b/>
        <w:bCs/>
        <w:sz w:val="22"/>
      </w:rPr>
      <w:tab/>
    </w:r>
    <w:r>
      <w:rPr>
        <w:rStyle w:val="FooterChar"/>
        <w:b/>
        <w:bCs/>
        <w:sz w:val="22"/>
      </w:rPr>
      <w:tab/>
    </w:r>
    <w:r>
      <w:rPr>
        <w:rStyle w:val="FooterChar"/>
        <w:b/>
        <w:bCs/>
        <w:sz w:val="22"/>
      </w:rPr>
      <w:tab/>
    </w:r>
    <w:r>
      <w:rPr>
        <w:rStyle w:val="FooterChar"/>
        <w:b/>
        <w:bCs/>
        <w:sz w:val="22"/>
      </w:rPr>
      <w:tab/>
    </w:r>
    <w:r>
      <w:rPr>
        <w:rStyle w:val="FooterChar"/>
        <w:b/>
        <w:bCs/>
        <w:sz w:val="22"/>
      </w:rPr>
      <w:tab/>
    </w:r>
    <w:r>
      <w:rPr>
        <w:rStyle w:val="FooterChar"/>
        <w:b/>
        <w:bCs/>
        <w:sz w:val="22"/>
      </w:rPr>
      <w:tab/>
    </w:r>
    <w:r w:rsidRPr="007C4069">
      <w:rPr>
        <w:rStyle w:val="FooterChar"/>
        <w:b/>
        <w:bCs/>
        <w:sz w:val="22"/>
      </w:rPr>
      <w:t xml:space="preserve">Page </w:t>
    </w:r>
    <w:r w:rsidRPr="007C4069">
      <w:rPr>
        <w:rStyle w:val="FooterChar"/>
        <w:b/>
        <w:bCs/>
        <w:sz w:val="22"/>
      </w:rPr>
      <w:fldChar w:fldCharType="begin"/>
    </w:r>
    <w:r w:rsidRPr="007C4069">
      <w:rPr>
        <w:rStyle w:val="FooterChar"/>
        <w:b/>
        <w:bCs/>
        <w:sz w:val="22"/>
      </w:rPr>
      <w:instrText xml:space="preserve"> PAGE  \* Arabic  \* MERGEFORMAT </w:instrText>
    </w:r>
    <w:r w:rsidRPr="007C4069">
      <w:rPr>
        <w:rStyle w:val="FooterChar"/>
        <w:b/>
        <w:bCs/>
        <w:sz w:val="22"/>
      </w:rPr>
      <w:fldChar w:fldCharType="separate"/>
    </w:r>
    <w:r>
      <w:rPr>
        <w:rStyle w:val="FooterChar"/>
        <w:b/>
        <w:bCs/>
        <w:noProof/>
        <w:sz w:val="22"/>
      </w:rPr>
      <w:t>3</w:t>
    </w:r>
    <w:r w:rsidRPr="007C4069">
      <w:rPr>
        <w:rStyle w:val="FooterChar"/>
        <w:b/>
        <w:bCs/>
        <w:sz w:val="22"/>
      </w:rPr>
      <w:fldChar w:fldCharType="end"/>
    </w:r>
    <w:r w:rsidRPr="007C4069">
      <w:rPr>
        <w:rStyle w:val="FooterChar"/>
        <w:b/>
        <w:bCs/>
        <w:sz w:val="22"/>
      </w:rPr>
      <w:t xml:space="preserve"> of</w:t>
    </w:r>
    <w:r>
      <w:rPr>
        <w:rStyle w:val="FooterChar"/>
        <w:b/>
        <w:bCs/>
        <w:sz w:val="22"/>
      </w:rPr>
      <w:t xml:space="preserve"> </w:t>
    </w:r>
    <w:r w:rsidR="0087382F">
      <w:rPr>
        <w:rStyle w:val="FooterChar"/>
        <w:b/>
        <w:bCs/>
        <w:sz w:val="22"/>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D8870" w14:textId="77777777" w:rsidR="008D15E3" w:rsidRPr="000557A7" w:rsidRDefault="008D15E3" w:rsidP="008D5A11">
      <w:pPr>
        <w:pBdr>
          <w:top w:val="single" w:sz="4" w:space="1" w:color="auto"/>
        </w:pBdr>
        <w:spacing w:before="240" w:line="60" w:lineRule="exact"/>
        <w:rPr>
          <w:sz w:val="16"/>
          <w:szCs w:val="16"/>
        </w:rPr>
      </w:pPr>
    </w:p>
  </w:footnote>
  <w:footnote w:type="continuationSeparator" w:id="0">
    <w:p w14:paraId="26CCBD42" w14:textId="77777777" w:rsidR="008D15E3" w:rsidRDefault="008D15E3" w:rsidP="00A20802">
      <w:r>
        <w:continuationSeparator/>
      </w:r>
    </w:p>
    <w:p w14:paraId="1785531D" w14:textId="77777777" w:rsidR="008D15E3" w:rsidRDefault="008D15E3"/>
    <w:p w14:paraId="70D2339C" w14:textId="77777777" w:rsidR="008D15E3" w:rsidRDefault="008D15E3"/>
  </w:footnote>
  <w:footnote w:type="continuationNotice" w:id="1">
    <w:p w14:paraId="2AF82082" w14:textId="77777777" w:rsidR="008D15E3" w:rsidRDefault="008D15E3">
      <w:pPr>
        <w:spacing w:before="0" w:after="0" w:line="240" w:lineRule="auto"/>
      </w:pPr>
    </w:p>
  </w:footnote>
  <w:footnote w:id="2">
    <w:p w14:paraId="14605F2A" w14:textId="77777777" w:rsidR="0098443D" w:rsidRPr="007D78D6" w:rsidRDefault="0098443D" w:rsidP="0098443D">
      <w:pPr>
        <w:spacing w:before="60"/>
        <w:rPr>
          <w:sz w:val="14"/>
          <w:szCs w:val="16"/>
        </w:rPr>
      </w:pPr>
      <w:r>
        <w:rPr>
          <w:rStyle w:val="FootnoteReference"/>
        </w:rPr>
        <w:footnoteRef/>
      </w:r>
      <w:r>
        <w:t xml:space="preserve"> </w:t>
      </w:r>
      <w:hyperlink r:id="rId1" w:history="1">
        <w:r w:rsidRPr="0007551F">
          <w:rPr>
            <w:rStyle w:val="Hyperlink"/>
            <w:sz w:val="14"/>
            <w:szCs w:val="16"/>
          </w:rPr>
          <w:t>https://www.aph.gov.au/About_Parliament/Parliamentary_Departments/Parliamentary_Budget_Office/Costings_and_budget_information</w:t>
        </w:r>
      </w:hyperlink>
      <w:r w:rsidRPr="0007551F">
        <w:rPr>
          <w:sz w:val="14"/>
          <w:szCs w:val="16"/>
        </w:rPr>
        <w:t xml:space="preserve"> </w:t>
      </w:r>
    </w:p>
  </w:footnote>
  <w:footnote w:id="3">
    <w:p w14:paraId="2B1FEE2C" w14:textId="77777777" w:rsidR="003B625E" w:rsidRDefault="003B625E" w:rsidP="003B625E">
      <w:pPr>
        <w:pStyle w:val="FootnoteText"/>
      </w:pPr>
      <w:r>
        <w:rPr>
          <w:rStyle w:val="FootnoteReference"/>
        </w:rPr>
        <w:footnoteRef/>
      </w:r>
      <w:r>
        <w:t xml:space="preserve"> </w:t>
      </w:r>
      <w:hyperlink r:id="rId2" w:history="1">
        <w:r>
          <w:rPr>
            <w:rStyle w:val="Hyperlink"/>
          </w:rPr>
          <w:t>Online budget glossary – Parliament of Australia (aph.gov.au)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989D3" w14:textId="77777777" w:rsidR="0070110A" w:rsidRDefault="007011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32883" w14:textId="77777777" w:rsidR="00CF78EC" w:rsidRPr="006A7492" w:rsidRDefault="00CF78EC" w:rsidP="00CF78EC">
    <w:pPr>
      <w:spacing w:before="0" w:after="0"/>
      <w:jc w:val="center"/>
      <w:rPr>
        <w:rFonts w:ascii="Calibri" w:hAnsi="Calibri" w:cs="Calibri"/>
        <w:strike/>
        <w:color w:val="FF0000"/>
        <w:sz w:val="20"/>
      </w:rPr>
    </w:pPr>
    <w:r w:rsidRPr="006A7492">
      <w:rPr>
        <w:rFonts w:ascii="Calibri" w:hAnsi="Calibri" w:cs="Calibri"/>
        <w:strike/>
        <w:color w:val="FF0000"/>
        <w:sz w:val="20"/>
      </w:rPr>
      <w:t>OFFICIAL: Sensitive</w:t>
    </w:r>
  </w:p>
  <w:p w14:paraId="4002B37F" w14:textId="77777777" w:rsidR="00CF78EC" w:rsidRDefault="00CF78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8F405" w14:textId="77777777" w:rsidR="00C975E8" w:rsidRPr="006A7492" w:rsidRDefault="00C975E8" w:rsidP="00C975E8">
    <w:pPr>
      <w:spacing w:before="0" w:after="0"/>
      <w:jc w:val="center"/>
      <w:rPr>
        <w:rFonts w:ascii="Calibri" w:hAnsi="Calibri" w:cs="Calibri"/>
        <w:strike/>
        <w:color w:val="FF0000"/>
        <w:sz w:val="20"/>
      </w:rPr>
    </w:pPr>
    <w:r w:rsidRPr="006A7492">
      <w:rPr>
        <w:rFonts w:ascii="Calibri" w:hAnsi="Calibri" w:cs="Calibri"/>
        <w:strike/>
        <w:color w:val="FF0000"/>
        <w:sz w:val="20"/>
      </w:rPr>
      <w:t>OFFICIAL: Sensitive</w:t>
    </w:r>
  </w:p>
  <w:p w14:paraId="3F161438" w14:textId="77777777" w:rsidR="00C44D85" w:rsidRDefault="002636AE" w:rsidP="00F91A0D">
    <w:pPr>
      <w:pStyle w:val="Header"/>
      <w:spacing w:before="400" w:after="680"/>
    </w:pPr>
    <w:r>
      <w:rPr>
        <w:noProof/>
        <w:lang w:eastAsia="en-AU"/>
      </w:rPr>
      <w:drawing>
        <wp:inline distT="0" distB="0" distL="0" distR="0" wp14:anchorId="2B0C730C" wp14:editId="05067002">
          <wp:extent cx="1880382" cy="576000"/>
          <wp:effectExtent l="0" t="0" r="5715" b="0"/>
          <wp:docPr id="14" name="Picture 14" descr="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arliamentary Budget Offi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0382" cy="576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2CA8A22A"/>
    <w:name w:val="Bullets"/>
    <w:lvl w:ilvl="0">
      <w:start w:val="1"/>
      <w:numFmt w:val="bullet"/>
      <w:lvlText w:val="•"/>
      <w:lvlJc w:val="left"/>
      <w:pPr>
        <w:tabs>
          <w:tab w:val="num" w:pos="454"/>
        </w:tabs>
        <w:ind w:left="454" w:hanging="454"/>
      </w:pPr>
      <w:rPr>
        <w:rFonts w:ascii="Calibri" w:hAnsi="Calibri" w:hint="default"/>
        <w:b w:val="0"/>
        <w:i w:val="0"/>
        <w:color w:val="auto"/>
        <w:position w:val="0"/>
        <w:sz w:val="22"/>
      </w:rPr>
    </w:lvl>
    <w:lvl w:ilvl="1">
      <w:start w:val="1"/>
      <w:numFmt w:val="bullet"/>
      <w:lvlText w:val="–"/>
      <w:lvlJc w:val="left"/>
      <w:pPr>
        <w:tabs>
          <w:tab w:val="num" w:pos="907"/>
        </w:tabs>
        <w:ind w:left="907" w:hanging="453"/>
      </w:pPr>
      <w:rPr>
        <w:rFonts w:ascii="Calibri" w:hAnsi="Calibri" w:hint="default"/>
        <w:b w:val="0"/>
        <w:i w:val="0"/>
        <w:color w:val="auto"/>
        <w:position w:val="0"/>
        <w:sz w:val="22"/>
      </w:rPr>
    </w:lvl>
    <w:lvl w:ilvl="2">
      <w:start w:val="1"/>
      <w:numFmt w:val="bullet"/>
      <w:lvlText w:val=""/>
      <w:lvlJc w:val="left"/>
      <w:pPr>
        <w:tabs>
          <w:tab w:val="num" w:pos="1361"/>
        </w:tabs>
        <w:ind w:left="1361" w:hanging="454"/>
      </w:pPr>
      <w:rPr>
        <w:rFonts w:ascii="Wingdings" w:hAnsi="Wingdings" w:hint="default"/>
        <w:b w:val="0"/>
        <w:i w:val="0"/>
        <w:color w:val="auto"/>
        <w:spacing w:val="0"/>
        <w:w w:val="100"/>
        <w:position w:val="1"/>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D053BBD"/>
    <w:multiLevelType w:val="hybridMultilevel"/>
    <w:tmpl w:val="F72AB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745448"/>
    <w:multiLevelType w:val="multilevel"/>
    <w:tmpl w:val="B9B27878"/>
    <w:name w:val="PBOHeadings"/>
    <w:lvl w:ilvl="0">
      <w:start w:val="1"/>
      <w:numFmt w:val="none"/>
      <w:lvlRestart w:val="0"/>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lvlText w:val=""/>
      <w:lvlJc w:val="left"/>
      <w:pPr>
        <w:ind w:left="765" w:hanging="765"/>
      </w:pPr>
      <w:rPr>
        <w:rFonts w:hint="default"/>
      </w:rPr>
    </w:lvl>
    <w:lvl w:ilvl="4">
      <w:start w:val="1"/>
      <w:numFmt w:val="none"/>
      <w:lvlText w:val=""/>
      <w:lvlJc w:val="left"/>
      <w:pPr>
        <w:ind w:left="765" w:hanging="765"/>
      </w:pPr>
      <w:rPr>
        <w:rFonts w:hint="default"/>
      </w:rPr>
    </w:lvl>
    <w:lvl w:ilvl="5">
      <w:start w:val="1"/>
      <w:numFmt w:val="none"/>
      <w:lvlText w:val=""/>
      <w:lvlJc w:val="lef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left"/>
      <w:pPr>
        <w:ind w:left="765" w:hanging="765"/>
      </w:pPr>
      <w:rPr>
        <w:rFonts w:hint="default"/>
      </w:rPr>
    </w:lvl>
  </w:abstractNum>
  <w:abstractNum w:abstractNumId="3" w15:restartNumberingAfterBreak="0">
    <w:nsid w:val="0E645256"/>
    <w:multiLevelType w:val="multilevel"/>
    <w:tmpl w:val="75FCCD40"/>
    <w:styleLink w:val="AttachementsNumbered"/>
    <w:lvl w:ilvl="0">
      <w:start w:val="1"/>
      <w:numFmt w:val="upperLetter"/>
      <w:pStyle w:val="Heading8"/>
      <w:suff w:val="space"/>
      <w:lvlText w:val="Attachment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9778B4" w:themeColor="text2"/>
      </w:rPr>
    </w:lvl>
    <w:lvl w:ilvl="2">
      <w:start w:val="1"/>
      <w:numFmt w:val="bullet"/>
      <w:lvlText w:val="»"/>
      <w:lvlJc w:val="left"/>
      <w:pPr>
        <w:ind w:left="852" w:hanging="284"/>
      </w:pPr>
      <w:rPr>
        <w:rFonts w:ascii="Arial" w:hAnsi="Arial" w:hint="default"/>
        <w:color w:val="9778B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0FB2573F"/>
    <w:multiLevelType w:val="multilevel"/>
    <w:tmpl w:val="CCB018EE"/>
    <w:lvl w:ilvl="0">
      <w:start w:val="1"/>
      <w:numFmt w:val="lowerLetter"/>
      <w:pStyle w:val="TableFootnotes"/>
      <w:lvlText w:val="(%1)"/>
      <w:lvlJc w:val="left"/>
      <w:pPr>
        <w:ind w:left="360" w:hanging="360"/>
      </w:pPr>
      <w:rPr>
        <w:rFonts w:hint="default"/>
        <w:color w:val="auto"/>
        <w:spacing w:val="0"/>
        <w:sz w:val="20"/>
        <w:vertAlign w:val="baseline"/>
      </w:rPr>
    </w:lvl>
    <w:lvl w:ilvl="1">
      <w:start w:val="1"/>
      <w:numFmt w:val="bullet"/>
      <w:lvlText w:val=""/>
      <w:lvlJc w:val="left"/>
      <w:pPr>
        <w:tabs>
          <w:tab w:val="num" w:pos="454"/>
        </w:tabs>
        <w:ind w:left="454" w:hanging="170"/>
      </w:pPr>
      <w:rPr>
        <w:rFonts w:ascii="Symbol" w:hAnsi="Symbol" w:hint="default"/>
        <w:spacing w:val="0"/>
        <w:w w:val="100"/>
        <w:kern w:val="0"/>
        <w:position w:val="0"/>
      </w:rPr>
    </w:lvl>
    <w:lvl w:ilvl="2">
      <w:start w:val="1"/>
      <w:numFmt w:val="bullet"/>
      <w:lvlRestart w:val="1"/>
      <w:lvlText w:val=""/>
      <w:lvlJc w:val="left"/>
      <w:pPr>
        <w:tabs>
          <w:tab w:val="num" w:pos="624"/>
        </w:tabs>
        <w:ind w:left="624" w:hanging="170"/>
      </w:pPr>
      <w:rPr>
        <w:rFonts w:ascii="Symbol" w:hAnsi="Symbol" w:hint="default"/>
        <w:color w:val="auto"/>
        <w:spacing w:val="-4"/>
      </w:rPr>
    </w:lvl>
    <w:lvl w:ilvl="3">
      <w:start w:val="1"/>
      <w:numFmt w:val="none"/>
      <w:lvlText w:val=""/>
      <w:lvlJc w:val="left"/>
      <w:pPr>
        <w:tabs>
          <w:tab w:val="num" w:pos="0"/>
        </w:tabs>
        <w:ind w:left="-709" w:firstLine="0"/>
      </w:pPr>
      <w:rPr>
        <w:rFonts w:hint="default"/>
        <w:spacing w:val="-10"/>
        <w:w w:val="100"/>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2160"/>
        </w:tabs>
        <w:ind w:left="2016" w:hanging="936"/>
      </w:pPr>
      <w:rPr>
        <w:rFonts w:hint="default"/>
      </w:rPr>
    </w:lvl>
    <w:lvl w:ilvl="6">
      <w:start w:val="1"/>
      <w:numFmt w:val="lowerRoman"/>
      <w:lvlRestart w:val="1"/>
      <w:lvlText w:val="%7"/>
      <w:lvlJc w:val="left"/>
      <w:pPr>
        <w:tabs>
          <w:tab w:val="num" w:pos="369"/>
        </w:tabs>
        <w:ind w:left="369" w:hanging="369"/>
      </w:pPr>
      <w:rPr>
        <w:rFonts w:hint="default"/>
      </w:rPr>
    </w:lvl>
    <w:lvl w:ilvl="7">
      <w:start w:val="1"/>
      <w:numFmt w:val="lowerLetter"/>
      <w:lvlText w:val="%8."/>
      <w:lvlJc w:val="left"/>
      <w:pPr>
        <w:tabs>
          <w:tab w:val="num" w:pos="737"/>
        </w:tabs>
        <w:ind w:left="737" w:hanging="368"/>
      </w:pPr>
      <w:rPr>
        <w:rFonts w:hint="default"/>
        <w:position w:val="0"/>
      </w:rPr>
    </w:lvl>
    <w:lvl w:ilvl="8">
      <w:start w:val="1"/>
      <w:numFmt w:val="bullet"/>
      <w:lvlText w:val=""/>
      <w:lvlJc w:val="left"/>
      <w:pPr>
        <w:tabs>
          <w:tab w:val="num" w:pos="1106"/>
        </w:tabs>
        <w:ind w:left="1106" w:hanging="369"/>
      </w:pPr>
      <w:rPr>
        <w:rFonts w:ascii="Symbol" w:hAnsi="Symbol" w:hint="default"/>
        <w:position w:val="2"/>
        <w:sz w:val="20"/>
        <w:szCs w:val="20"/>
      </w:rPr>
    </w:lvl>
  </w:abstractNum>
  <w:abstractNum w:abstractNumId="6" w15:restartNumberingAfterBreak="0">
    <w:nsid w:val="15E92E39"/>
    <w:multiLevelType w:val="multilevel"/>
    <w:tmpl w:val="6C6E19E4"/>
    <w:styleLink w:val="NormalNumberedParas"/>
    <w:lvl w:ilvl="0">
      <w:start w:val="1"/>
      <w:numFmt w:val="decimal"/>
      <w:pStyle w:val="NormalNumbered"/>
      <w:lvlText w:val="%1."/>
      <w:lvlJc w:val="left"/>
      <w:pPr>
        <w:ind w:left="567" w:hanging="567"/>
      </w:pPr>
      <w:rPr>
        <w:rFonts w:hint="default"/>
        <w:b w:val="0"/>
        <w:i w:val="0"/>
        <w:caps w:val="0"/>
        <w:color w:val="000000" w:themeColor="tex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8C020AF"/>
    <w:multiLevelType w:val="hybridMultilevel"/>
    <w:tmpl w:val="0100DF4C"/>
    <w:lvl w:ilvl="0" w:tplc="8AE63CDA">
      <w:start w:val="1"/>
      <w:numFmt w:val="bullet"/>
      <w:lvlText w:val="–"/>
      <w:lvlJc w:val="left"/>
      <w:pPr>
        <w:ind w:left="417" w:hanging="360"/>
      </w:pPr>
      <w:rPr>
        <w:rFonts w:ascii="Calibri" w:eastAsiaTheme="minorHAnsi" w:hAnsi="Calibri" w:cstheme="minorBidi"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8" w15:restartNumberingAfterBreak="0">
    <w:nsid w:val="194A695C"/>
    <w:multiLevelType w:val="multilevel"/>
    <w:tmpl w:val="9710D28A"/>
    <w:name w:val="TableBullets"/>
    <w:lvl w:ilvl="0">
      <w:start w:val="1"/>
      <w:numFmt w:val="bullet"/>
      <w:lvlText w:val="•"/>
      <w:lvlJc w:val="left"/>
      <w:pPr>
        <w:tabs>
          <w:tab w:val="num" w:pos="284"/>
        </w:tabs>
        <w:ind w:left="284" w:hanging="171"/>
      </w:pPr>
      <w:rPr>
        <w:rFonts w:ascii="Calibri" w:hAnsi="Calibri" w:hint="default"/>
        <w:color w:val="auto"/>
        <w:position w:val="2"/>
        <w:sz w:val="20"/>
        <w:szCs w:val="12"/>
      </w:rPr>
    </w:lvl>
    <w:lvl w:ilvl="1">
      <w:start w:val="1"/>
      <w:numFmt w:val="bullet"/>
      <w:lvlText w:val="–"/>
      <w:lvlJc w:val="left"/>
      <w:pPr>
        <w:tabs>
          <w:tab w:val="num" w:pos="454"/>
        </w:tabs>
        <w:ind w:left="454" w:hanging="170"/>
      </w:pPr>
      <w:rPr>
        <w:rFonts w:ascii="Times New Roman" w:hAnsi="Times New Roman" w:cs="Times New Roman" w:hint="default"/>
        <w:b w:val="0"/>
        <w:i w:val="0"/>
        <w:color w:val="auto"/>
        <w:sz w:val="20"/>
        <w:szCs w:val="18"/>
      </w:rPr>
    </w:lvl>
    <w:lvl w:ilvl="2">
      <w:start w:val="1"/>
      <w:numFmt w:val="bullet"/>
      <w:lvlText w:val=""/>
      <w:lvlJc w:val="left"/>
      <w:pPr>
        <w:tabs>
          <w:tab w:val="num" w:pos="624"/>
        </w:tabs>
        <w:ind w:left="624" w:hanging="170"/>
      </w:pPr>
      <w:rPr>
        <w:rFonts w:ascii="Wingdings" w:hAnsi="Wingdings" w:hint="default"/>
        <w:color w:val="auto"/>
        <w:position w:val="1"/>
        <w:sz w:val="20"/>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9" w15:restartNumberingAfterBreak="0">
    <w:nsid w:val="19F1618D"/>
    <w:multiLevelType w:val="multilevel"/>
    <w:tmpl w:val="DB9A36FA"/>
    <w:styleLink w:val="List1Numbered"/>
    <w:lvl w:ilvl="0">
      <w:start w:val="1"/>
      <w:numFmt w:val="decimal"/>
      <w:pStyle w:val="List1Numbered1"/>
      <w:lvlText w:val="%1."/>
      <w:lvlJc w:val="left"/>
      <w:pPr>
        <w:ind w:left="851" w:hanging="284"/>
      </w:pPr>
      <w:rPr>
        <w:rFonts w:hint="default"/>
        <w:b w:val="0"/>
        <w:i w:val="0"/>
        <w:color w:val="auto"/>
      </w:rPr>
    </w:lvl>
    <w:lvl w:ilvl="1">
      <w:start w:val="1"/>
      <w:numFmt w:val="lowerLetter"/>
      <w:pStyle w:val="List1Numbered2"/>
      <w:lvlText w:val="%2."/>
      <w:lvlJc w:val="left"/>
      <w:pPr>
        <w:ind w:left="1135" w:hanging="284"/>
      </w:pPr>
      <w:rPr>
        <w:rFonts w:hint="default"/>
      </w:rPr>
    </w:lvl>
    <w:lvl w:ilvl="2">
      <w:start w:val="1"/>
      <w:numFmt w:val="lowerRoman"/>
      <w:pStyle w:val="List1Numbered3"/>
      <w:lvlText w:val="%3."/>
      <w:lvlJc w:val="left"/>
      <w:pPr>
        <w:ind w:left="1419" w:hanging="284"/>
      </w:pPr>
      <w:rPr>
        <w:rFonts w:hint="default"/>
      </w:rPr>
    </w:lvl>
    <w:lvl w:ilvl="3">
      <w:start w:val="1"/>
      <w:numFmt w:val="decimal"/>
      <w:lvlText w:val="(%4)"/>
      <w:lvlJc w:val="left"/>
      <w:pPr>
        <w:ind w:left="1703" w:hanging="284"/>
      </w:pPr>
      <w:rPr>
        <w:rFonts w:hint="default"/>
      </w:rPr>
    </w:lvl>
    <w:lvl w:ilvl="4">
      <w:start w:val="1"/>
      <w:numFmt w:val="lowerLetter"/>
      <w:lvlText w:val="(%5)"/>
      <w:lvlJc w:val="left"/>
      <w:pPr>
        <w:ind w:left="1987" w:hanging="284"/>
      </w:pPr>
      <w:rPr>
        <w:rFonts w:hint="default"/>
      </w:rPr>
    </w:lvl>
    <w:lvl w:ilvl="5">
      <w:start w:val="1"/>
      <w:numFmt w:val="lowerRoman"/>
      <w:lvlText w:val="(%6)"/>
      <w:lvlJc w:val="left"/>
      <w:pPr>
        <w:ind w:left="2271" w:hanging="284"/>
      </w:pPr>
      <w:rPr>
        <w:rFonts w:hint="default"/>
      </w:rPr>
    </w:lvl>
    <w:lvl w:ilvl="6">
      <w:start w:val="1"/>
      <w:numFmt w:val="decimal"/>
      <w:lvlText w:val="%7."/>
      <w:lvlJc w:val="left"/>
      <w:pPr>
        <w:ind w:left="2555" w:hanging="284"/>
      </w:pPr>
      <w:rPr>
        <w:rFonts w:hint="default"/>
      </w:rPr>
    </w:lvl>
    <w:lvl w:ilvl="7">
      <w:start w:val="1"/>
      <w:numFmt w:val="lowerLetter"/>
      <w:lvlText w:val="%8."/>
      <w:lvlJc w:val="left"/>
      <w:pPr>
        <w:ind w:left="2839" w:hanging="284"/>
      </w:pPr>
      <w:rPr>
        <w:rFonts w:hint="default"/>
      </w:rPr>
    </w:lvl>
    <w:lvl w:ilvl="8">
      <w:start w:val="1"/>
      <w:numFmt w:val="lowerRoman"/>
      <w:lvlText w:val="%9."/>
      <w:lvlJc w:val="left"/>
      <w:pPr>
        <w:ind w:left="3123" w:hanging="284"/>
      </w:pPr>
      <w:rPr>
        <w:rFonts w:hint="default"/>
      </w:rPr>
    </w:lvl>
  </w:abstractNum>
  <w:abstractNum w:abstractNumId="10"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8D487F"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D975442"/>
    <w:multiLevelType w:val="hybridMultilevel"/>
    <w:tmpl w:val="7E50674C"/>
    <w:lvl w:ilvl="0" w:tplc="535C608E">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D514BC"/>
    <w:multiLevelType w:val="hybridMultilevel"/>
    <w:tmpl w:val="C10EEC9C"/>
    <w:lvl w:ilvl="0" w:tplc="71BE18B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8D487F"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0F2CCE"/>
    <w:multiLevelType w:val="multilevel"/>
    <w:tmpl w:val="DB9A36FA"/>
    <w:numStyleLink w:val="List1Numbered"/>
  </w:abstractNum>
  <w:abstractNum w:abstractNumId="15" w15:restartNumberingAfterBreak="0">
    <w:nsid w:val="2C72580B"/>
    <w:multiLevelType w:val="multilevel"/>
    <w:tmpl w:val="A1605A0E"/>
    <w:name w:val="PullOutNumbering"/>
    <w:lvl w:ilvl="0">
      <w:start w:val="1"/>
      <w:numFmt w:val="decimal"/>
      <w:lvlText w:val="%1"/>
      <w:lvlJc w:val="left"/>
      <w:pPr>
        <w:tabs>
          <w:tab w:val="num" w:pos="624"/>
        </w:tabs>
        <w:ind w:left="624" w:hanging="340"/>
      </w:pPr>
      <w:rPr>
        <w:rFonts w:hint="default"/>
      </w:rPr>
    </w:lvl>
    <w:lvl w:ilvl="1">
      <w:start w:val="1"/>
      <w:numFmt w:val="lowerLetter"/>
      <w:lvlText w:val="%2"/>
      <w:lvlJc w:val="left"/>
      <w:pPr>
        <w:tabs>
          <w:tab w:val="num" w:pos="964"/>
        </w:tabs>
        <w:ind w:left="964" w:hanging="340"/>
      </w:pPr>
      <w:rPr>
        <w:rFonts w:hint="default"/>
        <w:color w:val="auto"/>
      </w:rPr>
    </w:lvl>
    <w:lvl w:ilvl="2">
      <w:start w:val="1"/>
      <w:numFmt w:val="lowerRoman"/>
      <w:lvlText w:val="%3"/>
      <w:lvlJc w:val="left"/>
      <w:pPr>
        <w:tabs>
          <w:tab w:val="num" w:pos="1304"/>
        </w:tabs>
        <w:ind w:left="1304" w:hanging="340"/>
      </w:pPr>
      <w:rPr>
        <w:rFonts w:hint="default"/>
        <w:color w:val="auto"/>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7CD034B"/>
    <w:multiLevelType w:val="hybridMultilevel"/>
    <w:tmpl w:val="AC467CF0"/>
    <w:lvl w:ilvl="0" w:tplc="E8FC92EA">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8723AD4"/>
    <w:multiLevelType w:val="multilevel"/>
    <w:tmpl w:val="CC2400A2"/>
    <w:name w:val="PullOutBullets"/>
    <w:lvl w:ilvl="0">
      <w:start w:val="1"/>
      <w:numFmt w:val="bullet"/>
      <w:lvlText w:val="•"/>
      <w:lvlJc w:val="left"/>
      <w:pPr>
        <w:tabs>
          <w:tab w:val="num" w:pos="624"/>
        </w:tabs>
        <w:ind w:left="624" w:hanging="340"/>
      </w:pPr>
      <w:rPr>
        <w:rFonts w:ascii="Calibri" w:hAnsi="Calibri" w:hint="default"/>
        <w:color w:val="auto"/>
        <w:sz w:val="22"/>
      </w:rPr>
    </w:lvl>
    <w:lvl w:ilvl="1">
      <w:start w:val="1"/>
      <w:numFmt w:val="bullet"/>
      <w:lvlText w:val="–"/>
      <w:lvlJc w:val="left"/>
      <w:pPr>
        <w:tabs>
          <w:tab w:val="num" w:pos="964"/>
        </w:tabs>
        <w:ind w:left="964" w:hanging="340"/>
      </w:pPr>
      <w:rPr>
        <w:rFonts w:ascii="Calibri" w:hAnsi="Calibri" w:hint="default"/>
        <w:color w:val="auto"/>
        <w:sz w:val="22"/>
      </w:rPr>
    </w:lvl>
    <w:lvl w:ilvl="2">
      <w:start w:val="1"/>
      <w:numFmt w:val="bullet"/>
      <w:lvlText w:val=""/>
      <w:lvlJc w:val="left"/>
      <w:pPr>
        <w:tabs>
          <w:tab w:val="num" w:pos="1304"/>
        </w:tabs>
        <w:ind w:left="1304" w:hanging="340"/>
      </w:pPr>
      <w:rPr>
        <w:rFonts w:ascii="Wingdings" w:hAnsi="Wingdings" w:hint="default"/>
        <w:color w:val="auto"/>
        <w:position w:val="0"/>
        <w:sz w:val="2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1396E59"/>
    <w:multiLevelType w:val="multilevel"/>
    <w:tmpl w:val="4624390C"/>
    <w:styleLink w:val="BoxedBullets"/>
    <w:lvl w:ilvl="0">
      <w:start w:val="1"/>
      <w:numFmt w:val="bullet"/>
      <w:pStyle w:val="Box1Bullet"/>
      <w:lvlText w:val=""/>
      <w:lvlJc w:val="left"/>
      <w:pPr>
        <w:tabs>
          <w:tab w:val="num" w:pos="284"/>
        </w:tabs>
        <w:ind w:left="567" w:hanging="283"/>
      </w:pPr>
      <w:rPr>
        <w:rFonts w:ascii="Symbol" w:hAnsi="Symbol" w:hint="default"/>
        <w:color w:val="auto"/>
      </w:rPr>
    </w:lvl>
    <w:lvl w:ilvl="1">
      <w:start w:val="1"/>
      <w:numFmt w:val="bullet"/>
      <w:pStyle w:val="Box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9778B4" w:themeColor="text2"/>
      </w:rPr>
    </w:lvl>
    <w:lvl w:ilvl="3">
      <w:start w:val="1"/>
      <w:numFmt w:val="bullet"/>
      <w:lvlText w:val="»"/>
      <w:lvlJc w:val="left"/>
      <w:pPr>
        <w:ind w:left="794" w:hanging="510"/>
      </w:pPr>
      <w:rPr>
        <w:rFonts w:ascii="Arial" w:hAnsi="Arial" w:hint="default"/>
        <w:color w:val="9778B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0" w15:restartNumberingAfterBreak="0">
    <w:nsid w:val="43705370"/>
    <w:multiLevelType w:val="hybridMultilevel"/>
    <w:tmpl w:val="8BE68176"/>
    <w:name w:val="TableFootnote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62B34C1"/>
    <w:multiLevelType w:val="multilevel"/>
    <w:tmpl w:val="B0064A26"/>
    <w:numStyleLink w:val="DefaultBullets"/>
  </w:abstractNum>
  <w:abstractNum w:abstractNumId="22" w15:restartNumberingAfterBreak="0">
    <w:nsid w:val="46421DE8"/>
    <w:multiLevelType w:val="hybridMultilevel"/>
    <w:tmpl w:val="E7241450"/>
    <w:lvl w:ilvl="0" w:tplc="71BE18B8">
      <w:numFmt w:val="bullet"/>
      <w:lvlText w:val="-"/>
      <w:lvlJc w:val="left"/>
      <w:pPr>
        <w:ind w:left="1004" w:hanging="360"/>
      </w:pPr>
      <w:rPr>
        <w:rFonts w:ascii="Calibri" w:eastAsiaTheme="minorHAnsi" w:hAnsi="Calibri" w:cstheme="minorBidi"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483F501A"/>
    <w:multiLevelType w:val="multilevel"/>
    <w:tmpl w:val="75FCCD40"/>
    <w:numStyleLink w:val="AttachementsNumbered"/>
  </w:abstractNum>
  <w:abstractNum w:abstractNumId="24" w15:restartNumberingAfterBreak="0">
    <w:nsid w:val="48EF4688"/>
    <w:multiLevelType w:val="hybridMultilevel"/>
    <w:tmpl w:val="1068C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35249AF"/>
    <w:multiLevelType w:val="multilevel"/>
    <w:tmpl w:val="A41689A2"/>
    <w:styleLink w:val="AppendixNumbers"/>
    <w:lvl w:ilvl="0">
      <w:start w:val="1"/>
      <w:numFmt w:val="upperLetter"/>
      <w:pStyle w:val="AppendixNumbered"/>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56DB5F4C"/>
    <w:multiLevelType w:val="multilevel"/>
    <w:tmpl w:val="4E929216"/>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76E5A01"/>
    <w:multiLevelType w:val="hybridMultilevel"/>
    <w:tmpl w:val="CAC6B7CC"/>
    <w:lvl w:ilvl="0" w:tplc="B1466414">
      <w:start w:val="1"/>
      <w:numFmt w:val="lowerLetter"/>
      <w:lvlText w:val="(%1)"/>
      <w:lvlJc w:val="left"/>
      <w:pPr>
        <w:ind w:left="417" w:hanging="36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28" w15:restartNumberingAfterBreak="0">
    <w:nsid w:val="59EF7A30"/>
    <w:multiLevelType w:val="hybridMultilevel"/>
    <w:tmpl w:val="9CB67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0540A9"/>
    <w:multiLevelType w:val="multilevel"/>
    <w:tmpl w:val="1A6297E2"/>
    <w:lvl w:ilvl="0">
      <w:start w:val="1"/>
      <w:numFmt w:val="upperLetter"/>
      <w:lvlRestart w:val="0"/>
      <w:suff w:val="space"/>
      <w:lvlText w:val="Appendix %1"/>
      <w:lvlJc w:val="left"/>
      <w:pPr>
        <w:ind w:left="0" w:firstLine="0"/>
      </w:pPr>
      <w:rPr>
        <w:rFonts w:hint="default"/>
        <w:b w:val="0"/>
        <w:i w:val="0"/>
        <w:sz w:val="40"/>
      </w:rPr>
    </w:lvl>
    <w:lvl w:ilvl="1">
      <w:start w:val="1"/>
      <w:numFmt w:val="none"/>
      <w:pStyle w:val="Heading9"/>
      <w:suff w:val="nothing"/>
      <w:lvlText w:val=""/>
      <w:lvlJc w:val="left"/>
      <w:pPr>
        <w:tabs>
          <w:tab w:val="num" w:pos="0"/>
        </w:tabs>
        <w:ind w:left="0" w:firstLine="0"/>
      </w:pPr>
      <w:rPr>
        <w:rFonts w:hint="default"/>
        <w:sz w:val="26"/>
      </w:rPr>
    </w:lvl>
    <w:lvl w:ilvl="2">
      <w:start w:val="1"/>
      <w:numFmt w:val="none"/>
      <w:suff w:val="nothing"/>
      <w:lvlText w:val=""/>
      <w:lvlJc w:val="left"/>
      <w:pPr>
        <w:tabs>
          <w:tab w:val="num" w:pos="0"/>
        </w:tabs>
        <w:ind w:left="0" w:firstLine="0"/>
      </w:pPr>
      <w:rPr>
        <w:rFonts w:hint="default"/>
      </w:rPr>
    </w:lvl>
    <w:lvl w:ilvl="3">
      <w:start w:val="1"/>
      <w:numFmt w:val="none"/>
      <w:lvlRestart w:val="2"/>
      <w:suff w:val="nothing"/>
      <w:lvlText w:val=""/>
      <w:lvlJc w:val="left"/>
      <w:pPr>
        <w:tabs>
          <w:tab w:val="num" w:pos="0"/>
        </w:tabs>
        <w:ind w:left="0" w:firstLine="0"/>
      </w:pPr>
      <w:rPr>
        <w:rFonts w:hint="default"/>
      </w:rPr>
    </w:lvl>
    <w:lvl w:ilvl="4">
      <w:start w:val="1"/>
      <w:numFmt w:val="decimal"/>
      <w:lvlText w:val="%1%2.%3.%4.%5"/>
      <w:lvlJc w:val="left"/>
      <w:pPr>
        <w:tabs>
          <w:tab w:val="num" w:pos="1134"/>
        </w:tabs>
        <w:ind w:left="765" w:hanging="765"/>
      </w:pPr>
      <w:rPr>
        <w:rFonts w:hint="default"/>
      </w:rPr>
    </w:lvl>
    <w:lvl w:ilvl="5">
      <w:start w:val="1"/>
      <w:numFmt w:val="none"/>
      <w:lvlText w:val=""/>
      <w:lvlJc w:val="righ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right"/>
      <w:pPr>
        <w:ind w:left="765" w:hanging="765"/>
      </w:pPr>
      <w:rPr>
        <w:rFonts w:hint="default"/>
      </w:rPr>
    </w:lvl>
  </w:abstractNum>
  <w:abstractNum w:abstractNumId="30" w15:restartNumberingAfterBreak="0">
    <w:nsid w:val="60D05A3F"/>
    <w:multiLevelType w:val="multilevel"/>
    <w:tmpl w:val="6C6E19E4"/>
    <w:numStyleLink w:val="NormalNumberedParas"/>
  </w:abstractNum>
  <w:abstractNum w:abstractNumId="31" w15:restartNumberingAfterBreak="0">
    <w:nsid w:val="65262A39"/>
    <w:multiLevelType w:val="hybridMultilevel"/>
    <w:tmpl w:val="8AC2DF44"/>
    <w:lvl w:ilvl="0" w:tplc="F886F750">
      <w:start w:val="1"/>
      <w:numFmt w:val="bullet"/>
      <w:pStyle w:val="Bullet3"/>
      <w:lvlText w:val=""/>
      <w:lvlJc w:val="left"/>
      <w:pPr>
        <w:ind w:left="92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2" w15:restartNumberingAfterBreak="0">
    <w:nsid w:val="65F530F1"/>
    <w:multiLevelType w:val="hybridMultilevel"/>
    <w:tmpl w:val="AC722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D1D40AC"/>
    <w:multiLevelType w:val="multilevel"/>
    <w:tmpl w:val="D18C6390"/>
    <w:name w:val="TableNumbering"/>
    <w:lvl w:ilvl="0">
      <w:start w:val="1"/>
      <w:numFmt w:val="decimal"/>
      <w:lvlText w:val="%1"/>
      <w:lvlJc w:val="left"/>
      <w:pPr>
        <w:tabs>
          <w:tab w:val="num" w:pos="397"/>
        </w:tabs>
        <w:ind w:left="397" w:hanging="284"/>
      </w:pPr>
      <w:rPr>
        <w:rFonts w:hint="default"/>
      </w:rPr>
    </w:lvl>
    <w:lvl w:ilvl="1">
      <w:start w:val="1"/>
      <w:numFmt w:val="lowerLetter"/>
      <w:lvlText w:val="%2"/>
      <w:lvlJc w:val="left"/>
      <w:pPr>
        <w:tabs>
          <w:tab w:val="num" w:pos="709"/>
        </w:tabs>
        <w:ind w:left="709" w:hanging="283"/>
      </w:pPr>
      <w:rPr>
        <w:rFonts w:hint="default"/>
      </w:rPr>
    </w:lvl>
    <w:lvl w:ilvl="2">
      <w:start w:val="1"/>
      <w:numFmt w:val="lowerRoman"/>
      <w:lvlText w:val="%3"/>
      <w:lvlJc w:val="left"/>
      <w:pPr>
        <w:tabs>
          <w:tab w:val="num" w:pos="964"/>
        </w:tabs>
        <w:ind w:left="964" w:hanging="284"/>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4" w15:restartNumberingAfterBreak="0">
    <w:nsid w:val="70250B03"/>
    <w:multiLevelType w:val="multilevel"/>
    <w:tmpl w:val="5796740A"/>
    <w:name w:val="QuoteBullets"/>
    <w:lvl w:ilvl="0">
      <w:start w:val="1"/>
      <w:numFmt w:val="bullet"/>
      <w:lvlText w:val="•"/>
      <w:lvlJc w:val="left"/>
      <w:pPr>
        <w:tabs>
          <w:tab w:val="num" w:pos="567"/>
        </w:tabs>
        <w:ind w:left="567" w:hanging="283"/>
      </w:pPr>
      <w:rPr>
        <w:rFonts w:ascii="Arial" w:hAnsi="Arial" w:hint="default"/>
        <w:color w:val="auto"/>
        <w:sz w:val="18"/>
      </w:rPr>
    </w:lvl>
    <w:lvl w:ilvl="1">
      <w:start w:val="1"/>
      <w:numFmt w:val="bullet"/>
      <w:lvlText w:val="‒"/>
      <w:lvlJc w:val="left"/>
      <w:pPr>
        <w:tabs>
          <w:tab w:val="num" w:pos="851"/>
        </w:tabs>
        <w:ind w:left="851" w:hanging="284"/>
      </w:pPr>
      <w:rPr>
        <w:rFonts w:ascii="Calibri" w:hAnsi="Calibri" w:hint="default"/>
        <w:color w:val="auto"/>
      </w:rPr>
    </w:lvl>
    <w:lvl w:ilvl="2">
      <w:start w:val="1"/>
      <w:numFmt w:val="bullet"/>
      <w:lvlText w:val="‒"/>
      <w:lvlJc w:val="left"/>
      <w:pPr>
        <w:tabs>
          <w:tab w:val="num" w:pos="1418"/>
        </w:tabs>
        <w:ind w:left="1418" w:hanging="283"/>
      </w:pPr>
      <w:rPr>
        <w:rFonts w:ascii="Calibri" w:hAnsi="Calibri" w:hint="default"/>
        <w:color w:val="9778B4"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5" w15:restartNumberingAfterBreak="0">
    <w:nsid w:val="738A4D83"/>
    <w:multiLevelType w:val="multilevel"/>
    <w:tmpl w:val="B0064A26"/>
    <w:styleLink w:val="DefaultBullets"/>
    <w:lvl w:ilvl="0">
      <w:start w:val="1"/>
      <w:numFmt w:val="bullet"/>
      <w:pStyle w:val="Bullet1"/>
      <w:lvlText w:val=""/>
      <w:lvlJc w:val="left"/>
      <w:pPr>
        <w:ind w:left="851" w:hanging="284"/>
      </w:pPr>
      <w:rPr>
        <w:rFonts w:ascii="Symbol" w:hAnsi="Symbol" w:hint="default"/>
        <w:color w:val="auto"/>
      </w:rPr>
    </w:lvl>
    <w:lvl w:ilvl="1">
      <w:start w:val="1"/>
      <w:numFmt w:val="bullet"/>
      <w:pStyle w:val="Bullet2"/>
      <w:lvlText w:val="–"/>
      <w:lvlJc w:val="left"/>
      <w:pPr>
        <w:ind w:left="1135" w:hanging="284"/>
      </w:pPr>
      <w:rPr>
        <w:rFonts w:ascii="Arial" w:hAnsi="Arial" w:hint="default"/>
        <w:color w:val="auto"/>
      </w:rPr>
    </w:lvl>
    <w:lvl w:ilvl="2">
      <w:start w:val="1"/>
      <w:numFmt w:val="bullet"/>
      <w:lvlText w:val="»"/>
      <w:lvlJc w:val="left"/>
      <w:pPr>
        <w:ind w:left="1419" w:hanging="284"/>
      </w:pPr>
      <w:rPr>
        <w:rFonts w:ascii="Arial" w:hAnsi="Arial" w:hint="default"/>
        <w:color w:val="auto"/>
      </w:rPr>
    </w:lvl>
    <w:lvl w:ilvl="3">
      <w:start w:val="1"/>
      <w:numFmt w:val="decimal"/>
      <w:lvlText w:val="(%4)"/>
      <w:lvlJc w:val="left"/>
      <w:pPr>
        <w:ind w:left="1703" w:hanging="284"/>
      </w:pPr>
      <w:rPr>
        <w:rFonts w:hint="default"/>
      </w:rPr>
    </w:lvl>
    <w:lvl w:ilvl="4">
      <w:start w:val="1"/>
      <w:numFmt w:val="lowerLetter"/>
      <w:lvlText w:val="(%5)"/>
      <w:lvlJc w:val="left"/>
      <w:pPr>
        <w:ind w:left="1987" w:hanging="284"/>
      </w:pPr>
      <w:rPr>
        <w:rFonts w:hint="default"/>
      </w:rPr>
    </w:lvl>
    <w:lvl w:ilvl="5">
      <w:start w:val="1"/>
      <w:numFmt w:val="lowerRoman"/>
      <w:lvlText w:val="(%6)"/>
      <w:lvlJc w:val="left"/>
      <w:pPr>
        <w:ind w:left="2271" w:hanging="284"/>
      </w:pPr>
      <w:rPr>
        <w:rFonts w:hint="default"/>
      </w:rPr>
    </w:lvl>
    <w:lvl w:ilvl="6">
      <w:start w:val="1"/>
      <w:numFmt w:val="decimal"/>
      <w:lvlText w:val="%7."/>
      <w:lvlJc w:val="left"/>
      <w:pPr>
        <w:ind w:left="2555" w:hanging="284"/>
      </w:pPr>
      <w:rPr>
        <w:rFonts w:hint="default"/>
      </w:rPr>
    </w:lvl>
    <w:lvl w:ilvl="7">
      <w:start w:val="1"/>
      <w:numFmt w:val="lowerLetter"/>
      <w:lvlText w:val="%8."/>
      <w:lvlJc w:val="left"/>
      <w:pPr>
        <w:ind w:left="2839" w:hanging="284"/>
      </w:pPr>
      <w:rPr>
        <w:rFonts w:hint="default"/>
      </w:rPr>
    </w:lvl>
    <w:lvl w:ilvl="8">
      <w:start w:val="1"/>
      <w:numFmt w:val="lowerRoman"/>
      <w:lvlText w:val="%9."/>
      <w:lvlJc w:val="left"/>
      <w:pPr>
        <w:ind w:left="3123" w:hanging="284"/>
      </w:pPr>
      <w:rPr>
        <w:rFonts w:hint="default"/>
      </w:rPr>
    </w:lvl>
  </w:abstractNum>
  <w:abstractNum w:abstractNumId="36" w15:restartNumberingAfterBreak="0">
    <w:nsid w:val="7839021E"/>
    <w:multiLevelType w:val="multilevel"/>
    <w:tmpl w:val="C186E662"/>
    <w:name w:val="ListNumbering"/>
    <w:lvl w:ilvl="0">
      <w:start w:val="1"/>
      <w:numFmt w:val="decimal"/>
      <w:lvlText w:val="%1"/>
      <w:lvlJc w:val="left"/>
      <w:pPr>
        <w:tabs>
          <w:tab w:val="num" w:pos="454"/>
        </w:tabs>
        <w:ind w:left="454" w:hanging="454"/>
      </w:pPr>
      <w:rPr>
        <w:rFonts w:hint="default"/>
        <w:color w:val="auto"/>
        <w:spacing w:val="0"/>
        <w:sz w:val="22"/>
      </w:rPr>
    </w:lvl>
    <w:lvl w:ilvl="1">
      <w:start w:val="1"/>
      <w:numFmt w:val="lowerLetter"/>
      <w:lvlText w:val="%2"/>
      <w:lvlJc w:val="left"/>
      <w:pPr>
        <w:tabs>
          <w:tab w:val="num" w:pos="907"/>
        </w:tabs>
        <w:ind w:left="907" w:hanging="453"/>
      </w:pPr>
      <w:rPr>
        <w:rFonts w:hint="default"/>
        <w:color w:val="auto"/>
        <w:spacing w:val="0"/>
        <w:sz w:val="22"/>
      </w:rPr>
    </w:lvl>
    <w:lvl w:ilvl="2">
      <w:start w:val="1"/>
      <w:numFmt w:val="lowerRoman"/>
      <w:lvlText w:val="%3"/>
      <w:lvlJc w:val="left"/>
      <w:pPr>
        <w:tabs>
          <w:tab w:val="num" w:pos="1361"/>
        </w:tabs>
        <w:ind w:left="1361" w:hanging="454"/>
      </w:pPr>
      <w:rPr>
        <w:rFonts w:hint="default"/>
        <w:color w:val="auto"/>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630785865">
    <w:abstractNumId w:val="25"/>
  </w:num>
  <w:num w:numId="2" w16cid:durableId="1771316657">
    <w:abstractNumId w:val="3"/>
  </w:num>
  <w:num w:numId="3" w16cid:durableId="2049599312">
    <w:abstractNumId w:val="19"/>
  </w:num>
  <w:num w:numId="4" w16cid:durableId="543908609">
    <w:abstractNumId w:val="35"/>
  </w:num>
  <w:num w:numId="5" w16cid:durableId="1906138580">
    <w:abstractNumId w:val="23"/>
  </w:num>
  <w:num w:numId="6" w16cid:durableId="1727407988">
    <w:abstractNumId w:val="29"/>
  </w:num>
  <w:num w:numId="7" w16cid:durableId="1677615142">
    <w:abstractNumId w:val="9"/>
  </w:num>
  <w:num w:numId="8" w16cid:durableId="1114061102">
    <w:abstractNumId w:val="14"/>
  </w:num>
  <w:num w:numId="9" w16cid:durableId="2053454826">
    <w:abstractNumId w:val="6"/>
  </w:num>
  <w:num w:numId="10" w16cid:durableId="1291934265">
    <w:abstractNumId w:val="26"/>
  </w:num>
  <w:num w:numId="11" w16cid:durableId="1717772414">
    <w:abstractNumId w:val="16"/>
  </w:num>
  <w:num w:numId="12" w16cid:durableId="772750403">
    <w:abstractNumId w:val="25"/>
  </w:num>
  <w:num w:numId="13" w16cid:durableId="2102682968">
    <w:abstractNumId w:val="25"/>
  </w:num>
  <w:num w:numId="14" w16cid:durableId="1195735006">
    <w:abstractNumId w:val="3"/>
  </w:num>
  <w:num w:numId="15" w16cid:durableId="493686473">
    <w:abstractNumId w:val="19"/>
  </w:num>
  <w:num w:numId="16" w16cid:durableId="1126654925">
    <w:abstractNumId w:val="19"/>
  </w:num>
  <w:num w:numId="17" w16cid:durableId="741561694">
    <w:abstractNumId w:val="19"/>
  </w:num>
  <w:num w:numId="18" w16cid:durableId="1068504438">
    <w:abstractNumId w:val="21"/>
  </w:num>
  <w:num w:numId="19" w16cid:durableId="1729380996">
    <w:abstractNumId w:val="21"/>
  </w:num>
  <w:num w:numId="20" w16cid:durableId="2072802364">
    <w:abstractNumId w:val="21"/>
  </w:num>
  <w:num w:numId="21" w16cid:durableId="1598320472">
    <w:abstractNumId w:val="35"/>
  </w:num>
  <w:num w:numId="22" w16cid:durableId="393504625">
    <w:abstractNumId w:val="10"/>
  </w:num>
  <w:num w:numId="23" w16cid:durableId="1420560042">
    <w:abstractNumId w:val="26"/>
  </w:num>
  <w:num w:numId="24" w16cid:durableId="926113531">
    <w:abstractNumId w:val="26"/>
  </w:num>
  <w:num w:numId="25" w16cid:durableId="2111579790">
    <w:abstractNumId w:val="26"/>
  </w:num>
  <w:num w:numId="26" w16cid:durableId="516583946">
    <w:abstractNumId w:val="23"/>
  </w:num>
  <w:num w:numId="27" w16cid:durableId="1295217483">
    <w:abstractNumId w:val="29"/>
  </w:num>
  <w:num w:numId="28" w16cid:durableId="356658238">
    <w:abstractNumId w:val="4"/>
  </w:num>
  <w:num w:numId="29" w16cid:durableId="1599215622">
    <w:abstractNumId w:val="9"/>
  </w:num>
  <w:num w:numId="30" w16cid:durableId="562763623">
    <w:abstractNumId w:val="14"/>
  </w:num>
  <w:num w:numId="31" w16cid:durableId="519314487">
    <w:abstractNumId w:val="14"/>
  </w:num>
  <w:num w:numId="32" w16cid:durableId="1589539974">
    <w:abstractNumId w:val="14"/>
  </w:num>
  <w:num w:numId="33" w16cid:durableId="1051417013">
    <w:abstractNumId w:val="30"/>
  </w:num>
  <w:num w:numId="34" w16cid:durableId="1549413790">
    <w:abstractNumId w:val="6"/>
  </w:num>
  <w:num w:numId="35" w16cid:durableId="1066293584">
    <w:abstractNumId w:val="26"/>
  </w:num>
  <w:num w:numId="36" w16cid:durableId="2044938751">
    <w:abstractNumId w:val="16"/>
  </w:num>
  <w:num w:numId="37" w16cid:durableId="935291981">
    <w:abstractNumId w:val="13"/>
  </w:num>
  <w:num w:numId="38" w16cid:durableId="1460953369">
    <w:abstractNumId w:val="27"/>
  </w:num>
  <w:num w:numId="39" w16cid:durableId="287394967">
    <w:abstractNumId w:val="7"/>
  </w:num>
  <w:num w:numId="40" w16cid:durableId="203561538">
    <w:abstractNumId w:val="31"/>
  </w:num>
  <w:num w:numId="41" w16cid:durableId="1164469536">
    <w:abstractNumId w:val="11"/>
  </w:num>
  <w:num w:numId="42" w16cid:durableId="1552614280">
    <w:abstractNumId w:val="5"/>
  </w:num>
  <w:num w:numId="43" w16cid:durableId="367727102">
    <w:abstractNumId w:val="17"/>
  </w:num>
  <w:num w:numId="44" w16cid:durableId="1435663810">
    <w:abstractNumId w:val="28"/>
  </w:num>
  <w:num w:numId="45" w16cid:durableId="1261703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846056">
    <w:abstractNumId w:val="12"/>
  </w:num>
  <w:num w:numId="47" w16cid:durableId="1084183715">
    <w:abstractNumId w:val="24"/>
  </w:num>
  <w:num w:numId="48" w16cid:durableId="1124230309">
    <w:abstractNumId w:val="32"/>
  </w:num>
  <w:num w:numId="49" w16cid:durableId="1294362952">
    <w:abstractNumId w:val="1"/>
  </w:num>
  <w:num w:numId="50" w16cid:durableId="899753117">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enforcement="0"/>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pendices" w:val="True"/>
    <w:docVar w:name="AppendixName" w:val="Attachment"/>
    <w:docVar w:name="Disclaimer" w:val="False"/>
    <w:docVar w:name="Foreword" w:val="True"/>
    <w:docVar w:name="Heading1Numbered" w:val="False"/>
    <w:docVar w:name="Heading2Numbered" w:val="False"/>
    <w:docVar w:name="Heading3Numbered" w:val="False"/>
    <w:docVar w:name="IsWordingOverview" w:val="True"/>
    <w:docVar w:name="NumberedBodyText" w:val="False"/>
    <w:docVar w:name="optHeading1OddPage" w:val="False"/>
    <w:docVar w:name="Overview" w:val="False"/>
    <w:docVar w:name="PageSetup" w:val="Double"/>
    <w:docVar w:name="RibbonLabel" w:val="Appendix"/>
    <w:docVar w:name="TOC" w:val="True"/>
    <w:docVar w:name="TOCNew" w:val="True"/>
    <w:docVar w:name="Version" w:val="Version 1"/>
  </w:docVars>
  <w:rsids>
    <w:rsidRoot w:val="00F04E1E"/>
    <w:rsid w:val="0000071C"/>
    <w:rsid w:val="0000322C"/>
    <w:rsid w:val="00003CDD"/>
    <w:rsid w:val="00012209"/>
    <w:rsid w:val="00013620"/>
    <w:rsid w:val="000138FC"/>
    <w:rsid w:val="0001406F"/>
    <w:rsid w:val="000155D9"/>
    <w:rsid w:val="00015E04"/>
    <w:rsid w:val="000168A7"/>
    <w:rsid w:val="00016D53"/>
    <w:rsid w:val="000171F9"/>
    <w:rsid w:val="00020D01"/>
    <w:rsid w:val="0002159A"/>
    <w:rsid w:val="000278D0"/>
    <w:rsid w:val="00027E62"/>
    <w:rsid w:val="000307C8"/>
    <w:rsid w:val="00030F73"/>
    <w:rsid w:val="00033326"/>
    <w:rsid w:val="00035A1C"/>
    <w:rsid w:val="00035ADE"/>
    <w:rsid w:val="0004224B"/>
    <w:rsid w:val="00043148"/>
    <w:rsid w:val="00043A21"/>
    <w:rsid w:val="0004542E"/>
    <w:rsid w:val="00046226"/>
    <w:rsid w:val="00047525"/>
    <w:rsid w:val="0004763B"/>
    <w:rsid w:val="000477CD"/>
    <w:rsid w:val="000505FB"/>
    <w:rsid w:val="0005330D"/>
    <w:rsid w:val="00055390"/>
    <w:rsid w:val="000557A7"/>
    <w:rsid w:val="00055805"/>
    <w:rsid w:val="00056CB3"/>
    <w:rsid w:val="000575B6"/>
    <w:rsid w:val="0005793B"/>
    <w:rsid w:val="00061758"/>
    <w:rsid w:val="00065125"/>
    <w:rsid w:val="00066D54"/>
    <w:rsid w:val="00066DCE"/>
    <w:rsid w:val="00067A28"/>
    <w:rsid w:val="0007118A"/>
    <w:rsid w:val="00071A14"/>
    <w:rsid w:val="0007260F"/>
    <w:rsid w:val="000739CB"/>
    <w:rsid w:val="00073C89"/>
    <w:rsid w:val="0007488E"/>
    <w:rsid w:val="000805D5"/>
    <w:rsid w:val="0008103B"/>
    <w:rsid w:val="00085F97"/>
    <w:rsid w:val="00087777"/>
    <w:rsid w:val="000879B1"/>
    <w:rsid w:val="00092A33"/>
    <w:rsid w:val="00092E9B"/>
    <w:rsid w:val="00095FBD"/>
    <w:rsid w:val="000973F9"/>
    <w:rsid w:val="00097A23"/>
    <w:rsid w:val="000A0848"/>
    <w:rsid w:val="000A2FEC"/>
    <w:rsid w:val="000A348F"/>
    <w:rsid w:val="000A3BFE"/>
    <w:rsid w:val="000A4FEE"/>
    <w:rsid w:val="000B0AF4"/>
    <w:rsid w:val="000B1B0C"/>
    <w:rsid w:val="000B4345"/>
    <w:rsid w:val="000B5900"/>
    <w:rsid w:val="000B60AE"/>
    <w:rsid w:val="000B6942"/>
    <w:rsid w:val="000B6D00"/>
    <w:rsid w:val="000B70EC"/>
    <w:rsid w:val="000B719B"/>
    <w:rsid w:val="000C09FA"/>
    <w:rsid w:val="000C1AB0"/>
    <w:rsid w:val="000C37A9"/>
    <w:rsid w:val="000C3BF1"/>
    <w:rsid w:val="000C42CB"/>
    <w:rsid w:val="000C6728"/>
    <w:rsid w:val="000C702E"/>
    <w:rsid w:val="000D01DB"/>
    <w:rsid w:val="000D15E9"/>
    <w:rsid w:val="000D2606"/>
    <w:rsid w:val="000D3182"/>
    <w:rsid w:val="000D3228"/>
    <w:rsid w:val="000D45C4"/>
    <w:rsid w:val="000D46B3"/>
    <w:rsid w:val="000D49B0"/>
    <w:rsid w:val="000E18F3"/>
    <w:rsid w:val="000E19AC"/>
    <w:rsid w:val="000E2197"/>
    <w:rsid w:val="000E2319"/>
    <w:rsid w:val="000E266E"/>
    <w:rsid w:val="000E29CD"/>
    <w:rsid w:val="000E4C7B"/>
    <w:rsid w:val="000E5FD9"/>
    <w:rsid w:val="000E684A"/>
    <w:rsid w:val="000E7017"/>
    <w:rsid w:val="000F1515"/>
    <w:rsid w:val="000F16B5"/>
    <w:rsid w:val="000F2A3E"/>
    <w:rsid w:val="000F616E"/>
    <w:rsid w:val="000F7D50"/>
    <w:rsid w:val="00102CE8"/>
    <w:rsid w:val="00110D43"/>
    <w:rsid w:val="00114966"/>
    <w:rsid w:val="001159EA"/>
    <w:rsid w:val="00115F4C"/>
    <w:rsid w:val="00120A75"/>
    <w:rsid w:val="001248D0"/>
    <w:rsid w:val="00124F41"/>
    <w:rsid w:val="00125410"/>
    <w:rsid w:val="00126DB7"/>
    <w:rsid w:val="00130858"/>
    <w:rsid w:val="00131861"/>
    <w:rsid w:val="00132CC1"/>
    <w:rsid w:val="00134400"/>
    <w:rsid w:val="00135189"/>
    <w:rsid w:val="00136C26"/>
    <w:rsid w:val="0014059F"/>
    <w:rsid w:val="00141551"/>
    <w:rsid w:val="001417CE"/>
    <w:rsid w:val="001420BA"/>
    <w:rsid w:val="00142BB8"/>
    <w:rsid w:val="0014479F"/>
    <w:rsid w:val="00146851"/>
    <w:rsid w:val="00146B30"/>
    <w:rsid w:val="00146EAD"/>
    <w:rsid w:val="00150B57"/>
    <w:rsid w:val="00151527"/>
    <w:rsid w:val="001541BF"/>
    <w:rsid w:val="00154DC5"/>
    <w:rsid w:val="00155898"/>
    <w:rsid w:val="001564EF"/>
    <w:rsid w:val="00156FEE"/>
    <w:rsid w:val="00160C8D"/>
    <w:rsid w:val="001616E8"/>
    <w:rsid w:val="001621D9"/>
    <w:rsid w:val="001629C0"/>
    <w:rsid w:val="001636E5"/>
    <w:rsid w:val="00165122"/>
    <w:rsid w:val="00165854"/>
    <w:rsid w:val="00166078"/>
    <w:rsid w:val="00166A15"/>
    <w:rsid w:val="00167A05"/>
    <w:rsid w:val="001711BC"/>
    <w:rsid w:val="001738DB"/>
    <w:rsid w:val="001738F5"/>
    <w:rsid w:val="00173DFD"/>
    <w:rsid w:val="00175BDC"/>
    <w:rsid w:val="001805BF"/>
    <w:rsid w:val="00180FF9"/>
    <w:rsid w:val="00181F61"/>
    <w:rsid w:val="00182B40"/>
    <w:rsid w:val="0019204F"/>
    <w:rsid w:val="001939D1"/>
    <w:rsid w:val="0019455E"/>
    <w:rsid w:val="001950E6"/>
    <w:rsid w:val="00195228"/>
    <w:rsid w:val="00195696"/>
    <w:rsid w:val="00196532"/>
    <w:rsid w:val="001967B2"/>
    <w:rsid w:val="001A07CB"/>
    <w:rsid w:val="001A1EFC"/>
    <w:rsid w:val="001A4001"/>
    <w:rsid w:val="001A48EF"/>
    <w:rsid w:val="001A49CC"/>
    <w:rsid w:val="001A5553"/>
    <w:rsid w:val="001A5B37"/>
    <w:rsid w:val="001A716E"/>
    <w:rsid w:val="001B10D6"/>
    <w:rsid w:val="001B18C6"/>
    <w:rsid w:val="001B25FE"/>
    <w:rsid w:val="001B2C65"/>
    <w:rsid w:val="001B3BA2"/>
    <w:rsid w:val="001B4255"/>
    <w:rsid w:val="001B65B5"/>
    <w:rsid w:val="001B7058"/>
    <w:rsid w:val="001C3A4F"/>
    <w:rsid w:val="001C4121"/>
    <w:rsid w:val="001C48DE"/>
    <w:rsid w:val="001C6881"/>
    <w:rsid w:val="001C7A03"/>
    <w:rsid w:val="001C7F8D"/>
    <w:rsid w:val="001D30C1"/>
    <w:rsid w:val="001D52E3"/>
    <w:rsid w:val="001D576F"/>
    <w:rsid w:val="001D7C29"/>
    <w:rsid w:val="001E0475"/>
    <w:rsid w:val="001E33C2"/>
    <w:rsid w:val="001E3570"/>
    <w:rsid w:val="001E55FD"/>
    <w:rsid w:val="001E5BD5"/>
    <w:rsid w:val="001E6F16"/>
    <w:rsid w:val="001E708A"/>
    <w:rsid w:val="001E7BA4"/>
    <w:rsid w:val="001F2AAD"/>
    <w:rsid w:val="001F3F23"/>
    <w:rsid w:val="001F5C90"/>
    <w:rsid w:val="001F767C"/>
    <w:rsid w:val="001F7B10"/>
    <w:rsid w:val="00201EAE"/>
    <w:rsid w:val="00203A7B"/>
    <w:rsid w:val="002057EF"/>
    <w:rsid w:val="00205C6E"/>
    <w:rsid w:val="00206B76"/>
    <w:rsid w:val="002078F1"/>
    <w:rsid w:val="00207D6B"/>
    <w:rsid w:val="00210074"/>
    <w:rsid w:val="00210507"/>
    <w:rsid w:val="00210FCF"/>
    <w:rsid w:val="0021562A"/>
    <w:rsid w:val="002172C4"/>
    <w:rsid w:val="002179B6"/>
    <w:rsid w:val="00222350"/>
    <w:rsid w:val="00222EFF"/>
    <w:rsid w:val="002240D5"/>
    <w:rsid w:val="00225CA4"/>
    <w:rsid w:val="002261A7"/>
    <w:rsid w:val="00226AEC"/>
    <w:rsid w:val="0023077A"/>
    <w:rsid w:val="00235C95"/>
    <w:rsid w:val="00246E30"/>
    <w:rsid w:val="0024765A"/>
    <w:rsid w:val="002477DC"/>
    <w:rsid w:val="002545F3"/>
    <w:rsid w:val="002559FB"/>
    <w:rsid w:val="0025726E"/>
    <w:rsid w:val="00260B56"/>
    <w:rsid w:val="002615E0"/>
    <w:rsid w:val="0026257E"/>
    <w:rsid w:val="00262AC1"/>
    <w:rsid w:val="0026344F"/>
    <w:rsid w:val="002636AE"/>
    <w:rsid w:val="00266A17"/>
    <w:rsid w:val="00270372"/>
    <w:rsid w:val="00270409"/>
    <w:rsid w:val="00275534"/>
    <w:rsid w:val="00277075"/>
    <w:rsid w:val="002775D2"/>
    <w:rsid w:val="00281A7A"/>
    <w:rsid w:val="00281ADD"/>
    <w:rsid w:val="00284643"/>
    <w:rsid w:val="0028563E"/>
    <w:rsid w:val="00287823"/>
    <w:rsid w:val="0028792D"/>
    <w:rsid w:val="00291814"/>
    <w:rsid w:val="00292397"/>
    <w:rsid w:val="002931D1"/>
    <w:rsid w:val="00293E0D"/>
    <w:rsid w:val="00293E80"/>
    <w:rsid w:val="002973B0"/>
    <w:rsid w:val="00297C14"/>
    <w:rsid w:val="002A220F"/>
    <w:rsid w:val="002A24F1"/>
    <w:rsid w:val="002A33F4"/>
    <w:rsid w:val="002A43A0"/>
    <w:rsid w:val="002A5551"/>
    <w:rsid w:val="002A5778"/>
    <w:rsid w:val="002A6E3B"/>
    <w:rsid w:val="002A7973"/>
    <w:rsid w:val="002B1C24"/>
    <w:rsid w:val="002B1E84"/>
    <w:rsid w:val="002B2085"/>
    <w:rsid w:val="002B3EC4"/>
    <w:rsid w:val="002B4AB0"/>
    <w:rsid w:val="002B75AC"/>
    <w:rsid w:val="002C37D5"/>
    <w:rsid w:val="002C4DA6"/>
    <w:rsid w:val="002C56B6"/>
    <w:rsid w:val="002C60A0"/>
    <w:rsid w:val="002C6DB2"/>
    <w:rsid w:val="002C746C"/>
    <w:rsid w:val="002D0BAB"/>
    <w:rsid w:val="002D18E1"/>
    <w:rsid w:val="002D239A"/>
    <w:rsid w:val="002D34DB"/>
    <w:rsid w:val="002D48BE"/>
    <w:rsid w:val="002D4B11"/>
    <w:rsid w:val="002E0CD6"/>
    <w:rsid w:val="002E1EA9"/>
    <w:rsid w:val="002E2EEE"/>
    <w:rsid w:val="002E5633"/>
    <w:rsid w:val="002E5CE6"/>
    <w:rsid w:val="002E6659"/>
    <w:rsid w:val="002E7E00"/>
    <w:rsid w:val="002F1126"/>
    <w:rsid w:val="002F1963"/>
    <w:rsid w:val="002F1C1A"/>
    <w:rsid w:val="002F25FB"/>
    <w:rsid w:val="002F5B6E"/>
    <w:rsid w:val="002F61B5"/>
    <w:rsid w:val="00300066"/>
    <w:rsid w:val="0030209B"/>
    <w:rsid w:val="003049B5"/>
    <w:rsid w:val="003116DE"/>
    <w:rsid w:val="00312494"/>
    <w:rsid w:val="003127E4"/>
    <w:rsid w:val="00312C42"/>
    <w:rsid w:val="00313215"/>
    <w:rsid w:val="00313DA1"/>
    <w:rsid w:val="00317042"/>
    <w:rsid w:val="003174C3"/>
    <w:rsid w:val="003216C8"/>
    <w:rsid w:val="0032267A"/>
    <w:rsid w:val="003230D5"/>
    <w:rsid w:val="00323ED1"/>
    <w:rsid w:val="00323F4E"/>
    <w:rsid w:val="0032557A"/>
    <w:rsid w:val="00326E3E"/>
    <w:rsid w:val="00330622"/>
    <w:rsid w:val="003318BA"/>
    <w:rsid w:val="003326F7"/>
    <w:rsid w:val="00332E13"/>
    <w:rsid w:val="00340778"/>
    <w:rsid w:val="003407B9"/>
    <w:rsid w:val="00342FBA"/>
    <w:rsid w:val="00343205"/>
    <w:rsid w:val="00344D2C"/>
    <w:rsid w:val="003458CE"/>
    <w:rsid w:val="00345A57"/>
    <w:rsid w:val="00346D90"/>
    <w:rsid w:val="00347188"/>
    <w:rsid w:val="00351F62"/>
    <w:rsid w:val="0035792C"/>
    <w:rsid w:val="003601F4"/>
    <w:rsid w:val="00361150"/>
    <w:rsid w:val="00366551"/>
    <w:rsid w:val="003671E2"/>
    <w:rsid w:val="00370320"/>
    <w:rsid w:val="00372AE6"/>
    <w:rsid w:val="00374E86"/>
    <w:rsid w:val="003754BF"/>
    <w:rsid w:val="00376C3A"/>
    <w:rsid w:val="0038082C"/>
    <w:rsid w:val="003837E1"/>
    <w:rsid w:val="00383C7C"/>
    <w:rsid w:val="0038542D"/>
    <w:rsid w:val="0038584D"/>
    <w:rsid w:val="00386083"/>
    <w:rsid w:val="0038746F"/>
    <w:rsid w:val="003907E3"/>
    <w:rsid w:val="0039257F"/>
    <w:rsid w:val="003931DE"/>
    <w:rsid w:val="00394E9E"/>
    <w:rsid w:val="00396BA9"/>
    <w:rsid w:val="00397D1A"/>
    <w:rsid w:val="003A163C"/>
    <w:rsid w:val="003A1932"/>
    <w:rsid w:val="003A2B4E"/>
    <w:rsid w:val="003A2FBB"/>
    <w:rsid w:val="003A34E7"/>
    <w:rsid w:val="003A3799"/>
    <w:rsid w:val="003A4913"/>
    <w:rsid w:val="003A54A9"/>
    <w:rsid w:val="003A62A5"/>
    <w:rsid w:val="003A7083"/>
    <w:rsid w:val="003B2CF2"/>
    <w:rsid w:val="003B3103"/>
    <w:rsid w:val="003B38B3"/>
    <w:rsid w:val="003B3A97"/>
    <w:rsid w:val="003B3AAD"/>
    <w:rsid w:val="003B3D44"/>
    <w:rsid w:val="003B47BC"/>
    <w:rsid w:val="003B485F"/>
    <w:rsid w:val="003B625E"/>
    <w:rsid w:val="003C1B4F"/>
    <w:rsid w:val="003C2540"/>
    <w:rsid w:val="003C4CFF"/>
    <w:rsid w:val="003C6BB5"/>
    <w:rsid w:val="003C7CC2"/>
    <w:rsid w:val="003D3379"/>
    <w:rsid w:val="003D3509"/>
    <w:rsid w:val="003D50B6"/>
    <w:rsid w:val="003E05DF"/>
    <w:rsid w:val="003E1562"/>
    <w:rsid w:val="003E41B2"/>
    <w:rsid w:val="003E53CE"/>
    <w:rsid w:val="003E6085"/>
    <w:rsid w:val="003E6CA3"/>
    <w:rsid w:val="003F3031"/>
    <w:rsid w:val="003F4C96"/>
    <w:rsid w:val="003F6478"/>
    <w:rsid w:val="0040174A"/>
    <w:rsid w:val="00401C49"/>
    <w:rsid w:val="00403A9D"/>
    <w:rsid w:val="00404CFE"/>
    <w:rsid w:val="00406002"/>
    <w:rsid w:val="0040632C"/>
    <w:rsid w:val="00406AD3"/>
    <w:rsid w:val="00407BA3"/>
    <w:rsid w:val="00410731"/>
    <w:rsid w:val="00412E42"/>
    <w:rsid w:val="00413841"/>
    <w:rsid w:val="00413EC1"/>
    <w:rsid w:val="00414A13"/>
    <w:rsid w:val="00415776"/>
    <w:rsid w:val="0042112A"/>
    <w:rsid w:val="00425534"/>
    <w:rsid w:val="00425C05"/>
    <w:rsid w:val="00426356"/>
    <w:rsid w:val="00426929"/>
    <w:rsid w:val="0043113B"/>
    <w:rsid w:val="00433D11"/>
    <w:rsid w:val="00440108"/>
    <w:rsid w:val="00440FF6"/>
    <w:rsid w:val="00441A6D"/>
    <w:rsid w:val="00441C48"/>
    <w:rsid w:val="00442C16"/>
    <w:rsid w:val="00445410"/>
    <w:rsid w:val="00446439"/>
    <w:rsid w:val="00450BDA"/>
    <w:rsid w:val="0045129B"/>
    <w:rsid w:val="00453A3E"/>
    <w:rsid w:val="0045452F"/>
    <w:rsid w:val="004545E7"/>
    <w:rsid w:val="00454BEB"/>
    <w:rsid w:val="00456915"/>
    <w:rsid w:val="0045766B"/>
    <w:rsid w:val="00457EA9"/>
    <w:rsid w:val="004618A2"/>
    <w:rsid w:val="0046444F"/>
    <w:rsid w:val="00464FF9"/>
    <w:rsid w:val="004716E3"/>
    <w:rsid w:val="00471BC7"/>
    <w:rsid w:val="00472502"/>
    <w:rsid w:val="00474140"/>
    <w:rsid w:val="00474BB7"/>
    <w:rsid w:val="00476133"/>
    <w:rsid w:val="00476800"/>
    <w:rsid w:val="004816D7"/>
    <w:rsid w:val="0048215B"/>
    <w:rsid w:val="00482CBE"/>
    <w:rsid w:val="00482F63"/>
    <w:rsid w:val="0048342E"/>
    <w:rsid w:val="00487478"/>
    <w:rsid w:val="0048782D"/>
    <w:rsid w:val="00490873"/>
    <w:rsid w:val="00491703"/>
    <w:rsid w:val="00491F1D"/>
    <w:rsid w:val="004932BA"/>
    <w:rsid w:val="00494DC1"/>
    <w:rsid w:val="004A3910"/>
    <w:rsid w:val="004A3F56"/>
    <w:rsid w:val="004A4BB2"/>
    <w:rsid w:val="004A4F1C"/>
    <w:rsid w:val="004A5E21"/>
    <w:rsid w:val="004A666A"/>
    <w:rsid w:val="004B143F"/>
    <w:rsid w:val="004B2153"/>
    <w:rsid w:val="004B3022"/>
    <w:rsid w:val="004B49A0"/>
    <w:rsid w:val="004B52AF"/>
    <w:rsid w:val="004B6C2D"/>
    <w:rsid w:val="004C19E5"/>
    <w:rsid w:val="004C3BDA"/>
    <w:rsid w:val="004C48EB"/>
    <w:rsid w:val="004C6306"/>
    <w:rsid w:val="004C6F5E"/>
    <w:rsid w:val="004C7E94"/>
    <w:rsid w:val="004D286D"/>
    <w:rsid w:val="004D4551"/>
    <w:rsid w:val="004D5A64"/>
    <w:rsid w:val="004D7CF8"/>
    <w:rsid w:val="004D7EDA"/>
    <w:rsid w:val="004E0E49"/>
    <w:rsid w:val="004E197A"/>
    <w:rsid w:val="004E22E8"/>
    <w:rsid w:val="004E5154"/>
    <w:rsid w:val="004E5D52"/>
    <w:rsid w:val="004F07D7"/>
    <w:rsid w:val="004F1297"/>
    <w:rsid w:val="004F16DB"/>
    <w:rsid w:val="004F2926"/>
    <w:rsid w:val="004F4D7E"/>
    <w:rsid w:val="004F5B16"/>
    <w:rsid w:val="004F5D9D"/>
    <w:rsid w:val="004F5F28"/>
    <w:rsid w:val="004F68E5"/>
    <w:rsid w:val="004F7037"/>
    <w:rsid w:val="004F741B"/>
    <w:rsid w:val="00500F08"/>
    <w:rsid w:val="0050132A"/>
    <w:rsid w:val="00503253"/>
    <w:rsid w:val="00503BB0"/>
    <w:rsid w:val="00503E03"/>
    <w:rsid w:val="00506A21"/>
    <w:rsid w:val="00511F0B"/>
    <w:rsid w:val="00512226"/>
    <w:rsid w:val="00512B31"/>
    <w:rsid w:val="005147C6"/>
    <w:rsid w:val="005159B1"/>
    <w:rsid w:val="00522502"/>
    <w:rsid w:val="00522530"/>
    <w:rsid w:val="005255A1"/>
    <w:rsid w:val="00525825"/>
    <w:rsid w:val="0052641C"/>
    <w:rsid w:val="005311C2"/>
    <w:rsid w:val="005319E9"/>
    <w:rsid w:val="0053449C"/>
    <w:rsid w:val="005374FF"/>
    <w:rsid w:val="0053795D"/>
    <w:rsid w:val="00541364"/>
    <w:rsid w:val="005444A6"/>
    <w:rsid w:val="00544522"/>
    <w:rsid w:val="00545A5E"/>
    <w:rsid w:val="00545D37"/>
    <w:rsid w:val="005467E2"/>
    <w:rsid w:val="005468AB"/>
    <w:rsid w:val="005501A0"/>
    <w:rsid w:val="0055026B"/>
    <w:rsid w:val="00550831"/>
    <w:rsid w:val="00550A6C"/>
    <w:rsid w:val="005525B0"/>
    <w:rsid w:val="00554273"/>
    <w:rsid w:val="0056001A"/>
    <w:rsid w:val="00561658"/>
    <w:rsid w:val="005642B6"/>
    <w:rsid w:val="00566203"/>
    <w:rsid w:val="00566A97"/>
    <w:rsid w:val="00567739"/>
    <w:rsid w:val="00570C40"/>
    <w:rsid w:val="00571D5E"/>
    <w:rsid w:val="00575FC7"/>
    <w:rsid w:val="005814CA"/>
    <w:rsid w:val="005823D0"/>
    <w:rsid w:val="00582D54"/>
    <w:rsid w:val="00583AAF"/>
    <w:rsid w:val="00583F71"/>
    <w:rsid w:val="00587AF9"/>
    <w:rsid w:val="0059282B"/>
    <w:rsid w:val="00593326"/>
    <w:rsid w:val="0059438F"/>
    <w:rsid w:val="005962D5"/>
    <w:rsid w:val="005979B8"/>
    <w:rsid w:val="005979D8"/>
    <w:rsid w:val="005A0ED5"/>
    <w:rsid w:val="005A2748"/>
    <w:rsid w:val="005A426B"/>
    <w:rsid w:val="005A443F"/>
    <w:rsid w:val="005A5215"/>
    <w:rsid w:val="005A5AD9"/>
    <w:rsid w:val="005A7C26"/>
    <w:rsid w:val="005B076A"/>
    <w:rsid w:val="005B0970"/>
    <w:rsid w:val="005B0E43"/>
    <w:rsid w:val="005B19DF"/>
    <w:rsid w:val="005B54F9"/>
    <w:rsid w:val="005B58D4"/>
    <w:rsid w:val="005B5B58"/>
    <w:rsid w:val="005B7DC9"/>
    <w:rsid w:val="005C07B3"/>
    <w:rsid w:val="005C284E"/>
    <w:rsid w:val="005C2B2B"/>
    <w:rsid w:val="005C47D4"/>
    <w:rsid w:val="005D2248"/>
    <w:rsid w:val="005D51D0"/>
    <w:rsid w:val="005D6807"/>
    <w:rsid w:val="005D6F83"/>
    <w:rsid w:val="005D7877"/>
    <w:rsid w:val="005D7B5B"/>
    <w:rsid w:val="005D7CCF"/>
    <w:rsid w:val="005E04CF"/>
    <w:rsid w:val="005E58C4"/>
    <w:rsid w:val="005E5D8F"/>
    <w:rsid w:val="005F0466"/>
    <w:rsid w:val="005F257B"/>
    <w:rsid w:val="005F2C5A"/>
    <w:rsid w:val="005F5698"/>
    <w:rsid w:val="005F5A5C"/>
    <w:rsid w:val="005F5CD9"/>
    <w:rsid w:val="005F646E"/>
    <w:rsid w:val="00602664"/>
    <w:rsid w:val="00602E5A"/>
    <w:rsid w:val="00606629"/>
    <w:rsid w:val="0061135C"/>
    <w:rsid w:val="006136DD"/>
    <w:rsid w:val="006149F0"/>
    <w:rsid w:val="006152F5"/>
    <w:rsid w:val="00616DA3"/>
    <w:rsid w:val="00617691"/>
    <w:rsid w:val="006220A5"/>
    <w:rsid w:val="006227BC"/>
    <w:rsid w:val="00622D86"/>
    <w:rsid w:val="00623AB1"/>
    <w:rsid w:val="00623B8F"/>
    <w:rsid w:val="00624AC8"/>
    <w:rsid w:val="00624DA1"/>
    <w:rsid w:val="006262CF"/>
    <w:rsid w:val="006262FE"/>
    <w:rsid w:val="00633812"/>
    <w:rsid w:val="00633C60"/>
    <w:rsid w:val="0063425B"/>
    <w:rsid w:val="0064099C"/>
    <w:rsid w:val="0064126D"/>
    <w:rsid w:val="00643173"/>
    <w:rsid w:val="0064485E"/>
    <w:rsid w:val="006451B8"/>
    <w:rsid w:val="00645722"/>
    <w:rsid w:val="0064672D"/>
    <w:rsid w:val="006509C3"/>
    <w:rsid w:val="00652432"/>
    <w:rsid w:val="00657840"/>
    <w:rsid w:val="0066003C"/>
    <w:rsid w:val="0066041E"/>
    <w:rsid w:val="006619BB"/>
    <w:rsid w:val="00664477"/>
    <w:rsid w:val="00664A16"/>
    <w:rsid w:val="00665596"/>
    <w:rsid w:val="006665FE"/>
    <w:rsid w:val="00671E97"/>
    <w:rsid w:val="00673005"/>
    <w:rsid w:val="00673CCC"/>
    <w:rsid w:val="006745BC"/>
    <w:rsid w:val="00675C98"/>
    <w:rsid w:val="006820B2"/>
    <w:rsid w:val="00683409"/>
    <w:rsid w:val="006839BC"/>
    <w:rsid w:val="00683A39"/>
    <w:rsid w:val="0068678C"/>
    <w:rsid w:val="0069026B"/>
    <w:rsid w:val="006956EA"/>
    <w:rsid w:val="00696DCC"/>
    <w:rsid w:val="00697D8A"/>
    <w:rsid w:val="006A0D82"/>
    <w:rsid w:val="006A490C"/>
    <w:rsid w:val="006A5881"/>
    <w:rsid w:val="006A67A7"/>
    <w:rsid w:val="006A7492"/>
    <w:rsid w:val="006A766E"/>
    <w:rsid w:val="006B4F7D"/>
    <w:rsid w:val="006B63B1"/>
    <w:rsid w:val="006B71E5"/>
    <w:rsid w:val="006C0C59"/>
    <w:rsid w:val="006C114C"/>
    <w:rsid w:val="006C1B16"/>
    <w:rsid w:val="006C3668"/>
    <w:rsid w:val="006C3864"/>
    <w:rsid w:val="006C5383"/>
    <w:rsid w:val="006C5E72"/>
    <w:rsid w:val="006D02FA"/>
    <w:rsid w:val="006D07C2"/>
    <w:rsid w:val="006D0FCE"/>
    <w:rsid w:val="006D2AEC"/>
    <w:rsid w:val="006D438F"/>
    <w:rsid w:val="006D4B1C"/>
    <w:rsid w:val="006D4C8E"/>
    <w:rsid w:val="006E10A3"/>
    <w:rsid w:val="006E19D1"/>
    <w:rsid w:val="006E1CBB"/>
    <w:rsid w:val="006E467C"/>
    <w:rsid w:val="006E4B27"/>
    <w:rsid w:val="006E5E7E"/>
    <w:rsid w:val="006E7151"/>
    <w:rsid w:val="006F100B"/>
    <w:rsid w:val="006F239A"/>
    <w:rsid w:val="006F2C9D"/>
    <w:rsid w:val="006F4201"/>
    <w:rsid w:val="006F6B51"/>
    <w:rsid w:val="006F6E53"/>
    <w:rsid w:val="0070110A"/>
    <w:rsid w:val="00703D72"/>
    <w:rsid w:val="007048DB"/>
    <w:rsid w:val="00705C64"/>
    <w:rsid w:val="0070637D"/>
    <w:rsid w:val="007071DD"/>
    <w:rsid w:val="0070771F"/>
    <w:rsid w:val="0071198A"/>
    <w:rsid w:val="00712A14"/>
    <w:rsid w:val="00713208"/>
    <w:rsid w:val="007156EC"/>
    <w:rsid w:val="00716C04"/>
    <w:rsid w:val="00717180"/>
    <w:rsid w:val="007179D2"/>
    <w:rsid w:val="00720750"/>
    <w:rsid w:val="0072549C"/>
    <w:rsid w:val="00725A80"/>
    <w:rsid w:val="00726E61"/>
    <w:rsid w:val="0073102A"/>
    <w:rsid w:val="00731AFD"/>
    <w:rsid w:val="00733970"/>
    <w:rsid w:val="007375FE"/>
    <w:rsid w:val="0074148C"/>
    <w:rsid w:val="00741D0B"/>
    <w:rsid w:val="0075405C"/>
    <w:rsid w:val="00754C58"/>
    <w:rsid w:val="0076126E"/>
    <w:rsid w:val="00761D99"/>
    <w:rsid w:val="007632DE"/>
    <w:rsid w:val="00766334"/>
    <w:rsid w:val="00767859"/>
    <w:rsid w:val="0077436E"/>
    <w:rsid w:val="00776E78"/>
    <w:rsid w:val="00781229"/>
    <w:rsid w:val="0078138A"/>
    <w:rsid w:val="00783014"/>
    <w:rsid w:val="007834DC"/>
    <w:rsid w:val="00783943"/>
    <w:rsid w:val="0078456E"/>
    <w:rsid w:val="00784F83"/>
    <w:rsid w:val="007901A8"/>
    <w:rsid w:val="00790768"/>
    <w:rsid w:val="00794390"/>
    <w:rsid w:val="00795918"/>
    <w:rsid w:val="007959D8"/>
    <w:rsid w:val="00795EC9"/>
    <w:rsid w:val="0079630F"/>
    <w:rsid w:val="00796D50"/>
    <w:rsid w:val="007A04C2"/>
    <w:rsid w:val="007A4188"/>
    <w:rsid w:val="007A4238"/>
    <w:rsid w:val="007A47D0"/>
    <w:rsid w:val="007B12B8"/>
    <w:rsid w:val="007B146A"/>
    <w:rsid w:val="007B28BE"/>
    <w:rsid w:val="007B2F46"/>
    <w:rsid w:val="007B57C9"/>
    <w:rsid w:val="007B5DCB"/>
    <w:rsid w:val="007C0E7C"/>
    <w:rsid w:val="007C0EAA"/>
    <w:rsid w:val="007C179C"/>
    <w:rsid w:val="007C19C3"/>
    <w:rsid w:val="007C275B"/>
    <w:rsid w:val="007C4069"/>
    <w:rsid w:val="007C44B2"/>
    <w:rsid w:val="007C54EE"/>
    <w:rsid w:val="007C6496"/>
    <w:rsid w:val="007C745E"/>
    <w:rsid w:val="007D0ABE"/>
    <w:rsid w:val="007D2749"/>
    <w:rsid w:val="007D5D19"/>
    <w:rsid w:val="007D78D6"/>
    <w:rsid w:val="007E0E53"/>
    <w:rsid w:val="007E2192"/>
    <w:rsid w:val="007E319A"/>
    <w:rsid w:val="007E356F"/>
    <w:rsid w:val="007E3F8C"/>
    <w:rsid w:val="007E4C37"/>
    <w:rsid w:val="007E4E3F"/>
    <w:rsid w:val="007E6182"/>
    <w:rsid w:val="007F0841"/>
    <w:rsid w:val="007F2058"/>
    <w:rsid w:val="007F41A3"/>
    <w:rsid w:val="007F7685"/>
    <w:rsid w:val="0080011D"/>
    <w:rsid w:val="00800EA5"/>
    <w:rsid w:val="00801C01"/>
    <w:rsid w:val="008030AD"/>
    <w:rsid w:val="00804804"/>
    <w:rsid w:val="008110DA"/>
    <w:rsid w:val="008112CC"/>
    <w:rsid w:val="008130BB"/>
    <w:rsid w:val="0081311A"/>
    <w:rsid w:val="00813D7D"/>
    <w:rsid w:val="008147C6"/>
    <w:rsid w:val="008149AC"/>
    <w:rsid w:val="008165CC"/>
    <w:rsid w:val="00816E26"/>
    <w:rsid w:val="00817406"/>
    <w:rsid w:val="008208A7"/>
    <w:rsid w:val="008237FA"/>
    <w:rsid w:val="00824771"/>
    <w:rsid w:val="008256CE"/>
    <w:rsid w:val="00825D37"/>
    <w:rsid w:val="00826FA7"/>
    <w:rsid w:val="008276C4"/>
    <w:rsid w:val="00831C07"/>
    <w:rsid w:val="00833927"/>
    <w:rsid w:val="008369B0"/>
    <w:rsid w:val="008372D1"/>
    <w:rsid w:val="00837B59"/>
    <w:rsid w:val="00841E8C"/>
    <w:rsid w:val="0084366C"/>
    <w:rsid w:val="00845C01"/>
    <w:rsid w:val="00845C1E"/>
    <w:rsid w:val="00850EA0"/>
    <w:rsid w:val="00851579"/>
    <w:rsid w:val="0085732C"/>
    <w:rsid w:val="00857C91"/>
    <w:rsid w:val="00860B45"/>
    <w:rsid w:val="00861101"/>
    <w:rsid w:val="00861821"/>
    <w:rsid w:val="00861959"/>
    <w:rsid w:val="00861F68"/>
    <w:rsid w:val="00863860"/>
    <w:rsid w:val="008638B5"/>
    <w:rsid w:val="00866B47"/>
    <w:rsid w:val="008734DB"/>
    <w:rsid w:val="0087382F"/>
    <w:rsid w:val="0087390B"/>
    <w:rsid w:val="00874035"/>
    <w:rsid w:val="008745A1"/>
    <w:rsid w:val="00875A5E"/>
    <w:rsid w:val="008768E9"/>
    <w:rsid w:val="0087751B"/>
    <w:rsid w:val="0087769F"/>
    <w:rsid w:val="00881A32"/>
    <w:rsid w:val="008904A0"/>
    <w:rsid w:val="00890995"/>
    <w:rsid w:val="008914FB"/>
    <w:rsid w:val="00892516"/>
    <w:rsid w:val="00892EED"/>
    <w:rsid w:val="00893155"/>
    <w:rsid w:val="0089737A"/>
    <w:rsid w:val="00897E99"/>
    <w:rsid w:val="00897F60"/>
    <w:rsid w:val="008A07D0"/>
    <w:rsid w:val="008A29D7"/>
    <w:rsid w:val="008A4829"/>
    <w:rsid w:val="008B2384"/>
    <w:rsid w:val="008B38D6"/>
    <w:rsid w:val="008B4802"/>
    <w:rsid w:val="008B545D"/>
    <w:rsid w:val="008B69E3"/>
    <w:rsid w:val="008C1FD1"/>
    <w:rsid w:val="008C2054"/>
    <w:rsid w:val="008C24A8"/>
    <w:rsid w:val="008C35EF"/>
    <w:rsid w:val="008C3664"/>
    <w:rsid w:val="008C506A"/>
    <w:rsid w:val="008C5996"/>
    <w:rsid w:val="008D15E3"/>
    <w:rsid w:val="008D26C4"/>
    <w:rsid w:val="008D384F"/>
    <w:rsid w:val="008D4FA9"/>
    <w:rsid w:val="008D5060"/>
    <w:rsid w:val="008D5A11"/>
    <w:rsid w:val="008D5E23"/>
    <w:rsid w:val="008D77AF"/>
    <w:rsid w:val="008E6D59"/>
    <w:rsid w:val="008F1513"/>
    <w:rsid w:val="008F30C7"/>
    <w:rsid w:val="008F4527"/>
    <w:rsid w:val="008F5D66"/>
    <w:rsid w:val="008F5D6A"/>
    <w:rsid w:val="008F75D2"/>
    <w:rsid w:val="00901A31"/>
    <w:rsid w:val="00901D5B"/>
    <w:rsid w:val="009028AA"/>
    <w:rsid w:val="00903E3F"/>
    <w:rsid w:val="009049C3"/>
    <w:rsid w:val="00904AB8"/>
    <w:rsid w:val="009057D9"/>
    <w:rsid w:val="00906BF7"/>
    <w:rsid w:val="0090774A"/>
    <w:rsid w:val="00907C97"/>
    <w:rsid w:val="0091068A"/>
    <w:rsid w:val="00910D07"/>
    <w:rsid w:val="00912309"/>
    <w:rsid w:val="00914B2F"/>
    <w:rsid w:val="009150E6"/>
    <w:rsid w:val="00915DCE"/>
    <w:rsid w:val="00916290"/>
    <w:rsid w:val="00916F37"/>
    <w:rsid w:val="00917F89"/>
    <w:rsid w:val="00920213"/>
    <w:rsid w:val="00920AC3"/>
    <w:rsid w:val="00920EFD"/>
    <w:rsid w:val="00921F44"/>
    <w:rsid w:val="009223BE"/>
    <w:rsid w:val="0092499B"/>
    <w:rsid w:val="009255EE"/>
    <w:rsid w:val="00925603"/>
    <w:rsid w:val="00925F76"/>
    <w:rsid w:val="00925FCE"/>
    <w:rsid w:val="00926ABA"/>
    <w:rsid w:val="00930C28"/>
    <w:rsid w:val="0093174A"/>
    <w:rsid w:val="00931BC6"/>
    <w:rsid w:val="00932E89"/>
    <w:rsid w:val="0093359D"/>
    <w:rsid w:val="00933F2B"/>
    <w:rsid w:val="00935F04"/>
    <w:rsid w:val="00942EEB"/>
    <w:rsid w:val="00943F4D"/>
    <w:rsid w:val="0094468E"/>
    <w:rsid w:val="00944B6E"/>
    <w:rsid w:val="00944C7B"/>
    <w:rsid w:val="00945261"/>
    <w:rsid w:val="00947377"/>
    <w:rsid w:val="009506A5"/>
    <w:rsid w:val="00950F4C"/>
    <w:rsid w:val="00951452"/>
    <w:rsid w:val="00951E96"/>
    <w:rsid w:val="009541CC"/>
    <w:rsid w:val="00956564"/>
    <w:rsid w:val="009567A6"/>
    <w:rsid w:val="00956D5A"/>
    <w:rsid w:val="00961B2C"/>
    <w:rsid w:val="00961DBB"/>
    <w:rsid w:val="00963D2B"/>
    <w:rsid w:val="009653D2"/>
    <w:rsid w:val="0096618E"/>
    <w:rsid w:val="0096627F"/>
    <w:rsid w:val="00970736"/>
    <w:rsid w:val="009710B3"/>
    <w:rsid w:val="00971FF0"/>
    <w:rsid w:val="009756BE"/>
    <w:rsid w:val="00975751"/>
    <w:rsid w:val="009758AE"/>
    <w:rsid w:val="00981433"/>
    <w:rsid w:val="0098222F"/>
    <w:rsid w:val="0098244F"/>
    <w:rsid w:val="00983122"/>
    <w:rsid w:val="00983138"/>
    <w:rsid w:val="0098443D"/>
    <w:rsid w:val="00985C07"/>
    <w:rsid w:val="00995B4F"/>
    <w:rsid w:val="00995FA3"/>
    <w:rsid w:val="00997582"/>
    <w:rsid w:val="009A22F8"/>
    <w:rsid w:val="009A2C21"/>
    <w:rsid w:val="009A3E58"/>
    <w:rsid w:val="009A5126"/>
    <w:rsid w:val="009A5D12"/>
    <w:rsid w:val="009A5F02"/>
    <w:rsid w:val="009A662F"/>
    <w:rsid w:val="009A7AB1"/>
    <w:rsid w:val="009B1FDA"/>
    <w:rsid w:val="009B2F9B"/>
    <w:rsid w:val="009B33D1"/>
    <w:rsid w:val="009B3EEE"/>
    <w:rsid w:val="009B424D"/>
    <w:rsid w:val="009B6408"/>
    <w:rsid w:val="009B70E6"/>
    <w:rsid w:val="009B79B2"/>
    <w:rsid w:val="009C5D32"/>
    <w:rsid w:val="009C6DAA"/>
    <w:rsid w:val="009C7B31"/>
    <w:rsid w:val="009D02F0"/>
    <w:rsid w:val="009D0E74"/>
    <w:rsid w:val="009D1A96"/>
    <w:rsid w:val="009D30AE"/>
    <w:rsid w:val="009D370B"/>
    <w:rsid w:val="009D6ADB"/>
    <w:rsid w:val="009D7A60"/>
    <w:rsid w:val="009D7EE0"/>
    <w:rsid w:val="009E2087"/>
    <w:rsid w:val="009E252B"/>
    <w:rsid w:val="009E2F6E"/>
    <w:rsid w:val="009E3265"/>
    <w:rsid w:val="009E3353"/>
    <w:rsid w:val="009E446D"/>
    <w:rsid w:val="009E45C9"/>
    <w:rsid w:val="009E5382"/>
    <w:rsid w:val="009E60E4"/>
    <w:rsid w:val="009E7C09"/>
    <w:rsid w:val="009F146D"/>
    <w:rsid w:val="009F17E1"/>
    <w:rsid w:val="009F4F1E"/>
    <w:rsid w:val="009F5D6A"/>
    <w:rsid w:val="00A015E4"/>
    <w:rsid w:val="00A035BA"/>
    <w:rsid w:val="00A075BC"/>
    <w:rsid w:val="00A11222"/>
    <w:rsid w:val="00A12C39"/>
    <w:rsid w:val="00A134FB"/>
    <w:rsid w:val="00A162FE"/>
    <w:rsid w:val="00A20802"/>
    <w:rsid w:val="00A20F0A"/>
    <w:rsid w:val="00A221F4"/>
    <w:rsid w:val="00A25B4F"/>
    <w:rsid w:val="00A261B3"/>
    <w:rsid w:val="00A27035"/>
    <w:rsid w:val="00A27E8B"/>
    <w:rsid w:val="00A30697"/>
    <w:rsid w:val="00A311CF"/>
    <w:rsid w:val="00A33794"/>
    <w:rsid w:val="00A34812"/>
    <w:rsid w:val="00A34936"/>
    <w:rsid w:val="00A373D4"/>
    <w:rsid w:val="00A404CF"/>
    <w:rsid w:val="00A41C99"/>
    <w:rsid w:val="00A42E40"/>
    <w:rsid w:val="00A43A05"/>
    <w:rsid w:val="00A44089"/>
    <w:rsid w:val="00A442BF"/>
    <w:rsid w:val="00A47CF9"/>
    <w:rsid w:val="00A50BC1"/>
    <w:rsid w:val="00A50EFC"/>
    <w:rsid w:val="00A517D0"/>
    <w:rsid w:val="00A51B96"/>
    <w:rsid w:val="00A53716"/>
    <w:rsid w:val="00A5629E"/>
    <w:rsid w:val="00A60B53"/>
    <w:rsid w:val="00A637A6"/>
    <w:rsid w:val="00A64832"/>
    <w:rsid w:val="00A669E2"/>
    <w:rsid w:val="00A732DB"/>
    <w:rsid w:val="00A73A8E"/>
    <w:rsid w:val="00A75338"/>
    <w:rsid w:val="00A80345"/>
    <w:rsid w:val="00A83071"/>
    <w:rsid w:val="00A838D2"/>
    <w:rsid w:val="00A86F04"/>
    <w:rsid w:val="00A92C08"/>
    <w:rsid w:val="00A93BE5"/>
    <w:rsid w:val="00A946C4"/>
    <w:rsid w:val="00AA3F6A"/>
    <w:rsid w:val="00AA478E"/>
    <w:rsid w:val="00AA4AE8"/>
    <w:rsid w:val="00AA4AF8"/>
    <w:rsid w:val="00AA5DEA"/>
    <w:rsid w:val="00AB137D"/>
    <w:rsid w:val="00AB2DAD"/>
    <w:rsid w:val="00AC01F8"/>
    <w:rsid w:val="00AC059A"/>
    <w:rsid w:val="00AC2E15"/>
    <w:rsid w:val="00AC3BE3"/>
    <w:rsid w:val="00AC41CF"/>
    <w:rsid w:val="00AC496B"/>
    <w:rsid w:val="00AC6EBE"/>
    <w:rsid w:val="00AD0308"/>
    <w:rsid w:val="00AD377A"/>
    <w:rsid w:val="00AD67BB"/>
    <w:rsid w:val="00AE1CC1"/>
    <w:rsid w:val="00AE36CD"/>
    <w:rsid w:val="00AE3EA4"/>
    <w:rsid w:val="00AE50DF"/>
    <w:rsid w:val="00AE51FE"/>
    <w:rsid w:val="00AE690F"/>
    <w:rsid w:val="00AF1B02"/>
    <w:rsid w:val="00AF37D6"/>
    <w:rsid w:val="00AF41E4"/>
    <w:rsid w:val="00AF550B"/>
    <w:rsid w:val="00AF568A"/>
    <w:rsid w:val="00AF60C1"/>
    <w:rsid w:val="00AF655B"/>
    <w:rsid w:val="00B0171D"/>
    <w:rsid w:val="00B0378F"/>
    <w:rsid w:val="00B05262"/>
    <w:rsid w:val="00B06A75"/>
    <w:rsid w:val="00B06BC3"/>
    <w:rsid w:val="00B13D73"/>
    <w:rsid w:val="00B15A0F"/>
    <w:rsid w:val="00B17249"/>
    <w:rsid w:val="00B17FB2"/>
    <w:rsid w:val="00B20236"/>
    <w:rsid w:val="00B20937"/>
    <w:rsid w:val="00B20DBD"/>
    <w:rsid w:val="00B220A0"/>
    <w:rsid w:val="00B22A4A"/>
    <w:rsid w:val="00B22B64"/>
    <w:rsid w:val="00B22D72"/>
    <w:rsid w:val="00B22FEA"/>
    <w:rsid w:val="00B23E35"/>
    <w:rsid w:val="00B24321"/>
    <w:rsid w:val="00B250AD"/>
    <w:rsid w:val="00B30FEB"/>
    <w:rsid w:val="00B311BA"/>
    <w:rsid w:val="00B31AA3"/>
    <w:rsid w:val="00B3201B"/>
    <w:rsid w:val="00B35B47"/>
    <w:rsid w:val="00B40587"/>
    <w:rsid w:val="00B40AA3"/>
    <w:rsid w:val="00B43AF9"/>
    <w:rsid w:val="00B44478"/>
    <w:rsid w:val="00B4609C"/>
    <w:rsid w:val="00B460C4"/>
    <w:rsid w:val="00B467A0"/>
    <w:rsid w:val="00B508DA"/>
    <w:rsid w:val="00B538BA"/>
    <w:rsid w:val="00B55638"/>
    <w:rsid w:val="00B565DA"/>
    <w:rsid w:val="00B57B95"/>
    <w:rsid w:val="00B6002C"/>
    <w:rsid w:val="00B61B64"/>
    <w:rsid w:val="00B620EE"/>
    <w:rsid w:val="00B67DE1"/>
    <w:rsid w:val="00B70B21"/>
    <w:rsid w:val="00B7165A"/>
    <w:rsid w:val="00B717FF"/>
    <w:rsid w:val="00B73482"/>
    <w:rsid w:val="00B80FB4"/>
    <w:rsid w:val="00B85366"/>
    <w:rsid w:val="00B857C2"/>
    <w:rsid w:val="00B87F60"/>
    <w:rsid w:val="00B9079B"/>
    <w:rsid w:val="00B93B5E"/>
    <w:rsid w:val="00B93D3D"/>
    <w:rsid w:val="00B95780"/>
    <w:rsid w:val="00B96341"/>
    <w:rsid w:val="00BA169A"/>
    <w:rsid w:val="00BA471F"/>
    <w:rsid w:val="00BA6FC3"/>
    <w:rsid w:val="00BB0B01"/>
    <w:rsid w:val="00BB5013"/>
    <w:rsid w:val="00BB528E"/>
    <w:rsid w:val="00BB615A"/>
    <w:rsid w:val="00BB78CD"/>
    <w:rsid w:val="00BC108D"/>
    <w:rsid w:val="00BC11EC"/>
    <w:rsid w:val="00BC1FBC"/>
    <w:rsid w:val="00BC2600"/>
    <w:rsid w:val="00BC36F0"/>
    <w:rsid w:val="00BC3E99"/>
    <w:rsid w:val="00BC4FA7"/>
    <w:rsid w:val="00BC5E30"/>
    <w:rsid w:val="00BC7B55"/>
    <w:rsid w:val="00BC7D47"/>
    <w:rsid w:val="00BD00ED"/>
    <w:rsid w:val="00BD02C5"/>
    <w:rsid w:val="00BD0603"/>
    <w:rsid w:val="00BD068D"/>
    <w:rsid w:val="00BD0A09"/>
    <w:rsid w:val="00BE0D9A"/>
    <w:rsid w:val="00BE1A50"/>
    <w:rsid w:val="00BE1A63"/>
    <w:rsid w:val="00BE27CD"/>
    <w:rsid w:val="00BE2F0D"/>
    <w:rsid w:val="00BE34DF"/>
    <w:rsid w:val="00BE5E2E"/>
    <w:rsid w:val="00BF0BD5"/>
    <w:rsid w:val="00BF0D35"/>
    <w:rsid w:val="00BF31CF"/>
    <w:rsid w:val="00BF34A2"/>
    <w:rsid w:val="00BF41DB"/>
    <w:rsid w:val="00BF4F6A"/>
    <w:rsid w:val="00BF55F8"/>
    <w:rsid w:val="00C000C6"/>
    <w:rsid w:val="00C03742"/>
    <w:rsid w:val="00C051FD"/>
    <w:rsid w:val="00C0709D"/>
    <w:rsid w:val="00C11E38"/>
    <w:rsid w:val="00C15FD2"/>
    <w:rsid w:val="00C1744F"/>
    <w:rsid w:val="00C17531"/>
    <w:rsid w:val="00C1799D"/>
    <w:rsid w:val="00C20C7D"/>
    <w:rsid w:val="00C20DEF"/>
    <w:rsid w:val="00C22B86"/>
    <w:rsid w:val="00C24B25"/>
    <w:rsid w:val="00C24CC2"/>
    <w:rsid w:val="00C24E89"/>
    <w:rsid w:val="00C32C2F"/>
    <w:rsid w:val="00C343C4"/>
    <w:rsid w:val="00C34934"/>
    <w:rsid w:val="00C3738A"/>
    <w:rsid w:val="00C40859"/>
    <w:rsid w:val="00C429B5"/>
    <w:rsid w:val="00C4315A"/>
    <w:rsid w:val="00C43F5E"/>
    <w:rsid w:val="00C44074"/>
    <w:rsid w:val="00C44D85"/>
    <w:rsid w:val="00C4651F"/>
    <w:rsid w:val="00C51D0B"/>
    <w:rsid w:val="00C52207"/>
    <w:rsid w:val="00C52A50"/>
    <w:rsid w:val="00C53BB4"/>
    <w:rsid w:val="00C556E8"/>
    <w:rsid w:val="00C57C9C"/>
    <w:rsid w:val="00C61628"/>
    <w:rsid w:val="00C642D4"/>
    <w:rsid w:val="00C66AF6"/>
    <w:rsid w:val="00C730F4"/>
    <w:rsid w:val="00C74311"/>
    <w:rsid w:val="00C75A88"/>
    <w:rsid w:val="00C75BF3"/>
    <w:rsid w:val="00C80200"/>
    <w:rsid w:val="00C806B5"/>
    <w:rsid w:val="00C80E0A"/>
    <w:rsid w:val="00C82215"/>
    <w:rsid w:val="00C8270B"/>
    <w:rsid w:val="00C841A9"/>
    <w:rsid w:val="00C8728F"/>
    <w:rsid w:val="00C91D48"/>
    <w:rsid w:val="00C925C7"/>
    <w:rsid w:val="00C931F2"/>
    <w:rsid w:val="00C93448"/>
    <w:rsid w:val="00C975E8"/>
    <w:rsid w:val="00C97FBC"/>
    <w:rsid w:val="00CA06C8"/>
    <w:rsid w:val="00CA0B7E"/>
    <w:rsid w:val="00CA37B6"/>
    <w:rsid w:val="00CA4C28"/>
    <w:rsid w:val="00CA4E33"/>
    <w:rsid w:val="00CA5202"/>
    <w:rsid w:val="00CA5598"/>
    <w:rsid w:val="00CA5EF8"/>
    <w:rsid w:val="00CA70DB"/>
    <w:rsid w:val="00CA7E91"/>
    <w:rsid w:val="00CB067B"/>
    <w:rsid w:val="00CB28A3"/>
    <w:rsid w:val="00CB3134"/>
    <w:rsid w:val="00CB457E"/>
    <w:rsid w:val="00CB73EC"/>
    <w:rsid w:val="00CC00A0"/>
    <w:rsid w:val="00CC0FED"/>
    <w:rsid w:val="00CC3C34"/>
    <w:rsid w:val="00CC3F9F"/>
    <w:rsid w:val="00CC4FEB"/>
    <w:rsid w:val="00CC5455"/>
    <w:rsid w:val="00CC61D0"/>
    <w:rsid w:val="00CC6C06"/>
    <w:rsid w:val="00CD1526"/>
    <w:rsid w:val="00CD1546"/>
    <w:rsid w:val="00CD2807"/>
    <w:rsid w:val="00CD5509"/>
    <w:rsid w:val="00CE0215"/>
    <w:rsid w:val="00CE1EB0"/>
    <w:rsid w:val="00CE3333"/>
    <w:rsid w:val="00CE3DF2"/>
    <w:rsid w:val="00CF04D5"/>
    <w:rsid w:val="00CF09A6"/>
    <w:rsid w:val="00CF0C0F"/>
    <w:rsid w:val="00CF1690"/>
    <w:rsid w:val="00CF1F2A"/>
    <w:rsid w:val="00CF5CE3"/>
    <w:rsid w:val="00CF6489"/>
    <w:rsid w:val="00CF7412"/>
    <w:rsid w:val="00CF78EC"/>
    <w:rsid w:val="00D014E1"/>
    <w:rsid w:val="00D02B1E"/>
    <w:rsid w:val="00D030F8"/>
    <w:rsid w:val="00D04969"/>
    <w:rsid w:val="00D077B7"/>
    <w:rsid w:val="00D0799F"/>
    <w:rsid w:val="00D10A12"/>
    <w:rsid w:val="00D12FEC"/>
    <w:rsid w:val="00D17BC4"/>
    <w:rsid w:val="00D20297"/>
    <w:rsid w:val="00D21E43"/>
    <w:rsid w:val="00D21E6B"/>
    <w:rsid w:val="00D2336A"/>
    <w:rsid w:val="00D23634"/>
    <w:rsid w:val="00D24840"/>
    <w:rsid w:val="00D26AC8"/>
    <w:rsid w:val="00D34551"/>
    <w:rsid w:val="00D3694A"/>
    <w:rsid w:val="00D36D27"/>
    <w:rsid w:val="00D36F0A"/>
    <w:rsid w:val="00D41664"/>
    <w:rsid w:val="00D42CF9"/>
    <w:rsid w:val="00D4569D"/>
    <w:rsid w:val="00D457D6"/>
    <w:rsid w:val="00D53197"/>
    <w:rsid w:val="00D55013"/>
    <w:rsid w:val="00D64CE2"/>
    <w:rsid w:val="00D661D4"/>
    <w:rsid w:val="00D6732E"/>
    <w:rsid w:val="00D674A5"/>
    <w:rsid w:val="00D702E1"/>
    <w:rsid w:val="00D70D32"/>
    <w:rsid w:val="00D719B9"/>
    <w:rsid w:val="00D7270F"/>
    <w:rsid w:val="00D7596A"/>
    <w:rsid w:val="00D7751B"/>
    <w:rsid w:val="00D815DC"/>
    <w:rsid w:val="00D81FB1"/>
    <w:rsid w:val="00D822B5"/>
    <w:rsid w:val="00D83D3C"/>
    <w:rsid w:val="00D8401A"/>
    <w:rsid w:val="00D84451"/>
    <w:rsid w:val="00D853B6"/>
    <w:rsid w:val="00D85C95"/>
    <w:rsid w:val="00D86520"/>
    <w:rsid w:val="00D867AE"/>
    <w:rsid w:val="00D87BBB"/>
    <w:rsid w:val="00D87C87"/>
    <w:rsid w:val="00D91F01"/>
    <w:rsid w:val="00D921C4"/>
    <w:rsid w:val="00D9296A"/>
    <w:rsid w:val="00D93C23"/>
    <w:rsid w:val="00D95638"/>
    <w:rsid w:val="00D9584C"/>
    <w:rsid w:val="00D97180"/>
    <w:rsid w:val="00D97C79"/>
    <w:rsid w:val="00D97E9F"/>
    <w:rsid w:val="00DA14D9"/>
    <w:rsid w:val="00DA6978"/>
    <w:rsid w:val="00DA7588"/>
    <w:rsid w:val="00DB13AD"/>
    <w:rsid w:val="00DB23F9"/>
    <w:rsid w:val="00DB2819"/>
    <w:rsid w:val="00DB3F0C"/>
    <w:rsid w:val="00DB4301"/>
    <w:rsid w:val="00DB51B7"/>
    <w:rsid w:val="00DB58BE"/>
    <w:rsid w:val="00DB602E"/>
    <w:rsid w:val="00DB6176"/>
    <w:rsid w:val="00DB6A08"/>
    <w:rsid w:val="00DB6AA0"/>
    <w:rsid w:val="00DB7C3A"/>
    <w:rsid w:val="00DC217B"/>
    <w:rsid w:val="00DC34E6"/>
    <w:rsid w:val="00DC4F43"/>
    <w:rsid w:val="00DD14EE"/>
    <w:rsid w:val="00DD32AB"/>
    <w:rsid w:val="00DD5BF6"/>
    <w:rsid w:val="00DD64DC"/>
    <w:rsid w:val="00DD6B3D"/>
    <w:rsid w:val="00DE1865"/>
    <w:rsid w:val="00DE1CC3"/>
    <w:rsid w:val="00DE217E"/>
    <w:rsid w:val="00DE4881"/>
    <w:rsid w:val="00DE5B7F"/>
    <w:rsid w:val="00DE6CEF"/>
    <w:rsid w:val="00DF11C2"/>
    <w:rsid w:val="00DF174B"/>
    <w:rsid w:val="00DF2134"/>
    <w:rsid w:val="00DF35FA"/>
    <w:rsid w:val="00DF4593"/>
    <w:rsid w:val="00DF64E0"/>
    <w:rsid w:val="00E01A64"/>
    <w:rsid w:val="00E0438D"/>
    <w:rsid w:val="00E10D05"/>
    <w:rsid w:val="00E143C4"/>
    <w:rsid w:val="00E15027"/>
    <w:rsid w:val="00E164A3"/>
    <w:rsid w:val="00E2223E"/>
    <w:rsid w:val="00E22D98"/>
    <w:rsid w:val="00E2314B"/>
    <w:rsid w:val="00E24623"/>
    <w:rsid w:val="00E24F9E"/>
    <w:rsid w:val="00E252E3"/>
    <w:rsid w:val="00E25B1B"/>
    <w:rsid w:val="00E31C0E"/>
    <w:rsid w:val="00E345A3"/>
    <w:rsid w:val="00E345F1"/>
    <w:rsid w:val="00E378A9"/>
    <w:rsid w:val="00E40505"/>
    <w:rsid w:val="00E4051B"/>
    <w:rsid w:val="00E42A41"/>
    <w:rsid w:val="00E45766"/>
    <w:rsid w:val="00E45AC5"/>
    <w:rsid w:val="00E549F8"/>
    <w:rsid w:val="00E5625E"/>
    <w:rsid w:val="00E567E5"/>
    <w:rsid w:val="00E62C1E"/>
    <w:rsid w:val="00E64480"/>
    <w:rsid w:val="00E65807"/>
    <w:rsid w:val="00E66103"/>
    <w:rsid w:val="00E662D2"/>
    <w:rsid w:val="00E6708B"/>
    <w:rsid w:val="00E6715E"/>
    <w:rsid w:val="00E7001A"/>
    <w:rsid w:val="00E73A8C"/>
    <w:rsid w:val="00E75050"/>
    <w:rsid w:val="00E75D5E"/>
    <w:rsid w:val="00E76F42"/>
    <w:rsid w:val="00E77D6D"/>
    <w:rsid w:val="00E8261E"/>
    <w:rsid w:val="00E915E6"/>
    <w:rsid w:val="00E92E40"/>
    <w:rsid w:val="00E92EEE"/>
    <w:rsid w:val="00E94618"/>
    <w:rsid w:val="00EA1AD9"/>
    <w:rsid w:val="00EA2763"/>
    <w:rsid w:val="00EA283A"/>
    <w:rsid w:val="00EA2D06"/>
    <w:rsid w:val="00EA2F5C"/>
    <w:rsid w:val="00EA3E11"/>
    <w:rsid w:val="00EA6EB3"/>
    <w:rsid w:val="00EB4A8E"/>
    <w:rsid w:val="00EB5EF3"/>
    <w:rsid w:val="00EB62F7"/>
    <w:rsid w:val="00EB664D"/>
    <w:rsid w:val="00EB695D"/>
    <w:rsid w:val="00EB6D60"/>
    <w:rsid w:val="00EB7763"/>
    <w:rsid w:val="00EB7C6D"/>
    <w:rsid w:val="00EC18F7"/>
    <w:rsid w:val="00EC2A09"/>
    <w:rsid w:val="00EC38F3"/>
    <w:rsid w:val="00EC4241"/>
    <w:rsid w:val="00EC7113"/>
    <w:rsid w:val="00ED0404"/>
    <w:rsid w:val="00ED1407"/>
    <w:rsid w:val="00ED39CE"/>
    <w:rsid w:val="00ED4134"/>
    <w:rsid w:val="00ED7120"/>
    <w:rsid w:val="00ED7A9F"/>
    <w:rsid w:val="00EE05F1"/>
    <w:rsid w:val="00EE1050"/>
    <w:rsid w:val="00EE1B0F"/>
    <w:rsid w:val="00EE3226"/>
    <w:rsid w:val="00EE471A"/>
    <w:rsid w:val="00EE5492"/>
    <w:rsid w:val="00EE583A"/>
    <w:rsid w:val="00EE69D2"/>
    <w:rsid w:val="00EF0A00"/>
    <w:rsid w:val="00EF3F91"/>
    <w:rsid w:val="00EF501C"/>
    <w:rsid w:val="00EF6BC3"/>
    <w:rsid w:val="00EF7395"/>
    <w:rsid w:val="00EF7D58"/>
    <w:rsid w:val="00F01127"/>
    <w:rsid w:val="00F0183C"/>
    <w:rsid w:val="00F0379D"/>
    <w:rsid w:val="00F03C79"/>
    <w:rsid w:val="00F04E1E"/>
    <w:rsid w:val="00F077A8"/>
    <w:rsid w:val="00F07BD5"/>
    <w:rsid w:val="00F122D6"/>
    <w:rsid w:val="00F147EA"/>
    <w:rsid w:val="00F15BF4"/>
    <w:rsid w:val="00F16ACF"/>
    <w:rsid w:val="00F16F7B"/>
    <w:rsid w:val="00F1713B"/>
    <w:rsid w:val="00F171E0"/>
    <w:rsid w:val="00F17940"/>
    <w:rsid w:val="00F17DC0"/>
    <w:rsid w:val="00F2046C"/>
    <w:rsid w:val="00F20647"/>
    <w:rsid w:val="00F207FC"/>
    <w:rsid w:val="00F239E0"/>
    <w:rsid w:val="00F274DB"/>
    <w:rsid w:val="00F30084"/>
    <w:rsid w:val="00F3035B"/>
    <w:rsid w:val="00F31392"/>
    <w:rsid w:val="00F3393B"/>
    <w:rsid w:val="00F348B5"/>
    <w:rsid w:val="00F3652B"/>
    <w:rsid w:val="00F36D95"/>
    <w:rsid w:val="00F377B9"/>
    <w:rsid w:val="00F45442"/>
    <w:rsid w:val="00F51071"/>
    <w:rsid w:val="00F5145E"/>
    <w:rsid w:val="00F554DB"/>
    <w:rsid w:val="00F558EA"/>
    <w:rsid w:val="00F5681C"/>
    <w:rsid w:val="00F6045D"/>
    <w:rsid w:val="00F613CB"/>
    <w:rsid w:val="00F61F79"/>
    <w:rsid w:val="00F639FD"/>
    <w:rsid w:val="00F651DD"/>
    <w:rsid w:val="00F656A4"/>
    <w:rsid w:val="00F660F0"/>
    <w:rsid w:val="00F6665E"/>
    <w:rsid w:val="00F7075F"/>
    <w:rsid w:val="00F71D76"/>
    <w:rsid w:val="00F77FEA"/>
    <w:rsid w:val="00F82DB6"/>
    <w:rsid w:val="00F8349F"/>
    <w:rsid w:val="00F83FB7"/>
    <w:rsid w:val="00F85935"/>
    <w:rsid w:val="00F85D29"/>
    <w:rsid w:val="00F901FA"/>
    <w:rsid w:val="00F90FA8"/>
    <w:rsid w:val="00F91A0D"/>
    <w:rsid w:val="00F969D3"/>
    <w:rsid w:val="00F9789E"/>
    <w:rsid w:val="00FA190E"/>
    <w:rsid w:val="00FA54D8"/>
    <w:rsid w:val="00FB1838"/>
    <w:rsid w:val="00FB460E"/>
    <w:rsid w:val="00FB51F2"/>
    <w:rsid w:val="00FC4FB7"/>
    <w:rsid w:val="00FC65E5"/>
    <w:rsid w:val="00FC6998"/>
    <w:rsid w:val="00FD0DCB"/>
    <w:rsid w:val="00FD1EE0"/>
    <w:rsid w:val="00FD357B"/>
    <w:rsid w:val="00FD38FC"/>
    <w:rsid w:val="00FD5CF8"/>
    <w:rsid w:val="00FD6119"/>
    <w:rsid w:val="00FD688E"/>
    <w:rsid w:val="00FD7C0C"/>
    <w:rsid w:val="00FE045C"/>
    <w:rsid w:val="00FE0C52"/>
    <w:rsid w:val="00FE1212"/>
    <w:rsid w:val="00FE1692"/>
    <w:rsid w:val="00FE3069"/>
    <w:rsid w:val="00FE3B13"/>
    <w:rsid w:val="00FF0566"/>
    <w:rsid w:val="00FF15F5"/>
    <w:rsid w:val="00FF1E2C"/>
    <w:rsid w:val="00FF6218"/>
    <w:rsid w:val="07261440"/>
    <w:rsid w:val="0A8379A8"/>
    <w:rsid w:val="10DBA1A7"/>
    <w:rsid w:val="11E1D46F"/>
    <w:rsid w:val="1240B08D"/>
    <w:rsid w:val="13B780FD"/>
    <w:rsid w:val="166695A2"/>
    <w:rsid w:val="17662A62"/>
    <w:rsid w:val="1A102AD5"/>
    <w:rsid w:val="1CF7C554"/>
    <w:rsid w:val="1D583D20"/>
    <w:rsid w:val="1DCA3191"/>
    <w:rsid w:val="1E9EA509"/>
    <w:rsid w:val="2203434D"/>
    <w:rsid w:val="22F60A16"/>
    <w:rsid w:val="284794B1"/>
    <w:rsid w:val="2EC9A5BB"/>
    <w:rsid w:val="34D47D13"/>
    <w:rsid w:val="41D9591B"/>
    <w:rsid w:val="43B988F3"/>
    <w:rsid w:val="44440E49"/>
    <w:rsid w:val="4536892E"/>
    <w:rsid w:val="4648E976"/>
    <w:rsid w:val="4CC966CC"/>
    <w:rsid w:val="4CE1AB99"/>
    <w:rsid w:val="5E3D76AA"/>
    <w:rsid w:val="5F1F8801"/>
    <w:rsid w:val="644EA97D"/>
    <w:rsid w:val="6A3279B9"/>
    <w:rsid w:val="6F177B28"/>
    <w:rsid w:val="6F1AE903"/>
    <w:rsid w:val="75FFA189"/>
    <w:rsid w:val="7662EAD9"/>
    <w:rsid w:val="78CD088F"/>
    <w:rsid w:val="7926D0C2"/>
    <w:rsid w:val="7B4DF0C2"/>
    <w:rsid w:val="7B7AA415"/>
    <w:rsid w:val="7CE7C7E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6CF5807"/>
  <w15:docId w15:val="{ACEC9D6E-21BB-400F-9213-6501CE70E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3"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3" w:unhideWhenUsed="1" w:qFormat="1"/>
    <w:lsdException w:name="envelope address" w:semiHidden="1" w:unhideWhenUsed="1"/>
    <w:lsdException w:name="envelope return" w:semiHidden="1" w:unhideWhenUsed="1"/>
    <w:lsdException w:name="footnote reference" w:semiHidden="1" w:uiPriority="3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iPriority="9"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iPriority="5"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9"/>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qFormat="1"/>
    <w:lsdException w:name="Subtle Reference" w:semiHidden="1" w:qFormat="1"/>
    <w:lsdException w:name="Intense Reference" w:semiHidden="1" w:qFormat="1"/>
    <w:lsdException w:name="Book Title" w:semiHidden="1" w:qFormat="1"/>
    <w:lsdException w:name="Bibliography" w:semiHidden="1" w:uiPriority="0"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0C6"/>
    <w:pPr>
      <w:spacing w:after="120" w:line="300" w:lineRule="atLeast"/>
    </w:pPr>
    <w:rPr>
      <w:spacing w:val="-1"/>
    </w:rPr>
  </w:style>
  <w:style w:type="paragraph" w:styleId="Heading1">
    <w:name w:val="heading 1"/>
    <w:basedOn w:val="Normal"/>
    <w:next w:val="Normal"/>
    <w:link w:val="Heading1Char"/>
    <w:uiPriority w:val="9"/>
    <w:qFormat/>
    <w:rsid w:val="009B33D1"/>
    <w:pPr>
      <w:keepNext/>
      <w:keepLines/>
      <w:spacing w:before="360" w:after="180"/>
      <w:outlineLvl w:val="0"/>
    </w:pPr>
    <w:rPr>
      <w:rFonts w:asciiTheme="majorHAnsi" w:eastAsiaTheme="majorEastAsia" w:hAnsiTheme="majorHAnsi" w:cstheme="majorBidi"/>
      <w:color w:val="3D4D7D" w:themeColor="background2"/>
      <w:sz w:val="32"/>
      <w:szCs w:val="32"/>
    </w:rPr>
  </w:style>
  <w:style w:type="paragraph" w:styleId="Heading2">
    <w:name w:val="heading 2"/>
    <w:basedOn w:val="Normal"/>
    <w:next w:val="Normal"/>
    <w:link w:val="Heading2Char"/>
    <w:uiPriority w:val="9"/>
    <w:qFormat/>
    <w:rsid w:val="009B33D1"/>
    <w:pPr>
      <w:keepNext/>
      <w:keepLines/>
      <w:spacing w:before="300"/>
      <w:outlineLvl w:val="1"/>
    </w:pPr>
    <w:rPr>
      <w:rFonts w:asciiTheme="majorHAnsi" w:eastAsiaTheme="majorEastAsia" w:hAnsiTheme="majorHAnsi" w:cstheme="majorBidi"/>
      <w:color w:val="3D4D7D" w:themeColor="background2"/>
      <w:sz w:val="30"/>
      <w:szCs w:val="26"/>
    </w:rPr>
  </w:style>
  <w:style w:type="paragraph" w:styleId="Heading3">
    <w:name w:val="heading 3"/>
    <w:basedOn w:val="Normal"/>
    <w:next w:val="Normal"/>
    <w:link w:val="Heading3Char"/>
    <w:uiPriority w:val="9"/>
    <w:qFormat/>
    <w:rsid w:val="009B33D1"/>
    <w:pPr>
      <w:keepNext/>
      <w:keepLines/>
      <w:spacing w:before="240"/>
      <w:outlineLvl w:val="2"/>
    </w:pPr>
    <w:rPr>
      <w:rFonts w:asciiTheme="majorHAnsi" w:eastAsiaTheme="majorEastAsia" w:hAnsiTheme="majorHAnsi" w:cstheme="majorBidi"/>
      <w:b/>
      <w:color w:val="3D4D7D" w:themeColor="background2"/>
      <w:sz w:val="24"/>
      <w:szCs w:val="24"/>
    </w:rPr>
  </w:style>
  <w:style w:type="paragraph" w:styleId="Heading4">
    <w:name w:val="heading 4"/>
    <w:basedOn w:val="Normal"/>
    <w:next w:val="Normal"/>
    <w:link w:val="Heading4Char"/>
    <w:uiPriority w:val="9"/>
    <w:unhideWhenUsed/>
    <w:qFormat/>
    <w:rsid w:val="00D674A5"/>
    <w:pPr>
      <w:keepNext/>
      <w:keepLines/>
      <w:spacing w:before="240"/>
      <w:outlineLvl w:val="3"/>
    </w:pPr>
    <w:rPr>
      <w:rFonts w:eastAsiaTheme="majorEastAsia" w:cstheme="majorBidi"/>
      <w:b/>
      <w:iCs/>
      <w:color w:val="auto"/>
    </w:rPr>
  </w:style>
  <w:style w:type="paragraph" w:styleId="Heading5">
    <w:name w:val="heading 5"/>
    <w:basedOn w:val="Normal"/>
    <w:next w:val="Normal"/>
    <w:link w:val="Heading5Char"/>
    <w:uiPriority w:val="9"/>
    <w:semiHidden/>
    <w:rsid w:val="00D674A5"/>
    <w:pPr>
      <w:keepNext/>
      <w:keepLines/>
      <w:spacing w:before="240"/>
      <w:outlineLvl w:val="4"/>
    </w:pPr>
    <w:rPr>
      <w:rFonts w:eastAsiaTheme="majorEastAsia" w:cstheme="majorBidi"/>
      <w:b/>
      <w:i/>
      <w:color w:val="auto"/>
    </w:rPr>
  </w:style>
  <w:style w:type="paragraph" w:styleId="Heading6">
    <w:name w:val="heading 6"/>
    <w:basedOn w:val="Normal"/>
    <w:next w:val="Normal"/>
    <w:link w:val="Heading6Char"/>
    <w:uiPriority w:val="9"/>
    <w:semiHidden/>
    <w:rsid w:val="00D674A5"/>
    <w:pPr>
      <w:keepNext/>
      <w:keepLines/>
      <w:outlineLvl w:val="5"/>
    </w:pPr>
    <w:rPr>
      <w:rFonts w:eastAsiaTheme="majorEastAsia" w:cstheme="majorBidi"/>
      <w:b/>
      <w:i/>
    </w:rPr>
  </w:style>
  <w:style w:type="paragraph" w:styleId="Heading7">
    <w:name w:val="heading 7"/>
    <w:basedOn w:val="Normal"/>
    <w:next w:val="Normal"/>
    <w:link w:val="Heading7Char"/>
    <w:uiPriority w:val="9"/>
    <w:semiHidden/>
    <w:rsid w:val="00D674A5"/>
    <w:pPr>
      <w:keepNext/>
      <w:keepLines/>
      <w:outlineLvl w:val="6"/>
    </w:pPr>
    <w:rPr>
      <w:rFonts w:eastAsiaTheme="majorEastAsia" w:cstheme="majorBidi"/>
      <w:i/>
      <w:iCs/>
    </w:rPr>
  </w:style>
  <w:style w:type="paragraph" w:styleId="Heading8">
    <w:name w:val="heading 8"/>
    <w:aliases w:val="Attachment Title"/>
    <w:basedOn w:val="Heading1"/>
    <w:next w:val="Normal"/>
    <w:link w:val="Heading8Char"/>
    <w:uiPriority w:val="9"/>
    <w:unhideWhenUsed/>
    <w:rsid w:val="009B33D1"/>
    <w:pPr>
      <w:numPr>
        <w:numId w:val="26"/>
      </w:numPr>
      <w:tabs>
        <w:tab w:val="left" w:pos="4536"/>
      </w:tabs>
      <w:spacing w:before="480" w:after="340"/>
      <w:outlineLvl w:val="7"/>
    </w:pPr>
    <w:rPr>
      <w:sz w:val="30"/>
    </w:rPr>
  </w:style>
  <w:style w:type="paragraph" w:styleId="Heading9">
    <w:name w:val="heading 9"/>
    <w:basedOn w:val="Normal"/>
    <w:next w:val="Normal"/>
    <w:link w:val="Heading9Char"/>
    <w:uiPriority w:val="9"/>
    <w:semiHidden/>
    <w:rsid w:val="00D674A5"/>
    <w:pPr>
      <w:keepNext/>
      <w:keepLines/>
      <w:numPr>
        <w:ilvl w:val="1"/>
        <w:numId w:val="27"/>
      </w:numPr>
      <w:tabs>
        <w:tab w:val="left" w:pos="1559"/>
        <w:tab w:val="left" w:pos="1843"/>
        <w:tab w:val="left" w:pos="2126"/>
        <w:tab w:val="left" w:pos="2410"/>
      </w:tabs>
      <w:spacing w:before="470" w:after="227"/>
      <w:outlineLvl w:val="8"/>
    </w:pPr>
    <w:rPr>
      <w:rFonts w:asciiTheme="majorHAnsi" w:hAnsiTheme="majorHAnsi"/>
      <w:color w:val="9778B4" w:themeColor="text2"/>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13"/>
    <w:rsid w:val="00D674A5"/>
    <w:pPr>
      <w:spacing w:before="60"/>
    </w:pPr>
    <w:rPr>
      <w:sz w:val="18"/>
    </w:rPr>
  </w:style>
  <w:style w:type="character" w:customStyle="1" w:styleId="FootnoteTextChar">
    <w:name w:val="Footnote Text Char"/>
    <w:basedOn w:val="DefaultParagraphFont"/>
    <w:link w:val="FootnoteText"/>
    <w:uiPriority w:val="13"/>
    <w:rsid w:val="00D674A5"/>
    <w:rPr>
      <w:spacing w:val="-1"/>
      <w:sz w:val="18"/>
    </w:rPr>
  </w:style>
  <w:style w:type="character" w:styleId="FootnoteReference">
    <w:name w:val="footnote reference"/>
    <w:basedOn w:val="DefaultParagraphFont"/>
    <w:uiPriority w:val="39"/>
    <w:rsid w:val="00D674A5"/>
    <w:rPr>
      <w:vertAlign w:val="superscript"/>
    </w:rPr>
  </w:style>
  <w:style w:type="paragraph" w:customStyle="1" w:styleId="AppendixNumbered">
    <w:name w:val="Appendix Numbered"/>
    <w:basedOn w:val="Heading2"/>
    <w:uiPriority w:val="11"/>
    <w:qFormat/>
    <w:rsid w:val="00D674A5"/>
    <w:pPr>
      <w:numPr>
        <w:numId w:val="13"/>
      </w:numPr>
    </w:pPr>
  </w:style>
  <w:style w:type="character" w:customStyle="1" w:styleId="Heading1Char">
    <w:name w:val="Heading 1 Char"/>
    <w:basedOn w:val="DefaultParagraphFont"/>
    <w:link w:val="Heading1"/>
    <w:uiPriority w:val="9"/>
    <w:rsid w:val="009B33D1"/>
    <w:rPr>
      <w:rFonts w:asciiTheme="majorHAnsi" w:eastAsiaTheme="majorEastAsia" w:hAnsiTheme="majorHAnsi" w:cstheme="majorBidi"/>
      <w:color w:val="3D4D7D" w:themeColor="background2"/>
      <w:spacing w:val="-1"/>
      <w:sz w:val="32"/>
      <w:szCs w:val="32"/>
    </w:rPr>
  </w:style>
  <w:style w:type="character" w:customStyle="1" w:styleId="Heading2Char">
    <w:name w:val="Heading 2 Char"/>
    <w:basedOn w:val="DefaultParagraphFont"/>
    <w:link w:val="Heading2"/>
    <w:uiPriority w:val="9"/>
    <w:rsid w:val="009B33D1"/>
    <w:rPr>
      <w:rFonts w:asciiTheme="majorHAnsi" w:eastAsiaTheme="majorEastAsia" w:hAnsiTheme="majorHAnsi" w:cstheme="majorBidi"/>
      <w:color w:val="3D4D7D" w:themeColor="background2"/>
      <w:spacing w:val="-1"/>
      <w:sz w:val="30"/>
      <w:szCs w:val="26"/>
    </w:rPr>
  </w:style>
  <w:style w:type="character" w:customStyle="1" w:styleId="Heading3Char">
    <w:name w:val="Heading 3 Char"/>
    <w:basedOn w:val="DefaultParagraphFont"/>
    <w:link w:val="Heading3"/>
    <w:uiPriority w:val="9"/>
    <w:rsid w:val="009B33D1"/>
    <w:rPr>
      <w:rFonts w:asciiTheme="majorHAnsi" w:eastAsiaTheme="majorEastAsia" w:hAnsiTheme="majorHAnsi" w:cstheme="majorBidi"/>
      <w:b/>
      <w:color w:val="3D4D7D" w:themeColor="background2"/>
      <w:spacing w:val="-1"/>
      <w:sz w:val="24"/>
      <w:szCs w:val="24"/>
    </w:rPr>
  </w:style>
  <w:style w:type="character" w:customStyle="1" w:styleId="Heading4Char">
    <w:name w:val="Heading 4 Char"/>
    <w:basedOn w:val="DefaultParagraphFont"/>
    <w:link w:val="Heading4"/>
    <w:uiPriority w:val="9"/>
    <w:rsid w:val="00D674A5"/>
    <w:rPr>
      <w:rFonts w:eastAsiaTheme="majorEastAsia" w:cstheme="majorBidi"/>
      <w:b/>
      <w:iCs/>
      <w:color w:val="auto"/>
      <w:spacing w:val="-1"/>
    </w:rPr>
  </w:style>
  <w:style w:type="character" w:customStyle="1" w:styleId="Heading5Char">
    <w:name w:val="Heading 5 Char"/>
    <w:basedOn w:val="DefaultParagraphFont"/>
    <w:link w:val="Heading5"/>
    <w:uiPriority w:val="9"/>
    <w:semiHidden/>
    <w:rsid w:val="00D674A5"/>
    <w:rPr>
      <w:rFonts w:eastAsiaTheme="majorEastAsia" w:cstheme="majorBidi"/>
      <w:b/>
      <w:i/>
      <w:color w:val="auto"/>
      <w:spacing w:val="-1"/>
    </w:rPr>
  </w:style>
  <w:style w:type="character" w:customStyle="1" w:styleId="Heading6Char">
    <w:name w:val="Heading 6 Char"/>
    <w:basedOn w:val="DefaultParagraphFont"/>
    <w:link w:val="Heading6"/>
    <w:uiPriority w:val="9"/>
    <w:semiHidden/>
    <w:rsid w:val="00D674A5"/>
    <w:rPr>
      <w:rFonts w:eastAsiaTheme="majorEastAsia" w:cstheme="majorBidi"/>
      <w:b/>
      <w:i/>
      <w:spacing w:val="-1"/>
    </w:rPr>
  </w:style>
  <w:style w:type="character" w:customStyle="1" w:styleId="Heading7Char">
    <w:name w:val="Heading 7 Char"/>
    <w:basedOn w:val="DefaultParagraphFont"/>
    <w:link w:val="Heading7"/>
    <w:uiPriority w:val="9"/>
    <w:semiHidden/>
    <w:rsid w:val="00D674A5"/>
    <w:rPr>
      <w:rFonts w:eastAsiaTheme="majorEastAsia" w:cstheme="majorBidi"/>
      <w:i/>
      <w:iCs/>
      <w:spacing w:val="-1"/>
    </w:rPr>
  </w:style>
  <w:style w:type="character" w:customStyle="1" w:styleId="Heading8Char">
    <w:name w:val="Heading 8 Char"/>
    <w:aliases w:val="Attachment Title Char"/>
    <w:basedOn w:val="DefaultParagraphFont"/>
    <w:link w:val="Heading8"/>
    <w:uiPriority w:val="9"/>
    <w:rsid w:val="009B33D1"/>
    <w:rPr>
      <w:rFonts w:asciiTheme="majorHAnsi" w:eastAsiaTheme="majorEastAsia" w:hAnsiTheme="majorHAnsi" w:cstheme="majorBidi"/>
      <w:color w:val="3D4D7D" w:themeColor="background2"/>
      <w:spacing w:val="-1"/>
      <w:sz w:val="30"/>
      <w:szCs w:val="32"/>
    </w:rPr>
  </w:style>
  <w:style w:type="character" w:customStyle="1" w:styleId="Heading9Char">
    <w:name w:val="Heading 9 Char"/>
    <w:basedOn w:val="DefaultParagraphFont"/>
    <w:link w:val="Heading9"/>
    <w:uiPriority w:val="9"/>
    <w:semiHidden/>
    <w:rsid w:val="00D674A5"/>
    <w:rPr>
      <w:rFonts w:asciiTheme="majorHAnsi" w:hAnsiTheme="majorHAnsi"/>
      <w:color w:val="9778B4" w:themeColor="text2"/>
      <w:spacing w:val="-1"/>
      <w:sz w:val="32"/>
    </w:rPr>
  </w:style>
  <w:style w:type="numbering" w:customStyle="1" w:styleId="AppendixNumbers">
    <w:name w:val="Appendix Numbers"/>
    <w:uiPriority w:val="99"/>
    <w:rsid w:val="00D674A5"/>
    <w:pPr>
      <w:numPr>
        <w:numId w:val="1"/>
      </w:numPr>
    </w:pPr>
  </w:style>
  <w:style w:type="numbering" w:customStyle="1" w:styleId="AttachementsNumbered">
    <w:name w:val="Attachements Numbered"/>
    <w:uiPriority w:val="99"/>
    <w:rsid w:val="00D674A5"/>
    <w:pPr>
      <w:numPr>
        <w:numId w:val="2"/>
      </w:numPr>
    </w:pPr>
  </w:style>
  <w:style w:type="paragraph" w:customStyle="1" w:styleId="Box1Text">
    <w:name w:val="Box 1 Text"/>
    <w:basedOn w:val="Normal"/>
    <w:uiPriority w:val="13"/>
    <w:rsid w:val="00D674A5"/>
    <w:pPr>
      <w:pBdr>
        <w:top w:val="single" w:sz="4" w:space="14" w:color="D3D8E9" w:themeColor="background2" w:themeTint="33"/>
        <w:left w:val="single" w:sz="4" w:space="14" w:color="D3D8E9" w:themeColor="background2" w:themeTint="33"/>
        <w:bottom w:val="single" w:sz="4" w:space="14" w:color="D3D8E9" w:themeColor="background2" w:themeTint="33"/>
        <w:right w:val="single" w:sz="4" w:space="14" w:color="D3D8E9" w:themeColor="background2" w:themeTint="33"/>
      </w:pBdr>
      <w:shd w:val="clear" w:color="auto" w:fill="D3D8E9" w:themeFill="background2" w:themeFillTint="33"/>
      <w:ind w:left="284" w:right="284"/>
    </w:pPr>
  </w:style>
  <w:style w:type="paragraph" w:customStyle="1" w:styleId="Box1Bullet">
    <w:name w:val="Box 1 Bullet"/>
    <w:basedOn w:val="Box1Text"/>
    <w:uiPriority w:val="14"/>
    <w:rsid w:val="00D674A5"/>
    <w:pPr>
      <w:numPr>
        <w:numId w:val="17"/>
      </w:numPr>
    </w:pPr>
  </w:style>
  <w:style w:type="paragraph" w:styleId="Caption">
    <w:name w:val="caption"/>
    <w:basedOn w:val="Normal"/>
    <w:next w:val="Normal"/>
    <w:uiPriority w:val="13"/>
    <w:qFormat/>
    <w:rsid w:val="00D674A5"/>
    <w:pPr>
      <w:keepNext/>
      <w:keepLines/>
      <w:spacing w:before="360"/>
    </w:pPr>
    <w:rPr>
      <w:b/>
      <w:iCs/>
      <w:color w:val="3D4D7D" w:themeColor="background2"/>
      <w:szCs w:val="18"/>
    </w:rPr>
  </w:style>
  <w:style w:type="paragraph" w:styleId="Footer">
    <w:name w:val="footer"/>
    <w:basedOn w:val="Normal"/>
    <w:link w:val="FooterChar"/>
    <w:uiPriority w:val="99"/>
    <w:semiHidden/>
    <w:rsid w:val="00D674A5"/>
    <w:pPr>
      <w:tabs>
        <w:tab w:val="center" w:pos="4513"/>
        <w:tab w:val="right" w:pos="9026"/>
      </w:tabs>
      <w:spacing w:before="0"/>
    </w:pPr>
    <w:rPr>
      <w:sz w:val="16"/>
    </w:rPr>
  </w:style>
  <w:style w:type="character" w:customStyle="1" w:styleId="FooterChar">
    <w:name w:val="Footer Char"/>
    <w:basedOn w:val="DefaultParagraphFont"/>
    <w:link w:val="Footer"/>
    <w:uiPriority w:val="99"/>
    <w:semiHidden/>
    <w:rsid w:val="00D674A5"/>
    <w:rPr>
      <w:spacing w:val="-1"/>
      <w:sz w:val="16"/>
    </w:rPr>
  </w:style>
  <w:style w:type="paragraph" w:customStyle="1" w:styleId="Box1Heading">
    <w:name w:val="Box 1 Heading"/>
    <w:basedOn w:val="Box1Text"/>
    <w:uiPriority w:val="13"/>
    <w:rsid w:val="00D674A5"/>
    <w:rPr>
      <w:b/>
      <w:bCs/>
      <w:sz w:val="24"/>
      <w:szCs w:val="24"/>
    </w:rPr>
  </w:style>
  <w:style w:type="paragraph" w:customStyle="1" w:styleId="Box2Text">
    <w:name w:val="Box 2 Text"/>
    <w:basedOn w:val="Normal"/>
    <w:uiPriority w:val="14"/>
    <w:rsid w:val="00D674A5"/>
    <w:pPr>
      <w:pBdr>
        <w:top w:val="single" w:sz="4" w:space="14" w:color="3D4D7D" w:themeColor="background2"/>
        <w:left w:val="single" w:sz="4" w:space="14" w:color="3D4D7D" w:themeColor="background2"/>
        <w:bottom w:val="single" w:sz="4" w:space="14" w:color="3D4D7D" w:themeColor="background2"/>
        <w:right w:val="single" w:sz="4" w:space="14" w:color="3D4D7D" w:themeColor="background2"/>
      </w:pBdr>
      <w:ind w:left="284" w:right="284"/>
    </w:pPr>
  </w:style>
  <w:style w:type="paragraph" w:customStyle="1" w:styleId="Box2Bullet">
    <w:name w:val="Box 2 Bullet"/>
    <w:basedOn w:val="Box2Text"/>
    <w:uiPriority w:val="15"/>
    <w:rsid w:val="00D674A5"/>
    <w:pPr>
      <w:numPr>
        <w:ilvl w:val="1"/>
        <w:numId w:val="17"/>
      </w:numPr>
    </w:pPr>
  </w:style>
  <w:style w:type="paragraph" w:customStyle="1" w:styleId="Box2Heading">
    <w:name w:val="Box 2 Heading"/>
    <w:basedOn w:val="Box2Text"/>
    <w:uiPriority w:val="14"/>
    <w:rsid w:val="00D674A5"/>
    <w:rPr>
      <w:b/>
      <w:bCs/>
      <w:sz w:val="24"/>
      <w:szCs w:val="24"/>
    </w:rPr>
  </w:style>
  <w:style w:type="numbering" w:customStyle="1" w:styleId="BoxedBullets">
    <w:name w:val="Boxed Bullets"/>
    <w:uiPriority w:val="99"/>
    <w:rsid w:val="00D674A5"/>
    <w:pPr>
      <w:numPr>
        <w:numId w:val="3"/>
      </w:numPr>
    </w:pPr>
  </w:style>
  <w:style w:type="paragraph" w:styleId="Header">
    <w:name w:val="header"/>
    <w:basedOn w:val="Normal"/>
    <w:link w:val="HeaderChar"/>
    <w:uiPriority w:val="99"/>
    <w:semiHidden/>
    <w:rsid w:val="00D674A5"/>
    <w:pPr>
      <w:tabs>
        <w:tab w:val="center" w:pos="4513"/>
        <w:tab w:val="right" w:pos="9026"/>
      </w:tabs>
      <w:spacing w:before="0"/>
    </w:pPr>
    <w:rPr>
      <w:rFonts w:asciiTheme="majorHAnsi" w:hAnsiTheme="majorHAnsi"/>
      <w:sz w:val="16"/>
    </w:rPr>
  </w:style>
  <w:style w:type="character" w:customStyle="1" w:styleId="HeaderChar">
    <w:name w:val="Header Char"/>
    <w:basedOn w:val="DefaultParagraphFont"/>
    <w:link w:val="Header"/>
    <w:uiPriority w:val="99"/>
    <w:semiHidden/>
    <w:rsid w:val="00D674A5"/>
    <w:rPr>
      <w:rFonts w:asciiTheme="majorHAnsi" w:hAnsiTheme="majorHAnsi"/>
      <w:spacing w:val="-1"/>
      <w:sz w:val="16"/>
    </w:rPr>
  </w:style>
  <w:style w:type="paragraph" w:customStyle="1" w:styleId="Bullet1">
    <w:name w:val="Bullet 1"/>
    <w:basedOn w:val="Normal"/>
    <w:uiPriority w:val="2"/>
    <w:qFormat/>
    <w:rsid w:val="00AF37D6"/>
    <w:pPr>
      <w:numPr>
        <w:numId w:val="18"/>
      </w:numPr>
    </w:pPr>
  </w:style>
  <w:style w:type="paragraph" w:customStyle="1" w:styleId="Bullet2">
    <w:name w:val="Bullet 2"/>
    <w:basedOn w:val="Normal"/>
    <w:uiPriority w:val="2"/>
    <w:qFormat/>
    <w:rsid w:val="00673005"/>
    <w:pPr>
      <w:numPr>
        <w:ilvl w:val="1"/>
        <w:numId w:val="18"/>
      </w:numPr>
    </w:pPr>
  </w:style>
  <w:style w:type="paragraph" w:customStyle="1" w:styleId="Bullet3">
    <w:name w:val="Bullet 3"/>
    <w:basedOn w:val="Normal"/>
    <w:uiPriority w:val="2"/>
    <w:qFormat/>
    <w:rsid w:val="00201EAE"/>
    <w:pPr>
      <w:numPr>
        <w:numId w:val="40"/>
      </w:numPr>
      <w:spacing w:before="70"/>
      <w:ind w:left="851" w:hanging="284"/>
    </w:pPr>
  </w:style>
  <w:style w:type="paragraph" w:styleId="ListContinue">
    <w:name w:val="List Continue"/>
    <w:basedOn w:val="Normal"/>
    <w:uiPriority w:val="99"/>
    <w:semiHidden/>
    <w:qFormat/>
    <w:rsid w:val="00D674A5"/>
    <w:pPr>
      <w:spacing w:before="220" w:after="220"/>
      <w:ind w:left="340"/>
    </w:pPr>
  </w:style>
  <w:style w:type="paragraph" w:styleId="ListContinue2">
    <w:name w:val="List Continue 2"/>
    <w:basedOn w:val="Normal"/>
    <w:uiPriority w:val="99"/>
    <w:semiHidden/>
    <w:qFormat/>
    <w:rsid w:val="00D674A5"/>
    <w:pPr>
      <w:spacing w:before="220" w:after="220"/>
      <w:ind w:left="680"/>
    </w:pPr>
  </w:style>
  <w:style w:type="numbering" w:customStyle="1" w:styleId="DefaultBullets">
    <w:name w:val="Default Bullets"/>
    <w:uiPriority w:val="99"/>
    <w:rsid w:val="00D674A5"/>
    <w:pPr>
      <w:numPr>
        <w:numId w:val="4"/>
      </w:numPr>
    </w:pPr>
  </w:style>
  <w:style w:type="character" w:styleId="Emphasis">
    <w:name w:val="Emphasis"/>
    <w:basedOn w:val="DefaultParagraphFont"/>
    <w:uiPriority w:val="33"/>
    <w:semiHidden/>
    <w:rsid w:val="00D674A5"/>
    <w:rPr>
      <w:i/>
      <w:iCs/>
    </w:rPr>
  </w:style>
  <w:style w:type="table" w:styleId="GridTable5Dark-Accent1">
    <w:name w:val="Grid Table 5 Dark Accent 1"/>
    <w:basedOn w:val="TableNormal"/>
    <w:uiPriority w:val="50"/>
    <w:rsid w:val="00D674A5"/>
    <w:pPr>
      <w:spacing w:after="0"/>
    </w:pPr>
    <w:rPr>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paragraph" w:customStyle="1" w:styleId="Heading1Numbered">
    <w:name w:val="Heading 1 Numbered"/>
    <w:basedOn w:val="Heading1"/>
    <w:uiPriority w:val="10"/>
    <w:qFormat/>
    <w:rsid w:val="00D674A5"/>
    <w:pPr>
      <w:numPr>
        <w:numId w:val="35"/>
      </w:numPr>
    </w:pPr>
  </w:style>
  <w:style w:type="paragraph" w:styleId="NoSpacing">
    <w:name w:val="No Spacing"/>
    <w:uiPriority w:val="4"/>
    <w:rsid w:val="00D674A5"/>
    <w:pPr>
      <w:spacing w:after="120"/>
      <w:contextualSpacing/>
    </w:pPr>
    <w:rPr>
      <w:sz w:val="20"/>
      <w:szCs w:val="20"/>
    </w:rPr>
  </w:style>
  <w:style w:type="paragraph" w:customStyle="1" w:styleId="Heading2Numbered">
    <w:name w:val="Heading 2 Numbered"/>
    <w:basedOn w:val="Heading2"/>
    <w:uiPriority w:val="10"/>
    <w:qFormat/>
    <w:rsid w:val="00D674A5"/>
    <w:pPr>
      <w:numPr>
        <w:ilvl w:val="1"/>
        <w:numId w:val="35"/>
      </w:numPr>
    </w:pPr>
  </w:style>
  <w:style w:type="paragraph" w:customStyle="1" w:styleId="Heading3Numbered">
    <w:name w:val="Heading 3 Numbered"/>
    <w:basedOn w:val="Heading3"/>
    <w:uiPriority w:val="10"/>
    <w:qFormat/>
    <w:rsid w:val="00D674A5"/>
    <w:pPr>
      <w:numPr>
        <w:ilvl w:val="2"/>
        <w:numId w:val="35"/>
      </w:numPr>
    </w:pPr>
  </w:style>
  <w:style w:type="character" w:styleId="IntenseEmphasis">
    <w:name w:val="Intense Emphasis"/>
    <w:basedOn w:val="DefaultParagraphFont"/>
    <w:uiPriority w:val="33"/>
    <w:semiHidden/>
    <w:rsid w:val="00D674A5"/>
    <w:rPr>
      <w:b/>
      <w:i/>
      <w:iCs/>
      <w:color w:val="000000" w:themeColor="text1"/>
    </w:rPr>
  </w:style>
  <w:style w:type="character" w:styleId="PageNumber">
    <w:name w:val="page number"/>
    <w:basedOn w:val="DefaultParagraphFont"/>
    <w:uiPriority w:val="99"/>
    <w:semiHidden/>
    <w:rsid w:val="00D674A5"/>
    <w:rPr>
      <w:rFonts w:ascii="Arial" w:hAnsi="Arial"/>
      <w:b/>
      <w:color w:val="auto"/>
      <w:sz w:val="16"/>
    </w:rPr>
  </w:style>
  <w:style w:type="paragraph" w:customStyle="1" w:styleId="IntroPara">
    <w:name w:val="Intro Para"/>
    <w:basedOn w:val="Normal"/>
    <w:uiPriority w:val="1"/>
    <w:qFormat/>
    <w:rsid w:val="00D674A5"/>
    <w:pPr>
      <w:spacing w:before="240" w:after="240" w:line="400" w:lineRule="atLeast"/>
      <w:contextualSpacing/>
    </w:pPr>
    <w:rPr>
      <w:rFonts w:asciiTheme="majorHAnsi" w:hAnsiTheme="majorHAnsi"/>
      <w:color w:val="8D487F" w:themeColor="accent1"/>
      <w:sz w:val="28"/>
    </w:rPr>
  </w:style>
  <w:style w:type="table" w:styleId="LightList-Accent1">
    <w:name w:val="Light List Accent 1"/>
    <w:basedOn w:val="TableNormal"/>
    <w:uiPriority w:val="61"/>
    <w:rsid w:val="00D674A5"/>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pPr>
        <w:spacing w:before="0" w:after="0" w:line="240" w:lineRule="auto"/>
      </w:pPr>
      <w:rPr>
        <w:b/>
        <w:bCs/>
        <w:color w:val="FFFFFF" w:themeColor="background1"/>
      </w:rPr>
      <w:tblPr/>
      <w:tcPr>
        <w:shd w:val="clear" w:color="auto" w:fill="8D487F" w:themeFill="accent1"/>
      </w:tcPr>
    </w:tblStylePr>
    <w:tblStylePr w:type="lastRow">
      <w:pPr>
        <w:spacing w:before="0" w:after="0" w:line="240" w:lineRule="auto"/>
      </w:pPr>
      <w:rPr>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tcBorders>
      </w:tcPr>
    </w:tblStylePr>
    <w:tblStylePr w:type="firstCol">
      <w:rPr>
        <w:b/>
        <w:bCs/>
      </w:rPr>
    </w:tblStylePr>
    <w:tblStylePr w:type="lastCol">
      <w:rPr>
        <w:b/>
        <w:bCs/>
      </w:r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style>
  <w:style w:type="character" w:styleId="PlaceholderText">
    <w:name w:val="Placeholder Text"/>
    <w:basedOn w:val="DefaultParagraphFont"/>
    <w:uiPriority w:val="99"/>
    <w:rsid w:val="00D674A5"/>
    <w:rPr>
      <w:color w:val="808080"/>
    </w:rPr>
  </w:style>
  <w:style w:type="numbering" w:customStyle="1" w:styleId="List1Numbered">
    <w:name w:val="List 1 Numbered"/>
    <w:uiPriority w:val="99"/>
    <w:rsid w:val="00D674A5"/>
    <w:pPr>
      <w:numPr>
        <w:numId w:val="7"/>
      </w:numPr>
    </w:pPr>
  </w:style>
  <w:style w:type="paragraph" w:customStyle="1" w:styleId="List1Numbered1">
    <w:name w:val="List 1 Numbered 1"/>
    <w:basedOn w:val="Normal"/>
    <w:uiPriority w:val="2"/>
    <w:qFormat/>
    <w:rsid w:val="00D674A5"/>
    <w:pPr>
      <w:numPr>
        <w:numId w:val="32"/>
      </w:numPr>
      <w:spacing w:before="60"/>
    </w:pPr>
  </w:style>
  <w:style w:type="paragraph" w:customStyle="1" w:styleId="List1Numbered2">
    <w:name w:val="List 1 Numbered 2"/>
    <w:basedOn w:val="Normal"/>
    <w:uiPriority w:val="2"/>
    <w:qFormat/>
    <w:rsid w:val="00D674A5"/>
    <w:pPr>
      <w:numPr>
        <w:ilvl w:val="1"/>
        <w:numId w:val="32"/>
      </w:numPr>
      <w:spacing w:before="60"/>
    </w:pPr>
  </w:style>
  <w:style w:type="paragraph" w:customStyle="1" w:styleId="List1Numbered3">
    <w:name w:val="List 1 Numbered 3"/>
    <w:basedOn w:val="Normal"/>
    <w:uiPriority w:val="2"/>
    <w:qFormat/>
    <w:rsid w:val="00D674A5"/>
    <w:pPr>
      <w:numPr>
        <w:ilvl w:val="2"/>
        <w:numId w:val="32"/>
      </w:numPr>
      <w:spacing w:before="60"/>
    </w:pPr>
  </w:style>
  <w:style w:type="paragraph" w:customStyle="1" w:styleId="NameofProposal">
    <w:name w:val="Name of Proposal"/>
    <w:basedOn w:val="Normal"/>
    <w:uiPriority w:val="12"/>
    <w:qFormat/>
    <w:rsid w:val="00D674A5"/>
    <w:rPr>
      <w:b/>
      <w:bCs/>
    </w:rPr>
  </w:style>
  <w:style w:type="paragraph" w:styleId="NormalWeb">
    <w:name w:val="Normal (Web)"/>
    <w:basedOn w:val="Normal"/>
    <w:uiPriority w:val="99"/>
    <w:semiHidden/>
    <w:unhideWhenUsed/>
    <w:rsid w:val="00D674A5"/>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NormalIndent10mm">
    <w:name w:val="Normal Indent 10mm"/>
    <w:basedOn w:val="Normal"/>
    <w:uiPriority w:val="1"/>
    <w:rsid w:val="00D674A5"/>
    <w:pPr>
      <w:ind w:left="567"/>
    </w:pPr>
  </w:style>
  <w:style w:type="paragraph" w:customStyle="1" w:styleId="NormalNumbered">
    <w:name w:val="Normal Numbered"/>
    <w:basedOn w:val="Normal"/>
    <w:qFormat/>
    <w:rsid w:val="00D674A5"/>
    <w:pPr>
      <w:numPr>
        <w:numId w:val="33"/>
      </w:numPr>
    </w:pPr>
  </w:style>
  <w:style w:type="paragraph" w:styleId="Quote">
    <w:name w:val="Quote"/>
    <w:basedOn w:val="Normal"/>
    <w:link w:val="QuoteChar"/>
    <w:uiPriority w:val="99"/>
    <w:semiHidden/>
    <w:rsid w:val="00D674A5"/>
    <w:pPr>
      <w:tabs>
        <w:tab w:val="left" w:pos="1134"/>
      </w:tabs>
      <w:spacing w:before="240" w:after="240"/>
      <w:ind w:left="284"/>
    </w:pPr>
    <w:rPr>
      <w:i/>
      <w:iCs/>
    </w:rPr>
  </w:style>
  <w:style w:type="character" w:customStyle="1" w:styleId="QuoteChar">
    <w:name w:val="Quote Char"/>
    <w:basedOn w:val="DefaultParagraphFont"/>
    <w:link w:val="Quote"/>
    <w:uiPriority w:val="99"/>
    <w:semiHidden/>
    <w:rsid w:val="00D674A5"/>
    <w:rPr>
      <w:i/>
      <w:iCs/>
      <w:spacing w:val="-1"/>
    </w:rPr>
  </w:style>
  <w:style w:type="numbering" w:customStyle="1" w:styleId="NormalNumberedParas">
    <w:name w:val="Normal Numbered Paras"/>
    <w:uiPriority w:val="99"/>
    <w:rsid w:val="00D674A5"/>
    <w:pPr>
      <w:numPr>
        <w:numId w:val="9"/>
      </w:numPr>
    </w:pPr>
  </w:style>
  <w:style w:type="numbering" w:customStyle="1" w:styleId="NumberedHeadings">
    <w:name w:val="Numbered Headings"/>
    <w:uiPriority w:val="99"/>
    <w:rsid w:val="00D674A5"/>
    <w:pPr>
      <w:numPr>
        <w:numId w:val="10"/>
      </w:numPr>
    </w:pPr>
  </w:style>
  <w:style w:type="paragraph" w:styleId="Subtitle">
    <w:name w:val="Subtitle"/>
    <w:basedOn w:val="Normal"/>
    <w:next w:val="Normal"/>
    <w:link w:val="SubtitleChar"/>
    <w:uiPriority w:val="23"/>
    <w:qFormat/>
    <w:rsid w:val="00D674A5"/>
    <w:pPr>
      <w:keepLines/>
      <w:numPr>
        <w:ilvl w:val="1"/>
      </w:numPr>
      <w:spacing w:before="0"/>
      <w:contextualSpacing/>
    </w:pPr>
    <w:rPr>
      <w:rFonts w:eastAsiaTheme="minorEastAsia"/>
      <w:b/>
      <w:color w:val="3D4D7D" w:themeColor="background2"/>
      <w:sz w:val="30"/>
    </w:rPr>
  </w:style>
  <w:style w:type="character" w:customStyle="1" w:styleId="SubtitleChar">
    <w:name w:val="Subtitle Char"/>
    <w:basedOn w:val="DefaultParagraphFont"/>
    <w:link w:val="Subtitle"/>
    <w:uiPriority w:val="23"/>
    <w:rsid w:val="00D674A5"/>
    <w:rPr>
      <w:rFonts w:eastAsiaTheme="minorEastAsia"/>
      <w:b/>
      <w:color w:val="3D4D7D" w:themeColor="background2"/>
      <w:spacing w:val="-1"/>
      <w:sz w:val="30"/>
    </w:rPr>
  </w:style>
  <w:style w:type="paragraph" w:customStyle="1" w:styleId="SourceNotes">
    <w:name w:val="Source Notes"/>
    <w:basedOn w:val="Normal"/>
    <w:uiPriority w:val="21"/>
    <w:qFormat/>
    <w:rsid w:val="001B25FE"/>
    <w:pPr>
      <w:spacing w:before="0" w:line="260" w:lineRule="atLeast"/>
      <w:ind w:left="341" w:hanging="284"/>
    </w:pPr>
    <w:rPr>
      <w:sz w:val="20"/>
    </w:rPr>
  </w:style>
  <w:style w:type="paragraph" w:customStyle="1" w:styleId="SourceNotesHeading">
    <w:name w:val="Source Notes Heading"/>
    <w:basedOn w:val="SourceNotes"/>
    <w:uiPriority w:val="20"/>
    <w:qFormat/>
    <w:rsid w:val="00D674A5"/>
    <w:rPr>
      <w:rFonts w:asciiTheme="majorHAnsi" w:hAnsiTheme="majorHAnsi"/>
      <w:b/>
    </w:rPr>
  </w:style>
  <w:style w:type="paragraph" w:customStyle="1" w:styleId="SourceNotesNumbered">
    <w:name w:val="Source Notes Numbered"/>
    <w:basedOn w:val="SourceNotes"/>
    <w:uiPriority w:val="21"/>
    <w:qFormat/>
    <w:rsid w:val="00D674A5"/>
    <w:pPr>
      <w:numPr>
        <w:numId w:val="36"/>
      </w:numPr>
    </w:pPr>
  </w:style>
  <w:style w:type="table" w:styleId="TableGrid">
    <w:name w:val="Table Grid"/>
    <w:basedOn w:val="TableNormal"/>
    <w:uiPriority w:val="39"/>
    <w:rsid w:val="00D674A5"/>
    <w:pPr>
      <w:spacing w:after="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33"/>
    <w:semiHidden/>
    <w:rsid w:val="00D674A5"/>
    <w:rPr>
      <w:b/>
      <w:bCs/>
    </w:rPr>
  </w:style>
  <w:style w:type="table" w:styleId="TableGridLight">
    <w:name w:val="Grid Table Light"/>
    <w:basedOn w:val="TableNormal"/>
    <w:uiPriority w:val="40"/>
    <w:rsid w:val="00D674A5"/>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9">
    <w:name w:val="toc 9"/>
    <w:basedOn w:val="Normal"/>
    <w:next w:val="Normal"/>
    <w:uiPriority w:val="39"/>
    <w:semiHidden/>
    <w:rsid w:val="00D674A5"/>
    <w:pPr>
      <w:spacing w:after="100"/>
      <w:ind w:left="1600"/>
    </w:pPr>
  </w:style>
  <w:style w:type="paragraph" w:styleId="Title">
    <w:name w:val="Title"/>
    <w:basedOn w:val="Normal"/>
    <w:next w:val="Normal"/>
    <w:link w:val="TitleChar"/>
    <w:uiPriority w:val="22"/>
    <w:qFormat/>
    <w:rsid w:val="00D674A5"/>
    <w:pPr>
      <w:keepLines/>
      <w:spacing w:before="0"/>
      <w:contextualSpacing/>
      <w:outlineLvl w:val="0"/>
    </w:pPr>
    <w:rPr>
      <w:rFonts w:asciiTheme="majorHAnsi" w:eastAsiaTheme="majorEastAsia" w:hAnsiTheme="majorHAnsi" w:cstheme="majorBidi"/>
      <w:color w:val="3D4D7D" w:themeColor="background2"/>
      <w:kern w:val="28"/>
      <w:sz w:val="52"/>
      <w:szCs w:val="56"/>
    </w:rPr>
  </w:style>
  <w:style w:type="character" w:customStyle="1" w:styleId="TitleChar">
    <w:name w:val="Title Char"/>
    <w:basedOn w:val="DefaultParagraphFont"/>
    <w:link w:val="Title"/>
    <w:uiPriority w:val="22"/>
    <w:rsid w:val="00D674A5"/>
    <w:rPr>
      <w:rFonts w:asciiTheme="majorHAnsi" w:eastAsiaTheme="majorEastAsia" w:hAnsiTheme="majorHAnsi" w:cstheme="majorBidi"/>
      <w:color w:val="3D4D7D" w:themeColor="background2"/>
      <w:spacing w:val="-1"/>
      <w:kern w:val="28"/>
      <w:sz w:val="52"/>
      <w:szCs w:val="56"/>
    </w:rPr>
  </w:style>
  <w:style w:type="paragraph" w:styleId="TOC1">
    <w:name w:val="toc 1"/>
    <w:basedOn w:val="Normal"/>
    <w:next w:val="Normal"/>
    <w:uiPriority w:val="39"/>
    <w:semiHidden/>
    <w:rsid w:val="00D674A5"/>
    <w:pPr>
      <w:keepNext/>
      <w:tabs>
        <w:tab w:val="right" w:pos="9628"/>
      </w:tabs>
      <w:spacing w:line="340" w:lineRule="atLeast"/>
    </w:pPr>
    <w:rPr>
      <w:b/>
      <w:sz w:val="24"/>
      <w:u w:color="9778B4" w:themeColor="text2"/>
    </w:rPr>
  </w:style>
  <w:style w:type="paragraph" w:styleId="TOC2">
    <w:name w:val="toc 2"/>
    <w:basedOn w:val="Normal"/>
    <w:next w:val="Normal"/>
    <w:uiPriority w:val="39"/>
    <w:semiHidden/>
    <w:rsid w:val="00D674A5"/>
    <w:pPr>
      <w:tabs>
        <w:tab w:val="right" w:pos="9628"/>
      </w:tabs>
      <w:ind w:left="567" w:hanging="567"/>
    </w:pPr>
    <w:rPr>
      <w:rFonts w:asciiTheme="majorHAnsi" w:hAnsiTheme="majorHAnsi"/>
    </w:rPr>
  </w:style>
  <w:style w:type="paragraph" w:styleId="TOC3">
    <w:name w:val="toc 3"/>
    <w:basedOn w:val="Normal"/>
    <w:next w:val="Normal"/>
    <w:uiPriority w:val="39"/>
    <w:semiHidden/>
    <w:rsid w:val="00D674A5"/>
    <w:pPr>
      <w:tabs>
        <w:tab w:val="right" w:pos="9628"/>
      </w:tabs>
      <w:spacing w:before="60"/>
      <w:ind w:left="284"/>
    </w:pPr>
  </w:style>
  <w:style w:type="paragraph" w:styleId="TOC4">
    <w:name w:val="toc 4"/>
    <w:basedOn w:val="Normal"/>
    <w:next w:val="Normal"/>
    <w:uiPriority w:val="39"/>
    <w:semiHidden/>
    <w:rsid w:val="00D674A5"/>
    <w:pPr>
      <w:tabs>
        <w:tab w:val="right" w:pos="9628"/>
      </w:tabs>
      <w:spacing w:before="60"/>
      <w:ind w:left="1135" w:hanging="851"/>
    </w:pPr>
  </w:style>
  <w:style w:type="paragraph" w:styleId="TOC5">
    <w:name w:val="toc 5"/>
    <w:basedOn w:val="Normal"/>
    <w:next w:val="Normal"/>
    <w:uiPriority w:val="39"/>
    <w:semiHidden/>
    <w:rsid w:val="00D674A5"/>
    <w:pPr>
      <w:tabs>
        <w:tab w:val="right" w:leader="underscore" w:pos="8165"/>
      </w:tabs>
      <w:spacing w:after="227"/>
      <w:ind w:right="851"/>
    </w:pPr>
    <w:rPr>
      <w:b/>
      <w:color w:val="9778B4" w:themeColor="text2"/>
    </w:rPr>
  </w:style>
  <w:style w:type="paragraph" w:styleId="TOC6">
    <w:name w:val="toc 6"/>
    <w:basedOn w:val="Normal"/>
    <w:next w:val="Normal"/>
    <w:uiPriority w:val="39"/>
    <w:semiHidden/>
    <w:rsid w:val="00D674A5"/>
    <w:pPr>
      <w:spacing w:after="100"/>
      <w:ind w:left="1000"/>
    </w:pPr>
  </w:style>
  <w:style w:type="paragraph" w:styleId="TOC7">
    <w:name w:val="toc 7"/>
    <w:basedOn w:val="Normal"/>
    <w:next w:val="Normal"/>
    <w:uiPriority w:val="39"/>
    <w:semiHidden/>
    <w:rsid w:val="00D674A5"/>
    <w:pPr>
      <w:spacing w:after="100"/>
      <w:ind w:left="1200"/>
    </w:pPr>
  </w:style>
  <w:style w:type="paragraph" w:styleId="TOC8">
    <w:name w:val="toc 8"/>
    <w:basedOn w:val="Normal"/>
    <w:next w:val="Normal"/>
    <w:uiPriority w:val="39"/>
    <w:semiHidden/>
    <w:rsid w:val="00D674A5"/>
    <w:pPr>
      <w:tabs>
        <w:tab w:val="right" w:leader="dot" w:pos="9582"/>
      </w:tabs>
      <w:spacing w:after="227"/>
      <w:ind w:right="907"/>
    </w:pPr>
    <w:rPr>
      <w:color w:val="9778B4" w:themeColor="text2"/>
    </w:rPr>
  </w:style>
  <w:style w:type="paragraph" w:styleId="TOCHeading">
    <w:name w:val="TOC Heading"/>
    <w:basedOn w:val="Heading1"/>
    <w:next w:val="Normal"/>
    <w:uiPriority w:val="39"/>
    <w:semiHidden/>
    <w:rsid w:val="00D674A5"/>
    <w:pPr>
      <w:outlineLvl w:val="9"/>
    </w:pPr>
  </w:style>
  <w:style w:type="character" w:styleId="Hyperlink">
    <w:name w:val="Hyperlink"/>
    <w:basedOn w:val="DefaultParagraphFont"/>
    <w:uiPriority w:val="99"/>
    <w:rsid w:val="00D674A5"/>
    <w:rPr>
      <w:color w:val="0070C0"/>
      <w:u w:val="single"/>
    </w:rPr>
  </w:style>
  <w:style w:type="paragraph" w:styleId="BalloonText">
    <w:name w:val="Balloon Text"/>
    <w:basedOn w:val="Normal"/>
    <w:link w:val="BalloonTextChar"/>
    <w:uiPriority w:val="99"/>
    <w:semiHidden/>
    <w:unhideWhenUsed/>
    <w:rsid w:val="00D674A5"/>
    <w:rPr>
      <w:rFonts w:ascii="Tahoma" w:hAnsi="Tahoma" w:cs="Tahoma"/>
      <w:sz w:val="16"/>
      <w:szCs w:val="16"/>
    </w:rPr>
  </w:style>
  <w:style w:type="character" w:customStyle="1" w:styleId="BalloonTextChar">
    <w:name w:val="Balloon Text Char"/>
    <w:basedOn w:val="DefaultParagraphFont"/>
    <w:link w:val="BalloonText"/>
    <w:uiPriority w:val="99"/>
    <w:semiHidden/>
    <w:rsid w:val="00D674A5"/>
    <w:rPr>
      <w:rFonts w:ascii="Tahoma" w:hAnsi="Tahoma" w:cs="Tahoma"/>
      <w:spacing w:val="-1"/>
      <w:sz w:val="16"/>
      <w:szCs w:val="16"/>
    </w:rPr>
  </w:style>
  <w:style w:type="paragraph" w:styleId="TableofFigures">
    <w:name w:val="table of figures"/>
    <w:basedOn w:val="Normal"/>
    <w:next w:val="Normal"/>
    <w:uiPriority w:val="99"/>
    <w:semiHidden/>
    <w:rsid w:val="00D674A5"/>
    <w:pPr>
      <w:tabs>
        <w:tab w:val="right" w:leader="underscore" w:pos="8165"/>
      </w:tabs>
      <w:spacing w:after="80"/>
      <w:ind w:right="851"/>
    </w:pPr>
  </w:style>
  <w:style w:type="table" w:styleId="LightGrid-Accent6">
    <w:name w:val="Light Grid Accent 6"/>
    <w:basedOn w:val="TableNormal"/>
    <w:uiPriority w:val="62"/>
    <w:unhideWhenUsed/>
    <w:rsid w:val="00D674A5"/>
    <w:pPr>
      <w:spacing w:before="0" w:after="0"/>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18" w:space="0" w:color="788183" w:themeColor="accent6"/>
          <w:right w:val="single" w:sz="8" w:space="0" w:color="788183" w:themeColor="accent6"/>
          <w:insideH w:val="nil"/>
          <w:insideV w:val="single" w:sz="8" w:space="0" w:color="78818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insideH w:val="nil"/>
          <w:insideV w:val="single" w:sz="8" w:space="0" w:color="78818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shd w:val="clear" w:color="auto" w:fill="DDDFE0" w:themeFill="accent6" w:themeFillTint="3F"/>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shd w:val="clear" w:color="auto" w:fill="DDDFE0" w:themeFill="accent6" w:themeFillTint="3F"/>
      </w:tcPr>
    </w:tblStylePr>
    <w:tblStylePr w:type="band2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tcPr>
    </w:tblStylePr>
  </w:style>
  <w:style w:type="table" w:styleId="LightGrid-Accent3">
    <w:name w:val="Light Grid Accent 3"/>
    <w:basedOn w:val="TableNormal"/>
    <w:uiPriority w:val="62"/>
    <w:rsid w:val="008112CC"/>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18" w:space="0" w:color="F1873D" w:themeColor="accent3"/>
          <w:right w:val="single" w:sz="8" w:space="0" w:color="F1873D" w:themeColor="accent3"/>
          <w:insideH w:val="nil"/>
          <w:insideV w:val="single" w:sz="8" w:space="0" w:color="F1873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insideH w:val="nil"/>
          <w:insideV w:val="single" w:sz="8" w:space="0" w:color="F1873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shd w:val="clear" w:color="auto" w:fill="FBE1CE" w:themeFill="accent3" w:themeFillTint="3F"/>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shd w:val="clear" w:color="auto" w:fill="FBE1CE" w:themeFill="accent3" w:themeFillTint="3F"/>
      </w:tcPr>
    </w:tblStylePr>
    <w:tblStylePr w:type="band2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tcPr>
    </w:tblStylePr>
  </w:style>
  <w:style w:type="character" w:styleId="FollowedHyperlink">
    <w:name w:val="FollowedHyperlink"/>
    <w:basedOn w:val="DefaultParagraphFont"/>
    <w:uiPriority w:val="99"/>
    <w:semiHidden/>
    <w:rsid w:val="00D674A5"/>
    <w:rPr>
      <w:color w:val="0070C0"/>
      <w:u w:val="single"/>
    </w:rPr>
  </w:style>
  <w:style w:type="paragraph" w:styleId="Bibliography">
    <w:name w:val="Bibliography"/>
    <w:basedOn w:val="Normal"/>
    <w:next w:val="Normal"/>
    <w:uiPriority w:val="39"/>
    <w:unhideWhenUsed/>
    <w:rsid w:val="00DF2134"/>
  </w:style>
  <w:style w:type="character" w:styleId="CommentReference">
    <w:name w:val="annotation reference"/>
    <w:basedOn w:val="DefaultParagraphFont"/>
    <w:uiPriority w:val="99"/>
    <w:semiHidden/>
    <w:unhideWhenUsed/>
    <w:rsid w:val="00D674A5"/>
    <w:rPr>
      <w:sz w:val="16"/>
      <w:szCs w:val="16"/>
    </w:rPr>
  </w:style>
  <w:style w:type="paragraph" w:styleId="CommentText">
    <w:name w:val="annotation text"/>
    <w:basedOn w:val="Normal"/>
    <w:link w:val="CommentTextChar"/>
    <w:uiPriority w:val="99"/>
    <w:unhideWhenUsed/>
    <w:rsid w:val="00D674A5"/>
    <w:pPr>
      <w:spacing w:after="114"/>
    </w:pPr>
    <w:rPr>
      <w:sz w:val="20"/>
      <w:szCs w:val="20"/>
    </w:rPr>
  </w:style>
  <w:style w:type="character" w:customStyle="1" w:styleId="CommentTextChar">
    <w:name w:val="Comment Text Char"/>
    <w:basedOn w:val="DefaultParagraphFont"/>
    <w:link w:val="CommentText"/>
    <w:uiPriority w:val="99"/>
    <w:rsid w:val="00D674A5"/>
    <w:rPr>
      <w:spacing w:val="-1"/>
      <w:sz w:val="20"/>
      <w:szCs w:val="20"/>
    </w:rPr>
  </w:style>
  <w:style w:type="paragraph" w:styleId="CommentSubject">
    <w:name w:val="annotation subject"/>
    <w:basedOn w:val="CommentText"/>
    <w:next w:val="CommentText"/>
    <w:link w:val="CommentSubjectChar"/>
    <w:uiPriority w:val="99"/>
    <w:semiHidden/>
    <w:unhideWhenUsed/>
    <w:rsid w:val="009758AE"/>
    <w:rPr>
      <w:b/>
      <w:bCs/>
    </w:rPr>
  </w:style>
  <w:style w:type="character" w:customStyle="1" w:styleId="CommentSubjectChar">
    <w:name w:val="Comment Subject Char"/>
    <w:basedOn w:val="CommentTextChar"/>
    <w:link w:val="CommentSubject"/>
    <w:uiPriority w:val="99"/>
    <w:semiHidden/>
    <w:rsid w:val="004B6C2D"/>
    <w:rPr>
      <w:b/>
      <w:bCs/>
      <w:spacing w:val="-1"/>
      <w:sz w:val="20"/>
      <w:szCs w:val="20"/>
    </w:rPr>
  </w:style>
  <w:style w:type="paragraph" w:styleId="Revision">
    <w:name w:val="Revision"/>
    <w:hidden/>
    <w:uiPriority w:val="99"/>
    <w:semiHidden/>
    <w:rsid w:val="00EE3226"/>
  </w:style>
  <w:style w:type="character" w:customStyle="1" w:styleId="SecurityClassification">
    <w:name w:val="Security Classification"/>
    <w:basedOn w:val="DefaultParagraphFont"/>
    <w:uiPriority w:val="99"/>
    <w:semiHidden/>
    <w:qFormat/>
    <w:rsid w:val="00D674A5"/>
    <w:rPr>
      <w:rFonts w:ascii="Calibri" w:hAnsi="Calibri"/>
      <w:b/>
      <w:caps w:val="0"/>
      <w:smallCaps w:val="0"/>
      <w:color w:val="FF0000"/>
      <w:sz w:val="36"/>
      <w:szCs w:val="36"/>
    </w:rPr>
  </w:style>
  <w:style w:type="numbering" w:customStyle="1" w:styleId="FigureNumbers">
    <w:name w:val="Figure Numbers"/>
    <w:uiPriority w:val="99"/>
    <w:rsid w:val="00D674A5"/>
    <w:pPr>
      <w:numPr>
        <w:numId w:val="22"/>
      </w:numPr>
    </w:pPr>
  </w:style>
  <w:style w:type="numbering" w:customStyle="1" w:styleId="KCBullets">
    <w:name w:val="KC Bullets"/>
    <w:uiPriority w:val="99"/>
    <w:rsid w:val="00D674A5"/>
    <w:pPr>
      <w:numPr>
        <w:numId w:val="28"/>
      </w:numPr>
    </w:pPr>
  </w:style>
  <w:style w:type="table" w:customStyle="1" w:styleId="PBOTable3-Financials">
    <w:name w:val="PBO Table 3 - Financials"/>
    <w:basedOn w:val="TableNormal"/>
    <w:uiPriority w:val="99"/>
    <w:rsid w:val="00851579"/>
    <w:pPr>
      <w:spacing w:before="70" w:after="70" w:line="260" w:lineRule="atLeast"/>
    </w:pPr>
    <w:tblPr>
      <w:tblStyleRowBandSize w:val="1"/>
      <w:tblStyleColBandSize w:val="1"/>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CellMar>
        <w:left w:w="57" w:type="dxa"/>
        <w:right w:w="57" w:type="dxa"/>
      </w:tblCellMar>
    </w:tblPr>
    <w:tblStylePr w:type="firstRow">
      <w:pPr>
        <w:jc w:val="left"/>
      </w:pPr>
      <w:rPr>
        <w:sz w:val="16"/>
      </w:rPr>
      <w:tblPr/>
      <w:tcPr>
        <w:shd w:val="clear" w:color="auto" w:fill="A7B2D4" w:themeFill="background2" w:themeFillTint="66"/>
        <w:vAlign w:val="center"/>
      </w:tcPr>
    </w:tblStylePr>
    <w:tblStylePr w:type="lastRow">
      <w:tblPr/>
      <w:tcPr>
        <w:shd w:val="clear" w:color="auto" w:fill="A7B2D4" w:themeFill="background2" w:themeFillTint="66"/>
      </w:tcPr>
    </w:tblStylePr>
    <w:tblStylePr w:type="firstCol">
      <w:tblPr/>
      <w:tcPr>
        <w:shd w:val="clear" w:color="auto" w:fill="A7B2D4" w:themeFill="background2" w:themeFillTint="66"/>
      </w:tcPr>
    </w:tblStylePr>
    <w:tblStylePr w:type="lastCol">
      <w:tblPr/>
      <w:tcPr>
        <w:shd w:val="clear" w:color="auto" w:fill="A7B2D4" w:themeFill="background2" w:themeFillTint="66"/>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PBOTable1-9pt">
    <w:name w:val="PBO Table 1 - 9pt"/>
    <w:basedOn w:val="PBOTable3-Financials"/>
    <w:uiPriority w:val="99"/>
    <w:rsid w:val="00BB0B01"/>
    <w:pPr>
      <w:spacing w:before="0" w:after="0"/>
    </w:pPr>
    <w:rPr>
      <w:sz w:val="18"/>
    </w:rPr>
    <w:tblPr>
      <w:tblBorders>
        <w:top w:val="single" w:sz="8" w:space="0" w:color="7C8CBF" w:themeColor="background2" w:themeTint="99"/>
        <w:left w:val="single" w:sz="8" w:space="0" w:color="7C8CBF" w:themeColor="background2" w:themeTint="99"/>
        <w:bottom w:val="single" w:sz="8" w:space="0" w:color="7C8CBF" w:themeColor="background2" w:themeTint="99"/>
        <w:right w:val="single" w:sz="8" w:space="0" w:color="7C8CBF" w:themeColor="background2" w:themeTint="99"/>
        <w:insideH w:val="single" w:sz="8" w:space="0" w:color="7C8CBF" w:themeColor="background2" w:themeTint="99"/>
        <w:insideV w:val="single" w:sz="8" w:space="0" w:color="7C8CBF" w:themeColor="background2" w:themeTint="99"/>
      </w:tblBorders>
      <w:tblCellMar>
        <w:top w:w="57" w:type="dxa"/>
        <w:left w:w="113" w:type="dxa"/>
        <w:bottom w:w="57" w:type="dxa"/>
        <w:right w:w="113" w:type="dxa"/>
      </w:tblCellMar>
    </w:tblPr>
    <w:tblStylePr w:type="firstRow">
      <w:pPr>
        <w:jc w:val="left"/>
      </w:pPr>
      <w:rPr>
        <w:b/>
        <w:color w:val="FFFFFF" w:themeColor="background1"/>
        <w:sz w:val="18"/>
      </w:rPr>
      <w:tblPr/>
      <w:tcPr>
        <w:shd w:val="clear" w:color="auto" w:fill="3D4D7D" w:themeFill="background2"/>
        <w:vAlign w:val="center"/>
      </w:tcPr>
    </w:tblStylePr>
    <w:tblStylePr w:type="lastRow">
      <w:tblPr/>
      <w:tcPr>
        <w:shd w:val="clear" w:color="auto" w:fill="A7B2D4" w:themeFill="background2" w:themeFillTint="66"/>
      </w:tcPr>
    </w:tblStylePr>
    <w:tblStylePr w:type="firstCol">
      <w:tblPr/>
      <w:tcPr>
        <w:shd w:val="clear" w:color="auto" w:fill="A7B2D4" w:themeFill="background2" w:themeFillTint="66"/>
      </w:tcPr>
    </w:tblStylePr>
    <w:tblStylePr w:type="lastCol">
      <w:tblPr/>
      <w:tcPr>
        <w:shd w:val="clear" w:color="auto" w:fill="A7B2D4" w:themeFill="background2" w:themeFillTint="66"/>
      </w:tcPr>
    </w:tblStylePr>
    <w:tblStylePr w:type="band1Vert">
      <w:tblPr/>
      <w:tcPr>
        <w:shd w:val="clear" w:color="auto" w:fill="FFFFFF" w:themeFill="background1"/>
      </w:tcPr>
    </w:tblStylePr>
    <w:tblStylePr w:type="band2Vert">
      <w:tblPr/>
      <w:tcPr>
        <w:shd w:val="clear" w:color="auto" w:fill="D3D8E9" w:themeFill="background2" w:themeFillTint="33"/>
      </w:tcPr>
    </w:tblStylePr>
    <w:tblStylePr w:type="band1Horz">
      <w:tblPr/>
      <w:tcPr>
        <w:shd w:val="clear" w:color="auto" w:fill="FFFFFF" w:themeFill="background1"/>
      </w:tcPr>
    </w:tblStylePr>
    <w:tblStylePr w:type="band2Horz">
      <w:tblPr/>
      <w:tcPr>
        <w:shd w:val="clear" w:color="auto" w:fill="D3D8E9" w:themeFill="background2" w:themeFillTint="33"/>
      </w:tcPr>
    </w:tblStylePr>
  </w:style>
  <w:style w:type="table" w:customStyle="1" w:styleId="PBOTable2-11pt">
    <w:name w:val="PBO Table 2 - 11pt"/>
    <w:basedOn w:val="PBOTable3-Financials"/>
    <w:uiPriority w:val="99"/>
    <w:rsid w:val="002559FB"/>
    <w:tblPr/>
    <w:tblStylePr w:type="firstRow">
      <w:pPr>
        <w:jc w:val="left"/>
      </w:pPr>
      <w:rPr>
        <w:sz w:val="22"/>
      </w:rPr>
      <w:tblPr/>
      <w:tcPr>
        <w:shd w:val="clear" w:color="auto" w:fill="A7B2D4" w:themeFill="background2" w:themeFillTint="66"/>
        <w:vAlign w:val="center"/>
      </w:tcPr>
    </w:tblStylePr>
    <w:tblStylePr w:type="lastRow">
      <w:tblPr/>
      <w:tcPr>
        <w:shd w:val="clear" w:color="auto" w:fill="A7B2D4" w:themeFill="background2" w:themeFillTint="66"/>
      </w:tcPr>
    </w:tblStylePr>
    <w:tblStylePr w:type="firstCol">
      <w:tblPr/>
      <w:tcPr>
        <w:shd w:val="clear" w:color="auto" w:fill="A7B2D4" w:themeFill="background2" w:themeFillTint="66"/>
      </w:tcPr>
    </w:tblStylePr>
    <w:tblStylePr w:type="lastCol">
      <w:tblPr/>
      <w:tcPr>
        <w:shd w:val="clear" w:color="auto" w:fill="A7B2D4" w:themeFill="background2" w:themeFillTint="66"/>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PullOut">
    <w:name w:val="Pull Out"/>
    <w:basedOn w:val="Normal"/>
    <w:uiPriority w:val="22"/>
    <w:qFormat/>
    <w:rsid w:val="00D674A5"/>
    <w:pPr>
      <w:spacing w:line="340" w:lineRule="atLeast"/>
    </w:pPr>
    <w:rPr>
      <w:color w:val="9778B4" w:themeColor="text2"/>
      <w:spacing w:val="0"/>
      <w:sz w:val="24"/>
      <w:szCs w:val="20"/>
    </w:rPr>
  </w:style>
  <w:style w:type="numbering" w:customStyle="1" w:styleId="TableNumbers">
    <w:name w:val="Table Numbers"/>
    <w:uiPriority w:val="99"/>
    <w:rsid w:val="00D674A5"/>
    <w:pPr>
      <w:numPr>
        <w:numId w:val="37"/>
      </w:numPr>
    </w:pPr>
  </w:style>
  <w:style w:type="paragraph" w:customStyle="1" w:styleId="PBOheader">
    <w:name w:val="PBO header"/>
    <w:basedOn w:val="Header"/>
    <w:uiPriority w:val="39"/>
    <w:rsid w:val="00935F04"/>
    <w:pPr>
      <w:tabs>
        <w:tab w:val="clear" w:pos="4513"/>
        <w:tab w:val="clear" w:pos="9026"/>
      </w:tabs>
      <w:spacing w:before="1320" w:after="114" w:line="240" w:lineRule="auto"/>
      <w:ind w:left="6521"/>
    </w:pPr>
    <w:rPr>
      <w:rFonts w:ascii="Arial" w:hAnsi="Arial" w:cs="Arial"/>
      <w:b/>
      <w:color w:val="auto"/>
      <w:spacing w:val="0"/>
      <w:sz w:val="18"/>
      <w:szCs w:val="18"/>
    </w:rPr>
  </w:style>
  <w:style w:type="paragraph" w:customStyle="1" w:styleId="Lettertext">
    <w:name w:val="Letter text"/>
    <w:basedOn w:val="BodyText"/>
    <w:qFormat/>
    <w:rsid w:val="00935F04"/>
    <w:pPr>
      <w:spacing w:before="240" w:after="0"/>
    </w:pPr>
    <w:rPr>
      <w:rFonts w:ascii="Calibri" w:hAnsi="Calibri" w:cs="Times New Roman"/>
      <w:color w:val="auto"/>
      <w:spacing w:val="0"/>
    </w:rPr>
  </w:style>
  <w:style w:type="paragraph" w:styleId="BodyText">
    <w:name w:val="Body Text"/>
    <w:basedOn w:val="Normal"/>
    <w:link w:val="BodyTextChar"/>
    <w:uiPriority w:val="5"/>
    <w:unhideWhenUsed/>
    <w:qFormat/>
    <w:rsid w:val="00935F04"/>
  </w:style>
  <w:style w:type="character" w:customStyle="1" w:styleId="BodyTextChar">
    <w:name w:val="Body Text Char"/>
    <w:basedOn w:val="DefaultParagraphFont"/>
    <w:link w:val="BodyText"/>
    <w:uiPriority w:val="5"/>
    <w:rsid w:val="00935F04"/>
    <w:rPr>
      <w:spacing w:val="-1"/>
    </w:rPr>
  </w:style>
  <w:style w:type="paragraph" w:customStyle="1" w:styleId="TableFootnotes">
    <w:name w:val="Table Footnotes"/>
    <w:basedOn w:val="Normal"/>
    <w:uiPriority w:val="22"/>
    <w:qFormat/>
    <w:rsid w:val="00C000C6"/>
    <w:pPr>
      <w:keepLines/>
      <w:numPr>
        <w:numId w:val="42"/>
      </w:numPr>
      <w:spacing w:before="0" w:line="260" w:lineRule="atLeast"/>
    </w:pPr>
    <w:rPr>
      <w:color w:val="auto"/>
      <w:spacing w:val="0"/>
      <w:sz w:val="20"/>
    </w:rPr>
  </w:style>
  <w:style w:type="paragraph" w:customStyle="1" w:styleId="TableHeading">
    <w:name w:val="Table Heading"/>
    <w:basedOn w:val="Normal"/>
    <w:uiPriority w:val="14"/>
    <w:qFormat/>
    <w:rsid w:val="00C000C6"/>
    <w:pPr>
      <w:keepNext/>
      <w:keepLines/>
      <w:spacing w:before="70" w:after="70" w:line="260" w:lineRule="atLeast"/>
      <w:ind w:left="57" w:right="57"/>
    </w:pPr>
    <w:rPr>
      <w:rFonts w:ascii="Calibri" w:hAnsi="Calibri" w:cs="Times New Roman"/>
      <w:b/>
      <w:color w:val="auto"/>
      <w:spacing w:val="0"/>
      <w:sz w:val="20"/>
    </w:rPr>
  </w:style>
  <w:style w:type="paragraph" w:customStyle="1" w:styleId="TableHeadingRight">
    <w:name w:val="Table Heading Right"/>
    <w:basedOn w:val="TableHeading"/>
    <w:uiPriority w:val="16"/>
    <w:qFormat/>
    <w:rsid w:val="00C000C6"/>
    <w:pPr>
      <w:jc w:val="right"/>
    </w:pPr>
  </w:style>
  <w:style w:type="paragraph" w:customStyle="1" w:styleId="TableTextRight">
    <w:name w:val="Table Text Right"/>
    <w:basedOn w:val="Normal"/>
    <w:uiPriority w:val="19"/>
    <w:qFormat/>
    <w:rsid w:val="00C000C6"/>
    <w:pPr>
      <w:spacing w:before="70" w:after="70" w:line="260" w:lineRule="atLeast"/>
      <w:ind w:left="57" w:right="57"/>
      <w:jc w:val="right"/>
    </w:pPr>
    <w:rPr>
      <w:rFonts w:ascii="Calibri" w:hAnsi="Calibri" w:cs="Times New Roman"/>
      <w:color w:val="auto"/>
      <w:spacing w:val="0"/>
      <w:sz w:val="20"/>
    </w:rPr>
  </w:style>
  <w:style w:type="paragraph" w:customStyle="1" w:styleId="TableTextRightBold">
    <w:name w:val="Table Text Right Bold"/>
    <w:basedOn w:val="TableTextRight"/>
    <w:uiPriority w:val="20"/>
    <w:qFormat/>
    <w:rsid w:val="00C000C6"/>
    <w:rPr>
      <w:b/>
    </w:rPr>
  </w:style>
  <w:style w:type="paragraph" w:styleId="ListParagraph">
    <w:name w:val="List Paragraph"/>
    <w:basedOn w:val="Normal"/>
    <w:uiPriority w:val="39"/>
    <w:semiHidden/>
    <w:rsid w:val="00C000C6"/>
    <w:pPr>
      <w:ind w:left="720"/>
      <w:contextualSpacing/>
    </w:pPr>
  </w:style>
  <w:style w:type="paragraph" w:customStyle="1" w:styleId="TableText">
    <w:name w:val="Table Text"/>
    <w:basedOn w:val="Normal"/>
    <w:uiPriority w:val="17"/>
    <w:qFormat/>
    <w:rsid w:val="000B70EC"/>
    <w:pPr>
      <w:spacing w:before="70" w:after="70" w:line="260" w:lineRule="atLeast"/>
      <w:ind w:left="57" w:right="57"/>
    </w:pPr>
    <w:rPr>
      <w:rFonts w:ascii="Calibri" w:hAnsi="Calibri" w:cs="Times New Roman"/>
      <w:color w:val="auto"/>
      <w:spacing w:val="0"/>
      <w:sz w:val="20"/>
    </w:rPr>
  </w:style>
  <w:style w:type="paragraph" w:customStyle="1" w:styleId="TableTextRightItalic">
    <w:name w:val="Table Text Right Italic"/>
    <w:basedOn w:val="TableTextRight"/>
    <w:uiPriority w:val="21"/>
    <w:qFormat/>
    <w:rsid w:val="000B70EC"/>
    <w:rPr>
      <w:i/>
    </w:rPr>
  </w:style>
  <w:style w:type="paragraph" w:customStyle="1" w:styleId="PRRfootnote1">
    <w:name w:val="PRR footnote 1"/>
    <w:basedOn w:val="Normal"/>
    <w:link w:val="PRRfootnote1Char"/>
    <w:qFormat/>
    <w:rsid w:val="003049B5"/>
    <w:pPr>
      <w:keepNext/>
      <w:keepLines/>
      <w:spacing w:before="0" w:after="0" w:line="240" w:lineRule="auto"/>
      <w:ind w:left="284" w:hanging="284"/>
    </w:pPr>
    <w:rPr>
      <w:sz w:val="20"/>
      <w:szCs w:val="20"/>
    </w:rPr>
  </w:style>
  <w:style w:type="character" w:customStyle="1" w:styleId="PRRfootnote1Char">
    <w:name w:val="PRR footnote 1 Char"/>
    <w:basedOn w:val="DefaultParagraphFont"/>
    <w:link w:val="PRRfootnote1"/>
    <w:rsid w:val="003049B5"/>
    <w:rPr>
      <w:spacing w:val="-1"/>
      <w:sz w:val="20"/>
      <w:szCs w:val="20"/>
    </w:rPr>
  </w:style>
  <w:style w:type="paragraph" w:customStyle="1" w:styleId="PRRfootnote2">
    <w:name w:val="PRR footnote 2"/>
    <w:basedOn w:val="PRRfootnote1"/>
    <w:link w:val="PRRfootnote2Char"/>
    <w:qFormat/>
    <w:rsid w:val="003049B5"/>
    <w:pPr>
      <w:spacing w:line="260" w:lineRule="atLeast"/>
    </w:pPr>
    <w:rPr>
      <w:sz w:val="16"/>
      <w:szCs w:val="16"/>
    </w:rPr>
  </w:style>
  <w:style w:type="character" w:customStyle="1" w:styleId="PRRfootnote2Char">
    <w:name w:val="PRR footnote 2 Char"/>
    <w:basedOn w:val="PRRfootnote1Char"/>
    <w:link w:val="PRRfootnote2"/>
    <w:rsid w:val="003049B5"/>
    <w:rPr>
      <w:spacing w:val="-1"/>
      <w:sz w:val="16"/>
      <w:szCs w:val="16"/>
    </w:rPr>
  </w:style>
  <w:style w:type="table" w:customStyle="1" w:styleId="TableAsPlaceholder">
    <w:name w:val="Table As Placeholder"/>
    <w:basedOn w:val="TableNormal"/>
    <w:uiPriority w:val="99"/>
    <w:qFormat/>
    <w:rsid w:val="002E1EA9"/>
    <w:pPr>
      <w:spacing w:before="0" w:after="0" w:line="300" w:lineRule="atLeast"/>
    </w:pPr>
    <w:rPr>
      <w:rFonts w:eastAsia="Times New Roman" w:cs="Arial"/>
      <w:color w:val="auto"/>
      <w:lang w:eastAsia="en-AU"/>
    </w:rPr>
    <w:tblPr>
      <w:tblCellMar>
        <w:left w:w="0" w:type="dxa"/>
        <w:right w:w="0" w:type="dxa"/>
      </w:tblCellMar>
    </w:tblPr>
  </w:style>
  <w:style w:type="character" w:styleId="Mention">
    <w:name w:val="Mention"/>
    <w:basedOn w:val="DefaultParagraphFont"/>
    <w:uiPriority w:val="99"/>
    <w:unhideWhenUsed/>
    <w:rsid w:val="00D12FEC"/>
    <w:rPr>
      <w:color w:val="2B579A"/>
      <w:shd w:val="clear" w:color="auto" w:fill="E1DFDD"/>
    </w:rPr>
  </w:style>
  <w:style w:type="character" w:styleId="UnresolvedMention">
    <w:name w:val="Unresolved Mention"/>
    <w:basedOn w:val="DefaultParagraphFont"/>
    <w:uiPriority w:val="99"/>
    <w:semiHidden/>
    <w:unhideWhenUsed/>
    <w:rsid w:val="00092E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234839">
      <w:bodyDiv w:val="1"/>
      <w:marLeft w:val="0"/>
      <w:marRight w:val="0"/>
      <w:marTop w:val="0"/>
      <w:marBottom w:val="0"/>
      <w:divBdr>
        <w:top w:val="none" w:sz="0" w:space="0" w:color="auto"/>
        <w:left w:val="none" w:sz="0" w:space="0" w:color="auto"/>
        <w:bottom w:val="none" w:sz="0" w:space="0" w:color="auto"/>
        <w:right w:val="none" w:sz="0" w:space="0" w:color="auto"/>
      </w:divBdr>
    </w:div>
    <w:div w:id="450705970">
      <w:bodyDiv w:val="1"/>
      <w:marLeft w:val="0"/>
      <w:marRight w:val="0"/>
      <w:marTop w:val="0"/>
      <w:marBottom w:val="0"/>
      <w:divBdr>
        <w:top w:val="none" w:sz="0" w:space="0" w:color="auto"/>
        <w:left w:val="none" w:sz="0" w:space="0" w:color="auto"/>
        <w:bottom w:val="none" w:sz="0" w:space="0" w:color="auto"/>
        <w:right w:val="none" w:sz="0" w:space="0" w:color="auto"/>
      </w:divBdr>
    </w:div>
    <w:div w:id="1382709790">
      <w:bodyDiv w:val="1"/>
      <w:marLeft w:val="0"/>
      <w:marRight w:val="0"/>
      <w:marTop w:val="0"/>
      <w:marBottom w:val="0"/>
      <w:divBdr>
        <w:top w:val="none" w:sz="0" w:space="0" w:color="auto"/>
        <w:left w:val="none" w:sz="0" w:space="0" w:color="auto"/>
        <w:bottom w:val="none" w:sz="0" w:space="0" w:color="auto"/>
        <w:right w:val="none" w:sz="0" w:space="0" w:color="auto"/>
      </w:divBdr>
    </w:div>
    <w:div w:id="2042436893">
      <w:bodyDiv w:val="1"/>
      <w:marLeft w:val="0"/>
      <w:marRight w:val="0"/>
      <w:marTop w:val="0"/>
      <w:marBottom w:val="0"/>
      <w:divBdr>
        <w:top w:val="none" w:sz="0" w:space="0" w:color="auto"/>
        <w:left w:val="none" w:sz="0" w:space="0" w:color="auto"/>
        <w:bottom w:val="none" w:sz="0" w:space="0" w:color="auto"/>
        <w:right w:val="none" w:sz="0" w:space="0" w:color="auto"/>
      </w:divBdr>
    </w:div>
    <w:div w:id="2100788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2.wmf"/><Relationship Id="rId3" Type="http://schemas.openxmlformats.org/officeDocument/2006/relationships/customXml" Target="../customXml/item3.xml"/><Relationship Id="rId21" Type="http://schemas.openxmlformats.org/officeDocument/2006/relationships/package" Target="embeddings/Microsoft_Excel_Worksheet1.xlsx"/><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package" Target="embeddings/Microsoft_Excel_Worksheet.xls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s>
</file>

<file path=word/_rels/footnotes.xml.rels><?xml version="1.0" encoding="UTF-8" standalone="yes"?>
<Relationships xmlns="http://schemas.openxmlformats.org/package/2006/relationships"><Relationship Id="rId2" Type="http://schemas.openxmlformats.org/officeDocument/2006/relationships/hyperlink" Target="https://www.aph.gov.au/About_Parliament/Parliamentary_Departments/Parliamentary_Budget_Office/Online_Budget_Glossary" TargetMode="External"/><Relationship Id="rId1" Type="http://schemas.openxmlformats.org/officeDocument/2006/relationships/hyperlink" Target="https://www.aph.gov.au/About_Parliament/Parliamentary_Departments/Parliamentary_Budget_Office/Costings_and_budget_informatio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pboprotected.sharepoint.com/Office%20Templates/1%20PR%20%20IR/PRR%20-%20costing%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D3B48C8FEC74A37958480157080F774"/>
        <w:category>
          <w:name w:val="General"/>
          <w:gallery w:val="placeholder"/>
        </w:category>
        <w:types>
          <w:type w:val="bbPlcHdr"/>
        </w:types>
        <w:behaviors>
          <w:behavior w:val="content"/>
        </w:behaviors>
        <w:guid w:val="{C7E1E7E5-C763-4EF7-8AF1-F6C27E780BA1}"/>
      </w:docPartPr>
      <w:docPartBody>
        <w:p w:rsidR="007034EB" w:rsidRDefault="007034EB">
          <w:pPr>
            <w:pStyle w:val="CD3B48C8FEC74A37958480157080F774"/>
          </w:pPr>
          <w:r w:rsidRPr="004F5F28">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4EB"/>
    <w:rsid w:val="00140AD8"/>
    <w:rsid w:val="001D2908"/>
    <w:rsid w:val="00443106"/>
    <w:rsid w:val="004441F2"/>
    <w:rsid w:val="00625B99"/>
    <w:rsid w:val="007034EB"/>
    <w:rsid w:val="00795E9E"/>
    <w:rsid w:val="007F4174"/>
    <w:rsid w:val="00806F44"/>
    <w:rsid w:val="008A3931"/>
    <w:rsid w:val="00C84BDF"/>
    <w:rsid w:val="00D93832"/>
    <w:rsid w:val="00DD6257"/>
    <w:rsid w:val="00EB6E7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B6E7A"/>
    <w:rPr>
      <w:color w:val="808080"/>
    </w:rPr>
  </w:style>
  <w:style w:type="paragraph" w:customStyle="1" w:styleId="CD3B48C8FEC74A37958480157080F774">
    <w:name w:val="CD3B48C8FEC74A37958480157080F7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PBO 2021">
      <a:dk1>
        <a:srgbClr val="000000"/>
      </a:dk1>
      <a:lt1>
        <a:srgbClr val="FFFFFF"/>
      </a:lt1>
      <a:dk2>
        <a:srgbClr val="9778B4"/>
      </a:dk2>
      <a:lt2>
        <a:srgbClr val="3D4D7D"/>
      </a:lt2>
      <a:accent1>
        <a:srgbClr val="8D487F"/>
      </a:accent1>
      <a:accent2>
        <a:srgbClr val="C64E45"/>
      </a:accent2>
      <a:accent3>
        <a:srgbClr val="F1873D"/>
      </a:accent3>
      <a:accent4>
        <a:srgbClr val="FCC648"/>
      </a:accent4>
      <a:accent5>
        <a:srgbClr val="86BE57"/>
      </a:accent5>
      <a:accent6>
        <a:srgbClr val="788183"/>
      </a:accent6>
      <a:hlink>
        <a:srgbClr val="005AFF"/>
      </a:hlink>
      <a:folHlink>
        <a:srgbClr val="005AFF"/>
      </a:folHlink>
    </a:clrScheme>
    <a:fontScheme name="PBO 2021">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b:Source>
    <b:Tag>Com17</b:Tag>
    <b:SourceType>Report</b:SourceType>
    <b:Guid>{5D22630B-20D5-45CA-BA98-CA8033D5E870}</b:Guid>
    <b:Author>
      <b:Author>
        <b:Corporate>Commonwealth of Australia</b:Corporate>
      </b:Author>
    </b:Author>
    <b:Title>2017-18 Budget</b:Title>
    <b:Year>2017</b:Year>
    <b:Publisher>Commonwealth of Australia</b:Publisher>
    <b:City>Canberra</b:City>
    <b:RefOrder>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_dlc_DocId xmlns="ad8e907a-e1a6-4b76-8caa-2c3a6e0bcaac">PRQ-151418482-3845</_dlc_DocId>
    <_dlc_DocIdUrl xmlns="ad8e907a-e1a6-4b76-8caa-2c3a6e0bcaac">
      <Url>https://pboprotected.sharepoint.com/sites/PRQHub/_layouts/15/DocIdRedir.aspx?ID=PRQ-151418482-3845</Url>
      <Description>PRQ-151418482-3845</Description>
    </_dlc_DocIdUrl>
    <PR_x0020_ID xmlns="ad8e907a-e1a6-4b76-8caa-2c3a6e0bcaac">PR-2022-110</PR_x0020_ID>
    <n5dfb72b69c24bd0be10e5c7f2c63979 xmlns="392fc61f-e94e-493b-9859-a48021fe120e">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a82e5e6b-4124-495e-bcdc-32042f6b6fbc</TermId>
        </TermInfo>
      </Terms>
    </n5dfb72b69c24bd0be10e5c7f2c63979>
    <_ip_UnifiedCompliancePolicyUIAction xmlns="http://schemas.microsoft.com/sharepoint/v3" xsi:nil="true"/>
    <IconOverlay xmlns="http://schemas.microsoft.com/sharepoint/v4" xsi:nil="true"/>
    <_ip_UnifiedCompliancePolicyProperties xmlns="http://schemas.microsoft.com/sharepoint/v3" xsi:nil="true"/>
    <TaxCatchAll xmlns="ad8e907a-e1a6-4b76-8caa-2c3a6e0bcaac">
      <Value>3</Value>
    </TaxCatchAll>
    <lcf76f155ced4ddcb4097134ff3c332f xmlns="392fc61f-e94e-493b-9859-a48021fe120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C8215EFC147243408AAD18E5E049EEF9" ma:contentTypeVersion="20" ma:contentTypeDescription="Create a new document." ma:contentTypeScope="" ma:versionID="89761aecb10e27309c99359fe0f2d97d">
  <xsd:schema xmlns:xsd="http://www.w3.org/2001/XMLSchema" xmlns:xs="http://www.w3.org/2001/XMLSchema" xmlns:p="http://schemas.microsoft.com/office/2006/metadata/properties" xmlns:ns1="http://schemas.microsoft.com/sharepoint/v3" xmlns:ns2="ad8e907a-e1a6-4b76-8caa-2c3a6e0bcaac" xmlns:ns3="392fc61f-e94e-493b-9859-a48021fe120e" xmlns:ns4="http://schemas.microsoft.com/sharepoint/v4" targetNamespace="http://schemas.microsoft.com/office/2006/metadata/properties" ma:root="true" ma:fieldsID="fd4c61aca97ce3e663bc729f58972285" ns1:_="" ns2:_="" ns3:_="" ns4:_="">
    <xsd:import namespace="http://schemas.microsoft.com/sharepoint/v3"/>
    <xsd:import namespace="ad8e907a-e1a6-4b76-8caa-2c3a6e0bcaac"/>
    <xsd:import namespace="392fc61f-e94e-493b-9859-a48021fe120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n5dfb72b69c24bd0be10e5c7f2c63979" minOccurs="0"/>
                <xsd:element ref="ns2:TaxCatchAll" minOccurs="0"/>
                <xsd:element ref="ns2:PR_x0020_ID"/>
                <xsd:element ref="ns3:MediaServiceMetadata" minOccurs="0"/>
                <xsd:element ref="ns3:MediaServiceFastMetadata" minOccurs="0"/>
                <xsd:element ref="ns3:MediaServiceAutoKeyPoints" minOccurs="0"/>
                <xsd:element ref="ns3:MediaServiceKeyPoints" minOccurs="0"/>
                <xsd:element ref="ns4:IconOverlay" minOccurs="0"/>
                <xsd:element ref="ns1:_ip_UnifiedCompliancePolicyProperties" minOccurs="0"/>
                <xsd:element ref="ns1:_ip_UnifiedCompliancePolicyUIAction" minOccurs="0"/>
                <xsd:element ref="ns2:SharedWithUsers" minOccurs="0"/>
                <xsd:element ref="ns2:SharedWithDetails" minOccurs="0"/>
                <xsd:element ref="ns3:MediaServiceSearchProperties" minOccurs="0"/>
                <xsd:element ref="ns3:lcf76f155ced4ddcb4097134ff3c332f"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8e907a-e1a6-4b76-8caa-2c3a6e0bcaa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7162e0b1-20f3-465a-b0e3-74ffe66b3512}" ma:internalName="TaxCatchAll" ma:showField="CatchAllData" ma:web="ad8e907a-e1a6-4b76-8caa-2c3a6e0bcaac">
      <xsd:complexType>
        <xsd:complexContent>
          <xsd:extension base="dms:MultiChoiceLookup">
            <xsd:sequence>
              <xsd:element name="Value" type="dms:Lookup" maxOccurs="unbounded" minOccurs="0" nillable="true"/>
            </xsd:sequence>
          </xsd:extension>
        </xsd:complexContent>
      </xsd:complexType>
    </xsd:element>
    <xsd:element name="PR_x0020_ID" ma:index="14" ma:displayName="PR ID" ma:default="" ma:description="ID of the parliamentarian request" ma:internalName="PR_x0020_ID0">
      <xsd:simpleType>
        <xsd:restriction base="dms:Text">
          <xsd:maxLength value="255"/>
        </xsd:restrictio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2fc61f-e94e-493b-9859-a48021fe120e" elementFormDefault="qualified">
    <xsd:import namespace="http://schemas.microsoft.com/office/2006/documentManagement/types"/>
    <xsd:import namespace="http://schemas.microsoft.com/office/infopath/2007/PartnerControls"/>
    <xsd:element name="n5dfb72b69c24bd0be10e5c7f2c63979" ma:index="12" ma:taxonomy="true" ma:internalName="n5dfb72b69c24bd0be10e5c7f2c63979" ma:taxonomyFieldName="DocType" ma:displayName="DocType" ma:default="3;#Other|a82e5e6b-4124-495e-bcdc-32042f6b6fbc" ma:fieldId="{75dfb72b-69c2-4bd0-be10-e5c7f2c63979}" ma:sspId="8511bdff-a9c3-4342-ad56-d9f2319b2060" ma:termSetId="a18ff4e3-1268-49c1-bbce-f08b63b82ba6" ma:anchorId="00000000-0000-0000-0000-000000000000" ma:open="false" ma:isKeyword="false">
      <xsd:complexType>
        <xsd:sequence>
          <xsd:element ref="pc:Terms" minOccurs="0" maxOccurs="1"/>
        </xsd:sequence>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8511bdff-a9c3-4342-ad56-d9f2319b2060" ma:termSetId="09814cd3-568e-fe90-9814-8d621ff8fb84" ma:anchorId="fba54fb3-c3e1-fe81-a776-ca4b69148c4d" ma:open="true" ma:isKeyword="false">
      <xsd:complexType>
        <xsd:sequence>
          <xsd:element ref="pc:Terms" minOccurs="0" maxOccurs="1"/>
        </xsd:sequence>
      </xsd:complex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56DAC7-282D-4C21-8A5D-077A867C5E5B}">
  <ds:schemaRefs>
    <ds:schemaRef ds:uri="http://schemas.openxmlformats.org/officeDocument/2006/bibliography"/>
  </ds:schemaRefs>
</ds:datastoreItem>
</file>

<file path=customXml/itemProps2.xml><?xml version="1.0" encoding="utf-8"?>
<ds:datastoreItem xmlns:ds="http://schemas.openxmlformats.org/officeDocument/2006/customXml" ds:itemID="{DE3A9F88-472E-4085-8E7D-0F31E3B67651}">
  <ds:schemaRefs>
    <ds:schemaRef ds:uri="http://www.w3.org/XML/1998/namespace"/>
    <ds:schemaRef ds:uri="392fc61f-e94e-493b-9859-a48021fe120e"/>
    <ds:schemaRef ds:uri="http://purl.org/dc/elements/1.1/"/>
    <ds:schemaRef ds:uri="http://schemas.microsoft.com/office/2006/metadata/properties"/>
    <ds:schemaRef ds:uri="http://schemas.microsoft.com/office/infopath/2007/PartnerControls"/>
    <ds:schemaRef ds:uri="http://purl.org/dc/terms/"/>
    <ds:schemaRef ds:uri="http://schemas.microsoft.com/office/2006/documentManagement/types"/>
    <ds:schemaRef ds:uri="http://schemas.microsoft.com/sharepoint/v4"/>
    <ds:schemaRef ds:uri="http://purl.org/dc/dcmitype/"/>
    <ds:schemaRef ds:uri="http://schemas.openxmlformats.org/package/2006/metadata/core-properties"/>
    <ds:schemaRef ds:uri="ad8e907a-e1a6-4b76-8caa-2c3a6e0bcaac"/>
    <ds:schemaRef ds:uri="http://schemas.microsoft.com/sharepoint/v3"/>
  </ds:schemaRefs>
</ds:datastoreItem>
</file>

<file path=customXml/itemProps3.xml><?xml version="1.0" encoding="utf-8"?>
<ds:datastoreItem xmlns:ds="http://schemas.openxmlformats.org/officeDocument/2006/customXml" ds:itemID="{59FEEE22-F233-45E8-A772-BD6284AB6735}">
  <ds:schemaRefs>
    <ds:schemaRef ds:uri="http://schemas.microsoft.com/sharepoint/v3/contenttype/forms"/>
  </ds:schemaRefs>
</ds:datastoreItem>
</file>

<file path=customXml/itemProps4.xml><?xml version="1.0" encoding="utf-8"?>
<ds:datastoreItem xmlns:ds="http://schemas.openxmlformats.org/officeDocument/2006/customXml" ds:itemID="{F4ECEB69-F64D-4D3A-80B2-72212ED8F621}">
  <ds:schemaRefs>
    <ds:schemaRef ds:uri="http://schemas.microsoft.com/sharepoint/events"/>
  </ds:schemaRefs>
</ds:datastoreItem>
</file>

<file path=customXml/itemProps5.xml><?xml version="1.0" encoding="utf-8"?>
<ds:datastoreItem xmlns:ds="http://schemas.openxmlformats.org/officeDocument/2006/customXml" ds:itemID="{0DDD2896-6EF0-4272-BDC9-1324114A3B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8e907a-e1a6-4b76-8caa-2c3a6e0bcaac"/>
    <ds:schemaRef ds:uri="392fc61f-e94e-493b-9859-a48021fe120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PRR%20-%20costing%20template</Template>
  <TotalTime>1</TotalTime>
  <Pages>7</Pages>
  <Words>1604</Words>
  <Characters>9144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Insert title of proposal</vt:lpstr>
    </vt:vector>
  </TitlesOfParts>
  <Company>Parliament of Australia</Company>
  <LinksUpToDate>false</LinksUpToDate>
  <CharactersWithSpaces>10727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Make Gas Exporters Pay Taxes and Royalties</dc:title>
  <dc:subject/>
  <dc:creator>Parliamentary Budget Office (PBO)</dc:creator>
  <cp:keywords/>
  <cp:lastPrinted>2023-04-24T03:47:00Z</cp:lastPrinted>
  <dcterms:created xsi:type="dcterms:W3CDTF">2023-04-25T23:16:00Z</dcterms:created>
  <dcterms:modified xsi:type="dcterms:W3CDTF">2023-04-25T23:16:00Z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Status">
    <vt:lpwstr/>
  </property>
  <property fmtid="{D5CDD505-2E9C-101B-9397-08002B2CF9AE}" pid="3" name="xTOCH2">
    <vt:lpwstr>Y</vt:lpwstr>
  </property>
  <property fmtid="{D5CDD505-2E9C-101B-9397-08002B2CF9AE}" pid="4" name="xTOCH3">
    <vt:lpwstr>N</vt:lpwstr>
  </property>
  <property fmtid="{D5CDD505-2E9C-101B-9397-08002B2CF9AE}" pid="5" name="xTOCTable">
    <vt:lpwstr>H</vt:lpwstr>
  </property>
  <property fmtid="{D5CDD505-2E9C-101B-9397-08002B2CF9AE}" pid="6" name="xTOCFigure">
    <vt:lpwstr>H</vt:lpwstr>
  </property>
  <property fmtid="{D5CDD505-2E9C-101B-9397-08002B2CF9AE}" pid="7" name="xTOCApp">
    <vt:lpwstr>H</vt:lpwstr>
  </property>
  <property fmtid="{D5CDD505-2E9C-101B-9397-08002B2CF9AE}" pid="8" name="xNumberedBodyText">
    <vt:lpwstr>False</vt:lpwstr>
  </property>
  <property fmtid="{D5CDD505-2E9C-101B-9397-08002B2CF9AE}" pid="9" name="xCR">
    <vt:lpwstr>Heading</vt:lpwstr>
  </property>
  <property fmtid="{D5CDD505-2E9C-101B-9397-08002B2CF9AE}" pid="10" name="xHeadingsNumbered">
    <vt:lpwstr>0</vt:lpwstr>
  </property>
  <property fmtid="{D5CDD505-2E9C-101B-9397-08002B2CF9AE}" pid="11" name="xAppendixName">
    <vt:lpwstr>Attachment</vt:lpwstr>
  </property>
  <property fmtid="{D5CDD505-2E9C-101B-9397-08002B2CF9AE}" pid="12" name="ContentTypeId">
    <vt:lpwstr>0x010100C8215EFC147243408AAD18E5E049EEF9</vt:lpwstr>
  </property>
  <property fmtid="{D5CDD505-2E9C-101B-9397-08002B2CF9AE}" pid="13" name="_dlc_DocIdItemGuid">
    <vt:lpwstr>25d81bd0-4443-4026-a32a-018ef9e4d78b</vt:lpwstr>
  </property>
  <property fmtid="{D5CDD505-2E9C-101B-9397-08002B2CF9AE}" pid="14" name="Document Type">
    <vt:lpwstr>Current Template</vt:lpwstr>
  </property>
  <property fmtid="{D5CDD505-2E9C-101B-9397-08002B2CF9AE}" pid="15" name="DocType">
    <vt:lpwstr>3;#Other|a82e5e6b-4124-495e-bcdc-32042f6b6fbc</vt:lpwstr>
  </property>
  <property fmtid="{D5CDD505-2E9C-101B-9397-08002B2CF9AE}" pid="16" name="_docset_NoMedatataSyncRequired">
    <vt:lpwstr>False</vt:lpwstr>
  </property>
  <property fmtid="{D5CDD505-2E9C-101B-9397-08002B2CF9AE}" pid="17" name="MSIP_Label_ffb634e3-1037-4cdd-a8be-eaa9d6fbd503_Enabled">
    <vt:lpwstr>true</vt:lpwstr>
  </property>
  <property fmtid="{D5CDD505-2E9C-101B-9397-08002B2CF9AE}" pid="18" name="MSIP_Label_ffb634e3-1037-4cdd-a8be-eaa9d6fbd503_SetDate">
    <vt:lpwstr>2023-04-23T22:38:42Z</vt:lpwstr>
  </property>
  <property fmtid="{D5CDD505-2E9C-101B-9397-08002B2CF9AE}" pid="19" name="MSIP_Label_ffb634e3-1037-4cdd-a8be-eaa9d6fbd503_Method">
    <vt:lpwstr>Privileged</vt:lpwstr>
  </property>
  <property fmtid="{D5CDD505-2E9C-101B-9397-08002B2CF9AE}" pid="20" name="MSIP_Label_ffb634e3-1037-4cdd-a8be-eaa9d6fbd503_Name">
    <vt:lpwstr>OFFICIAL (PBO for publication)</vt:lpwstr>
  </property>
  <property fmtid="{D5CDD505-2E9C-101B-9397-08002B2CF9AE}" pid="21" name="MSIP_Label_ffb634e3-1037-4cdd-a8be-eaa9d6fbd503_SiteId">
    <vt:lpwstr>dc2a6fc4-3a5c-4009-8148-25a15ab44bf4</vt:lpwstr>
  </property>
  <property fmtid="{D5CDD505-2E9C-101B-9397-08002B2CF9AE}" pid="22" name="MSIP_Label_ffb634e3-1037-4cdd-a8be-eaa9d6fbd503_ActionId">
    <vt:lpwstr>0bfbfce9-2599-41fd-9301-ffc63b59e8dc</vt:lpwstr>
  </property>
  <property fmtid="{D5CDD505-2E9C-101B-9397-08002B2CF9AE}" pid="23" name="MSIP_Label_ffb634e3-1037-4cdd-a8be-eaa9d6fbd503_ContentBits">
    <vt:lpwstr>0</vt:lpwstr>
  </property>
  <property fmtid="{D5CDD505-2E9C-101B-9397-08002B2CF9AE}" pid="24" name="n5dfb72b69c24bd0be10e5c7f2c63979">
    <vt:lpwstr>Other|a82e5e6b-4124-495e-bcdc-32042f6b6fbc</vt:lpwstr>
  </property>
  <property fmtid="{D5CDD505-2E9C-101B-9397-08002B2CF9AE}" pid="25" name="MediaServiceImageTags">
    <vt:lpwstr/>
  </property>
  <property fmtid="{D5CDD505-2E9C-101B-9397-08002B2CF9AE}" pid="26" name="lcf76f155ced4ddcb4097134ff3c332f">
    <vt:lpwstr/>
  </property>
  <property fmtid="{D5CDD505-2E9C-101B-9397-08002B2CF9AE}" pid="27" name="TaxCatchAll">
    <vt:lpwstr>3;#Other|a82e5e6b-4124-495e-bcdc-32042f6b6fbc</vt:lpwstr>
  </property>
</Properties>
</file>