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5234" w14:textId="699197FF" w:rsidR="00AA478E" w:rsidRDefault="007C143A" w:rsidP="002636AE">
      <w:pPr>
        <w:pStyle w:val="Heading1"/>
        <w:spacing w:before="0"/>
      </w:pPr>
      <w:r>
        <w:t>Request for budget analysis</w:t>
      </w:r>
    </w:p>
    <w:tbl>
      <w:tblPr>
        <w:tblStyle w:val="PBOTable2-11pt"/>
        <w:tblW w:w="4992" w:type="pct"/>
        <w:tblLook w:val="0620" w:firstRow="1" w:lastRow="0" w:firstColumn="0" w:lastColumn="0" w:noHBand="1" w:noVBand="1"/>
      </w:tblPr>
      <w:tblGrid>
        <w:gridCol w:w="3537"/>
        <w:gridCol w:w="3400"/>
        <w:gridCol w:w="2100"/>
      </w:tblGrid>
      <w:tr w:rsidR="00AA478E" w:rsidRPr="004F5F28" w14:paraId="6B78352D" w14:textId="77777777" w:rsidTr="00D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61F57CD" w14:textId="490E330F" w:rsidR="00AA478E" w:rsidRPr="004F5F28" w:rsidRDefault="003269A5" w:rsidP="002E0CD6">
            <w:pPr>
              <w:pStyle w:val="NameofProposal"/>
              <w:spacing w:before="120" w:line="260" w:lineRule="atLeast"/>
            </w:pPr>
            <w:r>
              <w:t>Distributional analysis of the Stage 3</w:t>
            </w:r>
            <w:r w:rsidR="007C143A" w:rsidRPr="008D32B7">
              <w:t xml:space="preserve"> tax cuts</w:t>
            </w:r>
          </w:p>
        </w:tc>
      </w:tr>
      <w:tr w:rsidR="00AA478E" w:rsidRPr="004F5F28" w14:paraId="462C6366" w14:textId="77777777" w:rsidTr="00D674A5">
        <w:tc>
          <w:tcPr>
            <w:tcW w:w="1957" w:type="pct"/>
          </w:tcPr>
          <w:p w14:paraId="7D9CFA27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Person/party requesting the costing:</w:t>
            </w:r>
          </w:p>
        </w:tc>
        <w:tc>
          <w:tcPr>
            <w:tcW w:w="3043" w:type="pct"/>
            <w:gridSpan w:val="2"/>
          </w:tcPr>
          <w:p w14:paraId="0A359F49" w14:textId="249C29FD" w:rsidR="00AA478E" w:rsidRPr="004F5F28" w:rsidRDefault="00000000" w:rsidP="002E0CD6">
            <w:pPr>
              <w:spacing w:before="120" w:line="260" w:lineRule="atLeast"/>
            </w:pPr>
            <w:sdt>
              <w:sdtPr>
                <w:alias w:val="Requestor"/>
                <w:tag w:val="Requestor"/>
                <w:id w:val="39022088"/>
                <w:placeholder>
                  <w:docPart w:val="B0C3DAE0B7E74691A6F8DF5D0B915C85"/>
                </w:placeholder>
                <w:dropDownList>
                  <w:listItem w:displayText="Senator Penny Allman-Payne, Australian Greens" w:value="Senator Penny Allman-Payne, Australian Greens"/>
                  <w:listItem w:displayText="Mr Adam Bandt MP, Australian Greens" w:value="Mr Adam Bandt MP, Australian Greens"/>
                  <w:listItem w:displayText="Senator Andrew Bragg, Liberal Party of Australia " w:value="Senator Andrew Bragg, Liberal Party of Australia "/>
                  <w:listItem w:displayText="Senator Ross Cadell, The Nationals" w:value="Senator Ross Cadell, The Nationals"/>
                  <w:listItem w:displayText="Ms Kate Chaney MP, Member for Curtin" w:value="Ms Kate Chaney MP, Member for Curtin"/>
                  <w:listItem w:displayText="The Hon David Coleman, Liberal Party of Australia" w:value="The Hon David Coleman, Liberal Party of Australia"/>
                  <w:listItem w:displayText="Ms Zoe Daniel MP, Member for Goldstein" w:value="Ms Zoe Daniel MP, Member for Goldstein"/>
                  <w:listItem w:displayText="Senator the Hon Jonathon Duniam, Liberal Party of Australia " w:value="Senator the Hon Jonathon Duniam, Liberal Party of Australia "/>
                  <w:listItem w:displayText="The Hon Peter Dutton MP, Liberal Party of Australia " w:value="The Hon Peter Dutton MP, Liberal Party of Australia "/>
                  <w:listItem w:displayText="Dr Helen Haines MP, Member for Indi" w:value="Dr Helen Haines MP, Member for Indi"/>
                  <w:listItem w:displayText="Senator Mehreen Faruqi, Australian Greens" w:value="Senator Mehreen Faruqi, Australian Greens"/>
                  <w:listItem w:displayText="Senator Jacqui Lambie, Jacqui Lambie Network" w:value="Senator Jacqui Lambie, Jacqui Lambie Network"/>
                  <w:listItem w:displayText="Ms Dai Le MP, Member for Fowler" w:value="Ms Dai Le MP, Member for Fowler"/>
                  <w:listItem w:displayText="The Hon David Littleproud MP, Liberal National Party of Queensland" w:value="The Hon David Littleproud MP, Liberal National Party of Queensland"/>
                  <w:listItem w:displayText="Senator the Hon Bridget McKenzie, The Nationals" w:value="Senator the Hon Bridget McKenzie, The Nationals"/>
                  <w:listItem w:displayText="Senator Matt O'Sullivan, Liberal Party of Australia" w:value="Senator Matt O'Sullivan, Liberal Party of Australia"/>
                  <w:listItem w:displayText="Senator David Pocock, Senator for the Australian Capital Territory" w:value="Senator David Pocock, Senator for the Australian Capital Territory"/>
                  <w:listItem w:displayText="Senator Linda Reynolds CSC, Liberal Party of Australia" w:value="Senator Linda Reynolds CSC, Liberal Party of Australia"/>
                  <w:listItem w:displayText="Senator Malcolm Roberts, Pauline Hanson's One Nation" w:value="Senator Malcolm Roberts, Pauline Hanson's One Nation"/>
                  <w:listItem w:displayText="Dr Monique Ryan MP, Member for Kooyong " w:value="Dr Monique Ryan MP, Member for Kooyong "/>
                  <w:listItem w:displayText="Dr Sophie Scamps MP, Member for Mackellar" w:value="Dr Sophie Scamps MP, Member for Mackellar"/>
                  <w:listItem w:displayText="Ms Rebekha Sharkie MP, Member for Mayo" w:value="Ms Rebekha Sharkie MP, Member for Mayo"/>
                  <w:listItem w:displayText="Senator David Shoebridge, Australian Greens" w:value="Senator David Shoebridge, Australian Greens"/>
                  <w:listItem w:displayText="Mr James Stevens MP, Liberal Party of Australia" w:value="Mr James Stevens MP, Liberal Party of Australia"/>
                  <w:listItem w:displayText="The Hon Michael Sukkar MP, Liberal Party of Australia" w:value="The Hon Michael Sukkar MP, Liberal Party of Australia"/>
                  <w:listItem w:displayText="The Hon Angus Taylor MP, Liberal Party of Australia " w:value="The Hon Angus Taylor MP, Liberal Party of Australia "/>
                  <w:listItem w:displayText="Senator Tammy Tyrrell, Jacqui Lambie Network" w:value="Senator Tammy Tyrrell, Jacqui Lambie Network"/>
                  <w:listItem w:displayText="Mr Bert van Manen MP, Liberal National Party of Queensland" w:value="Mr Bert van Manen MP, Liberal National Party of Queensland"/>
                  <w:listItem w:displayText="Mr Andrew Wilkie MP, Member for Clark " w:value="Mr Andrew Wilkie MP, Member for Clark "/>
                  <w:listItem w:displayText="The Hon Jason Wood MP, Liberal Party of Australia" w:value="The Hon Jason Wood MP, Liberal Party of Australia"/>
                </w:dropDownList>
              </w:sdtPr>
              <w:sdtContent>
                <w:r w:rsidR="007C143A">
                  <w:t>Mr Adam Bandt MP, Australian Greens</w:t>
                </w:r>
              </w:sdtContent>
            </w:sdt>
          </w:p>
        </w:tc>
      </w:tr>
      <w:tr w:rsidR="00AA478E" w:rsidRPr="004F5F28" w14:paraId="1F606CDA" w14:textId="77777777" w:rsidTr="00D674A5">
        <w:tc>
          <w:tcPr>
            <w:tcW w:w="1957" w:type="pct"/>
          </w:tcPr>
          <w:p w14:paraId="2FEE1C84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Date costing completed:</w:t>
            </w:r>
          </w:p>
        </w:tc>
        <w:tc>
          <w:tcPr>
            <w:tcW w:w="3043" w:type="pct"/>
            <w:gridSpan w:val="2"/>
          </w:tcPr>
          <w:p w14:paraId="5CC8D356" w14:textId="519C90AC" w:rsidR="00AA478E" w:rsidRPr="004F5F28" w:rsidRDefault="007C143A" w:rsidP="002E0CD6">
            <w:pPr>
              <w:spacing w:before="120" w:line="260" w:lineRule="atLeast"/>
            </w:pPr>
            <w:r>
              <w:t>16 May 2023</w:t>
            </w:r>
          </w:p>
        </w:tc>
      </w:tr>
      <w:tr w:rsidR="00AA478E" w:rsidRPr="004F5F28" w14:paraId="3C6F3FBC" w14:textId="77777777" w:rsidTr="00D674A5">
        <w:tc>
          <w:tcPr>
            <w:tcW w:w="1957" w:type="pct"/>
          </w:tcPr>
          <w:p w14:paraId="513C9C2B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Expiry date of the costing:</w:t>
            </w:r>
          </w:p>
        </w:tc>
        <w:tc>
          <w:tcPr>
            <w:tcW w:w="3043" w:type="pct"/>
            <w:gridSpan w:val="2"/>
          </w:tcPr>
          <w:p w14:paraId="1D400792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Release of the next economic and fiscal outlook report.</w:t>
            </w:r>
          </w:p>
        </w:tc>
      </w:tr>
      <w:tr w:rsidR="00AA478E" w:rsidRPr="004F5F28" w14:paraId="08F2B05F" w14:textId="77777777" w:rsidTr="00D674A5">
        <w:tc>
          <w:tcPr>
            <w:tcW w:w="1957" w:type="pct"/>
            <w:vMerge w:val="restart"/>
          </w:tcPr>
          <w:p w14:paraId="12ECE505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Status at time of request:</w:t>
            </w:r>
          </w:p>
        </w:tc>
        <w:tc>
          <w:tcPr>
            <w:tcW w:w="3043" w:type="pct"/>
            <w:gridSpan w:val="2"/>
          </w:tcPr>
          <w:p w14:paraId="251A9C80" w14:textId="77777777" w:rsidR="00AA478E" w:rsidRPr="004F5F28" w:rsidRDefault="00AA478E" w:rsidP="002E0CD6">
            <w:pPr>
              <w:spacing w:before="120" w:line="260" w:lineRule="atLeast"/>
            </w:pPr>
            <w:r w:rsidRPr="004F5F28">
              <w:t>Submitted outside the caretaker period</w:t>
            </w:r>
          </w:p>
        </w:tc>
      </w:tr>
      <w:tr w:rsidR="00AA478E" w:rsidRPr="004F5F28" w14:paraId="141BF43F" w14:textId="77777777" w:rsidTr="00364C64">
        <w:tc>
          <w:tcPr>
            <w:tcW w:w="1957" w:type="pct"/>
            <w:vMerge/>
          </w:tcPr>
          <w:p w14:paraId="6164E621" w14:textId="77777777" w:rsidR="00AA478E" w:rsidRPr="004F5F28" w:rsidRDefault="00AA478E" w:rsidP="002E0CD6">
            <w:pPr>
              <w:spacing w:before="120" w:line="260" w:lineRule="atLeast"/>
            </w:pPr>
          </w:p>
        </w:tc>
        <w:tc>
          <w:tcPr>
            <w:tcW w:w="1881" w:type="pct"/>
          </w:tcPr>
          <w:p w14:paraId="76DD73F9" w14:textId="2DD5F08C" w:rsidR="00AA478E" w:rsidRPr="00E362C7" w:rsidRDefault="00000000" w:rsidP="002E0CD6">
            <w:pPr>
              <w:spacing w:before="120" w:line="260" w:lineRule="atLeast"/>
              <w:rPr>
                <w:i/>
                <w:iCs/>
              </w:rPr>
            </w:pPr>
            <w:sdt>
              <w:sdtPr>
                <w:rPr>
                  <w:strike/>
                </w:r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143A" w:rsidRPr="00364C64">
                  <w:rPr>
                    <w:rFonts w:ascii="MS Gothic" w:eastAsia="MS Gothic" w:hAnsi="MS Gothic" w:hint="eastAsia"/>
                    <w:strike/>
                  </w:rPr>
                  <w:t>☒</w:t>
                </w:r>
              </w:sdtContent>
            </w:sdt>
            <w:r w:rsidR="00AA478E" w:rsidRPr="00364C64">
              <w:rPr>
                <w:strike/>
              </w:rPr>
              <w:t xml:space="preserve"> Confidential</w:t>
            </w:r>
            <w:r w:rsidR="00EF096E">
              <w:t xml:space="preserve"> </w:t>
            </w:r>
            <w:r w:rsidR="00E362C7">
              <w:t>–</w:t>
            </w:r>
            <w:r w:rsidR="00EF096E">
              <w:t xml:space="preserve"> </w:t>
            </w:r>
            <w:r w:rsidR="00E362C7">
              <w:rPr>
                <w:i/>
                <w:iCs/>
              </w:rPr>
              <w:t>Authorised for public release</w:t>
            </w:r>
            <w:r w:rsidR="00364C64">
              <w:rPr>
                <w:i/>
                <w:iCs/>
              </w:rPr>
              <w:t xml:space="preserve"> on 17 May 2023</w:t>
            </w:r>
          </w:p>
        </w:tc>
        <w:tc>
          <w:tcPr>
            <w:tcW w:w="1162" w:type="pct"/>
          </w:tcPr>
          <w:p w14:paraId="28B71E8E" w14:textId="77777777" w:rsidR="00AA478E" w:rsidRPr="004F5F28" w:rsidRDefault="00000000" w:rsidP="002E0CD6">
            <w:pPr>
              <w:spacing w:before="120" w:line="260" w:lineRule="atLeas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4F5F28">
              <w:t xml:space="preserve"> Not confidential</w:t>
            </w:r>
          </w:p>
        </w:tc>
      </w:tr>
      <w:tr w:rsidR="00AA478E" w:rsidRPr="004F5F28" w14:paraId="0D7BDB3A" w14:textId="77777777" w:rsidTr="00D674A5">
        <w:tc>
          <w:tcPr>
            <w:tcW w:w="5000" w:type="pct"/>
            <w:gridSpan w:val="3"/>
          </w:tcPr>
          <w:p w14:paraId="560A3B4A" w14:textId="77777777" w:rsidR="008B7618" w:rsidRDefault="008B7618" w:rsidP="008B7618">
            <w:pPr>
              <w:spacing w:before="120" w:line="260" w:lineRule="atLeast"/>
            </w:pPr>
            <w:r w:rsidRPr="004F5F28">
              <w:t xml:space="preserve">Summary of </w:t>
            </w:r>
            <w:r>
              <w:t>the request:</w:t>
            </w:r>
          </w:p>
          <w:p w14:paraId="61916052" w14:textId="77777777" w:rsidR="008B7618" w:rsidRPr="00665115" w:rsidRDefault="008B7618" w:rsidP="008B7618">
            <w:pPr>
              <w:spacing w:line="260" w:lineRule="atLeast"/>
              <w:rPr>
                <w:color w:val="auto"/>
              </w:rPr>
            </w:pPr>
            <w:r>
              <w:t xml:space="preserve">The request sought estimated financial implications and distributional analysis of Stage 3 of the personal income tax plan as </w:t>
            </w:r>
            <w:r w:rsidRPr="00665115">
              <w:rPr>
                <w:color w:val="auto"/>
              </w:rPr>
              <w:t xml:space="preserve">set out in the 2018-19 Budget measure </w:t>
            </w:r>
            <w:r w:rsidRPr="006B1067">
              <w:rPr>
                <w:i/>
                <w:color w:val="auto"/>
              </w:rPr>
              <w:t>Personal income tax plan</w:t>
            </w:r>
            <w:r w:rsidRPr="00665115">
              <w:rPr>
                <w:color w:val="auto"/>
              </w:rPr>
              <w:t xml:space="preserve"> and the 2019-20 Budget measure </w:t>
            </w:r>
            <w:r w:rsidRPr="006B1067">
              <w:rPr>
                <w:i/>
                <w:color w:val="auto"/>
              </w:rPr>
              <w:t>Lower taxes for hard-working Australians: Building on the Personal Income Tax Plan</w:t>
            </w:r>
            <w:r w:rsidRPr="00665115">
              <w:rPr>
                <w:color w:val="auto"/>
              </w:rPr>
              <w:t xml:space="preserve"> over </w:t>
            </w:r>
            <w:r>
              <w:rPr>
                <w:color w:val="auto"/>
              </w:rPr>
              <w:t>the medium-term</w:t>
            </w:r>
            <w:r w:rsidRPr="00665115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665115">
              <w:rPr>
                <w:color w:val="auto"/>
              </w:rPr>
              <w:t>The</w:t>
            </w:r>
            <w:r w:rsidRPr="00665115" w:rsidDel="007D1173">
              <w:rPr>
                <w:color w:val="auto"/>
              </w:rPr>
              <w:t xml:space="preserve"> </w:t>
            </w:r>
            <w:r>
              <w:rPr>
                <w:color w:val="auto"/>
              </w:rPr>
              <w:t>S</w:t>
            </w:r>
            <w:r w:rsidRPr="00665115">
              <w:rPr>
                <w:color w:val="auto"/>
              </w:rPr>
              <w:t xml:space="preserve">tage 3 tax cuts </w:t>
            </w:r>
            <w:r>
              <w:rPr>
                <w:color w:val="auto"/>
              </w:rPr>
              <w:t xml:space="preserve">take effect from 1 July 2024 and </w:t>
            </w:r>
            <w:r w:rsidRPr="00665115" w:rsidDel="007D1173">
              <w:rPr>
                <w:color w:val="auto"/>
              </w:rPr>
              <w:t>involve</w:t>
            </w:r>
            <w:r w:rsidRPr="00665115">
              <w:rPr>
                <w:color w:val="auto"/>
              </w:rPr>
              <w:t>:</w:t>
            </w:r>
          </w:p>
          <w:p w14:paraId="21290CD9" w14:textId="77777777" w:rsidR="008B7618" w:rsidRPr="00567854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567854">
              <w:t>removing the $120,000 to $180,000 tax bracket</w:t>
            </w:r>
          </w:p>
          <w:p w14:paraId="3EDE9941" w14:textId="77777777" w:rsidR="008B7618" w:rsidRPr="00567854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567854">
              <w:t>increasing the top tax bracket threshold from $180,000 to $200,000</w:t>
            </w:r>
          </w:p>
          <w:p w14:paraId="7CAA23D5" w14:textId="77777777" w:rsidR="008B7618" w:rsidRPr="00567854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567854">
              <w:t>reducing the marginal tax rate faced by the $45,000 to $200,000 tax bracket from 32.5% to 30%.</w:t>
            </w:r>
          </w:p>
          <w:p w14:paraId="262D9EB0" w14:textId="77777777" w:rsidR="008B7618" w:rsidRDefault="008B7618" w:rsidP="008B7618">
            <w:pPr>
              <w:spacing w:before="120" w:line="260" w:lineRule="atLeast"/>
            </w:pPr>
            <w:r>
              <w:t xml:space="preserve">The distributional analyses sought the aggregate change in tax paid for taxpayers affected by the Stage 3 tax cuts split by: </w:t>
            </w:r>
          </w:p>
          <w:p w14:paraId="3F2D869A" w14:textId="77777777" w:rsidR="008B7618" w:rsidRPr="00665115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665115">
              <w:t>taxable income quintiles</w:t>
            </w:r>
          </w:p>
          <w:p w14:paraId="5091926B" w14:textId="77777777" w:rsidR="008B7618" w:rsidRPr="00665115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665115">
              <w:t>gender</w:t>
            </w:r>
          </w:p>
          <w:p w14:paraId="7BAAEFDB" w14:textId="77777777" w:rsidR="008B7618" w:rsidRPr="00665115" w:rsidRDefault="008B7618" w:rsidP="008B7618">
            <w:pPr>
              <w:pStyle w:val="Bullet1"/>
              <w:numPr>
                <w:ilvl w:val="0"/>
                <w:numId w:val="4"/>
              </w:numPr>
              <w:spacing w:before="60" w:after="60"/>
              <w:ind w:left="284"/>
            </w:pPr>
            <w:r w:rsidRPr="00665115">
              <w:t>the following taxable income brackets:</w:t>
            </w:r>
          </w:p>
          <w:p w14:paraId="67C08E5B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Less than $45,000</w:t>
            </w:r>
          </w:p>
          <w:p w14:paraId="6122252E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$45,001 to $60,000</w:t>
            </w:r>
          </w:p>
          <w:p w14:paraId="75F933AB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$60,001 to $90,000</w:t>
            </w:r>
          </w:p>
          <w:p w14:paraId="74401EC7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$90,001 to $120,000</w:t>
            </w:r>
          </w:p>
          <w:p w14:paraId="5AE9BBA4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$120,001 to $150,000</w:t>
            </w:r>
          </w:p>
          <w:p w14:paraId="53D06C73" w14:textId="77777777" w:rsidR="008B7618" w:rsidRPr="00665115" w:rsidRDefault="008B7618" w:rsidP="008B7618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$150,001 to $180,000</w:t>
            </w:r>
          </w:p>
          <w:p w14:paraId="0F0D54D3" w14:textId="5FD3C191" w:rsidR="0059282B" w:rsidRPr="00307BA7" w:rsidRDefault="008B7618" w:rsidP="00307BA7">
            <w:pPr>
              <w:pStyle w:val="Bullet2"/>
              <w:numPr>
                <w:ilvl w:val="1"/>
                <w:numId w:val="4"/>
              </w:numPr>
              <w:spacing w:before="60" w:after="60"/>
              <w:ind w:left="568"/>
            </w:pPr>
            <w:r w:rsidRPr="00665115">
              <w:t>Greater than $180,000.</w:t>
            </w:r>
          </w:p>
        </w:tc>
      </w:tr>
    </w:tbl>
    <w:p w14:paraId="6395F8DD" w14:textId="3B68B787" w:rsidR="00AA478E" w:rsidRPr="009B33D1" w:rsidRDefault="003177A4" w:rsidP="009B33D1">
      <w:pPr>
        <w:pStyle w:val="Heading2"/>
      </w:pPr>
      <w:r>
        <w:lastRenderedPageBreak/>
        <w:t>Overview</w:t>
      </w:r>
    </w:p>
    <w:p w14:paraId="4FD77DCC" w14:textId="53DC6A7C" w:rsidR="00250D5B" w:rsidRPr="00415B3C" w:rsidRDefault="00250D5B" w:rsidP="00114A22">
      <w:pPr>
        <w:keepNext/>
        <w:keepLines/>
        <w:rPr>
          <w:color w:val="auto"/>
        </w:rPr>
      </w:pPr>
      <w:bookmarkStart w:id="0" w:name="_Hlk63779408"/>
      <w:r w:rsidRPr="00A27522">
        <w:rPr>
          <w:color w:val="auto"/>
        </w:rPr>
        <w:t>The estimated financial implications of the Stage 3 tax cuts over the period to 203</w:t>
      </w:r>
      <w:r>
        <w:rPr>
          <w:color w:val="auto"/>
        </w:rPr>
        <w:t>3</w:t>
      </w:r>
      <w:r w:rsidRPr="00A27522">
        <w:rPr>
          <w:color w:val="auto"/>
        </w:rPr>
        <w:t>-3</w:t>
      </w:r>
      <w:r>
        <w:rPr>
          <w:color w:val="auto"/>
        </w:rPr>
        <w:t>4</w:t>
      </w:r>
      <w:r w:rsidRPr="00A27522">
        <w:rPr>
          <w:color w:val="auto"/>
        </w:rPr>
        <w:t xml:space="preserve"> are at </w:t>
      </w:r>
      <w:r w:rsidRPr="004B63A9">
        <w:rPr>
          <w:color w:val="auto"/>
        </w:rPr>
        <w:t>Attachment A</w:t>
      </w:r>
      <w:r w:rsidRPr="00415B3C">
        <w:rPr>
          <w:color w:val="auto"/>
        </w:rPr>
        <w:t xml:space="preserve">. </w:t>
      </w:r>
    </w:p>
    <w:p w14:paraId="6CECD221" w14:textId="1851F5BE" w:rsidR="003177A4" w:rsidRPr="00415B3C" w:rsidRDefault="003177A4" w:rsidP="00114A22">
      <w:pPr>
        <w:keepNext/>
        <w:keepLines/>
        <w:rPr>
          <w:color w:val="auto"/>
        </w:rPr>
      </w:pPr>
      <w:r w:rsidRPr="00415B3C">
        <w:rPr>
          <w:color w:val="auto"/>
        </w:rPr>
        <w:t xml:space="preserve">The requested distributional analyses are at </w:t>
      </w:r>
      <w:r w:rsidRPr="004B63A9">
        <w:rPr>
          <w:color w:val="auto"/>
        </w:rPr>
        <w:t xml:space="preserve">Attachment </w:t>
      </w:r>
      <w:r w:rsidR="00103FFC">
        <w:rPr>
          <w:color w:val="auto"/>
        </w:rPr>
        <w:t>B</w:t>
      </w:r>
      <w:r w:rsidRPr="00415B3C">
        <w:rPr>
          <w:color w:val="auto"/>
        </w:rPr>
        <w:t xml:space="preserve">.  </w:t>
      </w:r>
    </w:p>
    <w:p w14:paraId="54462B8E" w14:textId="21673628" w:rsidR="003177A4" w:rsidRPr="00415B3C" w:rsidRDefault="003177A4" w:rsidP="00114A22">
      <w:pPr>
        <w:keepNext/>
        <w:keepLines/>
        <w:rPr>
          <w:color w:val="auto"/>
        </w:rPr>
      </w:pPr>
      <w:r w:rsidRPr="00415B3C">
        <w:rPr>
          <w:color w:val="auto"/>
        </w:rPr>
        <w:t xml:space="preserve">The income tax quintiles used in the distributional analysis are at </w:t>
      </w:r>
      <w:r w:rsidRPr="004B63A9">
        <w:rPr>
          <w:color w:val="auto"/>
        </w:rPr>
        <w:t xml:space="preserve">Attachment </w:t>
      </w:r>
      <w:r w:rsidR="00103FFC">
        <w:rPr>
          <w:color w:val="auto"/>
        </w:rPr>
        <w:t>C</w:t>
      </w:r>
      <w:r w:rsidRPr="00415B3C">
        <w:rPr>
          <w:color w:val="auto"/>
        </w:rPr>
        <w:t xml:space="preserve">. </w:t>
      </w:r>
    </w:p>
    <w:p w14:paraId="4F333B04" w14:textId="77777777" w:rsidR="00FE3B13" w:rsidRPr="00D014E1" w:rsidRDefault="00FE3B13" w:rsidP="009B33D1">
      <w:pPr>
        <w:pStyle w:val="Heading2"/>
      </w:pPr>
      <w:r w:rsidRPr="00D014E1">
        <w:t>Key assumptions</w:t>
      </w:r>
    </w:p>
    <w:p w14:paraId="1343A2AA" w14:textId="77777777" w:rsidR="001D41B9" w:rsidRPr="00621A71" w:rsidRDefault="001D41B9" w:rsidP="001D41B9">
      <w:r>
        <w:t>The Parliamentary Budget Office (PBO) has assumed that t</w:t>
      </w:r>
      <w:r w:rsidRPr="00621A71">
        <w:t xml:space="preserve">here would be no significant behavioural response associated with </w:t>
      </w:r>
      <w:r w:rsidRPr="00621A71" w:rsidDel="00EF5100">
        <w:t xml:space="preserve">the </w:t>
      </w:r>
      <w:r w:rsidRPr="00621A71">
        <w:t>Stage 3 tax cuts, including to the labour supply.</w:t>
      </w:r>
    </w:p>
    <w:p w14:paraId="24C40BF5" w14:textId="77777777" w:rsidR="001D41B9" w:rsidRPr="00567854" w:rsidRDefault="001D41B9" w:rsidP="001D41B9">
      <w:pPr>
        <w:pStyle w:val="Bullet1"/>
        <w:numPr>
          <w:ilvl w:val="0"/>
          <w:numId w:val="4"/>
        </w:numPr>
        <w:spacing w:before="70"/>
        <w:ind w:left="284"/>
      </w:pPr>
      <w:r w:rsidRPr="00567854">
        <w:t>While high-income earners can often adjust their taxable income in response to changes in their marginal tax rate, Stage 3 would not change the marginal tax rate for those with a taxable income greater than $200,000, suggesting any adjustment to taxable incomes is likely to be small.</w:t>
      </w:r>
    </w:p>
    <w:p w14:paraId="100B7253" w14:textId="77777777" w:rsidR="001D41B9" w:rsidRPr="00567854" w:rsidRDefault="001D41B9" w:rsidP="001D41B9">
      <w:pPr>
        <w:pStyle w:val="Bullet1"/>
        <w:numPr>
          <w:ilvl w:val="0"/>
          <w:numId w:val="4"/>
        </w:numPr>
        <w:spacing w:before="70"/>
        <w:ind w:left="284"/>
      </w:pPr>
      <w:r w:rsidRPr="00567854">
        <w:t>Studies indicate that some people would choose to work more in response to a lower marginal tax rate, while others would work less. There is considerable uncertainty regarding the direction, magnitude, and timing of these effects on labour supply.</w:t>
      </w:r>
    </w:p>
    <w:p w14:paraId="4F08F1FA" w14:textId="77777777" w:rsidR="00FE3B13" w:rsidRPr="00D014E1" w:rsidRDefault="00FE3B13" w:rsidP="009B33D1">
      <w:pPr>
        <w:pStyle w:val="Heading2"/>
      </w:pPr>
      <w:r w:rsidRPr="00D014E1">
        <w:t>Methodology</w:t>
      </w:r>
    </w:p>
    <w:p w14:paraId="4C0A9071" w14:textId="1A689938" w:rsidR="002F0972" w:rsidRDefault="002F0972" w:rsidP="002F0972">
      <w:r w:rsidRPr="00991994">
        <w:t xml:space="preserve">The financial implications were estimated using a microsimulation model built from a representative sample of all tax filers. This was generated from the full set of de-identified personal income tax returns data for the 2018-19 income year, provided by the Australian Taxation Office (ATO), and grown over the medium-term using parameters from the 2023-24 </w:t>
      </w:r>
      <w:r w:rsidR="002B7206">
        <w:t>B</w:t>
      </w:r>
      <w:r w:rsidRPr="00991994">
        <w:t>udget</w:t>
      </w:r>
      <w:r>
        <w:t>.</w:t>
      </w:r>
    </w:p>
    <w:p w14:paraId="4C541BE3" w14:textId="77777777" w:rsidR="002F0972" w:rsidRPr="00621A71" w:rsidRDefault="002F0972" w:rsidP="002F0972">
      <w:r w:rsidRPr="00621A71">
        <w:t>The financial implications and the associated distributional analyses of the Stage 3 tax cuts account for the timing of tax collections.</w:t>
      </w:r>
    </w:p>
    <w:p w14:paraId="51BEAF54" w14:textId="7F09FDCB" w:rsidR="002F0972" w:rsidRDefault="002F0972" w:rsidP="00114A22">
      <w:r>
        <w:t xml:space="preserve">Economic parameters for this analysis were derived </w:t>
      </w:r>
      <w:r w:rsidR="00E20462">
        <w:t xml:space="preserve">solely </w:t>
      </w:r>
      <w:r>
        <w:t xml:space="preserve">from </w:t>
      </w:r>
      <w:r w:rsidR="00E20462">
        <w:t xml:space="preserve">information in the </w:t>
      </w:r>
      <w:r w:rsidR="0063188F">
        <w:t>2023</w:t>
      </w:r>
      <w:r w:rsidR="0063188F">
        <w:noBreakHyphen/>
        <w:t xml:space="preserve">24 </w:t>
      </w:r>
      <w:r>
        <w:t xml:space="preserve">Budget papers. While amounts are expected to be of high quality over the </w:t>
      </w:r>
      <w:r w:rsidR="00794E1C">
        <w:t>forward estimates and medium term</w:t>
      </w:r>
      <w:r>
        <w:t xml:space="preserve">, there may be some minor differences regarding the timing of expected changes between </w:t>
      </w:r>
      <w:r w:rsidR="00794E1C">
        <w:t xml:space="preserve">individual </w:t>
      </w:r>
      <w:r>
        <w:t>years, compared to a costing calculated on a more detailed set of economic parameters.</w:t>
      </w:r>
      <w:r w:rsidR="00B75D6E">
        <w:t xml:space="preserve">  </w:t>
      </w:r>
      <w:r w:rsidR="005127A3">
        <w:t xml:space="preserve">Some forms of </w:t>
      </w:r>
      <w:r w:rsidR="005E36AA">
        <w:t xml:space="preserve">volatile </w:t>
      </w:r>
      <w:r w:rsidR="005127A3">
        <w:t xml:space="preserve">income </w:t>
      </w:r>
      <w:r w:rsidR="00096BA9">
        <w:t>(</w:t>
      </w:r>
      <w:proofErr w:type="gramStart"/>
      <w:r w:rsidR="00096BA9">
        <w:t>e.g.</w:t>
      </w:r>
      <w:proofErr w:type="gramEnd"/>
      <w:r w:rsidR="00096BA9">
        <w:t xml:space="preserve"> capital gains) </w:t>
      </w:r>
      <w:r w:rsidR="005127A3">
        <w:t xml:space="preserve">are more likely than others to result in on-assessment </w:t>
      </w:r>
      <w:r w:rsidR="00096BA9">
        <w:t>tax liabilities – impacting the year of lodgement – rather than within the year the income is earned</w:t>
      </w:r>
      <w:r w:rsidR="00F83A07">
        <w:t xml:space="preserve">.  </w:t>
      </w:r>
      <w:r w:rsidR="00A9343C">
        <w:t xml:space="preserve">If, for example, </w:t>
      </w:r>
      <w:r w:rsidR="00B47FEA">
        <w:t xml:space="preserve">a greater share of income </w:t>
      </w:r>
      <w:r w:rsidR="00FB578E">
        <w:t xml:space="preserve">on average </w:t>
      </w:r>
      <w:r w:rsidR="00B47FEA">
        <w:t xml:space="preserve">is from wages rather than </w:t>
      </w:r>
      <w:r w:rsidR="005F4A39">
        <w:t>capital gains</w:t>
      </w:r>
      <w:r w:rsidR="00FB578E">
        <w:t xml:space="preserve">, then this would result in a bring-forward in the </w:t>
      </w:r>
      <w:r w:rsidR="00BF5BA9">
        <w:t>impacts</w:t>
      </w:r>
      <w:r w:rsidR="00FB578E">
        <w:t>, with t</w:t>
      </w:r>
      <w:r w:rsidR="00B75D6E">
        <w:t>he first year of the costing (2024</w:t>
      </w:r>
      <w:r w:rsidR="00BF5BA9">
        <w:noBreakHyphen/>
      </w:r>
      <w:r w:rsidR="00B75D6E">
        <w:t xml:space="preserve">25) </w:t>
      </w:r>
      <w:r w:rsidR="00F23A63">
        <w:t xml:space="preserve">likely to </w:t>
      </w:r>
      <w:r w:rsidR="00EF031D">
        <w:t>be affected</w:t>
      </w:r>
      <w:r w:rsidR="00FB578E">
        <w:t xml:space="preserve"> the most</w:t>
      </w:r>
      <w:r w:rsidR="00B75D6E">
        <w:t>.</w:t>
      </w:r>
    </w:p>
    <w:p w14:paraId="51244F14" w14:textId="78635005" w:rsidR="00014577" w:rsidRPr="00592227" w:rsidRDefault="00014577" w:rsidP="00014577">
      <w:r>
        <w:t>Financial implications were rounded consistent with the PBO’s rounding rules as outlined on the PBO Costings and budget information webpage.</w:t>
      </w:r>
      <w:r>
        <w:rPr>
          <w:rStyle w:val="FootnoteReference"/>
        </w:rPr>
        <w:footnoteReference w:id="2"/>
      </w:r>
      <w:r w:rsidR="00E04FA5">
        <w:t xml:space="preserve"> </w:t>
      </w:r>
    </w:p>
    <w:p w14:paraId="67FA785C" w14:textId="77777777" w:rsidR="00FE3B13" w:rsidRPr="00D014E1" w:rsidRDefault="00FE3B13" w:rsidP="009B33D1">
      <w:pPr>
        <w:pStyle w:val="Heading2"/>
      </w:pPr>
      <w:r w:rsidRPr="00D014E1">
        <w:t>Data sources</w:t>
      </w:r>
    </w:p>
    <w:p w14:paraId="749F2184" w14:textId="77777777" w:rsidR="006E754A" w:rsidRPr="00621A71" w:rsidRDefault="006E754A" w:rsidP="006E754A">
      <w:pPr>
        <w:pStyle w:val="Lettertext"/>
      </w:pPr>
      <w:r w:rsidRPr="00621A71">
        <w:t xml:space="preserve">The ATO provided </w:t>
      </w:r>
      <w:r>
        <w:t xml:space="preserve">the </w:t>
      </w:r>
      <w:r w:rsidRPr="00991994">
        <w:t>de-identified personal income tax returns data</w:t>
      </w:r>
      <w:r w:rsidRPr="00621A71">
        <w:t xml:space="preserve"> for the </w:t>
      </w:r>
      <w:r w:rsidRPr="00BD4662">
        <w:t>2018-19</w:t>
      </w:r>
      <w:r w:rsidRPr="00621A71">
        <w:t> income year.</w:t>
      </w:r>
    </w:p>
    <w:p w14:paraId="17D5ACBB" w14:textId="77777777" w:rsidR="006E754A" w:rsidRDefault="006E754A" w:rsidP="00114A22">
      <w:r w:rsidRPr="00621A71">
        <w:t>Commonwealth of Australia, 202</w:t>
      </w:r>
      <w:r>
        <w:t>3</w:t>
      </w:r>
      <w:r w:rsidRPr="00621A71">
        <w:t>.</w:t>
      </w:r>
      <w:r w:rsidRPr="00621A71" w:rsidDel="00A23F5E">
        <w:t xml:space="preserve"> </w:t>
      </w:r>
      <w:r w:rsidRPr="00621A71">
        <w:rPr>
          <w:i/>
          <w:iCs/>
        </w:rPr>
        <w:t>202</w:t>
      </w:r>
      <w:r>
        <w:rPr>
          <w:i/>
          <w:iCs/>
        </w:rPr>
        <w:t>3</w:t>
      </w:r>
      <w:r w:rsidRPr="00621A71">
        <w:rPr>
          <w:i/>
          <w:iCs/>
        </w:rPr>
        <w:t>-</w:t>
      </w:r>
      <w:r>
        <w:rPr>
          <w:i/>
          <w:iCs/>
        </w:rPr>
        <w:t>24</w:t>
      </w:r>
      <w:r w:rsidRPr="00621A71">
        <w:rPr>
          <w:i/>
          <w:iCs/>
        </w:rPr>
        <w:t xml:space="preserve"> Budget</w:t>
      </w:r>
      <w:r w:rsidRPr="00621A71">
        <w:t>, Canberra:</w:t>
      </w:r>
      <w:r w:rsidRPr="00621A71" w:rsidDel="00A23F5E">
        <w:t xml:space="preserve"> </w:t>
      </w:r>
      <w:r w:rsidRPr="00621A71">
        <w:t>Commonwealth of Australia.</w:t>
      </w:r>
    </w:p>
    <w:p w14:paraId="5DD3CC8E" w14:textId="77777777" w:rsidR="00087777" w:rsidRDefault="00087777" w:rsidP="005D2248"/>
    <w:p w14:paraId="215B4419" w14:textId="77777777" w:rsidR="005D2248" w:rsidRPr="00087777" w:rsidRDefault="005D2248" w:rsidP="005D2248">
      <w:pPr>
        <w:sectPr w:rsidR="005D2248" w:rsidRPr="00087777" w:rsidSect="007C40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907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bookmarkEnd w:id="0"/>
    <w:p w14:paraId="3A5A829C" w14:textId="646C3E53" w:rsidR="00103FFC" w:rsidRDefault="00103FFC" w:rsidP="00103FFC">
      <w:pPr>
        <w:pStyle w:val="Heading8"/>
        <w:numPr>
          <w:ilvl w:val="0"/>
          <w:numId w:val="5"/>
        </w:numPr>
        <w:spacing w:before="240" w:after="120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STYLEREF  "Name of proposal"  \* MERGEFORMAT </w:instrText>
      </w:r>
      <w:r>
        <w:rPr>
          <w:noProof/>
        </w:rPr>
        <w:fldChar w:fldCharType="separate"/>
      </w:r>
      <w:r w:rsidR="003269A5">
        <w:rPr>
          <w:noProof/>
        </w:rPr>
        <w:t>Distributional analysis of the Stage 3 tax cuts</w:t>
      </w:r>
      <w:r>
        <w:rPr>
          <w:noProof/>
        </w:rPr>
        <w:fldChar w:fldCharType="end"/>
      </w:r>
      <w:r>
        <w:t xml:space="preserve"> – financial implications</w:t>
      </w:r>
    </w:p>
    <w:p w14:paraId="3D517B08" w14:textId="7DD66822" w:rsidR="00150C23" w:rsidRPr="00621A71" w:rsidRDefault="00150C23" w:rsidP="00150C23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STYLEREF 8 \s </w:instrText>
      </w:r>
      <w:r w:rsidRPr="00621A71">
        <w:rPr>
          <w:noProof/>
        </w:rPr>
        <w:fldChar w:fldCharType="separate"/>
      </w:r>
      <w:r w:rsidR="00246543">
        <w:rPr>
          <w:noProof/>
        </w:rPr>
        <w:t>A</w:t>
      </w:r>
      <w:r w:rsidRPr="00621A71">
        <w:rPr>
          <w:noProof/>
        </w:rPr>
        <w:fldChar w:fldCharType="end"/>
      </w:r>
      <w:r w:rsidRPr="00621A71">
        <w:rPr>
          <w:noProof/>
        </w:rPr>
        <w:fldChar w:fldCharType="begin"/>
      </w:r>
      <w:r w:rsidRPr="00621A71">
        <w:rPr>
          <w:noProof/>
        </w:rPr>
        <w:instrText xml:space="preserve"> SEQ AppendixTable\s 8 </w:instrText>
      </w:r>
      <w:r w:rsidRPr="00621A71">
        <w:rPr>
          <w:noProof/>
        </w:rPr>
        <w:fldChar w:fldCharType="separate"/>
      </w:r>
      <w:r w:rsidR="00246543">
        <w:rPr>
          <w:noProof/>
        </w:rPr>
        <w:t>1</w:t>
      </w:r>
      <w:r w:rsidRPr="00621A71">
        <w:rPr>
          <w:noProof/>
        </w:rPr>
        <w:fldChar w:fldCharType="end"/>
      </w:r>
      <w:r w:rsidRPr="00621A71">
        <w:t xml:space="preserve">: </w:t>
      </w:r>
      <w:r w:rsidRPr="00621A71">
        <w:rPr>
          <w:noProof/>
        </w:rPr>
        <w:t>Distributional analysis of the Stage 3 tax cuts</w:t>
      </w:r>
      <w:r w:rsidRPr="00621A71">
        <w:t xml:space="preserve"> – </w:t>
      </w:r>
      <w:r>
        <w:t>Impact of Stage 3 tax cuts on the f</w:t>
      </w:r>
      <w:r w:rsidRPr="00621A71">
        <w:t>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</w:t>
      </w:r>
    </w:p>
    <w:tbl>
      <w:tblPr>
        <w:tblStyle w:val="LightGrid-Accent6"/>
        <w:tblW w:w="4988" w:type="pct"/>
        <w:tblLayout w:type="fixed"/>
        <w:tblLook w:val="0680" w:firstRow="0" w:lastRow="0" w:firstColumn="1" w:lastColumn="0" w:noHBand="1" w:noVBand="1"/>
      </w:tblPr>
      <w:tblGrid>
        <w:gridCol w:w="876"/>
        <w:gridCol w:w="1070"/>
        <w:gridCol w:w="596"/>
        <w:gridCol w:w="475"/>
        <w:gridCol w:w="442"/>
        <w:gridCol w:w="628"/>
        <w:gridCol w:w="292"/>
        <w:gridCol w:w="778"/>
        <w:gridCol w:w="142"/>
        <w:gridCol w:w="920"/>
        <w:gridCol w:w="9"/>
        <w:gridCol w:w="911"/>
        <w:gridCol w:w="159"/>
        <w:gridCol w:w="758"/>
        <w:gridCol w:w="313"/>
        <w:gridCol w:w="607"/>
        <w:gridCol w:w="463"/>
        <w:gridCol w:w="457"/>
        <w:gridCol w:w="613"/>
        <w:gridCol w:w="307"/>
        <w:gridCol w:w="764"/>
        <w:gridCol w:w="156"/>
        <w:gridCol w:w="914"/>
        <w:gridCol w:w="6"/>
        <w:gridCol w:w="1076"/>
        <w:gridCol w:w="6"/>
        <w:gridCol w:w="1005"/>
      </w:tblGrid>
      <w:tr w:rsidR="00150C23" w:rsidRPr="00621A71" w14:paraId="751490C8" w14:textId="77777777" w:rsidTr="00B1029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3"/>
            <w:shd w:val="clear" w:color="auto" w:fill="A7B2D4" w:themeFill="background2" w:themeFillTint="66"/>
            <w:vAlign w:val="center"/>
          </w:tcPr>
          <w:p w14:paraId="79E9AC02" w14:textId="77777777" w:rsidR="00150C23" w:rsidRPr="00D060A1" w:rsidRDefault="00150C23" w:rsidP="00B10292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1478BB38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76B31BCC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503E53C0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2" w:type="pct"/>
            <w:shd w:val="clear" w:color="auto" w:fill="A7B2D4" w:themeFill="background2" w:themeFillTint="66"/>
            <w:vAlign w:val="center"/>
          </w:tcPr>
          <w:p w14:paraId="021FC34C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1793E638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1" w:type="pct"/>
            <w:gridSpan w:val="2"/>
            <w:shd w:val="clear" w:color="auto" w:fill="A7B2D4" w:themeFill="background2" w:themeFillTint="66"/>
            <w:vAlign w:val="center"/>
          </w:tcPr>
          <w:p w14:paraId="1FF3C13F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654962A1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4B59A509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491D2F59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7FAE4471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12" w:type="pct"/>
            <w:gridSpan w:val="2"/>
            <w:shd w:val="clear" w:color="auto" w:fill="A7B2D4" w:themeFill="background2" w:themeFillTint="66"/>
            <w:vAlign w:val="center"/>
          </w:tcPr>
          <w:p w14:paraId="5B849E75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3–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367" w:type="pct"/>
            <w:gridSpan w:val="2"/>
            <w:shd w:val="clear" w:color="auto" w:fill="A7B2D4" w:themeFill="background2" w:themeFillTint="66"/>
            <w:vAlign w:val="center"/>
          </w:tcPr>
          <w:p w14:paraId="09BFCEA4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1" w:type="pct"/>
            <w:shd w:val="clear" w:color="auto" w:fill="A7B2D4" w:themeFill="background2" w:themeFillTint="66"/>
            <w:vAlign w:val="center"/>
          </w:tcPr>
          <w:p w14:paraId="1E671EC8" w14:textId="77777777" w:rsidR="00150C23" w:rsidRPr="00D060A1" w:rsidRDefault="00150C23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50C23" w:rsidRPr="00621A71" w14:paraId="199418F7" w14:textId="77777777" w:rsidTr="00B102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3103365A" w14:textId="77777777" w:rsidR="00150C23" w:rsidRPr="00D060A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Revenue</w:t>
            </w:r>
          </w:p>
        </w:tc>
        <w:tc>
          <w:tcPr>
            <w:tcW w:w="363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348F189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067029E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ADC25D1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AA3822B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3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2DC5792A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0BC60ABD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796BD44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CE7B3EA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FEE0C85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4A63358A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B09C633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21056EEB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14:paraId="687CDF6C" w14:textId="77777777" w:rsidR="00150C23" w:rsidRPr="00D060A1" w:rsidRDefault="00150C23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</w:tr>
      <w:tr w:rsidR="00150C23" w:rsidRPr="00621A71" w14:paraId="47E264D4" w14:textId="77777777" w:rsidTr="00B102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618E7054" w14:textId="77777777" w:rsidR="00150C23" w:rsidRPr="00D060A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Stage 3 tax cuts</w:t>
            </w:r>
          </w:p>
        </w:tc>
        <w:tc>
          <w:tcPr>
            <w:tcW w:w="0" w:type="pct"/>
            <w:gridSpan w:val="2"/>
            <w:vAlign w:val="center"/>
          </w:tcPr>
          <w:p w14:paraId="307833FD" w14:textId="77777777" w:rsidR="00150C23" w:rsidRPr="00AC4F70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0" w:type="pct"/>
            <w:gridSpan w:val="2"/>
            <w:vAlign w:val="center"/>
          </w:tcPr>
          <w:p w14:paraId="0E6F32DA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-20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0" w:type="pct"/>
            <w:gridSpan w:val="2"/>
            <w:vAlign w:val="center"/>
          </w:tcPr>
          <w:p w14:paraId="5AFE82AD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-23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0" w:type="pct"/>
            <w:vAlign w:val="center"/>
          </w:tcPr>
          <w:p w14:paraId="70E80A80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-25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0" w:type="pct"/>
            <w:gridSpan w:val="2"/>
            <w:vAlign w:val="center"/>
          </w:tcPr>
          <w:p w14:paraId="10E7C0AC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-27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0" w:type="pct"/>
            <w:gridSpan w:val="2"/>
            <w:vAlign w:val="center"/>
          </w:tcPr>
          <w:p w14:paraId="25D736D1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-29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0" w:type="pct"/>
            <w:gridSpan w:val="2"/>
            <w:vAlign w:val="center"/>
          </w:tcPr>
          <w:p w14:paraId="4C5EA978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-32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0" w:type="pct"/>
            <w:gridSpan w:val="2"/>
            <w:vAlign w:val="center"/>
          </w:tcPr>
          <w:p w14:paraId="66984D9D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-34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0" w:type="pct"/>
            <w:gridSpan w:val="2"/>
            <w:vAlign w:val="center"/>
          </w:tcPr>
          <w:p w14:paraId="7BE664E3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-37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pct"/>
            <w:gridSpan w:val="2"/>
            <w:vAlign w:val="center"/>
          </w:tcPr>
          <w:p w14:paraId="50B94509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-40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0" w:type="pct"/>
            <w:gridSpan w:val="2"/>
            <w:vAlign w:val="center"/>
          </w:tcPr>
          <w:p w14:paraId="6E9A4BC0" w14:textId="77777777" w:rsidR="00150C23" w:rsidRPr="00631DD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-42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0" w:type="pct"/>
            <w:gridSpan w:val="2"/>
            <w:vAlign w:val="center"/>
          </w:tcPr>
          <w:p w14:paraId="3058EAA7" w14:textId="77777777" w:rsidR="00150C23" w:rsidRPr="002B432E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-69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pct"/>
            <w:vAlign w:val="center"/>
          </w:tcPr>
          <w:p w14:paraId="5E2EE3B4" w14:textId="77777777" w:rsidR="00150C23" w:rsidRPr="002B432E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-313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100</w:t>
            </w:r>
          </w:p>
        </w:tc>
      </w:tr>
      <w:tr w:rsidR="00150C23" w:rsidRPr="00621A71" w14:paraId="2487FDFB" w14:textId="77777777" w:rsidTr="00B102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  <w:shd w:val="clear" w:color="auto" w:fill="A7B2D4" w:themeFill="background2" w:themeFillTint="66"/>
            <w:vAlign w:val="center"/>
          </w:tcPr>
          <w:p w14:paraId="5342FD32" w14:textId="77777777" w:rsidR="00150C23" w:rsidRPr="00D060A1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4BF83B62" w14:textId="77777777" w:rsidR="00150C23" w:rsidRPr="00AC4F70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</w:pPr>
            <w:r w:rsidRPr="00AC4F70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-   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0D0AFEBD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-20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79DB4DDB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-23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0" w:type="pct"/>
            <w:shd w:val="clear" w:color="auto" w:fill="A7B2D4" w:themeFill="background2" w:themeFillTint="66"/>
            <w:vAlign w:val="center"/>
          </w:tcPr>
          <w:p w14:paraId="6D46C969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-25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4FA9AEEA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-27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3BA824E5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-29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3C9C2F85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-32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4ED7E259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-34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4B1352CA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-37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3F5BDCC9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-40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4231D6D9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-42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0" w:type="pct"/>
            <w:gridSpan w:val="2"/>
            <w:shd w:val="clear" w:color="auto" w:fill="A7B2D4" w:themeFill="background2" w:themeFillTint="66"/>
            <w:vAlign w:val="center"/>
          </w:tcPr>
          <w:p w14:paraId="0D0C15C8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-69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pct"/>
            <w:shd w:val="clear" w:color="auto" w:fill="A7B2D4" w:themeFill="background2" w:themeFillTint="66"/>
            <w:vAlign w:val="center"/>
          </w:tcPr>
          <w:p w14:paraId="23AC500E" w14:textId="77777777" w:rsidR="00150C23" w:rsidRPr="00D56CE4" w:rsidRDefault="00150C23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-313</w:t>
            </w:r>
            <w:r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i/>
                <w:iCs/>
                <w:sz w:val="16"/>
                <w:szCs w:val="16"/>
              </w:rPr>
              <w:t>100</w:t>
            </w:r>
          </w:p>
        </w:tc>
      </w:tr>
    </w:tbl>
    <w:p w14:paraId="1027584F" w14:textId="77777777" w:rsidR="00150C23" w:rsidRPr="00E94CFD" w:rsidRDefault="00150C23" w:rsidP="00150C23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5073852C" w14:textId="77777777" w:rsidR="00150C23" w:rsidRDefault="00150C23" w:rsidP="00150C23">
      <w:pPr>
        <w:pStyle w:val="PRRfootnote2"/>
      </w:pPr>
      <w:r>
        <w:t xml:space="preserve">-    </w:t>
      </w:r>
      <w:r>
        <w:tab/>
      </w:r>
      <w:r w:rsidRPr="00E94CFD">
        <w:t>Indicates nil.</w:t>
      </w:r>
    </w:p>
    <w:p w14:paraId="6D391355" w14:textId="5A252C40" w:rsidR="00103FFC" w:rsidRDefault="00103FFC">
      <w:pPr>
        <w:spacing w:after="60" w:line="240" w:lineRule="auto"/>
        <w:rPr>
          <w:sz w:val="16"/>
          <w:szCs w:val="16"/>
        </w:rPr>
      </w:pPr>
      <w:r>
        <w:br w:type="page"/>
      </w:r>
    </w:p>
    <w:p w14:paraId="5F1F6897" w14:textId="77777777" w:rsidR="00103FFC" w:rsidRPr="00E94CFD" w:rsidRDefault="00103FFC" w:rsidP="00150C23">
      <w:pPr>
        <w:pStyle w:val="PRRfootnote2"/>
      </w:pPr>
    </w:p>
    <w:p w14:paraId="06362856" w14:textId="77777777" w:rsidR="00150C23" w:rsidRDefault="00150C23" w:rsidP="00150C23">
      <w:pPr>
        <w:pStyle w:val="Heading8"/>
        <w:numPr>
          <w:ilvl w:val="0"/>
          <w:numId w:val="5"/>
        </w:numPr>
        <w:spacing w:before="240" w:after="120"/>
      </w:pPr>
      <w:r w:rsidRPr="00621A71">
        <w:t>Distributional analysis of the Stage 3 tax cuts</w:t>
      </w:r>
    </w:p>
    <w:p w14:paraId="19AD5AE4" w14:textId="38A9DE06" w:rsidR="00135114" w:rsidRPr="00621A71" w:rsidRDefault="00135114" w:rsidP="00135114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="00103FFC">
        <w:rPr>
          <w:noProof/>
        </w:rPr>
        <w:t>B</w:t>
      </w:r>
      <w:r w:rsidRPr="00621A71">
        <w:rPr>
          <w:noProof/>
        </w:rPr>
        <w:t>1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income quintile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531"/>
        <w:gridCol w:w="920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1067"/>
        <w:gridCol w:w="1070"/>
      </w:tblGrid>
      <w:tr w:rsidR="00135114" w:rsidRPr="00621A71" w14:paraId="1F8CE83C" w14:textId="77777777" w:rsidTr="00B1029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7B2D4" w:themeFill="background2" w:themeFillTint="66"/>
            <w:vAlign w:val="center"/>
          </w:tcPr>
          <w:p w14:paraId="2A84A283" w14:textId="77777777" w:rsidR="00135114" w:rsidRPr="00621A71" w:rsidRDefault="00135114" w:rsidP="00B10292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3D5B5295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737BF38B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753B1E65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7809EF1E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3027376D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B862F3B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15CED416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3AAB07F7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4E5D5C81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6EB2AF88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11" w:type="pct"/>
            <w:shd w:val="clear" w:color="auto" w:fill="A7B2D4" w:themeFill="background2" w:themeFillTint="66"/>
            <w:vAlign w:val="center"/>
          </w:tcPr>
          <w:p w14:paraId="5804D91C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3–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361" w:type="pct"/>
            <w:shd w:val="clear" w:color="auto" w:fill="A7B2D4" w:themeFill="background2" w:themeFillTint="66"/>
            <w:vAlign w:val="center"/>
          </w:tcPr>
          <w:p w14:paraId="4D09E5CE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62" w:type="pct"/>
            <w:shd w:val="clear" w:color="auto" w:fill="A7B2D4" w:themeFill="background2" w:themeFillTint="66"/>
            <w:vAlign w:val="center"/>
          </w:tcPr>
          <w:p w14:paraId="0FC1F97D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35114" w:rsidRPr="00621A71" w14:paraId="11030EC4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14:paraId="7BB605A2" w14:textId="77777777" w:rsidR="00135114" w:rsidRPr="00621A71" w:rsidRDefault="00135114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20CDD">
              <w:rPr>
                <w:rFonts w:asciiTheme="minorHAnsi" w:hAnsiTheme="minorHAnsi"/>
                <w:i w:val="0"/>
                <w:iCs/>
                <w:sz w:val="16"/>
                <w:szCs w:val="16"/>
              </w:rPr>
              <w:t>Total change in net tax of Stage 3 tax cuts by income quintile</w:t>
            </w:r>
          </w:p>
        </w:tc>
      </w:tr>
      <w:tr w:rsidR="00135114" w:rsidRPr="00621A71" w14:paraId="76750DBB" w14:textId="77777777" w:rsidTr="00B1029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D5A32DF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1</w:t>
            </w:r>
          </w:p>
        </w:tc>
        <w:tc>
          <w:tcPr>
            <w:tcW w:w="311" w:type="pct"/>
          </w:tcPr>
          <w:p w14:paraId="485E5B4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66E1349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68AC929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3F7FF0F0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2A4AF15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181A763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4A371339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3DE93E5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380A224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77D26D09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5EADF1A5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1" w:type="pct"/>
          </w:tcPr>
          <w:p w14:paraId="521C3F0D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14:paraId="20ABB615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135114" w:rsidRPr="00621A71" w14:paraId="67AF3EF4" w14:textId="77777777" w:rsidTr="00B102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39CB16E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2</w:t>
            </w:r>
          </w:p>
        </w:tc>
        <w:tc>
          <w:tcPr>
            <w:tcW w:w="0" w:type="pct"/>
          </w:tcPr>
          <w:p w14:paraId="2D4F6B0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0" w:type="pct"/>
          </w:tcPr>
          <w:p w14:paraId="5ACAC45D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..</w:t>
            </w:r>
          </w:p>
        </w:tc>
        <w:tc>
          <w:tcPr>
            <w:tcW w:w="0" w:type="pct"/>
          </w:tcPr>
          <w:p w14:paraId="2FDBFA2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..</w:t>
            </w:r>
          </w:p>
        </w:tc>
        <w:tc>
          <w:tcPr>
            <w:tcW w:w="0" w:type="pct"/>
          </w:tcPr>
          <w:p w14:paraId="25197AB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..</w:t>
            </w:r>
          </w:p>
        </w:tc>
        <w:tc>
          <w:tcPr>
            <w:tcW w:w="0" w:type="pct"/>
          </w:tcPr>
          <w:p w14:paraId="5D86C887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-100</w:t>
            </w:r>
          </w:p>
        </w:tc>
        <w:tc>
          <w:tcPr>
            <w:tcW w:w="0" w:type="pct"/>
          </w:tcPr>
          <w:p w14:paraId="16C7C667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-100</w:t>
            </w:r>
          </w:p>
        </w:tc>
        <w:tc>
          <w:tcPr>
            <w:tcW w:w="0" w:type="pct"/>
          </w:tcPr>
          <w:p w14:paraId="09130B5A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-200</w:t>
            </w:r>
          </w:p>
        </w:tc>
        <w:tc>
          <w:tcPr>
            <w:tcW w:w="0" w:type="pct"/>
          </w:tcPr>
          <w:p w14:paraId="3AA73C6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-300</w:t>
            </w:r>
          </w:p>
        </w:tc>
        <w:tc>
          <w:tcPr>
            <w:tcW w:w="0" w:type="pct"/>
          </w:tcPr>
          <w:p w14:paraId="3CC645C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0" w:type="pct"/>
          </w:tcPr>
          <w:p w14:paraId="1D6F4912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-500</w:t>
            </w:r>
          </w:p>
        </w:tc>
        <w:tc>
          <w:tcPr>
            <w:tcW w:w="0" w:type="pct"/>
          </w:tcPr>
          <w:p w14:paraId="5152FB59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-600</w:t>
            </w:r>
          </w:p>
        </w:tc>
        <w:tc>
          <w:tcPr>
            <w:tcW w:w="0" w:type="pct"/>
          </w:tcPr>
          <w:p w14:paraId="77816DE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-100</w:t>
            </w:r>
          </w:p>
        </w:tc>
        <w:tc>
          <w:tcPr>
            <w:tcW w:w="0" w:type="pct"/>
          </w:tcPr>
          <w:p w14:paraId="3B63332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-2,100</w:t>
            </w:r>
          </w:p>
        </w:tc>
      </w:tr>
      <w:tr w:rsidR="00135114" w:rsidRPr="00621A71" w14:paraId="19608E73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490F0F46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3</w:t>
            </w:r>
          </w:p>
        </w:tc>
        <w:tc>
          <w:tcPr>
            <w:tcW w:w="311" w:type="pct"/>
          </w:tcPr>
          <w:p w14:paraId="61C9DB3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17EB2D8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-1,100</w:t>
            </w:r>
          </w:p>
        </w:tc>
        <w:tc>
          <w:tcPr>
            <w:tcW w:w="311" w:type="pct"/>
          </w:tcPr>
          <w:p w14:paraId="343DC957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-1,200</w:t>
            </w:r>
          </w:p>
        </w:tc>
        <w:tc>
          <w:tcPr>
            <w:tcW w:w="311" w:type="pct"/>
          </w:tcPr>
          <w:p w14:paraId="4161E4C6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-1,400</w:t>
            </w:r>
          </w:p>
        </w:tc>
        <w:tc>
          <w:tcPr>
            <w:tcW w:w="311" w:type="pct"/>
          </w:tcPr>
          <w:p w14:paraId="6392556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-1,900</w:t>
            </w:r>
          </w:p>
        </w:tc>
        <w:tc>
          <w:tcPr>
            <w:tcW w:w="311" w:type="pct"/>
          </w:tcPr>
          <w:p w14:paraId="7FE3F3B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-2,200</w:t>
            </w:r>
          </w:p>
        </w:tc>
        <w:tc>
          <w:tcPr>
            <w:tcW w:w="311" w:type="pct"/>
          </w:tcPr>
          <w:p w14:paraId="670A7BE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-2,400</w:t>
            </w:r>
          </w:p>
        </w:tc>
        <w:tc>
          <w:tcPr>
            <w:tcW w:w="311" w:type="pct"/>
          </w:tcPr>
          <w:p w14:paraId="183FB8C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-2,700</w:t>
            </w:r>
          </w:p>
        </w:tc>
        <w:tc>
          <w:tcPr>
            <w:tcW w:w="311" w:type="pct"/>
          </w:tcPr>
          <w:p w14:paraId="5F9FEFF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-3,000</w:t>
            </w:r>
          </w:p>
        </w:tc>
        <w:tc>
          <w:tcPr>
            <w:tcW w:w="311" w:type="pct"/>
          </w:tcPr>
          <w:p w14:paraId="15C6FDB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-3,400</w:t>
            </w:r>
          </w:p>
        </w:tc>
        <w:tc>
          <w:tcPr>
            <w:tcW w:w="311" w:type="pct"/>
          </w:tcPr>
          <w:p w14:paraId="0DFFA3B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361" w:type="pct"/>
          </w:tcPr>
          <w:p w14:paraId="2338FF66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362" w:type="pct"/>
          </w:tcPr>
          <w:p w14:paraId="5CAAA3F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-23,100</w:t>
            </w:r>
          </w:p>
        </w:tc>
      </w:tr>
      <w:tr w:rsidR="00135114" w:rsidRPr="00621A71" w14:paraId="03CA3E4B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28459E35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4</w:t>
            </w:r>
          </w:p>
        </w:tc>
        <w:tc>
          <w:tcPr>
            <w:tcW w:w="311" w:type="pct"/>
          </w:tcPr>
          <w:p w14:paraId="11D31539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69E1E77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311" w:type="pct"/>
          </w:tcPr>
          <w:p w14:paraId="1A7AF165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-4,400</w:t>
            </w:r>
          </w:p>
        </w:tc>
        <w:tc>
          <w:tcPr>
            <w:tcW w:w="311" w:type="pct"/>
          </w:tcPr>
          <w:p w14:paraId="798B65A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-4,800</w:t>
            </w:r>
          </w:p>
        </w:tc>
        <w:tc>
          <w:tcPr>
            <w:tcW w:w="311" w:type="pct"/>
          </w:tcPr>
          <w:p w14:paraId="73C71606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-4,800</w:t>
            </w:r>
          </w:p>
        </w:tc>
        <w:tc>
          <w:tcPr>
            <w:tcW w:w="311" w:type="pct"/>
          </w:tcPr>
          <w:p w14:paraId="37A4CF1A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-5,300</w:t>
            </w:r>
          </w:p>
        </w:tc>
        <w:tc>
          <w:tcPr>
            <w:tcW w:w="311" w:type="pct"/>
          </w:tcPr>
          <w:p w14:paraId="48A9FA1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-5,900</w:t>
            </w:r>
          </w:p>
        </w:tc>
        <w:tc>
          <w:tcPr>
            <w:tcW w:w="311" w:type="pct"/>
          </w:tcPr>
          <w:p w14:paraId="3BEB9EB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-6,600</w:t>
            </w:r>
          </w:p>
        </w:tc>
        <w:tc>
          <w:tcPr>
            <w:tcW w:w="311" w:type="pct"/>
          </w:tcPr>
          <w:p w14:paraId="5935B1D1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-7,300</w:t>
            </w:r>
          </w:p>
        </w:tc>
        <w:tc>
          <w:tcPr>
            <w:tcW w:w="311" w:type="pct"/>
          </w:tcPr>
          <w:p w14:paraId="7BF3941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-8,200</w:t>
            </w:r>
          </w:p>
        </w:tc>
        <w:tc>
          <w:tcPr>
            <w:tcW w:w="311" w:type="pct"/>
          </w:tcPr>
          <w:p w14:paraId="4A85F9A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-9,200</w:t>
            </w:r>
          </w:p>
        </w:tc>
        <w:tc>
          <w:tcPr>
            <w:tcW w:w="361" w:type="pct"/>
          </w:tcPr>
          <w:p w14:paraId="10C80CE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-12,900</w:t>
            </w:r>
          </w:p>
        </w:tc>
        <w:tc>
          <w:tcPr>
            <w:tcW w:w="362" w:type="pct"/>
          </w:tcPr>
          <w:p w14:paraId="65A4F14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-60,300</w:t>
            </w:r>
          </w:p>
        </w:tc>
      </w:tr>
      <w:tr w:rsidR="00135114" w:rsidRPr="00621A71" w14:paraId="0B7E95D1" w14:textId="77777777" w:rsidTr="00B10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00C46784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Quintile 5</w:t>
            </w:r>
          </w:p>
        </w:tc>
        <w:tc>
          <w:tcPr>
            <w:tcW w:w="311" w:type="pct"/>
          </w:tcPr>
          <w:p w14:paraId="09C3E32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1" w:type="pct"/>
          </w:tcPr>
          <w:p w14:paraId="3AED615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-15,600</w:t>
            </w:r>
          </w:p>
        </w:tc>
        <w:tc>
          <w:tcPr>
            <w:tcW w:w="311" w:type="pct"/>
          </w:tcPr>
          <w:p w14:paraId="3FBB878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-17,800</w:t>
            </w:r>
          </w:p>
        </w:tc>
        <w:tc>
          <w:tcPr>
            <w:tcW w:w="311" w:type="pct"/>
          </w:tcPr>
          <w:p w14:paraId="184C1F0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-19,100</w:t>
            </w:r>
          </w:p>
        </w:tc>
        <w:tc>
          <w:tcPr>
            <w:tcW w:w="311" w:type="pct"/>
          </w:tcPr>
          <w:p w14:paraId="3B4E9A6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-20,800</w:t>
            </w:r>
          </w:p>
        </w:tc>
        <w:tc>
          <w:tcPr>
            <w:tcW w:w="311" w:type="pct"/>
          </w:tcPr>
          <w:p w14:paraId="5186DD07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-22,000</w:t>
            </w:r>
          </w:p>
        </w:tc>
        <w:tc>
          <w:tcPr>
            <w:tcW w:w="311" w:type="pct"/>
          </w:tcPr>
          <w:p w14:paraId="3DDA2D6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-23,500</w:t>
            </w:r>
          </w:p>
        </w:tc>
        <w:tc>
          <w:tcPr>
            <w:tcW w:w="311" w:type="pct"/>
          </w:tcPr>
          <w:p w14:paraId="760DD7A2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311" w:type="pct"/>
          </w:tcPr>
          <w:p w14:paraId="0C1659AA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-26,500</w:t>
            </w:r>
          </w:p>
        </w:tc>
        <w:tc>
          <w:tcPr>
            <w:tcW w:w="311" w:type="pct"/>
          </w:tcPr>
          <w:p w14:paraId="507A9351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-28,000</w:t>
            </w:r>
          </w:p>
        </w:tc>
        <w:tc>
          <w:tcPr>
            <w:tcW w:w="311" w:type="pct"/>
          </w:tcPr>
          <w:p w14:paraId="09726BF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-29,400</w:t>
            </w:r>
          </w:p>
        </w:tc>
        <w:tc>
          <w:tcPr>
            <w:tcW w:w="361" w:type="pct"/>
          </w:tcPr>
          <w:p w14:paraId="05A5690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-52,500</w:t>
            </w:r>
          </w:p>
        </w:tc>
        <w:tc>
          <w:tcPr>
            <w:tcW w:w="362" w:type="pct"/>
          </w:tcPr>
          <w:p w14:paraId="35BC1501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-227,600</w:t>
            </w:r>
          </w:p>
        </w:tc>
      </w:tr>
      <w:tr w:rsidR="00135114" w:rsidRPr="00621A71" w14:paraId="56213136" w14:textId="77777777" w:rsidTr="00B1029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7B2D4" w:themeFill="background2" w:themeFillTint="66"/>
            <w:vAlign w:val="center"/>
          </w:tcPr>
          <w:p w14:paraId="12462D39" w14:textId="77777777" w:rsidR="00135114" w:rsidRPr="00621A71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2941A353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562362C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-20,400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2691F611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-23,500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4899A85E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-25,300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49DCEED9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-27,600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3BC3C65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-29,700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609D94D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-32,000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186482CF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-34,500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62FAEC3B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-37,200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4F4573A4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-40,000</w:t>
            </w:r>
          </w:p>
        </w:tc>
        <w:tc>
          <w:tcPr>
            <w:tcW w:w="311" w:type="pct"/>
            <w:shd w:val="clear" w:color="auto" w:fill="A7B2D4" w:themeFill="background2" w:themeFillTint="66"/>
          </w:tcPr>
          <w:p w14:paraId="36723D1C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-42,900</w:t>
            </w:r>
          </w:p>
        </w:tc>
        <w:tc>
          <w:tcPr>
            <w:tcW w:w="361" w:type="pct"/>
            <w:shd w:val="clear" w:color="auto" w:fill="A7B2D4" w:themeFill="background2" w:themeFillTint="66"/>
          </w:tcPr>
          <w:p w14:paraId="579F2F8A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-69,200</w:t>
            </w:r>
          </w:p>
        </w:tc>
        <w:tc>
          <w:tcPr>
            <w:tcW w:w="362" w:type="pct"/>
            <w:shd w:val="clear" w:color="auto" w:fill="A7B2D4" w:themeFill="background2" w:themeFillTint="66"/>
          </w:tcPr>
          <w:p w14:paraId="10EFAF35" w14:textId="77777777" w:rsidR="00135114" w:rsidRPr="00A7396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A73968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-313,100</w:t>
            </w:r>
          </w:p>
        </w:tc>
      </w:tr>
    </w:tbl>
    <w:p w14:paraId="5269BDDB" w14:textId="77777777" w:rsidR="00135114" w:rsidRPr="00E94CFD" w:rsidRDefault="00135114" w:rsidP="00135114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3DA56136" w14:textId="77777777" w:rsidR="00135114" w:rsidRPr="00E94CFD" w:rsidRDefault="00135114" w:rsidP="00135114">
      <w:pPr>
        <w:pStyle w:val="PRRfootnote2"/>
      </w:pPr>
      <w:r w:rsidRPr="00E94CFD">
        <w:t xml:space="preserve">(b) </w:t>
      </w:r>
      <w:r w:rsidRPr="00E94CFD">
        <w:tab/>
        <w:t>Quintiles are based on all individuals who have lodged a personal income tax return, irrespective of their net tax amount. The taxable income threshold for the quintiles is reported in Attachment C.</w:t>
      </w:r>
    </w:p>
    <w:p w14:paraId="0C8F289E" w14:textId="77777777" w:rsidR="00135114" w:rsidRPr="00051A11" w:rsidRDefault="00135114" w:rsidP="00135114">
      <w:pPr>
        <w:pStyle w:val="PRRfootnote2"/>
        <w:numPr>
          <w:ilvl w:val="0"/>
          <w:numId w:val="47"/>
        </w:numPr>
        <w:ind w:left="284" w:hanging="284"/>
      </w:pPr>
      <w:r w:rsidRPr="00E94CFD">
        <w:t>Indicates nil.</w:t>
      </w:r>
    </w:p>
    <w:p w14:paraId="6B15DA43" w14:textId="77777777" w:rsidR="00135114" w:rsidRPr="00051A11" w:rsidRDefault="00135114" w:rsidP="00135114">
      <w:pPr>
        <w:pStyle w:val="PRRfootnote2"/>
        <w:ind w:left="0" w:firstLine="0"/>
      </w:pPr>
      <w:r>
        <w:t>..      Not zero but rounded to zero.</w:t>
      </w:r>
    </w:p>
    <w:p w14:paraId="40632444" w14:textId="77777777" w:rsidR="00135114" w:rsidRDefault="00135114" w:rsidP="00135114">
      <w:pPr>
        <w:pStyle w:val="PRRfootnote2"/>
        <w:ind w:left="0" w:firstLine="0"/>
      </w:pPr>
    </w:p>
    <w:p w14:paraId="36731C25" w14:textId="77777777" w:rsidR="00135114" w:rsidRDefault="00135114" w:rsidP="00135114">
      <w:pPr>
        <w:pStyle w:val="PRRfootnote2"/>
        <w:ind w:left="0" w:firstLine="0"/>
      </w:pPr>
    </w:p>
    <w:p w14:paraId="790B904E" w14:textId="77777777" w:rsidR="00135114" w:rsidRDefault="00135114" w:rsidP="00135114">
      <w:pPr>
        <w:pStyle w:val="PRRfootnote2"/>
        <w:ind w:left="0" w:firstLine="0"/>
      </w:pPr>
    </w:p>
    <w:p w14:paraId="4BABEA82" w14:textId="77777777" w:rsidR="00135114" w:rsidRDefault="00135114" w:rsidP="00135114">
      <w:pPr>
        <w:pStyle w:val="PRRfootnote2"/>
        <w:ind w:left="0" w:firstLine="0"/>
      </w:pPr>
    </w:p>
    <w:p w14:paraId="1D5065E7" w14:textId="77777777" w:rsidR="00135114" w:rsidRDefault="00135114" w:rsidP="00135114">
      <w:pPr>
        <w:pStyle w:val="PRRfootnote2"/>
        <w:ind w:left="0" w:firstLine="0"/>
      </w:pPr>
    </w:p>
    <w:p w14:paraId="30621F3E" w14:textId="77777777" w:rsidR="00135114" w:rsidRDefault="00135114" w:rsidP="00135114">
      <w:pPr>
        <w:pStyle w:val="PRRfootnote2"/>
        <w:ind w:left="0" w:firstLine="0"/>
      </w:pPr>
    </w:p>
    <w:p w14:paraId="3F555C93" w14:textId="77777777" w:rsidR="00135114" w:rsidRDefault="00135114" w:rsidP="00135114">
      <w:pPr>
        <w:pStyle w:val="PRRfootnote2"/>
        <w:ind w:left="0" w:firstLine="0"/>
      </w:pPr>
    </w:p>
    <w:p w14:paraId="48CD3F14" w14:textId="77777777" w:rsidR="00135114" w:rsidRDefault="00135114" w:rsidP="00135114">
      <w:pPr>
        <w:pStyle w:val="PRRfootnote2"/>
        <w:ind w:left="0" w:firstLine="0"/>
      </w:pPr>
    </w:p>
    <w:p w14:paraId="04F9CDA4" w14:textId="77777777" w:rsidR="00135114" w:rsidRDefault="00135114" w:rsidP="00135114">
      <w:pPr>
        <w:pStyle w:val="PRRfootnote2"/>
        <w:ind w:left="0" w:firstLine="0"/>
      </w:pPr>
    </w:p>
    <w:p w14:paraId="7E52CB37" w14:textId="77777777" w:rsidR="00135114" w:rsidRDefault="00135114" w:rsidP="00135114">
      <w:pPr>
        <w:pStyle w:val="PRRfootnote2"/>
        <w:ind w:left="0" w:firstLine="0"/>
      </w:pPr>
    </w:p>
    <w:p w14:paraId="494AF77D" w14:textId="77777777" w:rsidR="00135114" w:rsidRDefault="00135114" w:rsidP="00135114">
      <w:pPr>
        <w:pStyle w:val="PRRfootnote2"/>
        <w:ind w:left="0" w:firstLine="0"/>
      </w:pPr>
    </w:p>
    <w:p w14:paraId="5C054FA6" w14:textId="77777777" w:rsidR="00135114" w:rsidRDefault="00135114" w:rsidP="00135114">
      <w:pPr>
        <w:pStyle w:val="PRRfootnote2"/>
        <w:ind w:left="0" w:firstLine="0"/>
      </w:pPr>
    </w:p>
    <w:p w14:paraId="52CD79F5" w14:textId="77777777" w:rsidR="00135114" w:rsidRDefault="00135114" w:rsidP="00135114">
      <w:pPr>
        <w:pStyle w:val="PRRfootnote2"/>
        <w:ind w:left="0" w:firstLine="0"/>
      </w:pPr>
    </w:p>
    <w:p w14:paraId="2FCC8000" w14:textId="77777777" w:rsidR="00135114" w:rsidRPr="00051A11" w:rsidRDefault="00135114" w:rsidP="00135114">
      <w:pPr>
        <w:pStyle w:val="PRRfootnote2"/>
        <w:ind w:left="0" w:firstLine="0"/>
      </w:pPr>
    </w:p>
    <w:p w14:paraId="53574B3A" w14:textId="1AEC929A" w:rsidR="00135114" w:rsidRPr="00621A71" w:rsidRDefault="00135114" w:rsidP="00135114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lastRenderedPageBreak/>
        <w:t xml:space="preserve">Table </w:t>
      </w:r>
      <w:r w:rsidR="00103FFC">
        <w:rPr>
          <w:noProof/>
        </w:rPr>
        <w:t>B</w:t>
      </w:r>
      <w:r w:rsidRPr="00621A71">
        <w:rPr>
          <w:noProof/>
        </w:rPr>
        <w:t>2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gender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281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1067"/>
        <w:gridCol w:w="1058"/>
      </w:tblGrid>
      <w:tr w:rsidR="00135114" w:rsidRPr="00E01CF9" w14:paraId="7D2AE513" w14:textId="77777777" w:rsidTr="00B10292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7B2D4" w:themeFill="background2" w:themeFillTint="66"/>
            <w:vAlign w:val="center"/>
          </w:tcPr>
          <w:p w14:paraId="56EDD7FF" w14:textId="77777777" w:rsidR="00135114" w:rsidRPr="00E01CF9" w:rsidRDefault="00135114" w:rsidP="00B10292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D842900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5225DD42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11A61B59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2C73EE2A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6848A03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55AF7D3D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8647995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51991C99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79EB00C1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4788F0E3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319" w:type="pct"/>
            <w:shd w:val="clear" w:color="auto" w:fill="A7B2D4" w:themeFill="background2" w:themeFillTint="66"/>
            <w:vAlign w:val="center"/>
          </w:tcPr>
          <w:p w14:paraId="6B8E0935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3–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361" w:type="pct"/>
            <w:shd w:val="clear" w:color="auto" w:fill="A7B2D4" w:themeFill="background2" w:themeFillTint="66"/>
            <w:vAlign w:val="center"/>
          </w:tcPr>
          <w:p w14:paraId="430420CD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58" w:type="pct"/>
            <w:shd w:val="clear" w:color="auto" w:fill="A7B2D4" w:themeFill="background2" w:themeFillTint="66"/>
            <w:vAlign w:val="center"/>
          </w:tcPr>
          <w:p w14:paraId="106B3DB4" w14:textId="77777777" w:rsidR="00135114" w:rsidRPr="00E01CF9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35114" w:rsidRPr="00E01CF9" w14:paraId="14D35610" w14:textId="77777777" w:rsidTr="00B102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14:paraId="71A2FD10" w14:textId="77777777" w:rsidR="00135114" w:rsidRPr="00E01CF9" w:rsidRDefault="00135114" w:rsidP="00B10292">
            <w:pPr>
              <w:spacing w:after="0" w:line="240" w:lineRule="auto"/>
              <w:rPr>
                <w:sz w:val="16"/>
                <w:szCs w:val="16"/>
              </w:rPr>
            </w:pPr>
            <w:r w:rsidRPr="00E01CF9">
              <w:rPr>
                <w:rFonts w:asciiTheme="minorHAnsi" w:hAnsiTheme="minorHAnsi"/>
                <w:sz w:val="16"/>
                <w:szCs w:val="16"/>
              </w:rPr>
              <w:t xml:space="preserve">Total change in net tax of 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E01CF9">
              <w:rPr>
                <w:rFonts w:asciiTheme="minorHAnsi" w:hAnsiTheme="minorHAnsi"/>
                <w:sz w:val="16"/>
                <w:szCs w:val="16"/>
              </w:rPr>
              <w:t>tage 3 tax cuts by gender</w:t>
            </w:r>
          </w:p>
        </w:tc>
      </w:tr>
      <w:tr w:rsidR="00135114" w:rsidRPr="00E01CF9" w14:paraId="04A0D04F" w14:textId="77777777" w:rsidTr="00B102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Align w:val="center"/>
          </w:tcPr>
          <w:p w14:paraId="0A99520C" w14:textId="77777777" w:rsidR="00135114" w:rsidRPr="00590EC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90EC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319" w:type="pct"/>
          </w:tcPr>
          <w:p w14:paraId="36ED4C9C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583230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48A0C3A1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-6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319" w:type="pct"/>
          </w:tcPr>
          <w:p w14:paraId="5A7DD1DA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-7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319" w:type="pct"/>
          </w:tcPr>
          <w:p w14:paraId="27E87449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-8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19" w:type="pct"/>
          </w:tcPr>
          <w:p w14:paraId="1BC1D110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-9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319" w:type="pct"/>
          </w:tcPr>
          <w:p w14:paraId="757E23A8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-10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319" w:type="pct"/>
          </w:tcPr>
          <w:p w14:paraId="032AE3DD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-11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319" w:type="pct"/>
          </w:tcPr>
          <w:p w14:paraId="1F744444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-12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319" w:type="pct"/>
          </w:tcPr>
          <w:p w14:paraId="4A6BBA46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-13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319" w:type="pct"/>
          </w:tcPr>
          <w:p w14:paraId="21D5EA8B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-14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319" w:type="pct"/>
          </w:tcPr>
          <w:p w14:paraId="2693AB8B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-15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361" w:type="pct"/>
          </w:tcPr>
          <w:p w14:paraId="0A28AD32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-23</w:t>
            </w: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358" w:type="pct"/>
          </w:tcPr>
          <w:p w14:paraId="55890565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-109</w:t>
            </w: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</w:tr>
      <w:tr w:rsidR="00135114" w:rsidRPr="00E01CF9" w14:paraId="1EC361F4" w14:textId="77777777" w:rsidTr="00B102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Align w:val="center"/>
          </w:tcPr>
          <w:p w14:paraId="2864074B" w14:textId="77777777" w:rsidR="00135114" w:rsidRPr="00590EC8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90EC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Male</w:t>
            </w:r>
          </w:p>
        </w:tc>
        <w:tc>
          <w:tcPr>
            <w:tcW w:w="319" w:type="pct"/>
          </w:tcPr>
          <w:p w14:paraId="2078A29D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</w:pPr>
            <w:r w:rsidRPr="00583230">
              <w:rPr>
                <w:rFonts w:asciiTheme="minorHAnsi" w:eastAsiaTheme="majorEastAsia" w:hAnsiTheme="minorHAnsi"/>
                <w:i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</w:tcPr>
          <w:p w14:paraId="4F0316C2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-13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319" w:type="pct"/>
          </w:tcPr>
          <w:p w14:paraId="448CF362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-15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319" w:type="pct"/>
          </w:tcPr>
          <w:p w14:paraId="6E61C772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-16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319" w:type="pct"/>
          </w:tcPr>
          <w:p w14:paraId="382D603E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-18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319" w:type="pct"/>
          </w:tcPr>
          <w:p w14:paraId="3FD1FFDE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-19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319" w:type="pct"/>
          </w:tcPr>
          <w:p w14:paraId="7651BD37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-20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319" w:type="pct"/>
          </w:tcPr>
          <w:p w14:paraId="38D4D174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-22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319" w:type="pct"/>
          </w:tcPr>
          <w:p w14:paraId="57742D53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-24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19" w:type="pct"/>
          </w:tcPr>
          <w:p w14:paraId="1EFBAF5B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-25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319" w:type="pct"/>
          </w:tcPr>
          <w:p w14:paraId="3883069B" w14:textId="77777777" w:rsidR="00135114" w:rsidRPr="00583230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-27</w:t>
            </w:r>
            <w:r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361" w:type="pct"/>
          </w:tcPr>
          <w:p w14:paraId="15A14C44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-45</w:t>
            </w: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358" w:type="pct"/>
          </w:tcPr>
          <w:p w14:paraId="67F78C04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-203</w:t>
            </w:r>
            <w:r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</w:tr>
      <w:tr w:rsidR="00135114" w:rsidRPr="00E01CF9" w14:paraId="5609E99E" w14:textId="77777777" w:rsidTr="00B1029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7B2D4" w:themeFill="background2" w:themeFillTint="66"/>
            <w:vAlign w:val="center"/>
          </w:tcPr>
          <w:p w14:paraId="489181B7" w14:textId="77777777" w:rsidR="00135114" w:rsidRPr="00E01CF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01CF9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112A2C8A" w14:textId="77777777" w:rsidR="00135114" w:rsidRPr="006436F2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19FB628E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-20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5C00B2CF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-23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21D88525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-25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0A789D08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-27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502D0569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-29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6A356E40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-32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1ED376AD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-34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317C9421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-37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134B8232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-40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19" w:type="pct"/>
            <w:shd w:val="clear" w:color="auto" w:fill="A7B2D4" w:themeFill="background2" w:themeFillTint="66"/>
          </w:tcPr>
          <w:p w14:paraId="52CE6139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-42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61" w:type="pct"/>
            <w:shd w:val="clear" w:color="auto" w:fill="A7B2D4" w:themeFill="background2" w:themeFillTint="66"/>
          </w:tcPr>
          <w:p w14:paraId="5274B63A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-69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7B2D4" w:themeFill="background2" w:themeFillTint="66"/>
          </w:tcPr>
          <w:p w14:paraId="627FA5D6" w14:textId="77777777" w:rsidR="00135114" w:rsidRPr="00AC6586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-313</w:t>
            </w:r>
            <w:r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,</w:t>
            </w: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100</w:t>
            </w:r>
          </w:p>
        </w:tc>
      </w:tr>
    </w:tbl>
    <w:p w14:paraId="55543B4C" w14:textId="77777777" w:rsidR="00135114" w:rsidRPr="00E94CFD" w:rsidRDefault="00135114" w:rsidP="00135114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1B73B7D7" w14:textId="77777777" w:rsidR="00135114" w:rsidRPr="00E94CFD" w:rsidRDefault="00135114" w:rsidP="00135114">
      <w:pPr>
        <w:pStyle w:val="PRRfootnote2"/>
      </w:pPr>
      <w:r w:rsidRPr="00E94CFD">
        <w:t xml:space="preserve">(b)   </w:t>
      </w:r>
      <w:r>
        <w:t>The impact for individuals whose gender cannot be determined from their tax return is small and has been rounded to zero</w:t>
      </w:r>
      <w:r w:rsidRPr="00E94CFD">
        <w:t>.</w:t>
      </w:r>
    </w:p>
    <w:p w14:paraId="416075CB" w14:textId="77777777" w:rsidR="00135114" w:rsidRPr="00E94CFD" w:rsidRDefault="00135114" w:rsidP="00135114">
      <w:pPr>
        <w:pStyle w:val="PRRfootnote2"/>
        <w:numPr>
          <w:ilvl w:val="0"/>
          <w:numId w:val="47"/>
        </w:numPr>
        <w:ind w:left="284" w:hanging="284"/>
      </w:pPr>
      <w:r w:rsidRPr="00E94CFD">
        <w:t>Indicates nil.</w:t>
      </w:r>
    </w:p>
    <w:p w14:paraId="3A4210AB" w14:textId="409A6BDD" w:rsidR="00135114" w:rsidRPr="00621A71" w:rsidRDefault="00135114" w:rsidP="00135114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="00103FFC">
        <w:rPr>
          <w:noProof/>
        </w:rPr>
        <w:t>B</w:t>
      </w:r>
      <w:r w:rsidRPr="00621A71">
        <w:rPr>
          <w:noProof/>
        </w:rPr>
        <w:t>3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>– Total cost by specified taxable income brackets – Fiscal and underlying cash balances ($</w:t>
      </w:r>
      <w:proofErr w:type="gramStart"/>
      <w:r w:rsidRPr="00621A71">
        <w:t>m)</w:t>
      </w:r>
      <w:r w:rsidRPr="00621A71">
        <w:rPr>
          <w:vertAlign w:val="superscript"/>
        </w:rPr>
        <w:t>(</w:t>
      </w:r>
      <w:proofErr w:type="gramEnd"/>
      <w:r w:rsidRPr="00621A71">
        <w:rPr>
          <w:vertAlign w:val="superscript"/>
        </w:rPr>
        <w:t>a)</w:t>
      </w:r>
    </w:p>
    <w:tbl>
      <w:tblPr>
        <w:tblStyle w:val="LightGrid-Accent6"/>
        <w:tblW w:w="14783" w:type="dxa"/>
        <w:tblLayout w:type="fixed"/>
        <w:tblLook w:val="0680" w:firstRow="0" w:lastRow="0" w:firstColumn="1" w:lastColumn="0" w:noHBand="1" w:noVBand="1"/>
      </w:tblPr>
      <w:tblGrid>
        <w:gridCol w:w="2281"/>
        <w:gridCol w:w="16"/>
        <w:gridCol w:w="932"/>
        <w:gridCol w:w="19"/>
        <w:gridCol w:w="931"/>
        <w:gridCol w:w="20"/>
        <w:gridCol w:w="929"/>
        <w:gridCol w:w="21"/>
        <w:gridCol w:w="930"/>
        <w:gridCol w:w="19"/>
        <w:gridCol w:w="931"/>
        <w:gridCol w:w="19"/>
        <w:gridCol w:w="950"/>
        <w:gridCol w:w="956"/>
        <w:gridCol w:w="951"/>
        <w:gridCol w:w="950"/>
        <w:gridCol w:w="951"/>
        <w:gridCol w:w="951"/>
        <w:gridCol w:w="1005"/>
        <w:gridCol w:w="1021"/>
      </w:tblGrid>
      <w:tr w:rsidR="00135114" w:rsidRPr="00621A71" w14:paraId="68317C7F" w14:textId="77777777" w:rsidTr="00B1029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shd w:val="clear" w:color="auto" w:fill="A7B2D4" w:themeFill="background2" w:themeFillTint="66"/>
            <w:vAlign w:val="center"/>
          </w:tcPr>
          <w:p w14:paraId="13863DAD" w14:textId="77777777" w:rsidR="00135114" w:rsidRPr="004947A9" w:rsidRDefault="00135114" w:rsidP="00B10292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7B2D4" w:themeFill="background2" w:themeFillTint="66"/>
            <w:vAlign w:val="center"/>
          </w:tcPr>
          <w:p w14:paraId="1FF8C940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2023–24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  <w:vAlign w:val="center"/>
          </w:tcPr>
          <w:p w14:paraId="264D66F5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949" w:type="dxa"/>
            <w:gridSpan w:val="2"/>
            <w:shd w:val="clear" w:color="auto" w:fill="A7B2D4" w:themeFill="background2" w:themeFillTint="66"/>
            <w:vAlign w:val="center"/>
          </w:tcPr>
          <w:p w14:paraId="02737C28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  <w:vAlign w:val="center"/>
          </w:tcPr>
          <w:p w14:paraId="236EB205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  <w:vAlign w:val="center"/>
          </w:tcPr>
          <w:p w14:paraId="68B03917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969" w:type="dxa"/>
            <w:gridSpan w:val="2"/>
            <w:shd w:val="clear" w:color="auto" w:fill="A7B2D4" w:themeFill="background2" w:themeFillTint="66"/>
            <w:vAlign w:val="center"/>
          </w:tcPr>
          <w:p w14:paraId="4B8B1EF1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956" w:type="dxa"/>
            <w:shd w:val="clear" w:color="auto" w:fill="A7B2D4" w:themeFill="background2" w:themeFillTint="66"/>
            <w:vAlign w:val="center"/>
          </w:tcPr>
          <w:p w14:paraId="332ED97F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951" w:type="dxa"/>
            <w:shd w:val="clear" w:color="auto" w:fill="A7B2D4" w:themeFill="background2" w:themeFillTint="66"/>
            <w:vAlign w:val="center"/>
          </w:tcPr>
          <w:p w14:paraId="275A9DBA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2030–31</w:t>
            </w:r>
          </w:p>
        </w:tc>
        <w:tc>
          <w:tcPr>
            <w:tcW w:w="950" w:type="dxa"/>
            <w:shd w:val="clear" w:color="auto" w:fill="A7B2D4" w:themeFill="background2" w:themeFillTint="66"/>
            <w:vAlign w:val="center"/>
          </w:tcPr>
          <w:p w14:paraId="5A61B213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2031–32</w:t>
            </w:r>
          </w:p>
        </w:tc>
        <w:tc>
          <w:tcPr>
            <w:tcW w:w="951" w:type="dxa"/>
            <w:shd w:val="clear" w:color="auto" w:fill="A7B2D4" w:themeFill="background2" w:themeFillTint="66"/>
            <w:vAlign w:val="center"/>
          </w:tcPr>
          <w:p w14:paraId="70F96402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2032–33</w:t>
            </w:r>
          </w:p>
        </w:tc>
        <w:tc>
          <w:tcPr>
            <w:tcW w:w="951" w:type="dxa"/>
            <w:shd w:val="clear" w:color="auto" w:fill="A7B2D4" w:themeFill="background2" w:themeFillTint="66"/>
            <w:vAlign w:val="center"/>
          </w:tcPr>
          <w:p w14:paraId="2A7E8A27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3–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1005" w:type="dxa"/>
            <w:shd w:val="clear" w:color="auto" w:fill="A7B2D4" w:themeFill="background2" w:themeFillTint="66"/>
            <w:vAlign w:val="center"/>
          </w:tcPr>
          <w:p w14:paraId="5386C386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auto" w:fill="A7B2D4" w:themeFill="background2" w:themeFillTint="66"/>
            <w:vAlign w:val="center"/>
          </w:tcPr>
          <w:p w14:paraId="7407BED9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Total to     203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060A1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35114" w:rsidRPr="00621A71" w14:paraId="0FBDFD07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3" w:type="dxa"/>
            <w:gridSpan w:val="20"/>
            <w:shd w:val="clear" w:color="auto" w:fill="D3D8E9" w:themeFill="background2" w:themeFillTint="33"/>
            <w:vAlign w:val="center"/>
          </w:tcPr>
          <w:p w14:paraId="4D82031B" w14:textId="77777777" w:rsidR="00135114" w:rsidRPr="00621A71" w:rsidRDefault="00135114" w:rsidP="00B1029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47A9">
              <w:rPr>
                <w:rFonts w:asciiTheme="minorHAnsi" w:hAnsiTheme="minorHAnsi"/>
                <w:i w:val="0"/>
                <w:iCs/>
                <w:sz w:val="16"/>
                <w:szCs w:val="16"/>
              </w:rPr>
              <w:t>Total change in net tax of Stage 3 tax cuts by taxable income bracket</w:t>
            </w:r>
          </w:p>
        </w:tc>
      </w:tr>
      <w:tr w:rsidR="00135114" w:rsidRPr="00621A71" w14:paraId="2A438B55" w14:textId="77777777" w:rsidTr="00B1029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06A09D55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Up to $45,000</w:t>
            </w:r>
          </w:p>
        </w:tc>
        <w:tc>
          <w:tcPr>
            <w:tcW w:w="951" w:type="dxa"/>
            <w:gridSpan w:val="2"/>
          </w:tcPr>
          <w:p w14:paraId="5AC08AA9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27946BD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</w:tcPr>
          <w:p w14:paraId="03FA911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49" w:type="dxa"/>
            <w:gridSpan w:val="2"/>
          </w:tcPr>
          <w:p w14:paraId="3E9C1138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0" w:type="dxa"/>
            <w:gridSpan w:val="2"/>
          </w:tcPr>
          <w:p w14:paraId="044D553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14:paraId="25CB81A4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14:paraId="0B3935D1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14:paraId="2CD2401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14:paraId="18F239F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14:paraId="1FA61FEE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14:paraId="4323C294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14:paraId="4DEC8ECB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072ED239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135114" w:rsidRPr="00621A71" w14:paraId="7E60F30E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7C44FF50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$45,001 to $60,000</w:t>
            </w:r>
          </w:p>
        </w:tc>
        <w:tc>
          <w:tcPr>
            <w:tcW w:w="951" w:type="dxa"/>
            <w:gridSpan w:val="2"/>
          </w:tcPr>
          <w:p w14:paraId="7E038C2E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6925C51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950" w:type="dxa"/>
            <w:gridSpan w:val="2"/>
          </w:tcPr>
          <w:p w14:paraId="69079B83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-300</w:t>
            </w:r>
          </w:p>
        </w:tc>
        <w:tc>
          <w:tcPr>
            <w:tcW w:w="949" w:type="dxa"/>
            <w:gridSpan w:val="2"/>
          </w:tcPr>
          <w:p w14:paraId="63E5D05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950" w:type="dxa"/>
            <w:gridSpan w:val="2"/>
          </w:tcPr>
          <w:p w14:paraId="0276C56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-500</w:t>
            </w:r>
          </w:p>
        </w:tc>
        <w:tc>
          <w:tcPr>
            <w:tcW w:w="950" w:type="dxa"/>
          </w:tcPr>
          <w:p w14:paraId="2180609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-300</w:t>
            </w:r>
          </w:p>
        </w:tc>
        <w:tc>
          <w:tcPr>
            <w:tcW w:w="956" w:type="dxa"/>
          </w:tcPr>
          <w:p w14:paraId="5506DFC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951" w:type="dxa"/>
          </w:tcPr>
          <w:p w14:paraId="03C361A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-500</w:t>
            </w:r>
          </w:p>
        </w:tc>
        <w:tc>
          <w:tcPr>
            <w:tcW w:w="950" w:type="dxa"/>
          </w:tcPr>
          <w:p w14:paraId="798642BE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951" w:type="dxa"/>
          </w:tcPr>
          <w:p w14:paraId="2EBB75A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-300</w:t>
            </w:r>
          </w:p>
        </w:tc>
        <w:tc>
          <w:tcPr>
            <w:tcW w:w="951" w:type="dxa"/>
          </w:tcPr>
          <w:p w14:paraId="689C45A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-400</w:t>
            </w:r>
          </w:p>
        </w:tc>
        <w:tc>
          <w:tcPr>
            <w:tcW w:w="1005" w:type="dxa"/>
          </w:tcPr>
          <w:p w14:paraId="4E29F3C9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-1,100</w:t>
            </w:r>
          </w:p>
        </w:tc>
        <w:tc>
          <w:tcPr>
            <w:tcW w:w="1021" w:type="dxa"/>
          </w:tcPr>
          <w:p w14:paraId="3A7A3C1D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-3,700</w:t>
            </w:r>
          </w:p>
        </w:tc>
      </w:tr>
      <w:tr w:rsidR="00135114" w:rsidRPr="00621A71" w14:paraId="5A74C358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68596E13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$60,001 to $90,000</w:t>
            </w:r>
          </w:p>
        </w:tc>
        <w:tc>
          <w:tcPr>
            <w:tcW w:w="951" w:type="dxa"/>
            <w:gridSpan w:val="2"/>
          </w:tcPr>
          <w:p w14:paraId="49E0B0D5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4BECC4BA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-2,100</w:t>
            </w:r>
          </w:p>
        </w:tc>
        <w:tc>
          <w:tcPr>
            <w:tcW w:w="950" w:type="dxa"/>
            <w:gridSpan w:val="2"/>
          </w:tcPr>
          <w:p w14:paraId="5543FC3F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-2,700</w:t>
            </w:r>
          </w:p>
        </w:tc>
        <w:tc>
          <w:tcPr>
            <w:tcW w:w="949" w:type="dxa"/>
            <w:gridSpan w:val="2"/>
          </w:tcPr>
          <w:p w14:paraId="2C30CD36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950" w:type="dxa"/>
            <w:gridSpan w:val="2"/>
          </w:tcPr>
          <w:p w14:paraId="673D5FAA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-2,600</w:t>
            </w:r>
          </w:p>
        </w:tc>
        <w:tc>
          <w:tcPr>
            <w:tcW w:w="950" w:type="dxa"/>
          </w:tcPr>
          <w:p w14:paraId="388BEEC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-2,600</w:t>
            </w:r>
          </w:p>
        </w:tc>
        <w:tc>
          <w:tcPr>
            <w:tcW w:w="956" w:type="dxa"/>
          </w:tcPr>
          <w:p w14:paraId="6B54F37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-2,400</w:t>
            </w:r>
          </w:p>
        </w:tc>
        <w:tc>
          <w:tcPr>
            <w:tcW w:w="951" w:type="dxa"/>
          </w:tcPr>
          <w:p w14:paraId="350D9AB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950" w:type="dxa"/>
          </w:tcPr>
          <w:p w14:paraId="65F42614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-2,500</w:t>
            </w:r>
          </w:p>
        </w:tc>
        <w:tc>
          <w:tcPr>
            <w:tcW w:w="951" w:type="dxa"/>
          </w:tcPr>
          <w:p w14:paraId="6265CCC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-2,400</w:t>
            </w:r>
          </w:p>
        </w:tc>
        <w:tc>
          <w:tcPr>
            <w:tcW w:w="951" w:type="dxa"/>
          </w:tcPr>
          <w:p w14:paraId="766E676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-2,700</w:t>
            </w:r>
          </w:p>
        </w:tc>
        <w:tc>
          <w:tcPr>
            <w:tcW w:w="1005" w:type="dxa"/>
          </w:tcPr>
          <w:p w14:paraId="0482BF15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-7,200</w:t>
            </w:r>
          </w:p>
        </w:tc>
        <w:tc>
          <w:tcPr>
            <w:tcW w:w="1021" w:type="dxa"/>
          </w:tcPr>
          <w:p w14:paraId="26E92D1F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-25,000</w:t>
            </w:r>
          </w:p>
        </w:tc>
      </w:tr>
      <w:tr w:rsidR="00135114" w:rsidRPr="00621A71" w14:paraId="1EFA24A5" w14:textId="77777777" w:rsidTr="00B1029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4C76F2F1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$90,001 to $120,000</w:t>
            </w:r>
          </w:p>
        </w:tc>
        <w:tc>
          <w:tcPr>
            <w:tcW w:w="951" w:type="dxa"/>
            <w:gridSpan w:val="2"/>
          </w:tcPr>
          <w:p w14:paraId="0A52D794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2724FBF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-3,000</w:t>
            </w:r>
          </w:p>
        </w:tc>
        <w:tc>
          <w:tcPr>
            <w:tcW w:w="950" w:type="dxa"/>
            <w:gridSpan w:val="2"/>
          </w:tcPr>
          <w:p w14:paraId="50E228B6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-3,100</w:t>
            </w:r>
          </w:p>
        </w:tc>
        <w:tc>
          <w:tcPr>
            <w:tcW w:w="949" w:type="dxa"/>
            <w:gridSpan w:val="2"/>
          </w:tcPr>
          <w:p w14:paraId="0F40B7FF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-3,500</w:t>
            </w:r>
          </w:p>
        </w:tc>
        <w:tc>
          <w:tcPr>
            <w:tcW w:w="950" w:type="dxa"/>
            <w:gridSpan w:val="2"/>
          </w:tcPr>
          <w:p w14:paraId="40DF580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-3,300</w:t>
            </w:r>
          </w:p>
        </w:tc>
        <w:tc>
          <w:tcPr>
            <w:tcW w:w="950" w:type="dxa"/>
          </w:tcPr>
          <w:p w14:paraId="533FD1D7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-3,600</w:t>
            </w:r>
          </w:p>
        </w:tc>
        <w:tc>
          <w:tcPr>
            <w:tcW w:w="956" w:type="dxa"/>
          </w:tcPr>
          <w:p w14:paraId="5261F6C7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-4,100</w:t>
            </w:r>
          </w:p>
        </w:tc>
        <w:tc>
          <w:tcPr>
            <w:tcW w:w="951" w:type="dxa"/>
          </w:tcPr>
          <w:p w14:paraId="134509AF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-3,900</w:t>
            </w:r>
          </w:p>
        </w:tc>
        <w:tc>
          <w:tcPr>
            <w:tcW w:w="950" w:type="dxa"/>
          </w:tcPr>
          <w:p w14:paraId="5A914CC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-3,900</w:t>
            </w:r>
          </w:p>
        </w:tc>
        <w:tc>
          <w:tcPr>
            <w:tcW w:w="951" w:type="dxa"/>
          </w:tcPr>
          <w:p w14:paraId="133C203A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-3,800</w:t>
            </w:r>
          </w:p>
        </w:tc>
        <w:tc>
          <w:tcPr>
            <w:tcW w:w="951" w:type="dxa"/>
          </w:tcPr>
          <w:p w14:paraId="04AD1D0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-4,100</w:t>
            </w:r>
          </w:p>
        </w:tc>
        <w:tc>
          <w:tcPr>
            <w:tcW w:w="1005" w:type="dxa"/>
          </w:tcPr>
          <w:p w14:paraId="0040363F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-9,500</w:t>
            </w:r>
          </w:p>
        </w:tc>
        <w:tc>
          <w:tcPr>
            <w:tcW w:w="1021" w:type="dxa"/>
          </w:tcPr>
          <w:p w14:paraId="3A6DBD0B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-36,200</w:t>
            </w:r>
          </w:p>
        </w:tc>
      </w:tr>
      <w:tr w:rsidR="00135114" w:rsidRPr="00621A71" w14:paraId="04CB1636" w14:textId="77777777" w:rsidTr="00B10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7D5C810A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$120,001 to $150,000</w:t>
            </w:r>
          </w:p>
        </w:tc>
        <w:tc>
          <w:tcPr>
            <w:tcW w:w="951" w:type="dxa"/>
            <w:gridSpan w:val="2"/>
          </w:tcPr>
          <w:p w14:paraId="60CF5830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0D771783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-3,200</w:t>
            </w:r>
          </w:p>
        </w:tc>
        <w:tc>
          <w:tcPr>
            <w:tcW w:w="950" w:type="dxa"/>
            <w:gridSpan w:val="2"/>
          </w:tcPr>
          <w:p w14:paraId="2CCDA98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949" w:type="dxa"/>
            <w:gridSpan w:val="2"/>
          </w:tcPr>
          <w:p w14:paraId="68EE391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950" w:type="dxa"/>
            <w:gridSpan w:val="2"/>
          </w:tcPr>
          <w:p w14:paraId="16115AB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-4,300</w:t>
            </w:r>
          </w:p>
        </w:tc>
        <w:tc>
          <w:tcPr>
            <w:tcW w:w="950" w:type="dxa"/>
          </w:tcPr>
          <w:p w14:paraId="32D2B24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-4,200</w:t>
            </w:r>
          </w:p>
        </w:tc>
        <w:tc>
          <w:tcPr>
            <w:tcW w:w="956" w:type="dxa"/>
          </w:tcPr>
          <w:p w14:paraId="580EB27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-4,900</w:t>
            </w:r>
          </w:p>
        </w:tc>
        <w:tc>
          <w:tcPr>
            <w:tcW w:w="951" w:type="dxa"/>
          </w:tcPr>
          <w:p w14:paraId="46E1B3E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-5,000</w:t>
            </w:r>
          </w:p>
        </w:tc>
        <w:tc>
          <w:tcPr>
            <w:tcW w:w="950" w:type="dxa"/>
          </w:tcPr>
          <w:p w14:paraId="5BBEBC77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-5,600</w:t>
            </w:r>
          </w:p>
        </w:tc>
        <w:tc>
          <w:tcPr>
            <w:tcW w:w="951" w:type="dxa"/>
          </w:tcPr>
          <w:p w14:paraId="3F51197E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-5,400</w:t>
            </w:r>
          </w:p>
        </w:tc>
        <w:tc>
          <w:tcPr>
            <w:tcW w:w="951" w:type="dxa"/>
          </w:tcPr>
          <w:p w14:paraId="254BBEB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-5,100</w:t>
            </w:r>
          </w:p>
        </w:tc>
        <w:tc>
          <w:tcPr>
            <w:tcW w:w="1005" w:type="dxa"/>
          </w:tcPr>
          <w:p w14:paraId="65DFE79D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-10,600</w:t>
            </w:r>
          </w:p>
        </w:tc>
        <w:tc>
          <w:tcPr>
            <w:tcW w:w="1021" w:type="dxa"/>
          </w:tcPr>
          <w:p w14:paraId="59C56546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-45,100</w:t>
            </w:r>
          </w:p>
        </w:tc>
      </w:tr>
      <w:tr w:rsidR="00135114" w:rsidRPr="00621A71" w14:paraId="373FB9F0" w14:textId="77777777" w:rsidTr="00B10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7E1FB8AE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$150,001 to $180,000</w:t>
            </w:r>
          </w:p>
        </w:tc>
        <w:tc>
          <w:tcPr>
            <w:tcW w:w="951" w:type="dxa"/>
            <w:gridSpan w:val="2"/>
          </w:tcPr>
          <w:p w14:paraId="21FCEBB7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7EEB92B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-2,600</w:t>
            </w:r>
          </w:p>
        </w:tc>
        <w:tc>
          <w:tcPr>
            <w:tcW w:w="950" w:type="dxa"/>
            <w:gridSpan w:val="2"/>
          </w:tcPr>
          <w:p w14:paraId="2E692C8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-3,400</w:t>
            </w:r>
          </w:p>
        </w:tc>
        <w:tc>
          <w:tcPr>
            <w:tcW w:w="949" w:type="dxa"/>
            <w:gridSpan w:val="2"/>
          </w:tcPr>
          <w:p w14:paraId="13DE4F86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-3,700</w:t>
            </w:r>
          </w:p>
        </w:tc>
        <w:tc>
          <w:tcPr>
            <w:tcW w:w="950" w:type="dxa"/>
            <w:gridSpan w:val="2"/>
          </w:tcPr>
          <w:p w14:paraId="529D93A8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-3,900</w:t>
            </w:r>
          </w:p>
        </w:tc>
        <w:tc>
          <w:tcPr>
            <w:tcW w:w="950" w:type="dxa"/>
          </w:tcPr>
          <w:p w14:paraId="023674EB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-4,600</w:t>
            </w:r>
          </w:p>
        </w:tc>
        <w:tc>
          <w:tcPr>
            <w:tcW w:w="956" w:type="dxa"/>
          </w:tcPr>
          <w:p w14:paraId="7E300986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-4,200</w:t>
            </w:r>
          </w:p>
        </w:tc>
        <w:tc>
          <w:tcPr>
            <w:tcW w:w="951" w:type="dxa"/>
          </w:tcPr>
          <w:p w14:paraId="13EA55B1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-4,900</w:t>
            </w:r>
          </w:p>
        </w:tc>
        <w:tc>
          <w:tcPr>
            <w:tcW w:w="950" w:type="dxa"/>
          </w:tcPr>
          <w:p w14:paraId="1FE6230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-5,300</w:t>
            </w:r>
          </w:p>
        </w:tc>
        <w:tc>
          <w:tcPr>
            <w:tcW w:w="951" w:type="dxa"/>
          </w:tcPr>
          <w:p w14:paraId="5ADA47B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-6,500</w:t>
            </w:r>
          </w:p>
        </w:tc>
        <w:tc>
          <w:tcPr>
            <w:tcW w:w="951" w:type="dxa"/>
          </w:tcPr>
          <w:p w14:paraId="02FEFE1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-6,500</w:t>
            </w:r>
          </w:p>
        </w:tc>
        <w:tc>
          <w:tcPr>
            <w:tcW w:w="1005" w:type="dxa"/>
          </w:tcPr>
          <w:p w14:paraId="0B66AFCB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-9,700</w:t>
            </w:r>
          </w:p>
        </w:tc>
        <w:tc>
          <w:tcPr>
            <w:tcW w:w="1021" w:type="dxa"/>
          </w:tcPr>
          <w:p w14:paraId="7D72C6C0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-45,600</w:t>
            </w:r>
          </w:p>
        </w:tc>
      </w:tr>
      <w:tr w:rsidR="00135114" w:rsidRPr="00621A71" w14:paraId="33FEF1BB" w14:textId="77777777" w:rsidTr="00B10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vAlign w:val="bottom"/>
          </w:tcPr>
          <w:p w14:paraId="22CD0308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4947A9">
              <w:rPr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$180,001 and above</w:t>
            </w:r>
          </w:p>
        </w:tc>
        <w:tc>
          <w:tcPr>
            <w:tcW w:w="951" w:type="dxa"/>
            <w:gridSpan w:val="2"/>
          </w:tcPr>
          <w:p w14:paraId="2DFA1164" w14:textId="77777777" w:rsidR="00135114" w:rsidRPr="0031787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317879">
              <w:rPr>
                <w:rFonts w:asciiTheme="minorHAnsi" w:eastAsiaTheme="majorEastAsia" w:hAnsiTheme="minorHAnsi"/>
                <w:i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</w:tcPr>
          <w:p w14:paraId="6D79E7BE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-9,100</w:t>
            </w:r>
          </w:p>
        </w:tc>
        <w:tc>
          <w:tcPr>
            <w:tcW w:w="950" w:type="dxa"/>
            <w:gridSpan w:val="2"/>
          </w:tcPr>
          <w:p w14:paraId="78BC49A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-10,400</w:t>
            </w:r>
          </w:p>
        </w:tc>
        <w:tc>
          <w:tcPr>
            <w:tcW w:w="949" w:type="dxa"/>
            <w:gridSpan w:val="2"/>
          </w:tcPr>
          <w:p w14:paraId="6A6164A7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-11,600</w:t>
            </w:r>
          </w:p>
        </w:tc>
        <w:tc>
          <w:tcPr>
            <w:tcW w:w="950" w:type="dxa"/>
            <w:gridSpan w:val="2"/>
          </w:tcPr>
          <w:p w14:paraId="355F394E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-13,000</w:t>
            </w:r>
          </w:p>
        </w:tc>
        <w:tc>
          <w:tcPr>
            <w:tcW w:w="950" w:type="dxa"/>
          </w:tcPr>
          <w:p w14:paraId="212628A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-14,400</w:t>
            </w:r>
          </w:p>
        </w:tc>
        <w:tc>
          <w:tcPr>
            <w:tcW w:w="956" w:type="dxa"/>
          </w:tcPr>
          <w:p w14:paraId="4FF139F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-15,900</w:t>
            </w:r>
          </w:p>
        </w:tc>
        <w:tc>
          <w:tcPr>
            <w:tcW w:w="951" w:type="dxa"/>
          </w:tcPr>
          <w:p w14:paraId="7448DF1D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-17,700</w:t>
            </w:r>
          </w:p>
        </w:tc>
        <w:tc>
          <w:tcPr>
            <w:tcW w:w="950" w:type="dxa"/>
          </w:tcPr>
          <w:p w14:paraId="2AA45273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-19,600</w:t>
            </w:r>
          </w:p>
        </w:tc>
        <w:tc>
          <w:tcPr>
            <w:tcW w:w="951" w:type="dxa"/>
          </w:tcPr>
          <w:p w14:paraId="7CFBC371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-21,600</w:t>
            </w:r>
          </w:p>
        </w:tc>
        <w:tc>
          <w:tcPr>
            <w:tcW w:w="951" w:type="dxa"/>
          </w:tcPr>
          <w:p w14:paraId="6185B2B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i/>
                <w:iCs/>
                <w:sz w:val="16"/>
                <w:szCs w:val="16"/>
              </w:rPr>
              <w:t>-24,200</w:t>
            </w:r>
          </w:p>
        </w:tc>
        <w:tc>
          <w:tcPr>
            <w:tcW w:w="1005" w:type="dxa"/>
          </w:tcPr>
          <w:p w14:paraId="61253F30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-31,000</w:t>
            </w:r>
          </w:p>
        </w:tc>
        <w:tc>
          <w:tcPr>
            <w:tcW w:w="1021" w:type="dxa"/>
          </w:tcPr>
          <w:p w14:paraId="6CF5FD2F" w14:textId="77777777" w:rsidR="00135114" w:rsidRPr="00D56CE4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16"/>
                <w:szCs w:val="16"/>
              </w:rPr>
              <w:t>-157,500</w:t>
            </w:r>
          </w:p>
        </w:tc>
      </w:tr>
      <w:tr w:rsidR="00135114" w:rsidRPr="00621A71" w14:paraId="29EAD184" w14:textId="77777777" w:rsidTr="00B1029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shd w:val="clear" w:color="auto" w:fill="A7B2D4" w:themeFill="background2" w:themeFillTint="66"/>
            <w:vAlign w:val="bottom"/>
          </w:tcPr>
          <w:p w14:paraId="568C5DF0" w14:textId="77777777" w:rsidR="00135114" w:rsidRPr="004947A9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4947A9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</w:tcPr>
          <w:p w14:paraId="61FC9335" w14:textId="77777777" w:rsidR="00135114" w:rsidRPr="006436F2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</w:pPr>
            <w:r w:rsidRPr="006436F2">
              <w:rPr>
                <w:rFonts w:asciiTheme="minorHAnsi" w:eastAsiaTheme="majorEastAsia" w:hAnsiTheme="minorHAnsi"/>
                <w:b/>
                <w:iCs/>
                <w:sz w:val="16"/>
                <w:szCs w:val="16"/>
              </w:rPr>
              <w:t xml:space="preserve"> -   </w:t>
            </w:r>
          </w:p>
        </w:tc>
        <w:tc>
          <w:tcPr>
            <w:tcW w:w="951" w:type="dxa"/>
            <w:gridSpan w:val="2"/>
            <w:shd w:val="clear" w:color="auto" w:fill="A7B2D4" w:themeFill="background2" w:themeFillTint="66"/>
          </w:tcPr>
          <w:p w14:paraId="31A83BFC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-20,400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</w:tcPr>
          <w:p w14:paraId="1E120352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-23,500</w:t>
            </w:r>
          </w:p>
        </w:tc>
        <w:tc>
          <w:tcPr>
            <w:tcW w:w="949" w:type="dxa"/>
            <w:gridSpan w:val="2"/>
            <w:shd w:val="clear" w:color="auto" w:fill="A7B2D4" w:themeFill="background2" w:themeFillTint="66"/>
          </w:tcPr>
          <w:p w14:paraId="3416334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-25,300</w:t>
            </w:r>
          </w:p>
        </w:tc>
        <w:tc>
          <w:tcPr>
            <w:tcW w:w="950" w:type="dxa"/>
            <w:gridSpan w:val="2"/>
            <w:shd w:val="clear" w:color="auto" w:fill="A7B2D4" w:themeFill="background2" w:themeFillTint="66"/>
          </w:tcPr>
          <w:p w14:paraId="52BA50D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-27,600</w:t>
            </w:r>
          </w:p>
        </w:tc>
        <w:tc>
          <w:tcPr>
            <w:tcW w:w="950" w:type="dxa"/>
            <w:shd w:val="clear" w:color="auto" w:fill="A7B2D4" w:themeFill="background2" w:themeFillTint="66"/>
          </w:tcPr>
          <w:p w14:paraId="50BBE900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-29,700</w:t>
            </w:r>
          </w:p>
        </w:tc>
        <w:tc>
          <w:tcPr>
            <w:tcW w:w="956" w:type="dxa"/>
            <w:shd w:val="clear" w:color="auto" w:fill="A7B2D4" w:themeFill="background2" w:themeFillTint="66"/>
          </w:tcPr>
          <w:p w14:paraId="53E674DF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-32,000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4B1E80FA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-34,500</w:t>
            </w:r>
          </w:p>
        </w:tc>
        <w:tc>
          <w:tcPr>
            <w:tcW w:w="950" w:type="dxa"/>
            <w:shd w:val="clear" w:color="auto" w:fill="A7B2D4" w:themeFill="background2" w:themeFillTint="66"/>
          </w:tcPr>
          <w:p w14:paraId="6C46DB3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-37,200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755502D4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-40,000</w:t>
            </w:r>
          </w:p>
        </w:tc>
        <w:tc>
          <w:tcPr>
            <w:tcW w:w="951" w:type="dxa"/>
            <w:shd w:val="clear" w:color="auto" w:fill="A7B2D4" w:themeFill="background2" w:themeFillTint="66"/>
          </w:tcPr>
          <w:p w14:paraId="595A7939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-42,900</w:t>
            </w:r>
          </w:p>
        </w:tc>
        <w:tc>
          <w:tcPr>
            <w:tcW w:w="1005" w:type="dxa"/>
            <w:shd w:val="clear" w:color="auto" w:fill="A7B2D4" w:themeFill="background2" w:themeFillTint="66"/>
          </w:tcPr>
          <w:p w14:paraId="7EE9636F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-69,200</w:t>
            </w:r>
          </w:p>
        </w:tc>
        <w:tc>
          <w:tcPr>
            <w:tcW w:w="1021" w:type="dxa"/>
            <w:shd w:val="clear" w:color="auto" w:fill="A7B2D4" w:themeFill="background2" w:themeFillTint="66"/>
          </w:tcPr>
          <w:p w14:paraId="5A989075" w14:textId="77777777" w:rsidR="00135114" w:rsidRPr="00B4349E" w:rsidRDefault="00135114" w:rsidP="00B10292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</w:pPr>
            <w:r w:rsidRPr="00D56CE4">
              <w:rPr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-313,100</w:t>
            </w:r>
          </w:p>
        </w:tc>
      </w:tr>
    </w:tbl>
    <w:p w14:paraId="307475D8" w14:textId="77777777" w:rsidR="00135114" w:rsidRPr="00E94CFD" w:rsidRDefault="00135114" w:rsidP="00135114">
      <w:pPr>
        <w:pStyle w:val="PRRfootnote2"/>
      </w:pPr>
      <w:r w:rsidRPr="00E94CFD">
        <w:t>(a)</w:t>
      </w:r>
      <w:r w:rsidRPr="00E94CFD">
        <w:tab/>
        <w:t xml:space="preserve">A positive number for the fiscal balance indicates an increase in revenue or a decrease in expenses or net capital investment in accrual terms. A negative number for the fiscal balance indicates a decrease in revenue or an increase in expenses or net capital investment in accrual terms. A positive number for the underlying cash balance indicates an increase in receipts or a decrease in payments or net capital investment in cash terms. A negative number for the underlying cash balance indicates a decrease in receipts or an increase in payments or net capital investment in cash terms.  </w:t>
      </w:r>
    </w:p>
    <w:p w14:paraId="7ED99E7B" w14:textId="77777777" w:rsidR="00135114" w:rsidRPr="00051A11" w:rsidRDefault="00135114" w:rsidP="00135114">
      <w:pPr>
        <w:pStyle w:val="PRRfootnote2"/>
      </w:pPr>
      <w:r>
        <w:t xml:space="preserve">-      </w:t>
      </w:r>
      <w:r>
        <w:tab/>
      </w:r>
      <w:r w:rsidRPr="00E94CFD">
        <w:t>Indicates nil.</w:t>
      </w:r>
    </w:p>
    <w:p w14:paraId="7DA1CBAB" w14:textId="77777777" w:rsidR="00135114" w:rsidRDefault="00135114" w:rsidP="00135114">
      <w:pPr>
        <w:pStyle w:val="Caption"/>
        <w:widowControl w:val="0"/>
        <w:tabs>
          <w:tab w:val="left" w:pos="9356"/>
        </w:tabs>
      </w:pPr>
      <w:r>
        <w:br w:type="page"/>
      </w:r>
    </w:p>
    <w:p w14:paraId="5D6FD978" w14:textId="77777777" w:rsidR="00135114" w:rsidRPr="00621A71" w:rsidRDefault="00135114" w:rsidP="00135114">
      <w:pPr>
        <w:pStyle w:val="Heading8"/>
        <w:numPr>
          <w:ilvl w:val="0"/>
          <w:numId w:val="5"/>
        </w:numPr>
        <w:spacing w:before="240" w:after="120"/>
      </w:pPr>
      <w:r w:rsidRPr="00621A71">
        <w:lastRenderedPageBreak/>
        <w:t>Distributional analysis of the Stage 3 tax cuts - taxable income quintiles and percentiles</w:t>
      </w:r>
    </w:p>
    <w:p w14:paraId="26F6C449" w14:textId="623CC961" w:rsidR="00135114" w:rsidRPr="00621A71" w:rsidRDefault="00135114" w:rsidP="00135114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621A71">
        <w:t xml:space="preserve">Table </w:t>
      </w:r>
      <w:r w:rsidR="00103FFC">
        <w:rPr>
          <w:noProof/>
        </w:rPr>
        <w:t>C</w:t>
      </w:r>
      <w:r w:rsidRPr="00621A71">
        <w:rPr>
          <w:noProof/>
        </w:rPr>
        <w:t>1</w:t>
      </w:r>
      <w:r w:rsidRPr="00621A71">
        <w:t xml:space="preserve">: </w:t>
      </w:r>
      <w:r w:rsidRPr="00621A71">
        <w:rPr>
          <w:noProof/>
        </w:rPr>
        <w:t xml:space="preserve">Distributional analysis of the Stage 3 tax cuts </w:t>
      </w:r>
      <w:r w:rsidRPr="00621A71">
        <w:t xml:space="preserve">– </w:t>
      </w:r>
      <w:r w:rsidRPr="00621A71">
        <w:rPr>
          <w:noProof/>
        </w:rPr>
        <w:t>taxable income range by quintile</w:t>
      </w:r>
      <w:r w:rsidRPr="00621A71">
        <w:rPr>
          <w:noProof/>
          <w:vertAlign w:val="superscript"/>
        </w:rPr>
        <w:t>(a)</w:t>
      </w:r>
    </w:p>
    <w:tbl>
      <w:tblPr>
        <w:tblStyle w:val="LightGrid-Accent6"/>
        <w:tblW w:w="4891" w:type="pct"/>
        <w:tblLayout w:type="fixed"/>
        <w:tblLook w:val="0680" w:firstRow="0" w:lastRow="0" w:firstColumn="1" w:lastColumn="0" w:noHBand="1" w:noVBand="1"/>
      </w:tblPr>
      <w:tblGrid>
        <w:gridCol w:w="1632"/>
        <w:gridCol w:w="2565"/>
        <w:gridCol w:w="2565"/>
        <w:gridCol w:w="2565"/>
        <w:gridCol w:w="2565"/>
        <w:gridCol w:w="2564"/>
      </w:tblGrid>
      <w:tr w:rsidR="00135114" w:rsidRPr="00621A71" w14:paraId="42F72E13" w14:textId="77777777" w:rsidTr="00B1029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shd w:val="clear" w:color="auto" w:fill="A7B2D4" w:themeFill="background2" w:themeFillTint="66"/>
            <w:vAlign w:val="center"/>
          </w:tcPr>
          <w:p w14:paraId="63D4E960" w14:textId="77777777" w:rsidR="00135114" w:rsidRPr="00621A71" w:rsidRDefault="00135114" w:rsidP="00B10292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7A0A054D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1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6D7A5DB8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2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0A6A5AB3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3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2D264C6F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4</w:t>
            </w:r>
          </w:p>
        </w:tc>
        <w:tc>
          <w:tcPr>
            <w:tcW w:w="887" w:type="pct"/>
            <w:shd w:val="clear" w:color="auto" w:fill="A7B2D4" w:themeFill="background2" w:themeFillTint="66"/>
            <w:vAlign w:val="center"/>
          </w:tcPr>
          <w:p w14:paraId="314F1C23" w14:textId="77777777" w:rsidR="00135114" w:rsidRPr="00621A71" w:rsidRDefault="00135114" w:rsidP="00B10292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after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21A71">
              <w:rPr>
                <w:rFonts w:asciiTheme="minorHAnsi" w:hAnsiTheme="minorHAnsi"/>
                <w:b w:val="0"/>
                <w:sz w:val="16"/>
                <w:szCs w:val="16"/>
              </w:rPr>
              <w:t>Quintile 5</w:t>
            </w:r>
          </w:p>
        </w:tc>
      </w:tr>
      <w:tr w:rsidR="00AD71F0" w:rsidRPr="00621A71" w14:paraId="3501FA20" w14:textId="77777777" w:rsidTr="00B102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1FAF740F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bCs w:val="0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2023–24</w:t>
            </w:r>
          </w:p>
        </w:tc>
        <w:tc>
          <w:tcPr>
            <w:tcW w:w="887" w:type="pct"/>
          </w:tcPr>
          <w:p w14:paraId="29041F2B" w14:textId="2DE0335B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$21,700</w:t>
            </w:r>
          </w:p>
        </w:tc>
        <w:tc>
          <w:tcPr>
            <w:tcW w:w="887" w:type="pct"/>
          </w:tcPr>
          <w:p w14:paraId="1E2C858C" w14:textId="758172CA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$21,701 to $47,100 </w:t>
            </w:r>
          </w:p>
        </w:tc>
        <w:tc>
          <w:tcPr>
            <w:tcW w:w="887" w:type="pct"/>
          </w:tcPr>
          <w:p w14:paraId="2D0C05EE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$47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101 to $71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887" w:type="pct"/>
          </w:tcPr>
          <w:p w14:paraId="414C4C89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$71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101 to $109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200 </w:t>
            </w:r>
          </w:p>
        </w:tc>
        <w:tc>
          <w:tcPr>
            <w:tcW w:w="887" w:type="pct"/>
          </w:tcPr>
          <w:p w14:paraId="2720EBC7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$109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200 </w:t>
            </w:r>
          </w:p>
        </w:tc>
      </w:tr>
      <w:tr w:rsidR="00AD71F0" w:rsidRPr="00621A71" w14:paraId="48A71F99" w14:textId="77777777" w:rsidTr="00B102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27E56662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2024–25</w:t>
            </w:r>
          </w:p>
        </w:tc>
        <w:tc>
          <w:tcPr>
            <w:tcW w:w="887" w:type="pct"/>
          </w:tcPr>
          <w:p w14:paraId="26957F64" w14:textId="47D77FF6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$23,100 </w:t>
            </w:r>
          </w:p>
        </w:tc>
        <w:tc>
          <w:tcPr>
            <w:tcW w:w="887" w:type="pct"/>
          </w:tcPr>
          <w:p w14:paraId="5044E53C" w14:textId="1EA0334D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$23,101 to $48,200 </w:t>
            </w:r>
          </w:p>
        </w:tc>
        <w:tc>
          <w:tcPr>
            <w:tcW w:w="887" w:type="pct"/>
          </w:tcPr>
          <w:p w14:paraId="7E1B1AB1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$48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201 to $72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600 </w:t>
            </w:r>
          </w:p>
        </w:tc>
        <w:tc>
          <w:tcPr>
            <w:tcW w:w="887" w:type="pct"/>
          </w:tcPr>
          <w:p w14:paraId="70DBE7B7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$72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601 to $111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887" w:type="pct"/>
          </w:tcPr>
          <w:p w14:paraId="3F555B94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$111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AD71F0" w:rsidRPr="00621A71" w14:paraId="2F7DABB6" w14:textId="77777777" w:rsidTr="00B102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4E73FA76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2025–26</w:t>
            </w:r>
          </w:p>
        </w:tc>
        <w:tc>
          <w:tcPr>
            <w:tcW w:w="887" w:type="pct"/>
          </w:tcPr>
          <w:p w14:paraId="525C5E74" w14:textId="6F710782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$23,300</w:t>
            </w:r>
          </w:p>
        </w:tc>
        <w:tc>
          <w:tcPr>
            <w:tcW w:w="887" w:type="pct"/>
          </w:tcPr>
          <w:p w14:paraId="3CA05CF6" w14:textId="724C5BB0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$23,301 to $49,300 </w:t>
            </w:r>
          </w:p>
        </w:tc>
        <w:tc>
          <w:tcPr>
            <w:tcW w:w="887" w:type="pct"/>
          </w:tcPr>
          <w:p w14:paraId="6F1B1485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$49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301 to $74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887" w:type="pct"/>
          </w:tcPr>
          <w:p w14:paraId="7CEF1345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$74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301 to $114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887" w:type="pct"/>
          </w:tcPr>
          <w:p w14:paraId="7AC34010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$114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AD71F0" w:rsidRPr="00621A71" w14:paraId="63BA4C5E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03312F60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2026–27</w:t>
            </w:r>
          </w:p>
        </w:tc>
        <w:tc>
          <w:tcPr>
            <w:tcW w:w="887" w:type="pct"/>
          </w:tcPr>
          <w:p w14:paraId="10F32994" w14:textId="4E925A23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$23,700</w:t>
            </w:r>
          </w:p>
        </w:tc>
        <w:tc>
          <w:tcPr>
            <w:tcW w:w="887" w:type="pct"/>
          </w:tcPr>
          <w:p w14:paraId="5B8ED2FB" w14:textId="060C5F54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$23,701 to $51,000 </w:t>
            </w:r>
          </w:p>
        </w:tc>
        <w:tc>
          <w:tcPr>
            <w:tcW w:w="887" w:type="pct"/>
          </w:tcPr>
          <w:p w14:paraId="1140CB37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$51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001 to $76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887" w:type="pct"/>
          </w:tcPr>
          <w:p w14:paraId="7DC0C342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$76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701 to $117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  <w:tc>
          <w:tcPr>
            <w:tcW w:w="887" w:type="pct"/>
          </w:tcPr>
          <w:p w14:paraId="670FC9B7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$117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</w:tr>
      <w:tr w:rsidR="00AD71F0" w:rsidRPr="00621A71" w14:paraId="484EA896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7D1098A6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2027–28</w:t>
            </w:r>
          </w:p>
        </w:tc>
        <w:tc>
          <w:tcPr>
            <w:tcW w:w="887" w:type="pct"/>
          </w:tcPr>
          <w:p w14:paraId="00BD04BB" w14:textId="75D5CC2B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$24,500</w:t>
            </w:r>
          </w:p>
        </w:tc>
        <w:tc>
          <w:tcPr>
            <w:tcW w:w="887" w:type="pct"/>
          </w:tcPr>
          <w:p w14:paraId="6E6B271D" w14:textId="635C3654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$24,501 to $53,400 </w:t>
            </w:r>
          </w:p>
        </w:tc>
        <w:tc>
          <w:tcPr>
            <w:tcW w:w="887" w:type="pct"/>
          </w:tcPr>
          <w:p w14:paraId="1FC871AF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$53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401 to $79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  <w:tc>
          <w:tcPr>
            <w:tcW w:w="887" w:type="pct"/>
          </w:tcPr>
          <w:p w14:paraId="67BE0609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$79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901 to $123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887" w:type="pct"/>
          </w:tcPr>
          <w:p w14:paraId="7FFA81B3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$123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300 </w:t>
            </w:r>
          </w:p>
        </w:tc>
      </w:tr>
      <w:tr w:rsidR="00AD71F0" w:rsidRPr="00621A71" w14:paraId="341CB13F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0CA66660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2028–29</w:t>
            </w:r>
          </w:p>
        </w:tc>
        <w:tc>
          <w:tcPr>
            <w:tcW w:w="887" w:type="pct"/>
          </w:tcPr>
          <w:p w14:paraId="66B22938" w14:textId="207AEE56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$24,900</w:t>
            </w:r>
          </w:p>
        </w:tc>
        <w:tc>
          <w:tcPr>
            <w:tcW w:w="887" w:type="pct"/>
          </w:tcPr>
          <w:p w14:paraId="5BE439F6" w14:textId="18ACEA12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$24,901 to $55,400 </w:t>
            </w:r>
          </w:p>
        </w:tc>
        <w:tc>
          <w:tcPr>
            <w:tcW w:w="887" w:type="pct"/>
          </w:tcPr>
          <w:p w14:paraId="5D906C6E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$55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401 to $82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887" w:type="pct"/>
          </w:tcPr>
          <w:p w14:paraId="089C9E8B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$82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701 to $129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000 </w:t>
            </w:r>
          </w:p>
        </w:tc>
        <w:tc>
          <w:tcPr>
            <w:tcW w:w="887" w:type="pct"/>
          </w:tcPr>
          <w:p w14:paraId="7B7AE128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$129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000 </w:t>
            </w:r>
          </w:p>
        </w:tc>
      </w:tr>
      <w:tr w:rsidR="00AD71F0" w:rsidRPr="00621A71" w14:paraId="66BCC6E5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4BC87F26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2029–30</w:t>
            </w:r>
          </w:p>
        </w:tc>
        <w:tc>
          <w:tcPr>
            <w:tcW w:w="887" w:type="pct"/>
          </w:tcPr>
          <w:p w14:paraId="65C2B6A9" w14:textId="5BB3208F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$27,300</w:t>
            </w:r>
          </w:p>
        </w:tc>
        <w:tc>
          <w:tcPr>
            <w:tcW w:w="887" w:type="pct"/>
          </w:tcPr>
          <w:p w14:paraId="79E653C6" w14:textId="2B58E2F6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$27,301 to $56,700 </w:t>
            </w:r>
          </w:p>
        </w:tc>
        <w:tc>
          <w:tcPr>
            <w:tcW w:w="887" w:type="pct"/>
          </w:tcPr>
          <w:p w14:paraId="1428BFBB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$56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701 to $85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400 </w:t>
            </w:r>
          </w:p>
        </w:tc>
        <w:tc>
          <w:tcPr>
            <w:tcW w:w="887" w:type="pct"/>
          </w:tcPr>
          <w:p w14:paraId="7A501284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$85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401 to $133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  <w:tc>
          <w:tcPr>
            <w:tcW w:w="887" w:type="pct"/>
          </w:tcPr>
          <w:p w14:paraId="6CE34AE3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$133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</w:tr>
      <w:tr w:rsidR="00AD71F0" w:rsidRPr="00621A71" w14:paraId="017DE5EF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732736B3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2030–31</w:t>
            </w:r>
          </w:p>
        </w:tc>
        <w:tc>
          <w:tcPr>
            <w:tcW w:w="887" w:type="pct"/>
          </w:tcPr>
          <w:p w14:paraId="426A665E" w14:textId="21737822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$27,600</w:t>
            </w:r>
          </w:p>
        </w:tc>
        <w:tc>
          <w:tcPr>
            <w:tcW w:w="887" w:type="pct"/>
          </w:tcPr>
          <w:p w14:paraId="06E5E903" w14:textId="20400B1A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41898F30">
              <w:rPr>
                <w:rFonts w:asciiTheme="minorHAnsi" w:eastAsiaTheme="majorEastAsia" w:hAnsiTheme="minorHAnsi" w:cstheme="minorBidi"/>
                <w:i/>
                <w:iCs/>
                <w:sz w:val="16"/>
                <w:szCs w:val="16"/>
              </w:rPr>
              <w:t xml:space="preserve"> $27,601 to $59,300 </w:t>
            </w:r>
          </w:p>
        </w:tc>
        <w:tc>
          <w:tcPr>
            <w:tcW w:w="887" w:type="pct"/>
          </w:tcPr>
          <w:p w14:paraId="3D28C8CB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$59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301 to $89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000 </w:t>
            </w:r>
          </w:p>
        </w:tc>
        <w:tc>
          <w:tcPr>
            <w:tcW w:w="887" w:type="pct"/>
          </w:tcPr>
          <w:p w14:paraId="60ABF022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$89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001 to $139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200 </w:t>
            </w:r>
          </w:p>
        </w:tc>
        <w:tc>
          <w:tcPr>
            <w:tcW w:w="887" w:type="pct"/>
          </w:tcPr>
          <w:p w14:paraId="3F2820C4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$139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200 </w:t>
            </w:r>
          </w:p>
        </w:tc>
      </w:tr>
      <w:tr w:rsidR="00AD71F0" w:rsidRPr="00621A71" w14:paraId="7C664689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55EAB66C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2031–32</w:t>
            </w:r>
          </w:p>
        </w:tc>
        <w:tc>
          <w:tcPr>
            <w:tcW w:w="887" w:type="pct"/>
          </w:tcPr>
          <w:p w14:paraId="28653AB5" w14:textId="3B0312CC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$28,800 </w:t>
            </w:r>
          </w:p>
        </w:tc>
        <w:tc>
          <w:tcPr>
            <w:tcW w:w="887" w:type="pct"/>
          </w:tcPr>
          <w:p w14:paraId="4E89FF27" w14:textId="72614A65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$28,801 to $61,600 </w:t>
            </w:r>
          </w:p>
        </w:tc>
        <w:tc>
          <w:tcPr>
            <w:tcW w:w="887" w:type="pct"/>
          </w:tcPr>
          <w:p w14:paraId="1F0E6D5C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$61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601 to $93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500 </w:t>
            </w:r>
          </w:p>
        </w:tc>
        <w:tc>
          <w:tcPr>
            <w:tcW w:w="887" w:type="pct"/>
          </w:tcPr>
          <w:p w14:paraId="0786355F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$93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501 to $144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  <w:tc>
          <w:tcPr>
            <w:tcW w:w="887" w:type="pct"/>
          </w:tcPr>
          <w:p w14:paraId="42BA33E9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$144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</w:tr>
      <w:tr w:rsidR="00AD71F0" w:rsidRPr="00621A71" w14:paraId="6638C4E4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7AACEE40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2032–33</w:t>
            </w:r>
          </w:p>
        </w:tc>
        <w:tc>
          <w:tcPr>
            <w:tcW w:w="887" w:type="pct"/>
          </w:tcPr>
          <w:p w14:paraId="573D1073" w14:textId="7A6A0C12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$31,300 </w:t>
            </w:r>
          </w:p>
        </w:tc>
        <w:tc>
          <w:tcPr>
            <w:tcW w:w="887" w:type="pct"/>
          </w:tcPr>
          <w:p w14:paraId="5CACE7B7" w14:textId="213FF726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$31,301 to $64,100 </w:t>
            </w:r>
          </w:p>
        </w:tc>
        <w:tc>
          <w:tcPr>
            <w:tcW w:w="887" w:type="pct"/>
          </w:tcPr>
          <w:p w14:paraId="70422C72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$64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101 to $97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887" w:type="pct"/>
          </w:tcPr>
          <w:p w14:paraId="35B010DE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$97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301 to $150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887" w:type="pct"/>
          </w:tcPr>
          <w:p w14:paraId="3E83ED70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$150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AD71F0" w:rsidRPr="00621A71" w14:paraId="479DB355" w14:textId="77777777" w:rsidTr="00B102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14:paraId="2AE64B8D" w14:textId="77777777" w:rsidR="00AD71F0" w:rsidRPr="00B940BB" w:rsidRDefault="00AD71F0" w:rsidP="00AD71F0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lef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203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3</w:t>
            </w:r>
            <w:r w:rsidRPr="00B940BB">
              <w:rPr>
                <w:rFonts w:asciiTheme="minorHAnsi" w:hAnsiTheme="minorHAnsi"/>
                <w:i/>
                <w:iCs/>
                <w:sz w:val="16"/>
                <w:szCs w:val="16"/>
              </w:rPr>
              <w:t>–3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7" w:type="pct"/>
          </w:tcPr>
          <w:p w14:paraId="5FED2934" w14:textId="4B0A484D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Less than $32,500 </w:t>
            </w:r>
          </w:p>
        </w:tc>
        <w:tc>
          <w:tcPr>
            <w:tcW w:w="887" w:type="pct"/>
          </w:tcPr>
          <w:p w14:paraId="28528696" w14:textId="4A9E6BA0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C2890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$32,501 to $66,500 </w:t>
            </w:r>
          </w:p>
        </w:tc>
        <w:tc>
          <w:tcPr>
            <w:tcW w:w="887" w:type="pct"/>
          </w:tcPr>
          <w:p w14:paraId="0101E20B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$66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501 to $100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900 </w:t>
            </w:r>
          </w:p>
        </w:tc>
        <w:tc>
          <w:tcPr>
            <w:tcW w:w="887" w:type="pct"/>
          </w:tcPr>
          <w:p w14:paraId="4049604A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$100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901 to $155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600 </w:t>
            </w:r>
          </w:p>
        </w:tc>
        <w:tc>
          <w:tcPr>
            <w:tcW w:w="887" w:type="pct"/>
          </w:tcPr>
          <w:p w14:paraId="59FFDBBC" w14:textId="77777777" w:rsidR="00AD71F0" w:rsidRPr="001D3074" w:rsidRDefault="00AD71F0" w:rsidP="00AD71F0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</w:pP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 Greater than $155</w:t>
            </w:r>
            <w:r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>,</w:t>
            </w:r>
            <w:r w:rsidRPr="001D3074">
              <w:rPr>
                <w:rFonts w:asciiTheme="minorHAnsi" w:eastAsiaTheme="majorEastAsia" w:hAnsiTheme="minorHAnsi" w:cstheme="minorHAnsi"/>
                <w:bCs/>
                <w:i/>
                <w:iCs/>
                <w:sz w:val="16"/>
                <w:szCs w:val="16"/>
              </w:rPr>
              <w:t xml:space="preserve">600 </w:t>
            </w:r>
          </w:p>
        </w:tc>
      </w:tr>
    </w:tbl>
    <w:p w14:paraId="07F59D46" w14:textId="77777777" w:rsidR="00135114" w:rsidRPr="00E94CFD" w:rsidRDefault="00135114" w:rsidP="00135114">
      <w:pPr>
        <w:pStyle w:val="PRRfootnote2"/>
      </w:pPr>
      <w:r w:rsidRPr="00E94CFD">
        <w:t>(a)   Quintiles are based on all individuals who have lodged a personal income tax return</w:t>
      </w:r>
      <w:r>
        <w:t>,</w:t>
      </w:r>
      <w:r w:rsidRPr="00E94CFD">
        <w:t xml:space="preserve"> </w:t>
      </w:r>
      <w:r>
        <w:t>i</w:t>
      </w:r>
      <w:r w:rsidRPr="00E94CFD">
        <w:t>rrespective of their net tax amount.</w:t>
      </w:r>
    </w:p>
    <w:p w14:paraId="721EA210" w14:textId="02A555C4" w:rsidR="00824771" w:rsidRDefault="00824771" w:rsidP="0065721F">
      <w:pPr>
        <w:spacing w:after="60" w:line="240" w:lineRule="auto"/>
        <w:rPr>
          <w:color w:val="FF0000"/>
        </w:rPr>
      </w:pPr>
    </w:p>
    <w:sectPr w:rsidR="00824771" w:rsidSect="00617691">
      <w:headerReference w:type="default" r:id="rId18"/>
      <w:footerReference w:type="default" r:id="rId19"/>
      <w:pgSz w:w="16839" w:h="11907" w:orient="landscape" w:code="9"/>
      <w:pgMar w:top="992" w:right="907" w:bottom="992" w:left="1134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4E34" w14:textId="77777777" w:rsidR="008E73FF" w:rsidRDefault="008E73FF" w:rsidP="00A20802">
      <w:r>
        <w:separator/>
      </w:r>
    </w:p>
    <w:p w14:paraId="0D9DEA06" w14:textId="77777777" w:rsidR="008E73FF" w:rsidRDefault="008E73FF"/>
    <w:p w14:paraId="7E27A671" w14:textId="77777777" w:rsidR="008E73FF" w:rsidRDefault="008E73FF"/>
  </w:endnote>
  <w:endnote w:type="continuationSeparator" w:id="0">
    <w:p w14:paraId="12CC5C30" w14:textId="77777777" w:rsidR="008E73FF" w:rsidRDefault="008E73FF" w:rsidP="00A20802">
      <w:r>
        <w:continuationSeparator/>
      </w:r>
    </w:p>
    <w:p w14:paraId="44F962D2" w14:textId="77777777" w:rsidR="008E73FF" w:rsidRDefault="008E73FF"/>
    <w:p w14:paraId="2E50F3C6" w14:textId="77777777" w:rsidR="008E73FF" w:rsidRDefault="008E73FF"/>
  </w:endnote>
  <w:endnote w:type="continuationNotice" w:id="1">
    <w:p w14:paraId="335F80A2" w14:textId="77777777" w:rsidR="008E73FF" w:rsidRDefault="008E73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5E4" w14:textId="77777777" w:rsidR="001C56F5" w:rsidRDefault="001C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5B14" w14:textId="2E2DB3E0" w:rsidR="00C44D85" w:rsidRPr="004B52AF" w:rsidRDefault="00AC2E15" w:rsidP="00F91A0D">
    <w:pPr>
      <w:pStyle w:val="Footer"/>
      <w:tabs>
        <w:tab w:val="clear" w:pos="4513"/>
        <w:tab w:val="center" w:pos="4535"/>
        <w:tab w:val="right" w:pos="9071"/>
      </w:tabs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18F5D041" wp14:editId="2A5A609C">
              <wp:simplePos x="0" y="0"/>
              <wp:positionH relativeFrom="page">
                <wp:posOffset>-57785</wp:posOffset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Text Box 5" descr="{&quot;HashCode&quot;:-41494354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767B4" w14:textId="09D4519A" w:rsidR="00AC2E15" w:rsidRPr="00364C64" w:rsidRDefault="00347454" w:rsidP="0034745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64C6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5D0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-414943542,&quot;Height&quot;:9999999.0,&quot;Width&quot;:9999999.0,&quot;Placement&quot;:&quot;Footer&quot;,&quot;Index&quot;:&quot;Primary&quot;,&quot;Section&quot;:2,&quot;Top&quot;:0.0,&quot;Left&quot;:0.0}" style="position:absolute;margin-left:-4.55pt;margin-top:0;width:612pt;height:36.5pt;z-index:25164185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A9jmKjdAAAABwEAAA8AAABkcnMvZG93bnJldi54bWxMj0tPwzAQhO9I/Adrkbi1&#10;dlJUaBqn4iEkOCECl97cZPOAeB3FbmP+PdsTHEczO/Ntvot2ECecfO9IQ7JUIJAqV/fUavj8eF7c&#10;gfDBUG0GR6jhBz3sisuL3GS1m+kdT2VoBZeQz4yGLoQxk9JXHVrjl25EYq9xkzWB5dTKejIzl9tB&#10;pkqtpTU98UJnRnzssPouj5Yx3Piafq1n9bSK+/IlNm8PfWi0vr6K91sQAWP4C8MZn2+gYKaDO1Lt&#10;xaBhsUk4qYEfOrtpcrMBcdBwu1Igi1z+5y9+AQAA//8DAFBLAQItABQABgAIAAAAIQC2gziS/gAA&#10;AOEBAAATAAAAAAAAAAAAAAAAAAAAAABbQ29udGVudF9UeXBlc10ueG1sUEsBAi0AFAAGAAgAAAAh&#10;ADj9If/WAAAAlAEAAAsAAAAAAAAAAAAAAAAALwEAAF9yZWxzLy5yZWxzUEsBAi0AFAAGAAgAAAAh&#10;AK6rsUgWAgAALQQAAA4AAAAAAAAAAAAAAAAALgIAAGRycy9lMm9Eb2MueG1sUEsBAi0AFAAGAAgA&#10;AAAhAA9jmKjdAAAABwEAAA8AAAAAAAAAAAAAAAAAcAQAAGRycy9kb3ducmV2LnhtbFBLBQYAAAAA&#10;BAAEAPMAAAB6BQAAAAA=&#10;" o:allowincell="f" filled="f" stroked="f" strokeweight=".5pt">
              <v:textbox inset=",0,,0">
                <w:txbxContent>
                  <w:p w14:paraId="432767B4" w14:textId="09D4519A" w:rsidR="00AC2E15" w:rsidRPr="00364C64" w:rsidRDefault="00347454" w:rsidP="0034745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64C6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0D">
      <w:rPr>
        <w:rStyle w:val="FooterChar"/>
        <w:b/>
        <w:bCs/>
        <w:sz w:val="22"/>
      </w:rPr>
      <w:tab/>
    </w:r>
    <w:r w:rsidR="00F91A0D">
      <w:rPr>
        <w:rStyle w:val="FooterChar"/>
        <w:b/>
        <w:bCs/>
        <w:sz w:val="22"/>
      </w:rPr>
      <w:tab/>
    </w:r>
    <w:r w:rsidR="003A34E7" w:rsidRPr="007C4069">
      <w:rPr>
        <w:rStyle w:val="FooterChar"/>
        <w:b/>
        <w:bCs/>
        <w:sz w:val="22"/>
      </w:rPr>
      <w:t xml:space="preserve">Page </w:t>
    </w:r>
    <w:r w:rsidR="003A34E7" w:rsidRPr="007C4069">
      <w:rPr>
        <w:rStyle w:val="FooterChar"/>
        <w:b/>
        <w:bCs/>
        <w:sz w:val="22"/>
      </w:rPr>
      <w:fldChar w:fldCharType="begin"/>
    </w:r>
    <w:r w:rsidR="003A34E7" w:rsidRPr="007C4069">
      <w:rPr>
        <w:rStyle w:val="FooterChar"/>
        <w:b/>
        <w:bCs/>
        <w:sz w:val="22"/>
      </w:rPr>
      <w:instrText xml:space="preserve"> PAGE  \* Arabic  \* MERGEFORMAT </w:instrText>
    </w:r>
    <w:r w:rsidR="003A34E7" w:rsidRPr="007C4069">
      <w:rPr>
        <w:rStyle w:val="FooterChar"/>
        <w:b/>
        <w:bCs/>
        <w:sz w:val="22"/>
      </w:rPr>
      <w:fldChar w:fldCharType="separate"/>
    </w:r>
    <w:r w:rsidR="00DB2819">
      <w:rPr>
        <w:rStyle w:val="FooterChar"/>
        <w:b/>
        <w:bCs/>
        <w:noProof/>
        <w:sz w:val="22"/>
      </w:rPr>
      <w:t>3</w:t>
    </w:r>
    <w:r w:rsidR="003A34E7" w:rsidRPr="007C4069">
      <w:rPr>
        <w:rStyle w:val="FooterChar"/>
        <w:b/>
        <w:bCs/>
        <w:sz w:val="22"/>
      </w:rPr>
      <w:fldChar w:fldCharType="end"/>
    </w:r>
    <w:r w:rsidR="003A34E7" w:rsidRPr="007C4069">
      <w:rPr>
        <w:rStyle w:val="FooterChar"/>
        <w:b/>
        <w:bCs/>
        <w:sz w:val="22"/>
      </w:rPr>
      <w:t xml:space="preserve"> of</w:t>
    </w:r>
    <w:r w:rsidR="004B52AF">
      <w:rPr>
        <w:rStyle w:val="FooterChar"/>
        <w:b/>
        <w:bCs/>
        <w:sz w:val="22"/>
      </w:rPr>
      <w:t xml:space="preserve"> </w:t>
    </w:r>
    <w:r w:rsidR="00EF096E">
      <w:rPr>
        <w:rStyle w:val="FooterChar"/>
        <w:b/>
        <w:bCs/>
        <w:sz w:val="22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5C0D" w14:textId="1B0D47B0" w:rsidR="00F91A0D" w:rsidRPr="002E1EA9" w:rsidRDefault="00D862EC" w:rsidP="00F91A0D">
    <w:pPr>
      <w:pStyle w:val="Footer"/>
      <w:rPr>
        <w:b/>
        <w:color w:val="auto"/>
        <w:sz w:val="20"/>
        <w:szCs w:val="20"/>
      </w:rPr>
    </w:pPr>
    <w:r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62E11FEC" wp14:editId="6783DE7C">
              <wp:simplePos x="0" y="0"/>
              <wp:positionH relativeFrom="page">
                <wp:posOffset>-95885</wp:posOffset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Text Box 1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6E36A" w14:textId="5C3D5669" w:rsidR="00D862EC" w:rsidRPr="00364C64" w:rsidRDefault="00347454" w:rsidP="0034745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64C6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11F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-414943542,&quot;Height&quot;:9999999.0,&quot;Width&quot;:9999999.0,&quot;Placement&quot;:&quot;Footer&quot;,&quot;Index&quot;:&quot;FirstPage&quot;,&quot;Section&quot;:2,&quot;Top&quot;:0.0,&quot;Left&quot;:0.0}" style="position:absolute;margin-left:-7.55pt;margin-top:0;width:612pt;height:36.5pt;z-index:251648000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C8AvbTdAAAACAEAAA8AAABkcnMvZG93bnJldi54bWxMj8tOwzAQRfdI/IM1&#10;SOxaO6kobRqn4iEkWCECG3ZuMnlAPI5itzF/z3QFy9F9zLn5PtpBnHDyvSMNyVKBQKpc3VOr4eP9&#10;abEB4YOh2gyOUMMPetgXlxe5yWo30xueytAKLiGfGQ1dCGMmpa86tMYv3YjEWuMmawKfUyvrycxc&#10;bgeZKrWW1vTEHzoz4kOH1Xd5tIzhxpf0az2rx1X8LJ9j83rfh0br66t4twMRMIY/M5zxOQMFMx3c&#10;kWovBg2L5CZhqwZedJZTtdmCOGi4XSmQRS7/Dyh+AQAA//8DAFBLAQItABQABgAIAAAAIQC2gziS&#10;/gAAAOEBAAATAAAAAAAAAAAAAAAAAAAAAABbQ29udGVudF9UeXBlc10ueG1sUEsBAi0AFAAGAAgA&#10;AAAhADj9If/WAAAAlAEAAAsAAAAAAAAAAAAAAAAALwEAAF9yZWxzLy5yZWxzUEsBAi0AFAAGAAgA&#10;AAAhADmzffIZAgAALQQAAA4AAAAAAAAAAAAAAAAALgIAAGRycy9lMm9Eb2MueG1sUEsBAi0AFAAG&#10;AAgAAAAhAC8AvbTdAAAACAEAAA8AAAAAAAAAAAAAAAAAcwQAAGRycy9kb3ducmV2LnhtbFBLBQYA&#10;AAAABAAEAPMAAAB9BQAAAAA=&#10;" o:allowincell="f" filled="f" stroked="f" strokeweight=".5pt">
              <v:textbox inset=",0,,0">
                <w:txbxContent>
                  <w:p w14:paraId="0A16E36A" w14:textId="5C3D5669" w:rsidR="00D862EC" w:rsidRPr="00364C64" w:rsidRDefault="00347454" w:rsidP="0034745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64C6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0D" w:rsidRPr="002E1EA9">
      <w:rPr>
        <w:rStyle w:val="FooterChar"/>
        <w:rFonts w:ascii="Calibri" w:hAnsi="Calibri" w:cs="Arial"/>
        <w:b/>
        <w:color w:val="auto"/>
        <w:sz w:val="20"/>
        <w:szCs w:val="20"/>
      </w:rPr>
      <w:t>PBO reference PR</w:t>
    </w:r>
    <w:r>
      <w:rPr>
        <w:rStyle w:val="FooterChar"/>
        <w:rFonts w:ascii="Calibri" w:hAnsi="Calibri" w:cs="Arial"/>
        <w:b/>
        <w:color w:val="auto"/>
        <w:sz w:val="20"/>
        <w:szCs w:val="20"/>
      </w:rPr>
      <w:t>-202</w:t>
    </w:r>
    <w:r w:rsidR="003C1941">
      <w:rPr>
        <w:rStyle w:val="FooterChar"/>
        <w:rFonts w:ascii="Calibri" w:hAnsi="Calibri" w:cs="Arial"/>
        <w:b/>
        <w:color w:val="auto"/>
        <w:sz w:val="20"/>
        <w:szCs w:val="20"/>
      </w:rPr>
      <w:t>3-261</w:t>
    </w:r>
    <w:r w:rsidR="00F91A0D" w:rsidRPr="002E1EA9">
      <w:rPr>
        <w:rStyle w:val="FooterChar"/>
        <w:rFonts w:ascii="Calibri" w:hAnsi="Calibri" w:cs="Arial"/>
        <w:b/>
        <w:color w:val="auto"/>
        <w:sz w:val="20"/>
        <w:szCs w:val="20"/>
      </w:rPr>
      <w:tab/>
    </w:r>
    <w:r w:rsidR="00F91A0D" w:rsidRPr="002E1EA9">
      <w:rPr>
        <w:rStyle w:val="FooterChar"/>
        <w:rFonts w:ascii="Calibri" w:hAnsi="Calibri" w:cs="Arial"/>
        <w:b/>
        <w:color w:val="auto"/>
        <w:sz w:val="20"/>
        <w:szCs w:val="20"/>
      </w:rPr>
      <w:tab/>
    </w:r>
    <w:r w:rsidR="00F91A0D" w:rsidRPr="002E1EA9">
      <w:rPr>
        <w:rStyle w:val="FooterChar"/>
        <w:b/>
        <w:color w:val="auto"/>
        <w:sz w:val="20"/>
        <w:szCs w:val="20"/>
      </w:rPr>
      <w:t xml:space="preserve">Page </w:t>
    </w:r>
    <w:r w:rsidR="00F91A0D" w:rsidRPr="002E1EA9">
      <w:rPr>
        <w:rStyle w:val="FooterChar"/>
        <w:b/>
        <w:color w:val="auto"/>
        <w:sz w:val="20"/>
        <w:szCs w:val="20"/>
      </w:rPr>
      <w:fldChar w:fldCharType="begin"/>
    </w:r>
    <w:r w:rsidR="00F91A0D" w:rsidRPr="002E1EA9">
      <w:rPr>
        <w:rStyle w:val="FooterChar"/>
        <w:b/>
        <w:color w:val="auto"/>
        <w:sz w:val="20"/>
        <w:szCs w:val="20"/>
      </w:rPr>
      <w:instrText xml:space="preserve"> PAGE  \* Arabic  \* MERGEFORMAT </w:instrText>
    </w:r>
    <w:r w:rsidR="00F91A0D" w:rsidRPr="002E1EA9">
      <w:rPr>
        <w:rStyle w:val="FooterChar"/>
        <w:b/>
        <w:color w:val="auto"/>
        <w:sz w:val="20"/>
        <w:szCs w:val="20"/>
      </w:rPr>
      <w:fldChar w:fldCharType="separate"/>
    </w:r>
    <w:r w:rsidR="00DB2819" w:rsidRPr="002E1EA9">
      <w:rPr>
        <w:rStyle w:val="FooterChar"/>
        <w:b/>
        <w:noProof/>
        <w:color w:val="auto"/>
        <w:sz w:val="20"/>
        <w:szCs w:val="20"/>
      </w:rPr>
      <w:t>1</w:t>
    </w:r>
    <w:r w:rsidR="00F91A0D" w:rsidRPr="002E1EA9">
      <w:rPr>
        <w:rStyle w:val="FooterChar"/>
        <w:b/>
        <w:color w:val="auto"/>
        <w:sz w:val="20"/>
        <w:szCs w:val="20"/>
      </w:rPr>
      <w:fldChar w:fldCharType="end"/>
    </w:r>
    <w:r w:rsidR="00F91A0D" w:rsidRPr="002E1EA9">
      <w:rPr>
        <w:rStyle w:val="FooterChar"/>
        <w:b/>
        <w:color w:val="auto"/>
        <w:sz w:val="20"/>
        <w:szCs w:val="20"/>
      </w:rPr>
      <w:t xml:space="preserve"> of </w:t>
    </w:r>
    <w:r w:rsidR="00EF096E">
      <w:rPr>
        <w:rStyle w:val="FooterChar"/>
        <w:b/>
        <w:bCs/>
        <w:color w:val="auto"/>
        <w:sz w:val="20"/>
        <w:szCs w:val="20"/>
      </w:rPr>
      <w:t>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3387" w14:textId="0373CF07" w:rsidR="009A2406" w:rsidRDefault="00AC2E15" w:rsidP="00014577">
    <w:pPr>
      <w:pStyle w:val="Footer"/>
      <w:tabs>
        <w:tab w:val="right" w:pos="9071"/>
      </w:tabs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1FD91883" wp14:editId="0CD9FAF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Text Box 7" descr="{&quot;HashCode&quot;:-414943542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A5AEB" w14:textId="1E022F62" w:rsidR="00AC2E15" w:rsidRPr="0099188F" w:rsidRDefault="00347454" w:rsidP="00347454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99188F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918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{&quot;HashCode&quot;:-414943542,&quot;Height&quot;:9999999.0,&quot;Width&quot;:9999999.0,&quot;Placement&quot;:&quot;Footer&quot;,&quot;Index&quot;:&quot;Primary&quot;,&quot;Section&quot;:3,&quot;Top&quot;:0.0,&quot;Left&quot;:0.0}" style="position:absolute;margin-left:0;margin-top:0;width:612pt;height:36.5pt;z-index:25165824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606A5AEB" w14:textId="1E022F62" w:rsidR="00AC2E15" w:rsidRPr="0099188F" w:rsidRDefault="00347454" w:rsidP="00347454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99188F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>
      <w:rPr>
        <w:rStyle w:val="FooterChar"/>
        <w:b/>
        <w:bCs/>
        <w:sz w:val="22"/>
      </w:rPr>
      <w:tab/>
    </w:r>
    <w:r w:rsidR="00617691" w:rsidRPr="007C4069">
      <w:rPr>
        <w:rStyle w:val="FooterChar"/>
        <w:b/>
        <w:bCs/>
        <w:sz w:val="22"/>
      </w:rPr>
      <w:t xml:space="preserve">Page </w:t>
    </w:r>
    <w:r w:rsidR="00617691" w:rsidRPr="007C4069">
      <w:rPr>
        <w:rStyle w:val="FooterChar"/>
        <w:b/>
        <w:bCs/>
        <w:sz w:val="22"/>
      </w:rPr>
      <w:fldChar w:fldCharType="begin"/>
    </w:r>
    <w:r w:rsidR="00617691" w:rsidRPr="007C4069">
      <w:rPr>
        <w:rStyle w:val="FooterChar"/>
        <w:b/>
        <w:bCs/>
        <w:sz w:val="22"/>
      </w:rPr>
      <w:instrText xml:space="preserve"> PAGE  \* Arabic  \* MERGEFORMAT </w:instrText>
    </w:r>
    <w:r w:rsidR="00617691" w:rsidRPr="007C4069">
      <w:rPr>
        <w:rStyle w:val="FooterChar"/>
        <w:b/>
        <w:bCs/>
        <w:sz w:val="22"/>
      </w:rPr>
      <w:fldChar w:fldCharType="separate"/>
    </w:r>
    <w:r w:rsidR="00617691">
      <w:rPr>
        <w:rStyle w:val="FooterChar"/>
        <w:b/>
        <w:bCs/>
        <w:noProof/>
        <w:sz w:val="22"/>
      </w:rPr>
      <w:t>3</w:t>
    </w:r>
    <w:r w:rsidR="00617691" w:rsidRPr="007C4069">
      <w:rPr>
        <w:rStyle w:val="FooterChar"/>
        <w:b/>
        <w:bCs/>
        <w:sz w:val="22"/>
      </w:rPr>
      <w:fldChar w:fldCharType="end"/>
    </w:r>
    <w:r w:rsidR="00617691" w:rsidRPr="007C4069">
      <w:rPr>
        <w:rStyle w:val="FooterChar"/>
        <w:b/>
        <w:bCs/>
        <w:sz w:val="22"/>
      </w:rPr>
      <w:t xml:space="preserve"> of</w:t>
    </w:r>
    <w:r w:rsidR="00617691">
      <w:rPr>
        <w:rStyle w:val="FooterChar"/>
        <w:b/>
        <w:bCs/>
        <w:sz w:val="22"/>
      </w:rPr>
      <w:t xml:space="preserve"> </w:t>
    </w:r>
    <w:r w:rsidR="00EF096E">
      <w:rPr>
        <w:rStyle w:val="FooterChar"/>
        <w:b/>
        <w:bCs/>
        <w:sz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F1F0" w14:textId="77777777" w:rsidR="008E73FF" w:rsidRPr="000557A7" w:rsidRDefault="008E73FF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7C6F65B1" w14:textId="77777777" w:rsidR="008E73FF" w:rsidRDefault="008E73FF" w:rsidP="00A20802">
      <w:r>
        <w:continuationSeparator/>
      </w:r>
    </w:p>
    <w:p w14:paraId="589D2991" w14:textId="77777777" w:rsidR="008E73FF" w:rsidRDefault="008E73FF"/>
    <w:p w14:paraId="205079AB" w14:textId="77777777" w:rsidR="008E73FF" w:rsidRDefault="008E73FF"/>
  </w:footnote>
  <w:footnote w:type="continuationNotice" w:id="1">
    <w:p w14:paraId="38C33D4C" w14:textId="77777777" w:rsidR="008E73FF" w:rsidRDefault="008E73FF">
      <w:pPr>
        <w:spacing w:before="0" w:after="0" w:line="240" w:lineRule="auto"/>
      </w:pPr>
    </w:p>
  </w:footnote>
  <w:footnote w:id="2">
    <w:p w14:paraId="78FA9684" w14:textId="77777777" w:rsidR="00014577" w:rsidRPr="007D78D6" w:rsidRDefault="00014577" w:rsidP="00014577">
      <w:pPr>
        <w:spacing w:before="60"/>
        <w:rPr>
          <w:sz w:val="14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7551F">
          <w:rPr>
            <w:rStyle w:val="Hyperlink"/>
            <w:sz w:val="14"/>
            <w:szCs w:val="16"/>
          </w:rPr>
          <w:t>https://www.aph.gov.au/About_Parliament/Parliamentary_Departments/Parliamentary_Budget_Office/Costings_and_budget_information</w:t>
        </w:r>
      </w:hyperlink>
      <w:r w:rsidRPr="0007551F">
        <w:rPr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E535" w14:textId="77777777" w:rsidR="001C56F5" w:rsidRDefault="001C5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993" w14:textId="48FB3A0D" w:rsidR="00364C64" w:rsidRDefault="0099188F">
    <w:pPr>
      <w:pStyle w:val="Header"/>
    </w:pPr>
    <w:r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D897B3E" wp14:editId="68EED9FD">
              <wp:simplePos x="0" y="0"/>
              <wp:positionH relativeFrom="page">
                <wp:posOffset>-30811</wp:posOffset>
              </wp:positionH>
              <wp:positionV relativeFrom="page">
                <wp:posOffset>83185</wp:posOffset>
              </wp:positionV>
              <wp:extent cx="7772400" cy="463550"/>
              <wp:effectExtent l="0" t="0" r="0" b="12700"/>
              <wp:wrapNone/>
              <wp:docPr id="2" name="Text Box 2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703E8" w14:textId="77777777" w:rsidR="0099188F" w:rsidRPr="00364C64" w:rsidRDefault="0099188F" w:rsidP="0099188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64C6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97B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414943542,&quot;Height&quot;:9999999.0,&quot;Width&quot;:9999999.0,&quot;Placement&quot;:&quot;Footer&quot;,&quot;Index&quot;:&quot;FirstPage&quot;,&quot;Section&quot;:2,&quot;Top&quot;:0.0,&quot;Left&quot;:0.0}" style="position:absolute;margin-left:-2.45pt;margin-top:6.55pt;width:612pt;height:36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hOtk03gAAAAkBAAAPAAAAZHJzL2Rvd25yZXYueG1sTI9NT8MwDIbvSPyHyEjctrQd&#10;qrbSdOJDSHBCFC7cssb9gMapmmwN/x7vBDfb7+vXj8t9tKM44ewHRwrSdQICqXFmoE7Bx/vTagvC&#10;B01Gj45QwQ962FeXF6UujFvoDU916ASHkC+0gj6EqZDSNz1a7dduQmKtdbPVgdu5k2bWC4fbUWZJ&#10;kkurB+ILvZ7wocfmuz5axnDTS/aVL8njJn7Wz7F9vR9Cq9T1Vby7BREwhj8znPF5BypmOrgjGS9G&#10;BaubHTt5vklBnPUs3XF1ULDNU5BVKf9/UP0CAAD//wMAUEsBAi0AFAAGAAgAAAAhALaDOJL+AAAA&#10;4QEAABMAAAAAAAAAAAAAAAAAAAAAAFtDb250ZW50X1R5cGVzXS54bWxQSwECLQAUAAYACAAAACEA&#10;OP0h/9YAAACUAQAACwAAAAAAAAAAAAAAAAAvAQAAX3JlbHMvLnJlbHNQSwECLQAUAAYACAAAACEA&#10;HVjVZxQCAAAmBAAADgAAAAAAAAAAAAAAAAAuAgAAZHJzL2Uyb0RvYy54bWxQSwECLQAUAAYACAAA&#10;ACEAoTrZNN4AAAAJAQAADwAAAAAAAAAAAAAAAABuBAAAZHJzL2Rvd25yZXYueG1sUEsFBgAAAAAE&#10;AAQA8wAAAHkFAAAAAA==&#10;" o:allowincell="f" filled="f" stroked="f" strokeweight=".5pt">
              <v:textbox inset=",0,,0">
                <w:txbxContent>
                  <w:p w14:paraId="3B9703E8" w14:textId="77777777" w:rsidR="0099188F" w:rsidRPr="00364C64" w:rsidRDefault="0099188F" w:rsidP="0099188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64C6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17FA" w14:textId="62CE2FD1" w:rsidR="00C975E8" w:rsidRPr="00364C64" w:rsidRDefault="00C975E8" w:rsidP="00C975E8">
    <w:pPr>
      <w:spacing w:before="0" w:after="0"/>
      <w:jc w:val="center"/>
      <w:rPr>
        <w:rFonts w:ascii="Calibri" w:hAnsi="Calibri" w:cs="Calibri"/>
        <w:strike/>
        <w:color w:val="FF0000"/>
        <w:sz w:val="20"/>
      </w:rPr>
    </w:pPr>
    <w:r w:rsidRPr="00364C64">
      <w:rPr>
        <w:rFonts w:ascii="Calibri" w:hAnsi="Calibri" w:cs="Calibri"/>
        <w:strike/>
        <w:color w:val="FF0000"/>
        <w:sz w:val="20"/>
      </w:rPr>
      <w:t>OFFICIAL: Sensitive</w:t>
    </w:r>
  </w:p>
  <w:p w14:paraId="704D92B5" w14:textId="2F6B709E" w:rsidR="00C44D85" w:rsidRDefault="002636AE" w:rsidP="00F91A0D">
    <w:pPr>
      <w:pStyle w:val="Header"/>
      <w:spacing w:before="400" w:after="680"/>
    </w:pPr>
    <w:r>
      <w:rPr>
        <w:noProof/>
        <w:lang w:eastAsia="en-AU"/>
      </w:rPr>
      <w:drawing>
        <wp:inline distT="0" distB="0" distL="0" distR="0" wp14:anchorId="0A0C46DA" wp14:editId="6E1998EC">
          <wp:extent cx="1880382" cy="576000"/>
          <wp:effectExtent l="0" t="0" r="5715" b="0"/>
          <wp:docPr id="14" name="Picture 14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arliamentary Budget Off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8F5" w14:textId="6838F80B" w:rsidR="0099188F" w:rsidRDefault="0099188F">
    <w:pPr>
      <w:pStyle w:val="Header"/>
    </w:pPr>
    <w:r>
      <w:rPr>
        <w:rFonts w:ascii="Calibri" w:hAnsi="Calibri" w:cs="Arial"/>
        <w:b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2342" behindDoc="0" locked="0" layoutInCell="0" allowOverlap="1" wp14:anchorId="42098CA1" wp14:editId="6C90A0C0">
              <wp:simplePos x="0" y="0"/>
              <wp:positionH relativeFrom="page">
                <wp:posOffset>1383527</wp:posOffset>
              </wp:positionH>
              <wp:positionV relativeFrom="page">
                <wp:posOffset>59966</wp:posOffset>
              </wp:positionV>
              <wp:extent cx="7772400" cy="463550"/>
              <wp:effectExtent l="0" t="0" r="0" b="12700"/>
              <wp:wrapNone/>
              <wp:docPr id="4" name="Text Box 4" descr="{&quot;HashCode&quot;:-414943542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4B4E" w14:textId="77777777" w:rsidR="0099188F" w:rsidRPr="00364C64" w:rsidRDefault="0099188F" w:rsidP="0099188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</w:pPr>
                          <w:r w:rsidRPr="00364C64">
                            <w:rPr>
                              <w:rFonts w:ascii="Calibri" w:hAnsi="Calibri" w:cs="Calibri"/>
                              <w:strike/>
                              <w:color w:val="FF0000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98C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{&quot;HashCode&quot;:-414943542,&quot;Height&quot;:9999999.0,&quot;Width&quot;:9999999.0,&quot;Placement&quot;:&quot;Footer&quot;,&quot;Index&quot;:&quot;FirstPage&quot;,&quot;Section&quot;:2,&quot;Top&quot;:0.0,&quot;Left&quot;:0.0}" style="position:absolute;margin-left:108.95pt;margin-top:4.7pt;width:612pt;height:36.5pt;z-index:251662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PhTXmzeAAAACQEAAA8AAABkcnMvZG93bnJldi54bWxMj0tPwzAQhO9I/Adr&#10;kbhRJyEqbYhT8RASnBCBCzc33jwgXkex25h/z/YEx92Znf2m3EU7iiPOfnCkIF0lIJAaZwbqFHy8&#10;P11tQPigyejRESr4QQ+76vys1IVxC73hsQ6d4BDyhVbQhzAVUvqmR6v9yk1IrLVutjrwOHfSzHrh&#10;cDvKLEnW0uqB+EOvJ3zosfmuD5Yx3PSSfa2X5PE6ftbPsX29H0Kr1OVFvLsFETCGPzOc8PkGKmba&#10;uwMZL0YFWXqzZauCbQ7ipOd5you9gk2Wg6xK+b9B9QsAAP//AwBQSwECLQAUAAYACAAAACEAtoM4&#10;kv4AAADhAQAAEwAAAAAAAAAAAAAAAAAAAAAAW0NvbnRlbnRfVHlwZXNdLnhtbFBLAQItABQABgAI&#10;AAAAIQA4/SH/1gAAAJQBAAALAAAAAAAAAAAAAAAAAC8BAABfcmVscy8ucmVsc1BLAQItABQABgAI&#10;AAAAIQC0RMabGQIAAC0EAAAOAAAAAAAAAAAAAAAAAC4CAABkcnMvZTJvRG9jLnhtbFBLAQItABQA&#10;BgAIAAAAIQD4U15s3gAAAAkBAAAPAAAAAAAAAAAAAAAAAHMEAABkcnMvZG93bnJldi54bWxQSwUG&#10;AAAAAAQABADzAAAAfgUAAAAA&#10;" o:allowincell="f" filled="f" stroked="f" strokeweight=".5pt">
              <v:textbox inset=",0,,0">
                <w:txbxContent>
                  <w:p w14:paraId="097A4B4E" w14:textId="77777777" w:rsidR="0099188F" w:rsidRPr="00364C64" w:rsidRDefault="0099188F" w:rsidP="0099188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</w:pPr>
                    <w:r w:rsidRPr="00364C64">
                      <w:rPr>
                        <w:rFonts w:ascii="Calibri" w:hAnsi="Calibri" w:cs="Calibri"/>
                        <w:strike/>
                        <w:color w:val="FF0000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89"/>
    <w:multiLevelType w:val="hybridMultilevel"/>
    <w:tmpl w:val="58AE9564"/>
    <w:lvl w:ilvl="0" w:tplc="52D8BB4E">
      <w:start w:val="2"/>
      <w:numFmt w:val="bullet"/>
      <w:lvlText w:val="-"/>
      <w:lvlJc w:val="left"/>
      <w:pPr>
        <w:ind w:left="21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2CA8A22A"/>
    <w:name w:val="Bullets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E645256"/>
    <w:multiLevelType w:val="multilevel"/>
    <w:tmpl w:val="75FCCD40"/>
    <w:styleLink w:val="AttachementsNumbered"/>
    <w:lvl w:ilvl="0">
      <w:start w:val="1"/>
      <w:numFmt w:val="upperLetter"/>
      <w:pStyle w:val="Heading8"/>
      <w:suff w:val="space"/>
      <w:lvlText w:val="Attachment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9778B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9778B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6" w15:restartNumberingAfterBreak="0">
    <w:nsid w:val="15E92E39"/>
    <w:multiLevelType w:val="multilevel"/>
    <w:tmpl w:val="6C6E19E4"/>
    <w:styleLink w:val="NormalNumberedParas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C020AF"/>
    <w:multiLevelType w:val="hybridMultilevel"/>
    <w:tmpl w:val="0100DF4C"/>
    <w:lvl w:ilvl="0" w:tplc="8AE63CDA">
      <w:start w:val="1"/>
      <w:numFmt w:val="bullet"/>
      <w:lvlText w:val="–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9710D28A"/>
    <w:name w:val="Table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9F1618D"/>
    <w:multiLevelType w:val="multilevel"/>
    <w:tmpl w:val="DB9A36FA"/>
    <w:styleLink w:val="List1Numbered"/>
    <w:lvl w:ilvl="0">
      <w:start w:val="1"/>
      <w:numFmt w:val="decimal"/>
      <w:pStyle w:val="List1Numbered1"/>
      <w:lvlText w:val="%1."/>
      <w:lvlJc w:val="left"/>
      <w:pPr>
        <w:ind w:left="851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1135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10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4BC"/>
    <w:multiLevelType w:val="hybridMultilevel"/>
    <w:tmpl w:val="C10EEC9C"/>
    <w:lvl w:ilvl="0" w:tplc="71BE1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8D487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0F2CCE"/>
    <w:multiLevelType w:val="multilevel"/>
    <w:tmpl w:val="DB9A36FA"/>
    <w:numStyleLink w:val="List1Numbered"/>
  </w:abstractNum>
  <w:abstractNum w:abstractNumId="15" w15:restartNumberingAfterBreak="0">
    <w:nsid w:val="2C72580B"/>
    <w:multiLevelType w:val="multilevel"/>
    <w:tmpl w:val="A1605A0E"/>
    <w:name w:val="PullOutNumbering"/>
    <w:lvl w:ilvl="0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C2400A2"/>
    <w:name w:val="PullOutBullets"/>
    <w:lvl w:ilvl="0">
      <w:start w:val="1"/>
      <w:numFmt w:val="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396E59"/>
    <w:multiLevelType w:val="multilevel"/>
    <w:tmpl w:val="4624390C"/>
    <w:styleLink w:val="BoxedBullets"/>
    <w:lvl w:ilvl="0">
      <w:start w:val="1"/>
      <w:numFmt w:val="bullet"/>
      <w:pStyle w:val="Box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9778B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9778B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B34C1"/>
    <w:multiLevelType w:val="multilevel"/>
    <w:tmpl w:val="B0064A26"/>
    <w:numStyleLink w:val="DefaultBullets"/>
  </w:abstractNum>
  <w:abstractNum w:abstractNumId="22" w15:restartNumberingAfterBreak="0">
    <w:nsid w:val="483F501A"/>
    <w:multiLevelType w:val="multilevel"/>
    <w:tmpl w:val="75FCCD40"/>
    <w:numStyleLink w:val="AttachementsNumbered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E5A01"/>
    <w:multiLevelType w:val="hybridMultilevel"/>
    <w:tmpl w:val="CAC6B7CC"/>
    <w:lvl w:ilvl="0" w:tplc="B146641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59EF7A30"/>
    <w:multiLevelType w:val="hybridMultilevel"/>
    <w:tmpl w:val="9CB6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1A6297E2"/>
    <w:lvl w:ilvl="0">
      <w:start w:val="1"/>
      <w:numFmt w:val="upperLetter"/>
      <w:lvlRestart w:val="0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8" w15:restartNumberingAfterBreak="0">
    <w:nsid w:val="60D05A3F"/>
    <w:multiLevelType w:val="multilevel"/>
    <w:tmpl w:val="6C6E19E4"/>
    <w:numStyleLink w:val="NormalNumberedParas"/>
  </w:abstractNum>
  <w:abstractNum w:abstractNumId="29" w15:restartNumberingAfterBreak="0">
    <w:nsid w:val="65262A39"/>
    <w:multiLevelType w:val="hybridMultilevel"/>
    <w:tmpl w:val="8AC2DF44"/>
    <w:lvl w:ilvl="0" w:tplc="F886F750">
      <w:start w:val="1"/>
      <w:numFmt w:val="bullet"/>
      <w:pStyle w:val="Bullet3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1D40AC"/>
    <w:multiLevelType w:val="multilevel"/>
    <w:tmpl w:val="D18C6390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5796740A"/>
    <w:name w:val="QuoteBullets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38A4D83"/>
    <w:multiLevelType w:val="multilevel"/>
    <w:tmpl w:val="B0064A26"/>
    <w:styleLink w:val="DefaultBullets"/>
    <w:lvl w:ilvl="0">
      <w:start w:val="1"/>
      <w:numFmt w:val="bullet"/>
      <w:pStyle w:val="Bullet1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113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1419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839021E"/>
    <w:multiLevelType w:val="multilevel"/>
    <w:tmpl w:val="C186E662"/>
    <w:name w:val="ListNumbering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005670988">
    <w:abstractNumId w:val="23"/>
  </w:num>
  <w:num w:numId="2" w16cid:durableId="934553114">
    <w:abstractNumId w:val="3"/>
  </w:num>
  <w:num w:numId="3" w16cid:durableId="1086926638">
    <w:abstractNumId w:val="19"/>
  </w:num>
  <w:num w:numId="4" w16cid:durableId="218327147">
    <w:abstractNumId w:val="32"/>
  </w:num>
  <w:num w:numId="5" w16cid:durableId="943076234">
    <w:abstractNumId w:val="22"/>
  </w:num>
  <w:num w:numId="6" w16cid:durableId="1418752282">
    <w:abstractNumId w:val="27"/>
  </w:num>
  <w:num w:numId="7" w16cid:durableId="1614484092">
    <w:abstractNumId w:val="9"/>
  </w:num>
  <w:num w:numId="8" w16cid:durableId="2119711582">
    <w:abstractNumId w:val="14"/>
  </w:num>
  <w:num w:numId="9" w16cid:durableId="304162077">
    <w:abstractNumId w:val="6"/>
  </w:num>
  <w:num w:numId="10" w16cid:durableId="1292325537">
    <w:abstractNumId w:val="24"/>
  </w:num>
  <w:num w:numId="11" w16cid:durableId="1783767292">
    <w:abstractNumId w:val="16"/>
  </w:num>
  <w:num w:numId="12" w16cid:durableId="1411925532">
    <w:abstractNumId w:val="23"/>
  </w:num>
  <w:num w:numId="13" w16cid:durableId="753938754">
    <w:abstractNumId w:val="23"/>
  </w:num>
  <w:num w:numId="14" w16cid:durableId="509947664">
    <w:abstractNumId w:val="3"/>
  </w:num>
  <w:num w:numId="15" w16cid:durableId="580794796">
    <w:abstractNumId w:val="19"/>
  </w:num>
  <w:num w:numId="16" w16cid:durableId="1718624599">
    <w:abstractNumId w:val="19"/>
  </w:num>
  <w:num w:numId="17" w16cid:durableId="488982839">
    <w:abstractNumId w:val="19"/>
  </w:num>
  <w:num w:numId="18" w16cid:durableId="1131480151">
    <w:abstractNumId w:val="21"/>
  </w:num>
  <w:num w:numId="19" w16cid:durableId="871847148">
    <w:abstractNumId w:val="21"/>
  </w:num>
  <w:num w:numId="20" w16cid:durableId="1848210762">
    <w:abstractNumId w:val="21"/>
  </w:num>
  <w:num w:numId="21" w16cid:durableId="565730047">
    <w:abstractNumId w:val="32"/>
  </w:num>
  <w:num w:numId="22" w16cid:durableId="96758592">
    <w:abstractNumId w:val="10"/>
  </w:num>
  <w:num w:numId="23" w16cid:durableId="986324561">
    <w:abstractNumId w:val="24"/>
  </w:num>
  <w:num w:numId="24" w16cid:durableId="1489857610">
    <w:abstractNumId w:val="24"/>
  </w:num>
  <w:num w:numId="25" w16cid:durableId="780421305">
    <w:abstractNumId w:val="24"/>
  </w:num>
  <w:num w:numId="26" w16cid:durableId="1918586685">
    <w:abstractNumId w:val="22"/>
  </w:num>
  <w:num w:numId="27" w16cid:durableId="1180850040">
    <w:abstractNumId w:val="27"/>
  </w:num>
  <w:num w:numId="28" w16cid:durableId="1253512116">
    <w:abstractNumId w:val="4"/>
  </w:num>
  <w:num w:numId="29" w16cid:durableId="389304101">
    <w:abstractNumId w:val="9"/>
  </w:num>
  <w:num w:numId="30" w16cid:durableId="38169681">
    <w:abstractNumId w:val="14"/>
  </w:num>
  <w:num w:numId="31" w16cid:durableId="1596670942">
    <w:abstractNumId w:val="14"/>
  </w:num>
  <w:num w:numId="32" w16cid:durableId="1071855454">
    <w:abstractNumId w:val="14"/>
  </w:num>
  <w:num w:numId="33" w16cid:durableId="338430886">
    <w:abstractNumId w:val="28"/>
  </w:num>
  <w:num w:numId="34" w16cid:durableId="873662161">
    <w:abstractNumId w:val="6"/>
  </w:num>
  <w:num w:numId="35" w16cid:durableId="130369967">
    <w:abstractNumId w:val="24"/>
  </w:num>
  <w:num w:numId="36" w16cid:durableId="1534609760">
    <w:abstractNumId w:val="16"/>
  </w:num>
  <w:num w:numId="37" w16cid:durableId="878930699">
    <w:abstractNumId w:val="13"/>
  </w:num>
  <w:num w:numId="38" w16cid:durableId="727605757">
    <w:abstractNumId w:val="25"/>
  </w:num>
  <w:num w:numId="39" w16cid:durableId="67115954">
    <w:abstractNumId w:val="7"/>
  </w:num>
  <w:num w:numId="40" w16cid:durableId="766116047">
    <w:abstractNumId w:val="29"/>
  </w:num>
  <w:num w:numId="41" w16cid:durableId="677194439">
    <w:abstractNumId w:val="11"/>
  </w:num>
  <w:num w:numId="42" w16cid:durableId="1471436559">
    <w:abstractNumId w:val="5"/>
  </w:num>
  <w:num w:numId="43" w16cid:durableId="1558933983">
    <w:abstractNumId w:val="17"/>
  </w:num>
  <w:num w:numId="44" w16cid:durableId="416563415">
    <w:abstractNumId w:val="26"/>
  </w:num>
  <w:num w:numId="45" w16cid:durableId="646710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98081485">
    <w:abstractNumId w:val="12"/>
  </w:num>
  <w:num w:numId="47" w16cid:durableId="28451138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0071A7"/>
    <w:rsid w:val="0000071C"/>
    <w:rsid w:val="0000322C"/>
    <w:rsid w:val="00003CDD"/>
    <w:rsid w:val="0000412C"/>
    <w:rsid w:val="000071A7"/>
    <w:rsid w:val="00012209"/>
    <w:rsid w:val="00013620"/>
    <w:rsid w:val="0001406F"/>
    <w:rsid w:val="00014577"/>
    <w:rsid w:val="000155D9"/>
    <w:rsid w:val="00015E04"/>
    <w:rsid w:val="000168A7"/>
    <w:rsid w:val="00016D53"/>
    <w:rsid w:val="00020D01"/>
    <w:rsid w:val="0002159A"/>
    <w:rsid w:val="000278D0"/>
    <w:rsid w:val="00027E62"/>
    <w:rsid w:val="000307C8"/>
    <w:rsid w:val="00030F73"/>
    <w:rsid w:val="00033326"/>
    <w:rsid w:val="00035A1C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2FF9"/>
    <w:rsid w:val="00063461"/>
    <w:rsid w:val="00065125"/>
    <w:rsid w:val="00066D54"/>
    <w:rsid w:val="00067A28"/>
    <w:rsid w:val="00071A14"/>
    <w:rsid w:val="0007260F"/>
    <w:rsid w:val="000739CB"/>
    <w:rsid w:val="00073C89"/>
    <w:rsid w:val="0007488E"/>
    <w:rsid w:val="000805D5"/>
    <w:rsid w:val="0008103B"/>
    <w:rsid w:val="00085F97"/>
    <w:rsid w:val="00087777"/>
    <w:rsid w:val="000879B1"/>
    <w:rsid w:val="00092A33"/>
    <w:rsid w:val="000939FD"/>
    <w:rsid w:val="00096BA9"/>
    <w:rsid w:val="000973F9"/>
    <w:rsid w:val="00097A23"/>
    <w:rsid w:val="000A0848"/>
    <w:rsid w:val="000A2FEC"/>
    <w:rsid w:val="000A348F"/>
    <w:rsid w:val="000A4FEE"/>
    <w:rsid w:val="000B1B0C"/>
    <w:rsid w:val="000B4345"/>
    <w:rsid w:val="000B5900"/>
    <w:rsid w:val="000B60AE"/>
    <w:rsid w:val="000B6942"/>
    <w:rsid w:val="000B6D00"/>
    <w:rsid w:val="000B70EC"/>
    <w:rsid w:val="000C09FA"/>
    <w:rsid w:val="000C1AB0"/>
    <w:rsid w:val="000C37A9"/>
    <w:rsid w:val="000C6728"/>
    <w:rsid w:val="000C702E"/>
    <w:rsid w:val="000D15E9"/>
    <w:rsid w:val="000D2606"/>
    <w:rsid w:val="000D3182"/>
    <w:rsid w:val="000D3228"/>
    <w:rsid w:val="000D45C4"/>
    <w:rsid w:val="000D46B3"/>
    <w:rsid w:val="000E045A"/>
    <w:rsid w:val="000E18F3"/>
    <w:rsid w:val="000E19AC"/>
    <w:rsid w:val="000E2197"/>
    <w:rsid w:val="000E266E"/>
    <w:rsid w:val="000E29CD"/>
    <w:rsid w:val="000E4C7B"/>
    <w:rsid w:val="000E5FD9"/>
    <w:rsid w:val="000F1515"/>
    <w:rsid w:val="000F16B5"/>
    <w:rsid w:val="000F616E"/>
    <w:rsid w:val="000F7D50"/>
    <w:rsid w:val="00103FFC"/>
    <w:rsid w:val="00110D43"/>
    <w:rsid w:val="00114966"/>
    <w:rsid w:val="00114A22"/>
    <w:rsid w:val="001159EA"/>
    <w:rsid w:val="00120A75"/>
    <w:rsid w:val="00122D4A"/>
    <w:rsid w:val="00124F41"/>
    <w:rsid w:val="00125410"/>
    <w:rsid w:val="0013011D"/>
    <w:rsid w:val="00130858"/>
    <w:rsid w:val="00131861"/>
    <w:rsid w:val="00135114"/>
    <w:rsid w:val="00136C26"/>
    <w:rsid w:val="0014059F"/>
    <w:rsid w:val="00141551"/>
    <w:rsid w:val="001417CE"/>
    <w:rsid w:val="001420BA"/>
    <w:rsid w:val="0014479F"/>
    <w:rsid w:val="00146851"/>
    <w:rsid w:val="00146B30"/>
    <w:rsid w:val="00146EAD"/>
    <w:rsid w:val="00150C23"/>
    <w:rsid w:val="0015346B"/>
    <w:rsid w:val="001541BF"/>
    <w:rsid w:val="00154DC5"/>
    <w:rsid w:val="001565AC"/>
    <w:rsid w:val="00160C8D"/>
    <w:rsid w:val="001616E8"/>
    <w:rsid w:val="001629C0"/>
    <w:rsid w:val="00165122"/>
    <w:rsid w:val="00165854"/>
    <w:rsid w:val="00166078"/>
    <w:rsid w:val="0016698A"/>
    <w:rsid w:val="00166A15"/>
    <w:rsid w:val="00167A05"/>
    <w:rsid w:val="001711BC"/>
    <w:rsid w:val="001738DB"/>
    <w:rsid w:val="001738F5"/>
    <w:rsid w:val="00173DFD"/>
    <w:rsid w:val="00180FF9"/>
    <w:rsid w:val="0019204F"/>
    <w:rsid w:val="00195228"/>
    <w:rsid w:val="00195696"/>
    <w:rsid w:val="00196532"/>
    <w:rsid w:val="001967B2"/>
    <w:rsid w:val="001A1EFC"/>
    <w:rsid w:val="001A48EF"/>
    <w:rsid w:val="001A49CC"/>
    <w:rsid w:val="001A5553"/>
    <w:rsid w:val="001A716E"/>
    <w:rsid w:val="001B18C6"/>
    <w:rsid w:val="001B25FE"/>
    <w:rsid w:val="001B2C65"/>
    <w:rsid w:val="001B3BA2"/>
    <w:rsid w:val="001B4255"/>
    <w:rsid w:val="001B7058"/>
    <w:rsid w:val="001C3A4F"/>
    <w:rsid w:val="001C4121"/>
    <w:rsid w:val="001C48DE"/>
    <w:rsid w:val="001C56F5"/>
    <w:rsid w:val="001C6881"/>
    <w:rsid w:val="001C7A03"/>
    <w:rsid w:val="001C7F8D"/>
    <w:rsid w:val="001D1A49"/>
    <w:rsid w:val="001D30C1"/>
    <w:rsid w:val="001D41B9"/>
    <w:rsid w:val="001D52E3"/>
    <w:rsid w:val="001D576F"/>
    <w:rsid w:val="001D7C29"/>
    <w:rsid w:val="001E0475"/>
    <w:rsid w:val="001E33C2"/>
    <w:rsid w:val="001E55FD"/>
    <w:rsid w:val="001E5BD5"/>
    <w:rsid w:val="001E708A"/>
    <w:rsid w:val="001E7BA4"/>
    <w:rsid w:val="001F2AAD"/>
    <w:rsid w:val="001F3F23"/>
    <w:rsid w:val="001F5C90"/>
    <w:rsid w:val="001F5CB3"/>
    <w:rsid w:val="001F767C"/>
    <w:rsid w:val="001F7B10"/>
    <w:rsid w:val="00201EAE"/>
    <w:rsid w:val="00202850"/>
    <w:rsid w:val="00203A7B"/>
    <w:rsid w:val="002057EF"/>
    <w:rsid w:val="00205C6E"/>
    <w:rsid w:val="00210074"/>
    <w:rsid w:val="00210507"/>
    <w:rsid w:val="00210FCF"/>
    <w:rsid w:val="0021562A"/>
    <w:rsid w:val="002179B6"/>
    <w:rsid w:val="00222350"/>
    <w:rsid w:val="00222EFF"/>
    <w:rsid w:val="002240D5"/>
    <w:rsid w:val="0022525C"/>
    <w:rsid w:val="00225CA4"/>
    <w:rsid w:val="002261A7"/>
    <w:rsid w:val="00226AEC"/>
    <w:rsid w:val="0023077A"/>
    <w:rsid w:val="002335C4"/>
    <w:rsid w:val="00235C95"/>
    <w:rsid w:val="00246543"/>
    <w:rsid w:val="00246E30"/>
    <w:rsid w:val="00247FD6"/>
    <w:rsid w:val="00250D5B"/>
    <w:rsid w:val="002545F3"/>
    <w:rsid w:val="002559FB"/>
    <w:rsid w:val="0025726E"/>
    <w:rsid w:val="00260B56"/>
    <w:rsid w:val="0026257E"/>
    <w:rsid w:val="0026344F"/>
    <w:rsid w:val="002636AE"/>
    <w:rsid w:val="002662C5"/>
    <w:rsid w:val="00266A17"/>
    <w:rsid w:val="00267EC4"/>
    <w:rsid w:val="00270372"/>
    <w:rsid w:val="00270409"/>
    <w:rsid w:val="00275534"/>
    <w:rsid w:val="00277075"/>
    <w:rsid w:val="002775D2"/>
    <w:rsid w:val="00281A7A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33F4"/>
    <w:rsid w:val="002A43A0"/>
    <w:rsid w:val="002A5778"/>
    <w:rsid w:val="002A6E3B"/>
    <w:rsid w:val="002B1C24"/>
    <w:rsid w:val="002B1E84"/>
    <w:rsid w:val="002B2085"/>
    <w:rsid w:val="002B3EC4"/>
    <w:rsid w:val="002B7206"/>
    <w:rsid w:val="002C27D3"/>
    <w:rsid w:val="002C37D5"/>
    <w:rsid w:val="002C3951"/>
    <w:rsid w:val="002C46B2"/>
    <w:rsid w:val="002C4DA6"/>
    <w:rsid w:val="002C56B6"/>
    <w:rsid w:val="002C60A0"/>
    <w:rsid w:val="002D0BAB"/>
    <w:rsid w:val="002D18E1"/>
    <w:rsid w:val="002D239A"/>
    <w:rsid w:val="002D34DB"/>
    <w:rsid w:val="002D48BE"/>
    <w:rsid w:val="002D4B11"/>
    <w:rsid w:val="002E0CD6"/>
    <w:rsid w:val="002E1EA9"/>
    <w:rsid w:val="002E515E"/>
    <w:rsid w:val="002E5633"/>
    <w:rsid w:val="002E5CE6"/>
    <w:rsid w:val="002E6659"/>
    <w:rsid w:val="002F0972"/>
    <w:rsid w:val="002F1963"/>
    <w:rsid w:val="002F5B6E"/>
    <w:rsid w:val="002F61B5"/>
    <w:rsid w:val="00300066"/>
    <w:rsid w:val="0030209B"/>
    <w:rsid w:val="003049B5"/>
    <w:rsid w:val="00307BA7"/>
    <w:rsid w:val="003116DE"/>
    <w:rsid w:val="00312494"/>
    <w:rsid w:val="003127E4"/>
    <w:rsid w:val="00312C42"/>
    <w:rsid w:val="00313215"/>
    <w:rsid w:val="00313DA1"/>
    <w:rsid w:val="00316CEA"/>
    <w:rsid w:val="00317042"/>
    <w:rsid w:val="003174C3"/>
    <w:rsid w:val="003177A4"/>
    <w:rsid w:val="003230D5"/>
    <w:rsid w:val="00324863"/>
    <w:rsid w:val="0032557A"/>
    <w:rsid w:val="003269A5"/>
    <w:rsid w:val="00326E3E"/>
    <w:rsid w:val="00330622"/>
    <w:rsid w:val="00330F26"/>
    <w:rsid w:val="003318BA"/>
    <w:rsid w:val="003326F7"/>
    <w:rsid w:val="00340778"/>
    <w:rsid w:val="003407B9"/>
    <w:rsid w:val="00343205"/>
    <w:rsid w:val="00344D2C"/>
    <w:rsid w:val="003458CE"/>
    <w:rsid w:val="00345A57"/>
    <w:rsid w:val="00346D90"/>
    <w:rsid w:val="00347454"/>
    <w:rsid w:val="00351F62"/>
    <w:rsid w:val="00357046"/>
    <w:rsid w:val="0035792C"/>
    <w:rsid w:val="003601F4"/>
    <w:rsid w:val="00361150"/>
    <w:rsid w:val="00364C64"/>
    <w:rsid w:val="003671E2"/>
    <w:rsid w:val="00370320"/>
    <w:rsid w:val="00372AE6"/>
    <w:rsid w:val="00374E86"/>
    <w:rsid w:val="00376C3A"/>
    <w:rsid w:val="0038082C"/>
    <w:rsid w:val="00381ADB"/>
    <w:rsid w:val="003837E1"/>
    <w:rsid w:val="00383804"/>
    <w:rsid w:val="0038542D"/>
    <w:rsid w:val="0038584D"/>
    <w:rsid w:val="003907E3"/>
    <w:rsid w:val="0039257F"/>
    <w:rsid w:val="003931DE"/>
    <w:rsid w:val="00394E9E"/>
    <w:rsid w:val="00397D1A"/>
    <w:rsid w:val="003A163C"/>
    <w:rsid w:val="003A1932"/>
    <w:rsid w:val="003A2B4E"/>
    <w:rsid w:val="003A2FBB"/>
    <w:rsid w:val="003A34E7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AAD"/>
    <w:rsid w:val="003B3D44"/>
    <w:rsid w:val="003B47BC"/>
    <w:rsid w:val="003C1941"/>
    <w:rsid w:val="003C2540"/>
    <w:rsid w:val="003C6BB5"/>
    <w:rsid w:val="003C7CC2"/>
    <w:rsid w:val="003D3379"/>
    <w:rsid w:val="003D50B6"/>
    <w:rsid w:val="003D661A"/>
    <w:rsid w:val="003E05DF"/>
    <w:rsid w:val="003E1562"/>
    <w:rsid w:val="003E41B2"/>
    <w:rsid w:val="003E6085"/>
    <w:rsid w:val="003E6CA3"/>
    <w:rsid w:val="003F3031"/>
    <w:rsid w:val="003F4C96"/>
    <w:rsid w:val="0040174A"/>
    <w:rsid w:val="00401C49"/>
    <w:rsid w:val="00404CFE"/>
    <w:rsid w:val="00406002"/>
    <w:rsid w:val="00406AD3"/>
    <w:rsid w:val="0041025E"/>
    <w:rsid w:val="00410731"/>
    <w:rsid w:val="00412E42"/>
    <w:rsid w:val="00413EC1"/>
    <w:rsid w:val="00414A13"/>
    <w:rsid w:val="00415776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29B5"/>
    <w:rsid w:val="0046444F"/>
    <w:rsid w:val="00464FF9"/>
    <w:rsid w:val="004716E3"/>
    <w:rsid w:val="00472502"/>
    <w:rsid w:val="00474BB7"/>
    <w:rsid w:val="00476133"/>
    <w:rsid w:val="00476800"/>
    <w:rsid w:val="004816D7"/>
    <w:rsid w:val="004820A7"/>
    <w:rsid w:val="0048215B"/>
    <w:rsid w:val="00482F63"/>
    <w:rsid w:val="0048342E"/>
    <w:rsid w:val="00487478"/>
    <w:rsid w:val="0048782D"/>
    <w:rsid w:val="00490873"/>
    <w:rsid w:val="00491703"/>
    <w:rsid w:val="00494DC1"/>
    <w:rsid w:val="004971D4"/>
    <w:rsid w:val="00497CEB"/>
    <w:rsid w:val="004A3F56"/>
    <w:rsid w:val="004A4BB2"/>
    <w:rsid w:val="004A4F1C"/>
    <w:rsid w:val="004A5E21"/>
    <w:rsid w:val="004A666A"/>
    <w:rsid w:val="004A7D4E"/>
    <w:rsid w:val="004B143F"/>
    <w:rsid w:val="004B2153"/>
    <w:rsid w:val="004B3022"/>
    <w:rsid w:val="004B42A5"/>
    <w:rsid w:val="004B49A0"/>
    <w:rsid w:val="004B52AF"/>
    <w:rsid w:val="004B6C2D"/>
    <w:rsid w:val="004C3BDA"/>
    <w:rsid w:val="004C6306"/>
    <w:rsid w:val="004C6F5E"/>
    <w:rsid w:val="004C7E94"/>
    <w:rsid w:val="004D4551"/>
    <w:rsid w:val="004D5A64"/>
    <w:rsid w:val="004D7CF8"/>
    <w:rsid w:val="004D7EDA"/>
    <w:rsid w:val="004E0E49"/>
    <w:rsid w:val="004E197A"/>
    <w:rsid w:val="004E22E8"/>
    <w:rsid w:val="004E27B7"/>
    <w:rsid w:val="004E5154"/>
    <w:rsid w:val="004E5D52"/>
    <w:rsid w:val="004F07D7"/>
    <w:rsid w:val="004F1297"/>
    <w:rsid w:val="004F16DB"/>
    <w:rsid w:val="004F2FAD"/>
    <w:rsid w:val="004F4D7E"/>
    <w:rsid w:val="004F5B16"/>
    <w:rsid w:val="004F5D9D"/>
    <w:rsid w:val="004F5E48"/>
    <w:rsid w:val="004F5EA7"/>
    <w:rsid w:val="004F5F28"/>
    <w:rsid w:val="004F68E5"/>
    <w:rsid w:val="004F7037"/>
    <w:rsid w:val="004F741B"/>
    <w:rsid w:val="00500F08"/>
    <w:rsid w:val="00501215"/>
    <w:rsid w:val="0050132A"/>
    <w:rsid w:val="00503253"/>
    <w:rsid w:val="00503BB0"/>
    <w:rsid w:val="00503E03"/>
    <w:rsid w:val="0050565C"/>
    <w:rsid w:val="00506086"/>
    <w:rsid w:val="005111AF"/>
    <w:rsid w:val="00511F0B"/>
    <w:rsid w:val="00512226"/>
    <w:rsid w:val="005127A3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19E9"/>
    <w:rsid w:val="0053449C"/>
    <w:rsid w:val="0053795D"/>
    <w:rsid w:val="005444A6"/>
    <w:rsid w:val="00544522"/>
    <w:rsid w:val="00544C21"/>
    <w:rsid w:val="00545A5E"/>
    <w:rsid w:val="00545D37"/>
    <w:rsid w:val="005467E2"/>
    <w:rsid w:val="005468AB"/>
    <w:rsid w:val="00547AC4"/>
    <w:rsid w:val="005501A0"/>
    <w:rsid w:val="0055026B"/>
    <w:rsid w:val="00550831"/>
    <w:rsid w:val="00550A6C"/>
    <w:rsid w:val="005525B0"/>
    <w:rsid w:val="00554273"/>
    <w:rsid w:val="0056001A"/>
    <w:rsid w:val="005642B6"/>
    <w:rsid w:val="00566A97"/>
    <w:rsid w:val="005716F6"/>
    <w:rsid w:val="00571D5E"/>
    <w:rsid w:val="005814CA"/>
    <w:rsid w:val="005823D0"/>
    <w:rsid w:val="00582D54"/>
    <w:rsid w:val="00583AAF"/>
    <w:rsid w:val="00587AF9"/>
    <w:rsid w:val="0059282B"/>
    <w:rsid w:val="0059438F"/>
    <w:rsid w:val="00595C27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8F1"/>
    <w:rsid w:val="005B7DC9"/>
    <w:rsid w:val="005C07B3"/>
    <w:rsid w:val="005C284E"/>
    <w:rsid w:val="005C47D4"/>
    <w:rsid w:val="005D2248"/>
    <w:rsid w:val="005D51D0"/>
    <w:rsid w:val="005D6F83"/>
    <w:rsid w:val="005D7877"/>
    <w:rsid w:val="005D7B5B"/>
    <w:rsid w:val="005D7CCF"/>
    <w:rsid w:val="005E04CF"/>
    <w:rsid w:val="005E36AA"/>
    <w:rsid w:val="005E58C4"/>
    <w:rsid w:val="005E5D8F"/>
    <w:rsid w:val="005F4A39"/>
    <w:rsid w:val="005F5698"/>
    <w:rsid w:val="005F5A5C"/>
    <w:rsid w:val="005F5CD9"/>
    <w:rsid w:val="00602664"/>
    <w:rsid w:val="00606629"/>
    <w:rsid w:val="0061135C"/>
    <w:rsid w:val="006136DD"/>
    <w:rsid w:val="006149F0"/>
    <w:rsid w:val="00617691"/>
    <w:rsid w:val="006220A5"/>
    <w:rsid w:val="006227BC"/>
    <w:rsid w:val="00622D86"/>
    <w:rsid w:val="00624AC8"/>
    <w:rsid w:val="006262CF"/>
    <w:rsid w:val="006262FE"/>
    <w:rsid w:val="0063144A"/>
    <w:rsid w:val="0063188F"/>
    <w:rsid w:val="00633812"/>
    <w:rsid w:val="00633C60"/>
    <w:rsid w:val="0063425B"/>
    <w:rsid w:val="0064126D"/>
    <w:rsid w:val="00643173"/>
    <w:rsid w:val="006451B8"/>
    <w:rsid w:val="00645722"/>
    <w:rsid w:val="0064672D"/>
    <w:rsid w:val="006509C3"/>
    <w:rsid w:val="00652432"/>
    <w:rsid w:val="0065721F"/>
    <w:rsid w:val="00657840"/>
    <w:rsid w:val="0066003C"/>
    <w:rsid w:val="0066041E"/>
    <w:rsid w:val="006619BB"/>
    <w:rsid w:val="00664A16"/>
    <w:rsid w:val="00665596"/>
    <w:rsid w:val="00673005"/>
    <w:rsid w:val="00673CCC"/>
    <w:rsid w:val="00675C98"/>
    <w:rsid w:val="006839BC"/>
    <w:rsid w:val="00685380"/>
    <w:rsid w:val="006879C9"/>
    <w:rsid w:val="0069026B"/>
    <w:rsid w:val="006956EA"/>
    <w:rsid w:val="00696DCC"/>
    <w:rsid w:val="006A0D82"/>
    <w:rsid w:val="006A490C"/>
    <w:rsid w:val="006A5881"/>
    <w:rsid w:val="006A766E"/>
    <w:rsid w:val="006B4F7D"/>
    <w:rsid w:val="006B63B1"/>
    <w:rsid w:val="006B71E5"/>
    <w:rsid w:val="006C114C"/>
    <w:rsid w:val="006C1B16"/>
    <w:rsid w:val="006C3668"/>
    <w:rsid w:val="006C3864"/>
    <w:rsid w:val="006C5383"/>
    <w:rsid w:val="006C5E72"/>
    <w:rsid w:val="006D07C2"/>
    <w:rsid w:val="006D0FCE"/>
    <w:rsid w:val="006D2AEC"/>
    <w:rsid w:val="006D2B2B"/>
    <w:rsid w:val="006D438F"/>
    <w:rsid w:val="006D4B1C"/>
    <w:rsid w:val="006D4C8E"/>
    <w:rsid w:val="006D58C3"/>
    <w:rsid w:val="006E19D1"/>
    <w:rsid w:val="006E1CBB"/>
    <w:rsid w:val="006E467C"/>
    <w:rsid w:val="006E4B27"/>
    <w:rsid w:val="006E4FD9"/>
    <w:rsid w:val="006E5E7E"/>
    <w:rsid w:val="006E754A"/>
    <w:rsid w:val="006F100B"/>
    <w:rsid w:val="006F239A"/>
    <w:rsid w:val="006F2C9D"/>
    <w:rsid w:val="006F4201"/>
    <w:rsid w:val="006F6B51"/>
    <w:rsid w:val="007048DB"/>
    <w:rsid w:val="00705C64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48C"/>
    <w:rsid w:val="00741D0B"/>
    <w:rsid w:val="0075405C"/>
    <w:rsid w:val="00754C58"/>
    <w:rsid w:val="00766334"/>
    <w:rsid w:val="0077436E"/>
    <w:rsid w:val="00776E78"/>
    <w:rsid w:val="0078138A"/>
    <w:rsid w:val="00783014"/>
    <w:rsid w:val="007834DC"/>
    <w:rsid w:val="007901A8"/>
    <w:rsid w:val="00790768"/>
    <w:rsid w:val="00794E1C"/>
    <w:rsid w:val="007959D8"/>
    <w:rsid w:val="0079630F"/>
    <w:rsid w:val="00796D50"/>
    <w:rsid w:val="007A04C2"/>
    <w:rsid w:val="007A4188"/>
    <w:rsid w:val="007A4238"/>
    <w:rsid w:val="007A47D0"/>
    <w:rsid w:val="007B146A"/>
    <w:rsid w:val="007B28BE"/>
    <w:rsid w:val="007B57C9"/>
    <w:rsid w:val="007B5DCB"/>
    <w:rsid w:val="007C0E7C"/>
    <w:rsid w:val="007C0EAA"/>
    <w:rsid w:val="007C143A"/>
    <w:rsid w:val="007C179C"/>
    <w:rsid w:val="007C19C3"/>
    <w:rsid w:val="007C4069"/>
    <w:rsid w:val="007C44B2"/>
    <w:rsid w:val="007C54EE"/>
    <w:rsid w:val="007C6496"/>
    <w:rsid w:val="007C745E"/>
    <w:rsid w:val="007C7985"/>
    <w:rsid w:val="007D0ABE"/>
    <w:rsid w:val="007D5D19"/>
    <w:rsid w:val="007D78D6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6E26"/>
    <w:rsid w:val="00817406"/>
    <w:rsid w:val="008208A7"/>
    <w:rsid w:val="008237FA"/>
    <w:rsid w:val="00824771"/>
    <w:rsid w:val="00825D37"/>
    <w:rsid w:val="00833927"/>
    <w:rsid w:val="008369B0"/>
    <w:rsid w:val="008372D1"/>
    <w:rsid w:val="00837B59"/>
    <w:rsid w:val="00841E8C"/>
    <w:rsid w:val="00845C01"/>
    <w:rsid w:val="00845C1E"/>
    <w:rsid w:val="00850EA0"/>
    <w:rsid w:val="00851579"/>
    <w:rsid w:val="0085732C"/>
    <w:rsid w:val="00857C91"/>
    <w:rsid w:val="00860B45"/>
    <w:rsid w:val="00861959"/>
    <w:rsid w:val="00861F68"/>
    <w:rsid w:val="00863860"/>
    <w:rsid w:val="008638B5"/>
    <w:rsid w:val="00866B47"/>
    <w:rsid w:val="008734DB"/>
    <w:rsid w:val="0087390B"/>
    <w:rsid w:val="00874035"/>
    <w:rsid w:val="008745A1"/>
    <w:rsid w:val="00875A5E"/>
    <w:rsid w:val="008768E9"/>
    <w:rsid w:val="0087751B"/>
    <w:rsid w:val="00881A32"/>
    <w:rsid w:val="00890995"/>
    <w:rsid w:val="008914FB"/>
    <w:rsid w:val="0089185E"/>
    <w:rsid w:val="00892516"/>
    <w:rsid w:val="00892EED"/>
    <w:rsid w:val="0089737A"/>
    <w:rsid w:val="00897E99"/>
    <w:rsid w:val="00897F60"/>
    <w:rsid w:val="008A4829"/>
    <w:rsid w:val="008A5427"/>
    <w:rsid w:val="008A5F51"/>
    <w:rsid w:val="008B2384"/>
    <w:rsid w:val="008B38D6"/>
    <w:rsid w:val="008B3BF4"/>
    <w:rsid w:val="008B4802"/>
    <w:rsid w:val="008B545D"/>
    <w:rsid w:val="008B69E3"/>
    <w:rsid w:val="008B7618"/>
    <w:rsid w:val="008C1FD1"/>
    <w:rsid w:val="008C24A8"/>
    <w:rsid w:val="008C35EF"/>
    <w:rsid w:val="008C3664"/>
    <w:rsid w:val="008C506A"/>
    <w:rsid w:val="008C5996"/>
    <w:rsid w:val="008D4FA9"/>
    <w:rsid w:val="008D5A11"/>
    <w:rsid w:val="008D5E23"/>
    <w:rsid w:val="008D77AF"/>
    <w:rsid w:val="008E6D59"/>
    <w:rsid w:val="008E73FF"/>
    <w:rsid w:val="008E7AEB"/>
    <w:rsid w:val="008F1513"/>
    <w:rsid w:val="008F30C7"/>
    <w:rsid w:val="008F4527"/>
    <w:rsid w:val="008F5D66"/>
    <w:rsid w:val="00901A31"/>
    <w:rsid w:val="00901D5B"/>
    <w:rsid w:val="009028AA"/>
    <w:rsid w:val="00903E3F"/>
    <w:rsid w:val="009049C3"/>
    <w:rsid w:val="00904AB8"/>
    <w:rsid w:val="009057D9"/>
    <w:rsid w:val="00906BF7"/>
    <w:rsid w:val="0090774A"/>
    <w:rsid w:val="00907C97"/>
    <w:rsid w:val="00910D07"/>
    <w:rsid w:val="00914B2F"/>
    <w:rsid w:val="009150E6"/>
    <w:rsid w:val="00915DCE"/>
    <w:rsid w:val="00916290"/>
    <w:rsid w:val="00916F37"/>
    <w:rsid w:val="00917F89"/>
    <w:rsid w:val="00920EFD"/>
    <w:rsid w:val="009223BE"/>
    <w:rsid w:val="0092499B"/>
    <w:rsid w:val="009255EE"/>
    <w:rsid w:val="00925603"/>
    <w:rsid w:val="00925F76"/>
    <w:rsid w:val="00925FCE"/>
    <w:rsid w:val="00926ABA"/>
    <w:rsid w:val="009272DF"/>
    <w:rsid w:val="00930C28"/>
    <w:rsid w:val="00931BC6"/>
    <w:rsid w:val="00932E89"/>
    <w:rsid w:val="0093359D"/>
    <w:rsid w:val="00933F2B"/>
    <w:rsid w:val="00935F04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0736"/>
    <w:rsid w:val="009758AE"/>
    <w:rsid w:val="00977E81"/>
    <w:rsid w:val="00981433"/>
    <w:rsid w:val="0098222F"/>
    <w:rsid w:val="0098244F"/>
    <w:rsid w:val="00983122"/>
    <w:rsid w:val="00983138"/>
    <w:rsid w:val="00983926"/>
    <w:rsid w:val="00985C07"/>
    <w:rsid w:val="0099188F"/>
    <w:rsid w:val="00995B4F"/>
    <w:rsid w:val="00995FA3"/>
    <w:rsid w:val="00997582"/>
    <w:rsid w:val="009A22F8"/>
    <w:rsid w:val="009A2406"/>
    <w:rsid w:val="009A2C21"/>
    <w:rsid w:val="009A3E58"/>
    <w:rsid w:val="009A5F02"/>
    <w:rsid w:val="009A662F"/>
    <w:rsid w:val="009A7AB1"/>
    <w:rsid w:val="009B2F9B"/>
    <w:rsid w:val="009B33D1"/>
    <w:rsid w:val="009B424D"/>
    <w:rsid w:val="009B6408"/>
    <w:rsid w:val="009B70E6"/>
    <w:rsid w:val="009B7E20"/>
    <w:rsid w:val="009C6DAA"/>
    <w:rsid w:val="009D0E74"/>
    <w:rsid w:val="009D1A96"/>
    <w:rsid w:val="009D370B"/>
    <w:rsid w:val="009D684B"/>
    <w:rsid w:val="009D7EE0"/>
    <w:rsid w:val="009E2087"/>
    <w:rsid w:val="009E252B"/>
    <w:rsid w:val="009E3265"/>
    <w:rsid w:val="009E3353"/>
    <w:rsid w:val="009E446D"/>
    <w:rsid w:val="009E4D18"/>
    <w:rsid w:val="009E7C09"/>
    <w:rsid w:val="009F146D"/>
    <w:rsid w:val="009F17E1"/>
    <w:rsid w:val="009F4F1E"/>
    <w:rsid w:val="009F5D6A"/>
    <w:rsid w:val="009F76AD"/>
    <w:rsid w:val="00A015E4"/>
    <w:rsid w:val="00A075BC"/>
    <w:rsid w:val="00A11222"/>
    <w:rsid w:val="00A12C39"/>
    <w:rsid w:val="00A134FB"/>
    <w:rsid w:val="00A162FE"/>
    <w:rsid w:val="00A20802"/>
    <w:rsid w:val="00A221F4"/>
    <w:rsid w:val="00A25B4F"/>
    <w:rsid w:val="00A261B3"/>
    <w:rsid w:val="00A27035"/>
    <w:rsid w:val="00A27E8B"/>
    <w:rsid w:val="00A30697"/>
    <w:rsid w:val="00A311CF"/>
    <w:rsid w:val="00A31F1D"/>
    <w:rsid w:val="00A404CF"/>
    <w:rsid w:val="00A41C99"/>
    <w:rsid w:val="00A42E40"/>
    <w:rsid w:val="00A43A05"/>
    <w:rsid w:val="00A44089"/>
    <w:rsid w:val="00A442BF"/>
    <w:rsid w:val="00A47CF9"/>
    <w:rsid w:val="00A50BC1"/>
    <w:rsid w:val="00A517D0"/>
    <w:rsid w:val="00A51B96"/>
    <w:rsid w:val="00A53716"/>
    <w:rsid w:val="00A5629E"/>
    <w:rsid w:val="00A61F17"/>
    <w:rsid w:val="00A64832"/>
    <w:rsid w:val="00A669E2"/>
    <w:rsid w:val="00A732DB"/>
    <w:rsid w:val="00A75338"/>
    <w:rsid w:val="00A77D2A"/>
    <w:rsid w:val="00A83071"/>
    <w:rsid w:val="00A838D2"/>
    <w:rsid w:val="00A86F04"/>
    <w:rsid w:val="00A92C08"/>
    <w:rsid w:val="00A9343C"/>
    <w:rsid w:val="00A946C4"/>
    <w:rsid w:val="00AA478E"/>
    <w:rsid w:val="00AB137D"/>
    <w:rsid w:val="00AB2DAD"/>
    <w:rsid w:val="00AC01F8"/>
    <w:rsid w:val="00AC059A"/>
    <w:rsid w:val="00AC2E15"/>
    <w:rsid w:val="00AC3BE3"/>
    <w:rsid w:val="00AC41CF"/>
    <w:rsid w:val="00AC6EBE"/>
    <w:rsid w:val="00AD0308"/>
    <w:rsid w:val="00AD377A"/>
    <w:rsid w:val="00AD67BB"/>
    <w:rsid w:val="00AD71F0"/>
    <w:rsid w:val="00AE1CC1"/>
    <w:rsid w:val="00AE3A77"/>
    <w:rsid w:val="00AE3EA4"/>
    <w:rsid w:val="00AE51FE"/>
    <w:rsid w:val="00AF1B02"/>
    <w:rsid w:val="00AF37D6"/>
    <w:rsid w:val="00AF41E4"/>
    <w:rsid w:val="00AF568A"/>
    <w:rsid w:val="00AF60C1"/>
    <w:rsid w:val="00B0378F"/>
    <w:rsid w:val="00B05262"/>
    <w:rsid w:val="00B06A75"/>
    <w:rsid w:val="00B06BC3"/>
    <w:rsid w:val="00B10292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D21"/>
    <w:rsid w:val="00B30FEB"/>
    <w:rsid w:val="00B311BA"/>
    <w:rsid w:val="00B35B47"/>
    <w:rsid w:val="00B40AA3"/>
    <w:rsid w:val="00B43AF9"/>
    <w:rsid w:val="00B44478"/>
    <w:rsid w:val="00B4609C"/>
    <w:rsid w:val="00B47FEA"/>
    <w:rsid w:val="00B508DA"/>
    <w:rsid w:val="00B538BA"/>
    <w:rsid w:val="00B565DA"/>
    <w:rsid w:val="00B6002C"/>
    <w:rsid w:val="00B620EE"/>
    <w:rsid w:val="00B67DE1"/>
    <w:rsid w:val="00B717FF"/>
    <w:rsid w:val="00B75D6E"/>
    <w:rsid w:val="00B7626C"/>
    <w:rsid w:val="00B774E6"/>
    <w:rsid w:val="00B80FB4"/>
    <w:rsid w:val="00B85366"/>
    <w:rsid w:val="00B87F60"/>
    <w:rsid w:val="00B9079B"/>
    <w:rsid w:val="00B93B5E"/>
    <w:rsid w:val="00B93D3D"/>
    <w:rsid w:val="00B95780"/>
    <w:rsid w:val="00B96341"/>
    <w:rsid w:val="00BA0CD3"/>
    <w:rsid w:val="00BA169A"/>
    <w:rsid w:val="00BA471F"/>
    <w:rsid w:val="00BB0B01"/>
    <w:rsid w:val="00BB390A"/>
    <w:rsid w:val="00BB5013"/>
    <w:rsid w:val="00BB528E"/>
    <w:rsid w:val="00BB615A"/>
    <w:rsid w:val="00BB64DD"/>
    <w:rsid w:val="00BB78CD"/>
    <w:rsid w:val="00BC108D"/>
    <w:rsid w:val="00BC11EC"/>
    <w:rsid w:val="00BC2600"/>
    <w:rsid w:val="00BC36F0"/>
    <w:rsid w:val="00BC3E99"/>
    <w:rsid w:val="00BC4FA7"/>
    <w:rsid w:val="00BC5E30"/>
    <w:rsid w:val="00BC7D47"/>
    <w:rsid w:val="00BD00ED"/>
    <w:rsid w:val="00BD02C5"/>
    <w:rsid w:val="00BD068D"/>
    <w:rsid w:val="00BE0D9A"/>
    <w:rsid w:val="00BE1A50"/>
    <w:rsid w:val="00BE1A63"/>
    <w:rsid w:val="00BE2F0D"/>
    <w:rsid w:val="00BE5DB3"/>
    <w:rsid w:val="00BE5E2E"/>
    <w:rsid w:val="00BF0BD5"/>
    <w:rsid w:val="00BF0D35"/>
    <w:rsid w:val="00BF55F8"/>
    <w:rsid w:val="00BF5BA9"/>
    <w:rsid w:val="00C000C6"/>
    <w:rsid w:val="00C03742"/>
    <w:rsid w:val="00C051FD"/>
    <w:rsid w:val="00C0635C"/>
    <w:rsid w:val="00C11E38"/>
    <w:rsid w:val="00C15FD2"/>
    <w:rsid w:val="00C16CBB"/>
    <w:rsid w:val="00C1744F"/>
    <w:rsid w:val="00C20C7D"/>
    <w:rsid w:val="00C20DEF"/>
    <w:rsid w:val="00C24B25"/>
    <w:rsid w:val="00C24CC2"/>
    <w:rsid w:val="00C24E89"/>
    <w:rsid w:val="00C32C2F"/>
    <w:rsid w:val="00C3738A"/>
    <w:rsid w:val="00C40859"/>
    <w:rsid w:val="00C429B5"/>
    <w:rsid w:val="00C4315A"/>
    <w:rsid w:val="00C43F5E"/>
    <w:rsid w:val="00C44074"/>
    <w:rsid w:val="00C44D85"/>
    <w:rsid w:val="00C4651F"/>
    <w:rsid w:val="00C5142E"/>
    <w:rsid w:val="00C51D0B"/>
    <w:rsid w:val="00C52207"/>
    <w:rsid w:val="00C52A50"/>
    <w:rsid w:val="00C556E8"/>
    <w:rsid w:val="00C607D7"/>
    <w:rsid w:val="00C61628"/>
    <w:rsid w:val="00C642D4"/>
    <w:rsid w:val="00C66AF6"/>
    <w:rsid w:val="00C730F4"/>
    <w:rsid w:val="00C74311"/>
    <w:rsid w:val="00C75BF3"/>
    <w:rsid w:val="00C80200"/>
    <w:rsid w:val="00C80E0A"/>
    <w:rsid w:val="00C8270B"/>
    <w:rsid w:val="00C83E17"/>
    <w:rsid w:val="00C841A9"/>
    <w:rsid w:val="00C8728F"/>
    <w:rsid w:val="00C91D48"/>
    <w:rsid w:val="00C975E8"/>
    <w:rsid w:val="00C97FBC"/>
    <w:rsid w:val="00CA06C8"/>
    <w:rsid w:val="00CA0B7E"/>
    <w:rsid w:val="00CA37B6"/>
    <w:rsid w:val="00CA4C28"/>
    <w:rsid w:val="00CA4E33"/>
    <w:rsid w:val="00CA5598"/>
    <w:rsid w:val="00CA5EF8"/>
    <w:rsid w:val="00CA7E91"/>
    <w:rsid w:val="00CB28A3"/>
    <w:rsid w:val="00CB3134"/>
    <w:rsid w:val="00CB73EC"/>
    <w:rsid w:val="00CC00A0"/>
    <w:rsid w:val="00CC0FED"/>
    <w:rsid w:val="00CC3C34"/>
    <w:rsid w:val="00CC3F9F"/>
    <w:rsid w:val="00CC4FEB"/>
    <w:rsid w:val="00CC5455"/>
    <w:rsid w:val="00CC6C06"/>
    <w:rsid w:val="00CC6D7F"/>
    <w:rsid w:val="00CD1526"/>
    <w:rsid w:val="00CD1546"/>
    <w:rsid w:val="00CD2807"/>
    <w:rsid w:val="00CD5509"/>
    <w:rsid w:val="00CE0215"/>
    <w:rsid w:val="00CE1EB0"/>
    <w:rsid w:val="00CE2986"/>
    <w:rsid w:val="00CE3333"/>
    <w:rsid w:val="00CE3DF2"/>
    <w:rsid w:val="00CF04D5"/>
    <w:rsid w:val="00CF09A6"/>
    <w:rsid w:val="00CF0C0F"/>
    <w:rsid w:val="00CF1690"/>
    <w:rsid w:val="00CF1F2A"/>
    <w:rsid w:val="00CF5CE3"/>
    <w:rsid w:val="00CF6489"/>
    <w:rsid w:val="00CF7412"/>
    <w:rsid w:val="00D014E1"/>
    <w:rsid w:val="00D02B1E"/>
    <w:rsid w:val="00D030F8"/>
    <w:rsid w:val="00D077B7"/>
    <w:rsid w:val="00D20297"/>
    <w:rsid w:val="00D21E43"/>
    <w:rsid w:val="00D21E6B"/>
    <w:rsid w:val="00D2336A"/>
    <w:rsid w:val="00D23634"/>
    <w:rsid w:val="00D34551"/>
    <w:rsid w:val="00D36717"/>
    <w:rsid w:val="00D36D27"/>
    <w:rsid w:val="00D41664"/>
    <w:rsid w:val="00D4569D"/>
    <w:rsid w:val="00D457D6"/>
    <w:rsid w:val="00D55013"/>
    <w:rsid w:val="00D64CE2"/>
    <w:rsid w:val="00D6617D"/>
    <w:rsid w:val="00D661D4"/>
    <w:rsid w:val="00D674A5"/>
    <w:rsid w:val="00D702E1"/>
    <w:rsid w:val="00D719B9"/>
    <w:rsid w:val="00D7270F"/>
    <w:rsid w:val="00D7596A"/>
    <w:rsid w:val="00D76CF7"/>
    <w:rsid w:val="00D7751B"/>
    <w:rsid w:val="00D80ACC"/>
    <w:rsid w:val="00D815DC"/>
    <w:rsid w:val="00D822B5"/>
    <w:rsid w:val="00D83D3C"/>
    <w:rsid w:val="00D84451"/>
    <w:rsid w:val="00D85C95"/>
    <w:rsid w:val="00D862EC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20CC"/>
    <w:rsid w:val="00DA7588"/>
    <w:rsid w:val="00DB13AD"/>
    <w:rsid w:val="00DB23F9"/>
    <w:rsid w:val="00DB2819"/>
    <w:rsid w:val="00DB58BE"/>
    <w:rsid w:val="00DB602E"/>
    <w:rsid w:val="00DB6176"/>
    <w:rsid w:val="00DB6A08"/>
    <w:rsid w:val="00DB6AA0"/>
    <w:rsid w:val="00DB7C3A"/>
    <w:rsid w:val="00DD14EE"/>
    <w:rsid w:val="00DD32AB"/>
    <w:rsid w:val="00DD5BF6"/>
    <w:rsid w:val="00DD64DC"/>
    <w:rsid w:val="00DE1865"/>
    <w:rsid w:val="00DE5B7F"/>
    <w:rsid w:val="00DE6CEF"/>
    <w:rsid w:val="00DF11C2"/>
    <w:rsid w:val="00DF2134"/>
    <w:rsid w:val="00DF4593"/>
    <w:rsid w:val="00DF64E0"/>
    <w:rsid w:val="00E04FA5"/>
    <w:rsid w:val="00E07635"/>
    <w:rsid w:val="00E10D05"/>
    <w:rsid w:val="00E143C4"/>
    <w:rsid w:val="00E16D8F"/>
    <w:rsid w:val="00E20462"/>
    <w:rsid w:val="00E21AF1"/>
    <w:rsid w:val="00E2223E"/>
    <w:rsid w:val="00E22D98"/>
    <w:rsid w:val="00E24623"/>
    <w:rsid w:val="00E252E3"/>
    <w:rsid w:val="00E25B1B"/>
    <w:rsid w:val="00E345A3"/>
    <w:rsid w:val="00E362C7"/>
    <w:rsid w:val="00E378A9"/>
    <w:rsid w:val="00E40505"/>
    <w:rsid w:val="00E4254B"/>
    <w:rsid w:val="00E42A41"/>
    <w:rsid w:val="00E45766"/>
    <w:rsid w:val="00E45AC5"/>
    <w:rsid w:val="00E5625E"/>
    <w:rsid w:val="00E567E5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915E6"/>
    <w:rsid w:val="00E92E40"/>
    <w:rsid w:val="00E92EEE"/>
    <w:rsid w:val="00EA1AD9"/>
    <w:rsid w:val="00EA2763"/>
    <w:rsid w:val="00EA2D06"/>
    <w:rsid w:val="00EA2F5C"/>
    <w:rsid w:val="00EA3E11"/>
    <w:rsid w:val="00EA6EB3"/>
    <w:rsid w:val="00EB4A8E"/>
    <w:rsid w:val="00EB5EF3"/>
    <w:rsid w:val="00EB62F7"/>
    <w:rsid w:val="00EB664D"/>
    <w:rsid w:val="00EB695D"/>
    <w:rsid w:val="00EB6D60"/>
    <w:rsid w:val="00EB7763"/>
    <w:rsid w:val="00EB7C6D"/>
    <w:rsid w:val="00EC1E5E"/>
    <w:rsid w:val="00EC38F3"/>
    <w:rsid w:val="00EC4241"/>
    <w:rsid w:val="00ED0404"/>
    <w:rsid w:val="00ED1407"/>
    <w:rsid w:val="00ED39CE"/>
    <w:rsid w:val="00ED4134"/>
    <w:rsid w:val="00ED7A9F"/>
    <w:rsid w:val="00EE05F1"/>
    <w:rsid w:val="00EE1050"/>
    <w:rsid w:val="00EE1B0F"/>
    <w:rsid w:val="00EE3164"/>
    <w:rsid w:val="00EE3226"/>
    <w:rsid w:val="00EE471A"/>
    <w:rsid w:val="00EE5492"/>
    <w:rsid w:val="00EE583A"/>
    <w:rsid w:val="00EE69D2"/>
    <w:rsid w:val="00EE7FD0"/>
    <w:rsid w:val="00EF031D"/>
    <w:rsid w:val="00EF096E"/>
    <w:rsid w:val="00EF0A00"/>
    <w:rsid w:val="00EF3F91"/>
    <w:rsid w:val="00EF7395"/>
    <w:rsid w:val="00F0183C"/>
    <w:rsid w:val="00F0379D"/>
    <w:rsid w:val="00F03C79"/>
    <w:rsid w:val="00F05586"/>
    <w:rsid w:val="00F077A8"/>
    <w:rsid w:val="00F07BD5"/>
    <w:rsid w:val="00F122D6"/>
    <w:rsid w:val="00F147EA"/>
    <w:rsid w:val="00F15BF4"/>
    <w:rsid w:val="00F1713B"/>
    <w:rsid w:val="00F171E0"/>
    <w:rsid w:val="00F17940"/>
    <w:rsid w:val="00F17DC0"/>
    <w:rsid w:val="00F2046C"/>
    <w:rsid w:val="00F20647"/>
    <w:rsid w:val="00F207FC"/>
    <w:rsid w:val="00F23A63"/>
    <w:rsid w:val="00F274DB"/>
    <w:rsid w:val="00F31392"/>
    <w:rsid w:val="00F348B5"/>
    <w:rsid w:val="00F3652B"/>
    <w:rsid w:val="00F36D95"/>
    <w:rsid w:val="00F377B9"/>
    <w:rsid w:val="00F45442"/>
    <w:rsid w:val="00F5145E"/>
    <w:rsid w:val="00F554DB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77FEA"/>
    <w:rsid w:val="00F8349F"/>
    <w:rsid w:val="00F83A07"/>
    <w:rsid w:val="00F83FB7"/>
    <w:rsid w:val="00F8486B"/>
    <w:rsid w:val="00F85935"/>
    <w:rsid w:val="00F85D29"/>
    <w:rsid w:val="00F91A0D"/>
    <w:rsid w:val="00F95D6A"/>
    <w:rsid w:val="00F969D3"/>
    <w:rsid w:val="00F9789E"/>
    <w:rsid w:val="00FA190E"/>
    <w:rsid w:val="00FA54D8"/>
    <w:rsid w:val="00FB460E"/>
    <w:rsid w:val="00FB51F2"/>
    <w:rsid w:val="00FB578E"/>
    <w:rsid w:val="00FB791E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212"/>
    <w:rsid w:val="00FE1692"/>
    <w:rsid w:val="00FE3069"/>
    <w:rsid w:val="00FE3B13"/>
    <w:rsid w:val="00FE56C3"/>
    <w:rsid w:val="00FF0566"/>
    <w:rsid w:val="00FF15F5"/>
    <w:rsid w:val="00FF1E2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5044"/>
  <w15:docId w15:val="{DC3C0ACF-1E8D-479D-8964-D1E9AD1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C6"/>
    <w:pPr>
      <w:spacing w:after="120" w:line="300" w:lineRule="atLeast"/>
    </w:pPr>
    <w:rPr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3D1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color w:val="3D4D7D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3D1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color w:val="3D4D7D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3D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3D4D7D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4A5"/>
    <w:pPr>
      <w:keepNext/>
      <w:keepLines/>
      <w:spacing w:before="24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674A5"/>
    <w:pPr>
      <w:keepNext/>
      <w:keepLines/>
      <w:spacing w:before="24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74A5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74A5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Attachment Title"/>
    <w:basedOn w:val="Heading1"/>
    <w:next w:val="Normal"/>
    <w:link w:val="Heading8Char"/>
    <w:uiPriority w:val="9"/>
    <w:unhideWhenUsed/>
    <w:rsid w:val="009B33D1"/>
    <w:pPr>
      <w:numPr>
        <w:numId w:val="26"/>
      </w:numPr>
      <w:tabs>
        <w:tab w:val="left" w:pos="4536"/>
      </w:tabs>
      <w:spacing w:before="480" w:after="340"/>
      <w:outlineLvl w:val="7"/>
    </w:pPr>
    <w:rPr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74A5"/>
    <w:pPr>
      <w:keepNext/>
      <w:keepLines/>
      <w:numPr>
        <w:ilvl w:val="1"/>
        <w:numId w:val="27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9778B4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D674A5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D674A5"/>
    <w:rPr>
      <w:spacing w:val="-1"/>
      <w:sz w:val="18"/>
    </w:rPr>
  </w:style>
  <w:style w:type="character" w:styleId="FootnoteReference">
    <w:name w:val="footnote reference"/>
    <w:basedOn w:val="DefaultParagraphFont"/>
    <w:uiPriority w:val="39"/>
    <w:rsid w:val="00D674A5"/>
    <w:rPr>
      <w:vertAlign w:val="superscript"/>
    </w:rPr>
  </w:style>
  <w:style w:type="paragraph" w:customStyle="1" w:styleId="AppendixNumbered">
    <w:name w:val="Appendix Numbered"/>
    <w:basedOn w:val="Heading2"/>
    <w:uiPriority w:val="11"/>
    <w:qFormat/>
    <w:rsid w:val="00D674A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3D1"/>
    <w:rPr>
      <w:rFonts w:asciiTheme="majorHAnsi" w:eastAsiaTheme="majorEastAsia" w:hAnsiTheme="majorHAnsi" w:cstheme="majorBidi"/>
      <w:b/>
      <w:color w:val="3D4D7D" w:themeColor="background2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A5"/>
    <w:rPr>
      <w:rFonts w:eastAsiaTheme="majorEastAsia" w:cstheme="majorBidi"/>
      <w:b/>
      <w:iCs/>
      <w:color w:val="auto"/>
      <w:spacing w:val="-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4A5"/>
    <w:rPr>
      <w:rFonts w:eastAsiaTheme="majorEastAsia" w:cstheme="majorBidi"/>
      <w:b/>
      <w:i/>
      <w:color w:val="auto"/>
      <w:spacing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A5"/>
    <w:rPr>
      <w:rFonts w:eastAsiaTheme="majorEastAsia" w:cstheme="majorBidi"/>
      <w:b/>
      <w:i/>
      <w:spacing w:val="-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4A5"/>
    <w:rPr>
      <w:rFonts w:eastAsiaTheme="majorEastAsia" w:cstheme="majorBidi"/>
      <w:i/>
      <w:iCs/>
      <w:spacing w:val="-1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9"/>
    <w:rsid w:val="009B33D1"/>
    <w:rPr>
      <w:rFonts w:asciiTheme="majorHAnsi" w:eastAsiaTheme="majorEastAsia" w:hAnsiTheme="majorHAnsi" w:cstheme="majorBidi"/>
      <w:color w:val="3D4D7D" w:themeColor="background2"/>
      <w:spacing w:val="-1"/>
      <w:sz w:val="3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4A5"/>
    <w:rPr>
      <w:rFonts w:asciiTheme="majorHAnsi" w:hAnsiTheme="majorHAnsi"/>
      <w:color w:val="9778B4" w:themeColor="text2"/>
      <w:spacing w:val="-1"/>
      <w:sz w:val="32"/>
    </w:rPr>
  </w:style>
  <w:style w:type="numbering" w:customStyle="1" w:styleId="AppendixNumbers">
    <w:name w:val="Appendix Numbers"/>
    <w:uiPriority w:val="99"/>
    <w:rsid w:val="00D674A5"/>
    <w:pPr>
      <w:numPr>
        <w:numId w:val="1"/>
      </w:numPr>
    </w:pPr>
  </w:style>
  <w:style w:type="numbering" w:customStyle="1" w:styleId="AttachementsNumbered">
    <w:name w:val="Attachements Numbered"/>
    <w:uiPriority w:val="99"/>
    <w:rsid w:val="00D674A5"/>
    <w:pPr>
      <w:numPr>
        <w:numId w:val="2"/>
      </w:numPr>
    </w:pPr>
  </w:style>
  <w:style w:type="paragraph" w:customStyle="1" w:styleId="Box1Text">
    <w:name w:val="Box 1 Text"/>
    <w:basedOn w:val="Normal"/>
    <w:uiPriority w:val="13"/>
    <w:rsid w:val="00D674A5"/>
    <w:pPr>
      <w:pBdr>
        <w:top w:val="single" w:sz="4" w:space="14" w:color="D3D8E9" w:themeColor="background2" w:themeTint="33"/>
        <w:left w:val="single" w:sz="4" w:space="14" w:color="D3D8E9" w:themeColor="background2" w:themeTint="33"/>
        <w:bottom w:val="single" w:sz="4" w:space="14" w:color="D3D8E9" w:themeColor="background2" w:themeTint="33"/>
        <w:right w:val="single" w:sz="4" w:space="14" w:color="D3D8E9" w:themeColor="background2" w:themeTint="33"/>
      </w:pBdr>
      <w:shd w:val="clear" w:color="auto" w:fill="D3D8E9" w:themeFill="background2" w:themeFillTint="33"/>
      <w:ind w:left="284" w:right="284"/>
    </w:pPr>
  </w:style>
  <w:style w:type="paragraph" w:customStyle="1" w:styleId="Box1Bullet">
    <w:name w:val="Box 1 Bullet"/>
    <w:basedOn w:val="Box1Text"/>
    <w:uiPriority w:val="14"/>
    <w:rsid w:val="00D674A5"/>
    <w:pPr>
      <w:numPr>
        <w:numId w:val="17"/>
      </w:numPr>
    </w:pPr>
  </w:style>
  <w:style w:type="paragraph" w:styleId="Caption">
    <w:name w:val="caption"/>
    <w:basedOn w:val="Normal"/>
    <w:next w:val="Normal"/>
    <w:uiPriority w:val="13"/>
    <w:qFormat/>
    <w:rsid w:val="00D674A5"/>
    <w:pPr>
      <w:keepNext/>
      <w:keepLines/>
      <w:spacing w:before="360"/>
    </w:pPr>
    <w:rPr>
      <w:b/>
      <w:iCs/>
      <w:color w:val="3D4D7D" w:themeColor="background2"/>
      <w:szCs w:val="18"/>
    </w:rPr>
  </w:style>
  <w:style w:type="paragraph" w:styleId="Footer">
    <w:name w:val="footer"/>
    <w:basedOn w:val="Normal"/>
    <w:link w:val="Foot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74A5"/>
    <w:rPr>
      <w:spacing w:val="-1"/>
      <w:sz w:val="16"/>
    </w:rPr>
  </w:style>
  <w:style w:type="paragraph" w:customStyle="1" w:styleId="Box1Heading">
    <w:name w:val="Box 1 Heading"/>
    <w:basedOn w:val="Box1Text"/>
    <w:uiPriority w:val="13"/>
    <w:rsid w:val="00D674A5"/>
    <w:rPr>
      <w:b/>
      <w:bCs/>
      <w:sz w:val="24"/>
      <w:szCs w:val="24"/>
    </w:rPr>
  </w:style>
  <w:style w:type="paragraph" w:customStyle="1" w:styleId="Box2Text">
    <w:name w:val="Box 2 Text"/>
    <w:basedOn w:val="Normal"/>
    <w:uiPriority w:val="14"/>
    <w:rsid w:val="00D674A5"/>
    <w:pPr>
      <w:pBdr>
        <w:top w:val="single" w:sz="4" w:space="14" w:color="3D4D7D" w:themeColor="background2"/>
        <w:left w:val="single" w:sz="4" w:space="14" w:color="3D4D7D" w:themeColor="background2"/>
        <w:bottom w:val="single" w:sz="4" w:space="14" w:color="3D4D7D" w:themeColor="background2"/>
        <w:right w:val="single" w:sz="4" w:space="14" w:color="3D4D7D" w:themeColor="background2"/>
      </w:pBdr>
      <w:ind w:left="284" w:right="284"/>
    </w:pPr>
  </w:style>
  <w:style w:type="paragraph" w:customStyle="1" w:styleId="Box2Bullet">
    <w:name w:val="Box 2 Bullet"/>
    <w:basedOn w:val="Box2Text"/>
    <w:uiPriority w:val="15"/>
    <w:rsid w:val="00D674A5"/>
    <w:pPr>
      <w:numPr>
        <w:ilvl w:val="1"/>
        <w:numId w:val="17"/>
      </w:numPr>
    </w:pPr>
  </w:style>
  <w:style w:type="paragraph" w:customStyle="1" w:styleId="Box2Heading">
    <w:name w:val="Box 2 Heading"/>
    <w:basedOn w:val="Box2Text"/>
    <w:uiPriority w:val="14"/>
    <w:rsid w:val="00D674A5"/>
    <w:rPr>
      <w:b/>
      <w:bCs/>
      <w:sz w:val="24"/>
      <w:szCs w:val="24"/>
    </w:rPr>
  </w:style>
  <w:style w:type="numbering" w:customStyle="1" w:styleId="BoxedBullets">
    <w:name w:val="Boxed Bullets"/>
    <w:uiPriority w:val="99"/>
    <w:rsid w:val="00D674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D674A5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4A5"/>
    <w:rPr>
      <w:rFonts w:asciiTheme="majorHAnsi" w:hAnsiTheme="majorHAnsi"/>
      <w:spacing w:val="-1"/>
      <w:sz w:val="16"/>
    </w:rPr>
  </w:style>
  <w:style w:type="paragraph" w:customStyle="1" w:styleId="Bullet1">
    <w:name w:val="Bullet 1"/>
    <w:basedOn w:val="Normal"/>
    <w:uiPriority w:val="2"/>
    <w:qFormat/>
    <w:rsid w:val="00AF37D6"/>
    <w:pPr>
      <w:numPr>
        <w:numId w:val="18"/>
      </w:numPr>
    </w:pPr>
  </w:style>
  <w:style w:type="paragraph" w:customStyle="1" w:styleId="Bullet2">
    <w:name w:val="Bullet 2"/>
    <w:basedOn w:val="Normal"/>
    <w:uiPriority w:val="2"/>
    <w:qFormat/>
    <w:rsid w:val="00673005"/>
    <w:pPr>
      <w:numPr>
        <w:ilvl w:val="1"/>
        <w:numId w:val="18"/>
      </w:numPr>
    </w:pPr>
  </w:style>
  <w:style w:type="paragraph" w:customStyle="1" w:styleId="Bullet3">
    <w:name w:val="Bullet 3"/>
    <w:basedOn w:val="Normal"/>
    <w:uiPriority w:val="2"/>
    <w:qFormat/>
    <w:rsid w:val="00201EAE"/>
    <w:pPr>
      <w:numPr>
        <w:numId w:val="40"/>
      </w:numPr>
      <w:spacing w:before="70"/>
      <w:ind w:left="851" w:hanging="284"/>
    </w:pPr>
  </w:style>
  <w:style w:type="paragraph" w:styleId="ListContinue">
    <w:name w:val="List Continue"/>
    <w:basedOn w:val="Normal"/>
    <w:uiPriority w:val="99"/>
    <w:semiHidden/>
    <w:qFormat/>
    <w:rsid w:val="00D674A5"/>
    <w:pPr>
      <w:spacing w:before="220" w:after="220"/>
      <w:ind w:left="340"/>
    </w:pPr>
  </w:style>
  <w:style w:type="paragraph" w:styleId="ListContinue2">
    <w:name w:val="List Continue 2"/>
    <w:basedOn w:val="Normal"/>
    <w:uiPriority w:val="99"/>
    <w:semiHidden/>
    <w:qFormat/>
    <w:rsid w:val="00D674A5"/>
    <w:pPr>
      <w:spacing w:before="220" w:after="220"/>
      <w:ind w:left="680"/>
    </w:pPr>
  </w:style>
  <w:style w:type="numbering" w:customStyle="1" w:styleId="DefaultBullets">
    <w:name w:val="Default Bullets"/>
    <w:uiPriority w:val="99"/>
    <w:rsid w:val="00D674A5"/>
    <w:pPr>
      <w:numPr>
        <w:numId w:val="4"/>
      </w:numPr>
    </w:pPr>
  </w:style>
  <w:style w:type="character" w:styleId="Emphasis">
    <w:name w:val="Emphasis"/>
    <w:basedOn w:val="DefaultParagraphFont"/>
    <w:uiPriority w:val="33"/>
    <w:semiHidden/>
    <w:rsid w:val="00D674A5"/>
    <w:rPr>
      <w:i/>
      <w:iCs/>
    </w:rPr>
  </w:style>
  <w:style w:type="table" w:styleId="GridTable5Dark-Accent1">
    <w:name w:val="Grid Table 5 Dark Accent 1"/>
    <w:basedOn w:val="TableNormal"/>
    <w:uiPriority w:val="50"/>
    <w:rsid w:val="00D674A5"/>
    <w:pPr>
      <w:spacing w:after="0"/>
    </w:pPr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48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487F" w:themeFill="accent1"/>
      </w:tcPr>
    </w:tblStylePr>
    <w:tblStylePr w:type="band1Vert">
      <w:tblPr/>
      <w:tcPr>
        <w:shd w:val="clear" w:color="auto" w:fill="D6B0CE" w:themeFill="accent1" w:themeFillTint="66"/>
      </w:tcPr>
    </w:tblStylePr>
    <w:tblStylePr w:type="band1Horz">
      <w:tblPr/>
      <w:tcPr>
        <w:shd w:val="clear" w:color="auto" w:fill="D6B0CE" w:themeFill="accent1" w:themeFillTint="66"/>
      </w:tcPr>
    </w:tblStylePr>
  </w:style>
  <w:style w:type="paragraph" w:customStyle="1" w:styleId="Heading1Numbered">
    <w:name w:val="Heading 1 Numbered"/>
    <w:basedOn w:val="Heading1"/>
    <w:uiPriority w:val="10"/>
    <w:qFormat/>
    <w:rsid w:val="00D674A5"/>
    <w:pPr>
      <w:numPr>
        <w:numId w:val="35"/>
      </w:numPr>
    </w:pPr>
  </w:style>
  <w:style w:type="paragraph" w:styleId="NoSpacing">
    <w:name w:val="No Spacing"/>
    <w:uiPriority w:val="4"/>
    <w:rsid w:val="00D674A5"/>
    <w:pPr>
      <w:spacing w:after="120"/>
      <w:contextualSpacing/>
    </w:pPr>
    <w:rPr>
      <w:sz w:val="20"/>
      <w:szCs w:val="20"/>
    </w:rPr>
  </w:style>
  <w:style w:type="paragraph" w:customStyle="1" w:styleId="Heading2Numbered">
    <w:name w:val="Heading 2 Numbered"/>
    <w:basedOn w:val="Heading2"/>
    <w:uiPriority w:val="10"/>
    <w:qFormat/>
    <w:rsid w:val="00D674A5"/>
    <w:pPr>
      <w:numPr>
        <w:ilvl w:val="1"/>
        <w:numId w:val="35"/>
      </w:numPr>
    </w:pPr>
  </w:style>
  <w:style w:type="paragraph" w:customStyle="1" w:styleId="Heading3Numbered">
    <w:name w:val="Heading 3 Numbered"/>
    <w:basedOn w:val="Heading3"/>
    <w:uiPriority w:val="10"/>
    <w:qFormat/>
    <w:rsid w:val="00D674A5"/>
    <w:pPr>
      <w:numPr>
        <w:ilvl w:val="2"/>
        <w:numId w:val="35"/>
      </w:numPr>
    </w:pPr>
  </w:style>
  <w:style w:type="character" w:styleId="IntenseEmphasis">
    <w:name w:val="Intense Emphasis"/>
    <w:basedOn w:val="DefaultParagraphFont"/>
    <w:uiPriority w:val="33"/>
    <w:semiHidden/>
    <w:rsid w:val="00D674A5"/>
    <w:rPr>
      <w:b/>
      <w:i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rsid w:val="00D674A5"/>
    <w:rPr>
      <w:rFonts w:ascii="Arial" w:hAnsi="Arial"/>
      <w:b/>
      <w:color w:val="auto"/>
      <w:sz w:val="16"/>
    </w:rPr>
  </w:style>
  <w:style w:type="paragraph" w:customStyle="1" w:styleId="IntroPara">
    <w:name w:val="Intro Para"/>
    <w:basedOn w:val="Normal"/>
    <w:uiPriority w:val="1"/>
    <w:qFormat/>
    <w:rsid w:val="00D674A5"/>
    <w:pPr>
      <w:spacing w:before="240" w:after="240" w:line="400" w:lineRule="atLeast"/>
      <w:contextualSpacing/>
    </w:pPr>
    <w:rPr>
      <w:rFonts w:asciiTheme="majorHAnsi" w:hAnsiTheme="majorHAnsi"/>
      <w:color w:val="8D487F" w:themeColor="accent1"/>
      <w:sz w:val="28"/>
    </w:rPr>
  </w:style>
  <w:style w:type="table" w:styleId="LightList-Accent1">
    <w:name w:val="Light List Accent 1"/>
    <w:basedOn w:val="TableNormal"/>
    <w:uiPriority w:val="61"/>
    <w:rsid w:val="00D674A5"/>
    <w:tblPr>
      <w:tblStyleRowBandSize w:val="1"/>
      <w:tblStyleColBandSize w:val="1"/>
      <w:tblBorders>
        <w:top w:val="single" w:sz="8" w:space="0" w:color="8D487F" w:themeColor="accent1"/>
        <w:left w:val="single" w:sz="8" w:space="0" w:color="8D487F" w:themeColor="accent1"/>
        <w:bottom w:val="single" w:sz="8" w:space="0" w:color="8D487F" w:themeColor="accent1"/>
        <w:right w:val="single" w:sz="8" w:space="0" w:color="8D48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8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  <w:tblStylePr w:type="band1Horz">
      <w:tblPr/>
      <w:tcPr>
        <w:tcBorders>
          <w:top w:val="single" w:sz="8" w:space="0" w:color="8D487F" w:themeColor="accent1"/>
          <w:left w:val="single" w:sz="8" w:space="0" w:color="8D487F" w:themeColor="accent1"/>
          <w:bottom w:val="single" w:sz="8" w:space="0" w:color="8D487F" w:themeColor="accent1"/>
          <w:right w:val="single" w:sz="8" w:space="0" w:color="8D487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rsid w:val="00D674A5"/>
    <w:rPr>
      <w:color w:val="808080"/>
    </w:rPr>
  </w:style>
  <w:style w:type="numbering" w:customStyle="1" w:styleId="List1Numbered">
    <w:name w:val="List 1 Numbered"/>
    <w:uiPriority w:val="99"/>
    <w:rsid w:val="00D674A5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D674A5"/>
    <w:pPr>
      <w:numPr>
        <w:numId w:val="32"/>
      </w:numPr>
      <w:spacing w:before="60"/>
    </w:pPr>
  </w:style>
  <w:style w:type="paragraph" w:customStyle="1" w:styleId="List1Numbered2">
    <w:name w:val="List 1 Numbered 2"/>
    <w:basedOn w:val="Normal"/>
    <w:uiPriority w:val="2"/>
    <w:qFormat/>
    <w:rsid w:val="00D674A5"/>
    <w:pPr>
      <w:numPr>
        <w:ilvl w:val="1"/>
        <w:numId w:val="32"/>
      </w:numPr>
      <w:spacing w:before="60"/>
    </w:pPr>
  </w:style>
  <w:style w:type="paragraph" w:customStyle="1" w:styleId="List1Numbered3">
    <w:name w:val="List 1 Numbered 3"/>
    <w:basedOn w:val="Normal"/>
    <w:uiPriority w:val="2"/>
    <w:qFormat/>
    <w:rsid w:val="00D674A5"/>
    <w:pPr>
      <w:numPr>
        <w:ilvl w:val="2"/>
        <w:numId w:val="32"/>
      </w:numPr>
      <w:spacing w:before="60"/>
    </w:pPr>
  </w:style>
  <w:style w:type="paragraph" w:customStyle="1" w:styleId="NameofProposal">
    <w:name w:val="Name of Proposal"/>
    <w:basedOn w:val="Normal"/>
    <w:uiPriority w:val="12"/>
    <w:qFormat/>
    <w:rsid w:val="00D67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Indent10mm">
    <w:name w:val="Normal Indent 10mm"/>
    <w:basedOn w:val="Normal"/>
    <w:uiPriority w:val="1"/>
    <w:rsid w:val="00D674A5"/>
    <w:pPr>
      <w:ind w:left="567"/>
    </w:pPr>
  </w:style>
  <w:style w:type="paragraph" w:customStyle="1" w:styleId="NormalNumbered">
    <w:name w:val="Normal Numbered"/>
    <w:basedOn w:val="Normal"/>
    <w:qFormat/>
    <w:rsid w:val="00D674A5"/>
    <w:pPr>
      <w:numPr>
        <w:numId w:val="33"/>
      </w:numPr>
    </w:pPr>
  </w:style>
  <w:style w:type="paragraph" w:styleId="Quote">
    <w:name w:val="Quote"/>
    <w:basedOn w:val="Normal"/>
    <w:link w:val="QuoteChar"/>
    <w:uiPriority w:val="99"/>
    <w:semiHidden/>
    <w:rsid w:val="00D674A5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674A5"/>
    <w:rPr>
      <w:i/>
      <w:iCs/>
      <w:spacing w:val="-1"/>
    </w:rPr>
  </w:style>
  <w:style w:type="numbering" w:customStyle="1" w:styleId="NormalNumberedParas">
    <w:name w:val="Normal Numbered Paras"/>
    <w:uiPriority w:val="99"/>
    <w:rsid w:val="00D674A5"/>
    <w:pPr>
      <w:numPr>
        <w:numId w:val="9"/>
      </w:numPr>
    </w:pPr>
  </w:style>
  <w:style w:type="numbering" w:customStyle="1" w:styleId="NumberedHeadings">
    <w:name w:val="Numbered Headings"/>
    <w:uiPriority w:val="99"/>
    <w:rsid w:val="00D674A5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23"/>
    <w:qFormat/>
    <w:rsid w:val="00D674A5"/>
    <w:pPr>
      <w:keepLines/>
      <w:numPr>
        <w:ilvl w:val="1"/>
      </w:numPr>
      <w:spacing w:before="0"/>
      <w:contextualSpacing/>
    </w:pPr>
    <w:rPr>
      <w:rFonts w:eastAsiaTheme="minorEastAsia"/>
      <w:b/>
      <w:color w:val="3D4D7D" w:themeColor="background2"/>
      <w:sz w:val="30"/>
    </w:rPr>
  </w:style>
  <w:style w:type="character" w:customStyle="1" w:styleId="SubtitleChar">
    <w:name w:val="Subtitle Char"/>
    <w:basedOn w:val="DefaultParagraphFont"/>
    <w:link w:val="Subtitle"/>
    <w:uiPriority w:val="23"/>
    <w:rsid w:val="00D674A5"/>
    <w:rPr>
      <w:rFonts w:eastAsiaTheme="minorEastAsia"/>
      <w:b/>
      <w:color w:val="3D4D7D" w:themeColor="background2"/>
      <w:spacing w:val="-1"/>
      <w:sz w:val="30"/>
    </w:rPr>
  </w:style>
  <w:style w:type="paragraph" w:customStyle="1" w:styleId="SourceNotes">
    <w:name w:val="Source Notes"/>
    <w:basedOn w:val="Normal"/>
    <w:uiPriority w:val="21"/>
    <w:qFormat/>
    <w:rsid w:val="001B25FE"/>
    <w:pPr>
      <w:spacing w:before="0" w:line="260" w:lineRule="atLeast"/>
      <w:ind w:left="341" w:hanging="284"/>
    </w:pPr>
    <w:rPr>
      <w:sz w:val="20"/>
    </w:rPr>
  </w:style>
  <w:style w:type="paragraph" w:customStyle="1" w:styleId="SourceNotesHeading">
    <w:name w:val="Source Notes Heading"/>
    <w:basedOn w:val="SourceNotes"/>
    <w:uiPriority w:val="20"/>
    <w:qFormat/>
    <w:rsid w:val="00D674A5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D674A5"/>
    <w:pPr>
      <w:numPr>
        <w:numId w:val="36"/>
      </w:numPr>
    </w:pPr>
  </w:style>
  <w:style w:type="table" w:styleId="TableGrid">
    <w:name w:val="Table Grid"/>
    <w:basedOn w:val="TableNormal"/>
    <w:uiPriority w:val="39"/>
    <w:rsid w:val="00D674A5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74A5"/>
    <w:rPr>
      <w:b/>
      <w:bCs/>
    </w:rPr>
  </w:style>
  <w:style w:type="table" w:styleId="TableGridLight">
    <w:name w:val="Grid Table Light"/>
    <w:basedOn w:val="TableNormal"/>
    <w:uiPriority w:val="40"/>
    <w:rsid w:val="00D674A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Normal"/>
    <w:next w:val="Normal"/>
    <w:uiPriority w:val="39"/>
    <w:semiHidden/>
    <w:rsid w:val="00D674A5"/>
    <w:pPr>
      <w:spacing w:after="100"/>
      <w:ind w:left="1600"/>
    </w:pPr>
  </w:style>
  <w:style w:type="paragraph" w:styleId="Title">
    <w:name w:val="Title"/>
    <w:basedOn w:val="Normal"/>
    <w:next w:val="Normal"/>
    <w:link w:val="TitleChar"/>
    <w:uiPriority w:val="22"/>
    <w:qFormat/>
    <w:rsid w:val="00D674A5"/>
    <w:pPr>
      <w:keepLines/>
      <w:spacing w:before="0"/>
      <w:contextualSpacing/>
      <w:outlineLvl w:val="0"/>
    </w:pPr>
    <w:rPr>
      <w:rFonts w:asciiTheme="majorHAnsi" w:eastAsiaTheme="majorEastAsia" w:hAnsiTheme="majorHAnsi" w:cstheme="majorBidi"/>
      <w:color w:val="3D4D7D" w:themeColor="background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D674A5"/>
    <w:rPr>
      <w:rFonts w:asciiTheme="majorHAnsi" w:eastAsiaTheme="majorEastAsia" w:hAnsiTheme="majorHAnsi" w:cstheme="majorBidi"/>
      <w:color w:val="3D4D7D" w:themeColor="background2"/>
      <w:spacing w:val="-1"/>
      <w:kern w:val="28"/>
      <w:sz w:val="52"/>
      <w:szCs w:val="56"/>
    </w:rPr>
  </w:style>
  <w:style w:type="paragraph" w:styleId="TOC1">
    <w:name w:val="toc 1"/>
    <w:basedOn w:val="Normal"/>
    <w:next w:val="Normal"/>
    <w:uiPriority w:val="39"/>
    <w:semiHidden/>
    <w:rsid w:val="00D674A5"/>
    <w:pPr>
      <w:keepNext/>
      <w:tabs>
        <w:tab w:val="right" w:pos="9628"/>
      </w:tabs>
      <w:spacing w:line="340" w:lineRule="atLeast"/>
    </w:pPr>
    <w:rPr>
      <w:b/>
      <w:sz w:val="24"/>
      <w:u w:color="9778B4" w:themeColor="text2"/>
    </w:rPr>
  </w:style>
  <w:style w:type="paragraph" w:styleId="TOC2">
    <w:name w:val="toc 2"/>
    <w:basedOn w:val="Normal"/>
    <w:next w:val="Normal"/>
    <w:uiPriority w:val="39"/>
    <w:semiHidden/>
    <w:rsid w:val="00D674A5"/>
    <w:pPr>
      <w:tabs>
        <w:tab w:val="right" w:pos="9628"/>
      </w:tabs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284"/>
    </w:pPr>
  </w:style>
  <w:style w:type="paragraph" w:styleId="TOC4">
    <w:name w:val="toc 4"/>
    <w:basedOn w:val="Normal"/>
    <w:next w:val="Normal"/>
    <w:uiPriority w:val="39"/>
    <w:semiHidden/>
    <w:rsid w:val="00D674A5"/>
    <w:pPr>
      <w:tabs>
        <w:tab w:val="right" w:pos="9628"/>
      </w:tabs>
      <w:spacing w:before="60"/>
      <w:ind w:left="1135" w:hanging="851"/>
    </w:pPr>
  </w:style>
  <w:style w:type="paragraph" w:styleId="TOC5">
    <w:name w:val="toc 5"/>
    <w:basedOn w:val="Normal"/>
    <w:next w:val="Normal"/>
    <w:uiPriority w:val="39"/>
    <w:semiHidden/>
    <w:rsid w:val="00D674A5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uiPriority w:val="39"/>
    <w:semiHidden/>
    <w:rsid w:val="00D674A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D674A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D674A5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Heading1"/>
    <w:next w:val="Normal"/>
    <w:uiPriority w:val="39"/>
    <w:semiHidden/>
    <w:rsid w:val="00D674A5"/>
    <w:pPr>
      <w:outlineLvl w:val="9"/>
    </w:pPr>
  </w:style>
  <w:style w:type="character" w:styleId="Hyperlink">
    <w:name w:val="Hyperlink"/>
    <w:basedOn w:val="DefaultParagraphFont"/>
    <w:uiPriority w:val="99"/>
    <w:rsid w:val="00D674A5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A5"/>
    <w:rPr>
      <w:rFonts w:ascii="Tahoma" w:hAnsi="Tahoma" w:cs="Tahoma"/>
      <w:spacing w:val="-1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D674A5"/>
    <w:pPr>
      <w:tabs>
        <w:tab w:val="right" w:leader="underscore" w:pos="8165"/>
      </w:tabs>
      <w:spacing w:after="80"/>
      <w:ind w:right="851"/>
    </w:pPr>
  </w:style>
  <w:style w:type="table" w:styleId="LightGrid-Accent6">
    <w:name w:val="Light Grid Accent 6"/>
    <w:basedOn w:val="TableNormal"/>
    <w:uiPriority w:val="62"/>
    <w:unhideWhenUsed/>
    <w:rsid w:val="00D674A5"/>
    <w:pPr>
      <w:spacing w:before="0" w:after="0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D674A5"/>
    <w:rPr>
      <w:color w:val="0070C0"/>
      <w:u w:val="single"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character" w:styleId="CommentReference">
    <w:name w:val="annotation reference"/>
    <w:basedOn w:val="DefaultParagraphFont"/>
    <w:uiPriority w:val="99"/>
    <w:semiHidden/>
    <w:unhideWhenUsed/>
    <w:rsid w:val="00D6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4A5"/>
    <w:pPr>
      <w:spacing w:after="11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4A5"/>
    <w:rPr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2D"/>
    <w:rPr>
      <w:b/>
      <w:bCs/>
      <w:spacing w:val="-1"/>
      <w:sz w:val="20"/>
      <w:szCs w:val="20"/>
    </w:rPr>
  </w:style>
  <w:style w:type="paragraph" w:styleId="Revision">
    <w:name w:val="Revision"/>
    <w:hidden/>
    <w:uiPriority w:val="99"/>
    <w:semiHidden/>
    <w:rsid w:val="00EE3226"/>
  </w:style>
  <w:style w:type="character" w:customStyle="1" w:styleId="SecurityClassification">
    <w:name w:val="Security Classification"/>
    <w:basedOn w:val="DefaultParagraphFont"/>
    <w:uiPriority w:val="99"/>
    <w:semiHidden/>
    <w:qFormat/>
    <w:rsid w:val="00D674A5"/>
    <w:rPr>
      <w:rFonts w:ascii="Calibri" w:hAnsi="Calibri"/>
      <w:b/>
      <w:caps w:val="0"/>
      <w:smallCaps w:val="0"/>
      <w:color w:val="FF0000"/>
      <w:sz w:val="36"/>
      <w:szCs w:val="36"/>
    </w:rPr>
  </w:style>
  <w:style w:type="numbering" w:customStyle="1" w:styleId="FigureNumbers">
    <w:name w:val="Figure Numbers"/>
    <w:uiPriority w:val="99"/>
    <w:rsid w:val="00D674A5"/>
    <w:pPr>
      <w:numPr>
        <w:numId w:val="22"/>
      </w:numPr>
    </w:pPr>
  </w:style>
  <w:style w:type="numbering" w:customStyle="1" w:styleId="KCBullets">
    <w:name w:val="KC Bullets"/>
    <w:uiPriority w:val="99"/>
    <w:rsid w:val="00D674A5"/>
    <w:pPr>
      <w:numPr>
        <w:numId w:val="28"/>
      </w:numPr>
    </w:pPr>
  </w:style>
  <w:style w:type="table" w:customStyle="1" w:styleId="PBOTable3-Financials">
    <w:name w:val="PBO Table 3 - Financials"/>
    <w:basedOn w:val="TableNormal"/>
    <w:uiPriority w:val="99"/>
    <w:rsid w:val="00851579"/>
    <w:pPr>
      <w:spacing w:before="70" w:after="70" w:line="260" w:lineRule="atLeast"/>
    </w:pPr>
    <w:tblPr>
      <w:tblStyleRowBandSize w:val="1"/>
      <w:tblStyleColBandSize w:val="1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sz w:val="16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BOTable1-9pt">
    <w:name w:val="PBO Table 1 - 9pt"/>
    <w:basedOn w:val="PBOTable3-Financials"/>
    <w:uiPriority w:val="99"/>
    <w:rsid w:val="00BB0B01"/>
    <w:pPr>
      <w:spacing w:before="0" w:after="0"/>
    </w:pPr>
    <w:rPr>
      <w:sz w:val="18"/>
    </w:rPr>
    <w:tblPr>
      <w:tblBorders>
        <w:top w:val="single" w:sz="8" w:space="0" w:color="7C8CBF" w:themeColor="background2" w:themeTint="99"/>
        <w:left w:val="single" w:sz="8" w:space="0" w:color="7C8CBF" w:themeColor="background2" w:themeTint="99"/>
        <w:bottom w:val="single" w:sz="8" w:space="0" w:color="7C8CBF" w:themeColor="background2" w:themeTint="99"/>
        <w:right w:val="single" w:sz="8" w:space="0" w:color="7C8CBF" w:themeColor="background2" w:themeTint="99"/>
        <w:insideH w:val="single" w:sz="8" w:space="0" w:color="7C8CBF" w:themeColor="background2" w:themeTint="99"/>
        <w:insideV w:val="single" w:sz="8" w:space="0" w:color="7C8CBF" w:themeColor="background2" w:themeTint="99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b/>
        <w:color w:val="FFFFFF" w:themeColor="background1"/>
        <w:sz w:val="18"/>
      </w:rPr>
      <w:tblPr/>
      <w:tcPr>
        <w:shd w:val="clear" w:color="auto" w:fill="3D4D7D" w:themeFill="background2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3D8E9" w:themeFill="background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3D8E9" w:themeFill="background2" w:themeFillTint="33"/>
      </w:tcPr>
    </w:tblStylePr>
  </w:style>
  <w:style w:type="table" w:customStyle="1" w:styleId="PBOTable2-11pt">
    <w:name w:val="PBO Table 2 - 11pt"/>
    <w:basedOn w:val="PBOTable3-Financials"/>
    <w:uiPriority w:val="99"/>
    <w:rsid w:val="002559FB"/>
    <w:tblPr/>
    <w:tblStylePr w:type="firstRow">
      <w:pPr>
        <w:jc w:val="left"/>
      </w:pPr>
      <w:rPr>
        <w:sz w:val="22"/>
      </w:rPr>
      <w:tblPr/>
      <w:tcPr>
        <w:shd w:val="clear" w:color="auto" w:fill="A7B2D4" w:themeFill="background2" w:themeFillTint="66"/>
        <w:vAlign w:val="center"/>
      </w:tcPr>
    </w:tblStylePr>
    <w:tblStylePr w:type="lastRow">
      <w:tblPr/>
      <w:tcPr>
        <w:shd w:val="clear" w:color="auto" w:fill="A7B2D4" w:themeFill="background2" w:themeFillTint="66"/>
      </w:tcPr>
    </w:tblStylePr>
    <w:tblStylePr w:type="firstCol">
      <w:tblPr/>
      <w:tcPr>
        <w:shd w:val="clear" w:color="auto" w:fill="A7B2D4" w:themeFill="background2" w:themeFillTint="66"/>
      </w:tcPr>
    </w:tblStylePr>
    <w:tblStylePr w:type="lastCol">
      <w:tblPr/>
      <w:tcPr>
        <w:shd w:val="clear" w:color="auto" w:fill="A7B2D4" w:themeFill="background2" w:themeFillTint="66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ullOut">
    <w:name w:val="Pull Out"/>
    <w:basedOn w:val="Normal"/>
    <w:uiPriority w:val="22"/>
    <w:qFormat/>
    <w:rsid w:val="00D674A5"/>
    <w:pPr>
      <w:spacing w:line="340" w:lineRule="atLeast"/>
    </w:pPr>
    <w:rPr>
      <w:color w:val="9778B4" w:themeColor="text2"/>
      <w:spacing w:val="0"/>
      <w:sz w:val="24"/>
      <w:szCs w:val="20"/>
    </w:rPr>
  </w:style>
  <w:style w:type="numbering" w:customStyle="1" w:styleId="TableNumbers">
    <w:name w:val="Table Numbers"/>
    <w:uiPriority w:val="99"/>
    <w:rsid w:val="00D674A5"/>
    <w:pPr>
      <w:numPr>
        <w:numId w:val="37"/>
      </w:numPr>
    </w:pPr>
  </w:style>
  <w:style w:type="paragraph" w:customStyle="1" w:styleId="PBOheader">
    <w:name w:val="PBO header"/>
    <w:basedOn w:val="Header"/>
    <w:uiPriority w:val="39"/>
    <w:rsid w:val="00935F04"/>
    <w:pPr>
      <w:tabs>
        <w:tab w:val="clear" w:pos="4513"/>
        <w:tab w:val="clear" w:pos="9026"/>
      </w:tabs>
      <w:spacing w:before="1320" w:after="114" w:line="240" w:lineRule="auto"/>
      <w:ind w:left="6521"/>
    </w:pPr>
    <w:rPr>
      <w:rFonts w:ascii="Arial" w:hAnsi="Arial" w:cs="Arial"/>
      <w:b/>
      <w:color w:val="auto"/>
      <w:spacing w:val="0"/>
      <w:sz w:val="18"/>
      <w:szCs w:val="18"/>
    </w:rPr>
  </w:style>
  <w:style w:type="paragraph" w:customStyle="1" w:styleId="Lettertext">
    <w:name w:val="Letter text"/>
    <w:basedOn w:val="BodyText"/>
    <w:qFormat/>
    <w:rsid w:val="00935F04"/>
    <w:pPr>
      <w:spacing w:before="240" w:after="0"/>
    </w:pPr>
    <w:rPr>
      <w:rFonts w:ascii="Calibri" w:hAnsi="Calibri" w:cs="Times New Roman"/>
      <w:color w:val="auto"/>
      <w:spacing w:val="0"/>
    </w:rPr>
  </w:style>
  <w:style w:type="paragraph" w:styleId="BodyText">
    <w:name w:val="Body Text"/>
    <w:basedOn w:val="Normal"/>
    <w:link w:val="BodyTextChar"/>
    <w:uiPriority w:val="5"/>
    <w:unhideWhenUsed/>
    <w:qFormat/>
    <w:rsid w:val="00935F04"/>
  </w:style>
  <w:style w:type="character" w:customStyle="1" w:styleId="BodyTextChar">
    <w:name w:val="Body Text Char"/>
    <w:basedOn w:val="DefaultParagraphFont"/>
    <w:link w:val="BodyText"/>
    <w:uiPriority w:val="5"/>
    <w:rsid w:val="00935F04"/>
    <w:rPr>
      <w:spacing w:val="-1"/>
    </w:rPr>
  </w:style>
  <w:style w:type="paragraph" w:customStyle="1" w:styleId="TableFootnotes">
    <w:name w:val="Table Footnotes"/>
    <w:basedOn w:val="Normal"/>
    <w:uiPriority w:val="22"/>
    <w:qFormat/>
    <w:rsid w:val="00C000C6"/>
    <w:pPr>
      <w:keepLines/>
      <w:numPr>
        <w:numId w:val="42"/>
      </w:numPr>
      <w:spacing w:before="0" w:line="260" w:lineRule="atLeast"/>
    </w:pPr>
    <w:rPr>
      <w:color w:val="auto"/>
      <w:spacing w:val="0"/>
      <w:sz w:val="20"/>
    </w:rPr>
  </w:style>
  <w:style w:type="paragraph" w:customStyle="1" w:styleId="TableHeading">
    <w:name w:val="Table Heading"/>
    <w:basedOn w:val="Normal"/>
    <w:uiPriority w:val="14"/>
    <w:qFormat/>
    <w:rsid w:val="00C000C6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color w:val="auto"/>
      <w:spacing w:val="0"/>
      <w:sz w:val="20"/>
    </w:rPr>
  </w:style>
  <w:style w:type="paragraph" w:customStyle="1" w:styleId="TableHeadingRight">
    <w:name w:val="Table Heading Right"/>
    <w:basedOn w:val="TableHeading"/>
    <w:uiPriority w:val="16"/>
    <w:qFormat/>
    <w:rsid w:val="00C000C6"/>
    <w:pPr>
      <w:jc w:val="right"/>
    </w:pPr>
  </w:style>
  <w:style w:type="paragraph" w:customStyle="1" w:styleId="TableTextRight">
    <w:name w:val="Table Text Right"/>
    <w:basedOn w:val="Normal"/>
    <w:uiPriority w:val="19"/>
    <w:qFormat/>
    <w:rsid w:val="00C000C6"/>
    <w:pPr>
      <w:spacing w:before="70" w:after="70" w:line="260" w:lineRule="atLeast"/>
      <w:ind w:left="57" w:right="57"/>
      <w:jc w:val="right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Bold">
    <w:name w:val="Table Text Right Bold"/>
    <w:basedOn w:val="TableTextRight"/>
    <w:uiPriority w:val="20"/>
    <w:qFormat/>
    <w:rsid w:val="00C000C6"/>
    <w:rPr>
      <w:b/>
    </w:rPr>
  </w:style>
  <w:style w:type="paragraph" w:styleId="ListParagraph">
    <w:name w:val="List Paragraph"/>
    <w:basedOn w:val="Normal"/>
    <w:uiPriority w:val="39"/>
    <w:semiHidden/>
    <w:rsid w:val="00C000C6"/>
    <w:pPr>
      <w:ind w:left="720"/>
      <w:contextualSpacing/>
    </w:pPr>
  </w:style>
  <w:style w:type="paragraph" w:customStyle="1" w:styleId="TableText">
    <w:name w:val="Table Text"/>
    <w:basedOn w:val="Normal"/>
    <w:uiPriority w:val="17"/>
    <w:qFormat/>
    <w:rsid w:val="000B70EC"/>
    <w:pPr>
      <w:spacing w:before="70" w:after="70" w:line="260" w:lineRule="atLeast"/>
      <w:ind w:left="57" w:right="57"/>
    </w:pPr>
    <w:rPr>
      <w:rFonts w:ascii="Calibri" w:hAnsi="Calibri" w:cs="Times New Roman"/>
      <w:color w:val="auto"/>
      <w:spacing w:val="0"/>
      <w:sz w:val="20"/>
    </w:rPr>
  </w:style>
  <w:style w:type="paragraph" w:customStyle="1" w:styleId="TableTextRightItalic">
    <w:name w:val="Table Text Right Italic"/>
    <w:basedOn w:val="TableTextRight"/>
    <w:uiPriority w:val="21"/>
    <w:qFormat/>
    <w:rsid w:val="000B70EC"/>
    <w:rPr>
      <w:i/>
    </w:rPr>
  </w:style>
  <w:style w:type="paragraph" w:customStyle="1" w:styleId="PRRfootnote1">
    <w:name w:val="PRR footnote 1"/>
    <w:basedOn w:val="Normal"/>
    <w:link w:val="PRRfootnote1Char"/>
    <w:qFormat/>
    <w:rsid w:val="003049B5"/>
    <w:pPr>
      <w:keepNext/>
      <w:keepLines/>
      <w:spacing w:before="0" w:after="0" w:line="240" w:lineRule="auto"/>
      <w:ind w:left="284" w:hanging="284"/>
    </w:pPr>
    <w:rPr>
      <w:sz w:val="20"/>
      <w:szCs w:val="20"/>
    </w:rPr>
  </w:style>
  <w:style w:type="character" w:customStyle="1" w:styleId="PRRfootnote1Char">
    <w:name w:val="PRR footnote 1 Char"/>
    <w:basedOn w:val="DefaultParagraphFont"/>
    <w:link w:val="PRRfootnote1"/>
    <w:rsid w:val="003049B5"/>
    <w:rPr>
      <w:spacing w:val="-1"/>
      <w:sz w:val="20"/>
      <w:szCs w:val="20"/>
    </w:rPr>
  </w:style>
  <w:style w:type="paragraph" w:customStyle="1" w:styleId="PRRfootnote2">
    <w:name w:val="PRR footnote 2"/>
    <w:basedOn w:val="PRRfootnote1"/>
    <w:link w:val="PRRfootnote2Char"/>
    <w:qFormat/>
    <w:rsid w:val="003049B5"/>
    <w:pPr>
      <w:spacing w:line="260" w:lineRule="atLeast"/>
    </w:pPr>
    <w:rPr>
      <w:sz w:val="16"/>
      <w:szCs w:val="16"/>
    </w:rPr>
  </w:style>
  <w:style w:type="character" w:customStyle="1" w:styleId="PRRfootnote2Char">
    <w:name w:val="PRR footnote 2 Char"/>
    <w:basedOn w:val="PRRfootnote1Char"/>
    <w:link w:val="PRRfootnote2"/>
    <w:rsid w:val="003049B5"/>
    <w:rPr>
      <w:spacing w:val="-1"/>
      <w:sz w:val="16"/>
      <w:szCs w:val="16"/>
    </w:rPr>
  </w:style>
  <w:style w:type="table" w:customStyle="1" w:styleId="TableAsPlaceholder">
    <w:name w:val="Table As Placeholder"/>
    <w:basedOn w:val="TableNormal"/>
    <w:uiPriority w:val="99"/>
    <w:qFormat/>
    <w:rsid w:val="002E1EA9"/>
    <w:pPr>
      <w:spacing w:before="0" w:after="0" w:line="300" w:lineRule="atLeast"/>
    </w:pPr>
    <w:rPr>
      <w:rFonts w:eastAsia="Times New Roman" w:cs="Arial"/>
      <w:color w:val="auto"/>
      <w:lang w:eastAsia="en-AU"/>
    </w:rPr>
    <w:tblPr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A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.gov.au/About_Parliament/Parliamentary_Departments/Parliamentary_Budget_Office/Costings_and_budget_informati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3DAE0B7E74691A6F8DF5D0B91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1A66-0DC9-4DCB-8DC4-E913DD73418C}"/>
      </w:docPartPr>
      <w:docPartBody>
        <w:p w:rsidR="00123F66" w:rsidRDefault="00FE204D" w:rsidP="00FE204D">
          <w:pPr>
            <w:pStyle w:val="B0C3DAE0B7E74691A6F8DF5D0B915C85"/>
          </w:pPr>
          <w:r w:rsidRPr="004F5F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3"/>
    <w:rsid w:val="00123F66"/>
    <w:rsid w:val="0021784F"/>
    <w:rsid w:val="00360F33"/>
    <w:rsid w:val="00495C4C"/>
    <w:rsid w:val="00517431"/>
    <w:rsid w:val="00694643"/>
    <w:rsid w:val="00895979"/>
    <w:rsid w:val="00A0722D"/>
    <w:rsid w:val="00B218DD"/>
    <w:rsid w:val="00BA26AD"/>
    <w:rsid w:val="00BD2F8F"/>
    <w:rsid w:val="00FE0DBD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E204D"/>
    <w:rPr>
      <w:color w:val="808080"/>
    </w:rPr>
  </w:style>
  <w:style w:type="paragraph" w:customStyle="1" w:styleId="B0C3DAE0B7E74691A6F8DF5D0B915C85">
    <w:name w:val="B0C3DAE0B7E74691A6F8DF5D0B915C85"/>
    <w:rsid w:val="00FE2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2021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5AFF"/>
      </a:hlink>
      <a:folHlink>
        <a:srgbClr val="005AFF"/>
      </a:folHlink>
    </a:clrScheme>
    <a:fontScheme name="PBO 202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15EFC147243408AAD18E5E049EEF9" ma:contentTypeVersion="20" ma:contentTypeDescription="Create a new document." ma:contentTypeScope="" ma:versionID="89761aecb10e27309c99359fe0f2d97d">
  <xsd:schema xmlns:xsd="http://www.w3.org/2001/XMLSchema" xmlns:xs="http://www.w3.org/2001/XMLSchema" xmlns:p="http://schemas.microsoft.com/office/2006/metadata/properties" xmlns:ns1="http://schemas.microsoft.com/sharepoint/v3" xmlns:ns2="ad8e907a-e1a6-4b76-8caa-2c3a6e0bcaac" xmlns:ns3="392fc61f-e94e-493b-9859-a48021fe120e" xmlns:ns4="http://schemas.microsoft.com/sharepoint/v4" targetNamespace="http://schemas.microsoft.com/office/2006/metadata/properties" ma:root="true" ma:fieldsID="fd4c61aca97ce3e663bc729f58972285" ns1:_="" ns2:_="" ns3:_="" ns4:_="">
    <xsd:import namespace="http://schemas.microsoft.com/sharepoint/v3"/>
    <xsd:import namespace="ad8e907a-e1a6-4b76-8caa-2c3a6e0bcaac"/>
    <xsd:import namespace="392fc61f-e94e-493b-9859-a48021fe12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5dfb72b69c24bd0be10e5c7f2c63979" minOccurs="0"/>
                <xsd:element ref="ns2:TaxCatchAll" minOccurs="0"/>
                <xsd:element ref="ns2:PR_x0020_I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162e0b1-20f3-465a-b0e3-74ffe66b3512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_x0020_ID" ma:index="14" ma:displayName="PR ID" ma:default="" ma:description="ID of the parliamentarian request" ma:internalName="PR_x0020_ID0">
      <xsd:simpleType>
        <xsd:restriction base="dms:Text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c61f-e94e-493b-9859-a48021fe120e" elementFormDefault="qualified">
    <xsd:import namespace="http://schemas.microsoft.com/office/2006/documentManagement/types"/>
    <xsd:import namespace="http://schemas.microsoft.com/office/infopath/2007/PartnerControls"/>
    <xsd:element name="n5dfb72b69c24bd0be10e5c7f2c63979" ma:index="12" ma:taxonomy="true" ma:internalName="n5dfb72b69c24bd0be10e5c7f2c63979" ma:taxonomyFieldName="DocType" ma:displayName="DocType" ma:default="3;#Other|a82e5e6b-4124-495e-bcdc-32042f6b6fbc" ma:fieldId="{75dfb72b-69c2-4bd0-be10-e5c7f2c63979}" ma:sspId="8511bdff-a9c3-4342-ad56-d9f2319b2060" ma:termSetId="a18ff4e3-1268-49c1-bbce-f08b63b82b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511bdff-a9c3-4342-ad56-d9f2319b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e907a-e1a6-4b76-8caa-2c3a6e0bcaac">PRQ-151418482-4422</_dlc_DocId>
    <_dlc_DocIdUrl xmlns="ad8e907a-e1a6-4b76-8caa-2c3a6e0bcaac">
      <Url>https://pboprotected.sharepoint.com/sites/PRQHub/_layouts/15/DocIdRedir.aspx?ID=PRQ-151418482-4422</Url>
      <Description>PRQ-151418482-4422</Description>
    </_dlc_DocIdUrl>
    <IconOverlay xmlns="http://schemas.microsoft.com/sharepoint/v4" xsi:nil="true"/>
    <TaxCatchAll xmlns="ad8e907a-e1a6-4b76-8caa-2c3a6e0bcaac">
      <Value>3</Value>
    </TaxCatchAll>
    <SharedWithUsers xmlns="ad8e907a-e1a6-4b76-8caa-2c3a6e0bcaac">
      <UserInfo>
        <DisplayName/>
        <AccountId xsi:nil="true"/>
        <AccountType/>
      </UserInfo>
    </SharedWithUsers>
    <_dlc_DocIdPersistId xmlns="ad8e907a-e1a6-4b76-8caa-2c3a6e0bcaac">false</_dlc_DocIdPersistId>
    <lcf76f155ced4ddcb4097134ff3c332f xmlns="392fc61f-e94e-493b-9859-a48021fe120e">
      <Terms xmlns="http://schemas.microsoft.com/office/infopath/2007/PartnerControls"/>
    </lcf76f155ced4ddcb4097134ff3c332f>
    <PR_x0020_ID xmlns="ad8e907a-e1a6-4b76-8caa-2c3a6e0bcaac">PR-2023-261</PR_x0020_ID>
    <n5dfb72b69c24bd0be10e5c7f2c63979 xmlns="392fc61f-e94e-493b-9859-a48021fe12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a82e5e6b-4124-495e-bcdc-32042f6b6fbc</TermId>
        </TermInfo>
      </Terms>
    </n5dfb72b69c24bd0be10e5c7f2c63979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4C8D0B-1FB5-4341-8F56-E85237D5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8e907a-e1a6-4b76-8caa-2c3a6e0bcaac"/>
    <ds:schemaRef ds:uri="392fc61f-e94e-493b-9859-a48021fe12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EEE22-F233-45E8-A772-BD6284AB6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A9F88-472E-4085-8E7D-0F31E3B67651}">
  <ds:schemaRefs>
    <ds:schemaRef ds:uri="http://schemas.microsoft.com/office/2006/metadata/properties"/>
    <ds:schemaRef ds:uri="http://schemas.microsoft.com/office/infopath/2007/PartnerControls"/>
    <ds:schemaRef ds:uri="ad8e907a-e1a6-4b76-8caa-2c3a6e0bcaac"/>
    <ds:schemaRef ds:uri="http://schemas.microsoft.com/sharepoint/v4"/>
    <ds:schemaRef ds:uri="392fc61f-e94e-493b-9859-a48021fe120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56DAC7-282D-4C21-8A5D-077A867C5E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ECEB69-F64D-4D3A-80B2-72212ED8F6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of proposal</vt:lpstr>
    </vt:vector>
  </TitlesOfParts>
  <Company>Parliament of Australia</Company>
  <LinksUpToDate>false</LinksUpToDate>
  <CharactersWithSpaces>11945</CharactersWithSpaces>
  <SharedDoc>false</SharedDoc>
  <HLinks>
    <vt:vector size="18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https://www.aph.gov.au/About_Parliament/Parliamentary_Departments/Parliamentary_Budget_Office/Costings_and_budget_information</vt:lpwstr>
      </vt:variant>
      <vt:variant>
        <vt:lpwstr/>
      </vt:variant>
      <vt:variant>
        <vt:i4>1179749</vt:i4>
      </vt:variant>
      <vt:variant>
        <vt:i4>9</vt:i4>
      </vt:variant>
      <vt:variant>
        <vt:i4>0</vt:i4>
      </vt:variant>
      <vt:variant>
        <vt:i4>5</vt:i4>
      </vt:variant>
      <vt:variant>
        <vt:lpwstr>mailto:pbo@pbo.gov.au</vt:lpwstr>
      </vt:variant>
      <vt:variant>
        <vt:lpwstr/>
      </vt:variant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http://www.pbo.gov.au/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The impact of stage III tax cuts</dc:title>
  <dc:subject/>
  <dc:creator>Parliamentary Budget Office (PBO)</dc:creator>
  <cp:keywords/>
  <cp:lastPrinted>2017-11-14T18:47:00Z</cp:lastPrinted>
  <dcterms:created xsi:type="dcterms:W3CDTF">2023-05-16T23:23:00Z</dcterms:created>
  <dcterms:modified xsi:type="dcterms:W3CDTF">2023-05-16T23:27:00Z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ContentTypeId">
    <vt:lpwstr>0x010100C8215EFC147243408AAD18E5E049EEF9</vt:lpwstr>
  </property>
  <property fmtid="{D5CDD505-2E9C-101B-9397-08002B2CF9AE}" pid="13" name="_dlc_DocIdItemGuid">
    <vt:lpwstr>81296326-6b4e-4297-be66-355ccad9a05e</vt:lpwstr>
  </property>
  <property fmtid="{D5CDD505-2E9C-101B-9397-08002B2CF9AE}" pid="14" name="Doc_Type_Task">
    <vt:lpwstr>2;#Other|5995c78e-9269-4dd3-85a9-76f942b2ab0d</vt:lpwstr>
  </property>
  <property fmtid="{D5CDD505-2E9C-101B-9397-08002B2CF9AE}" pid="15" name="MediaServiceImageTags">
    <vt:lpwstr/>
  </property>
  <property fmtid="{D5CDD505-2E9C-101B-9397-08002B2CF9AE}" pid="16" name="Order">
    <vt:r8>11300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ColorHex">
    <vt:lpwstr/>
  </property>
  <property fmtid="{D5CDD505-2E9C-101B-9397-08002B2CF9AE}" pid="20" name="_Emoji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_ColorTag">
    <vt:lpwstr/>
  </property>
  <property fmtid="{D5CDD505-2E9C-101B-9397-08002B2CF9AE}" pid="25" name="TriggerFlowInfo">
    <vt:lpwstr/>
  </property>
  <property fmtid="{D5CDD505-2E9C-101B-9397-08002B2CF9AE}" pid="26" name="Document Type">
    <vt:lpwstr>Current Template</vt:lpwstr>
  </property>
  <property fmtid="{D5CDD505-2E9C-101B-9397-08002B2CF9AE}" pid="27" name="DocType">
    <vt:lpwstr>3;#Other|a82e5e6b-4124-495e-bcdc-32042f6b6fbc</vt:lpwstr>
  </property>
  <property fmtid="{D5CDD505-2E9C-101B-9397-08002B2CF9AE}" pid="28" name="_docset_NoMedatataSyncRequired">
    <vt:lpwstr>False</vt:lpwstr>
  </property>
  <property fmtid="{D5CDD505-2E9C-101B-9397-08002B2CF9AE}" pid="29" name="MSIP_Label_ffb634e3-1037-4cdd-a8be-eaa9d6fbd503_Enabled">
    <vt:lpwstr>true</vt:lpwstr>
  </property>
  <property fmtid="{D5CDD505-2E9C-101B-9397-08002B2CF9AE}" pid="30" name="MSIP_Label_ffb634e3-1037-4cdd-a8be-eaa9d6fbd503_SetDate">
    <vt:lpwstr>2023-05-16T23:26:57Z</vt:lpwstr>
  </property>
  <property fmtid="{D5CDD505-2E9C-101B-9397-08002B2CF9AE}" pid="31" name="MSIP_Label_ffb634e3-1037-4cdd-a8be-eaa9d6fbd503_Method">
    <vt:lpwstr>Privileged</vt:lpwstr>
  </property>
  <property fmtid="{D5CDD505-2E9C-101B-9397-08002B2CF9AE}" pid="32" name="MSIP_Label_ffb634e3-1037-4cdd-a8be-eaa9d6fbd503_Name">
    <vt:lpwstr>OFFICIAL (PBO for publication)</vt:lpwstr>
  </property>
  <property fmtid="{D5CDD505-2E9C-101B-9397-08002B2CF9AE}" pid="33" name="MSIP_Label_ffb634e3-1037-4cdd-a8be-eaa9d6fbd503_SiteId">
    <vt:lpwstr>dc2a6fc4-3a5c-4009-8148-25a15ab44bf4</vt:lpwstr>
  </property>
  <property fmtid="{D5CDD505-2E9C-101B-9397-08002B2CF9AE}" pid="34" name="MSIP_Label_ffb634e3-1037-4cdd-a8be-eaa9d6fbd503_ActionId">
    <vt:lpwstr>9f300f84-9a8b-4f1f-b270-f5308552b144</vt:lpwstr>
  </property>
  <property fmtid="{D5CDD505-2E9C-101B-9397-08002B2CF9AE}" pid="35" name="MSIP_Label_ffb634e3-1037-4cdd-a8be-eaa9d6fbd503_ContentBits">
    <vt:lpwstr>0</vt:lpwstr>
  </property>
</Properties>
</file>