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49A75" w14:textId="77777777" w:rsidR="000E6DC6" w:rsidRPr="00A96E98" w:rsidRDefault="000E6DC6" w:rsidP="000E6DC6">
      <w:pPr>
        <w:pStyle w:val="Heading1spacebefore"/>
        <w:tabs>
          <w:tab w:val="left" w:pos="2694"/>
        </w:tabs>
        <w:spacing w:before="480" w:after="240"/>
        <w:rPr>
          <w:sz w:val="32"/>
        </w:rPr>
      </w:pPr>
      <w:bookmarkStart w:id="0" w:name="_GoBack"/>
      <w:bookmarkEnd w:id="0"/>
      <w:r w:rsidRPr="00A96E98">
        <w:rPr>
          <w:sz w:val="32"/>
        </w:rPr>
        <w:t>Request for budget analysis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537"/>
        <w:gridCol w:w="2763"/>
        <w:gridCol w:w="2736"/>
      </w:tblGrid>
      <w:tr w:rsidR="00AA478E" w:rsidRPr="008D77AF" w14:paraId="555AA6DC" w14:textId="77777777" w:rsidTr="002A45A3">
        <w:tc>
          <w:tcPr>
            <w:tcW w:w="5000" w:type="pct"/>
            <w:gridSpan w:val="3"/>
            <w:shd w:val="clear" w:color="auto" w:fill="A7B2D4" w:themeFill="background2" w:themeFillTint="66"/>
          </w:tcPr>
          <w:p w14:paraId="6B16662C" w14:textId="77777777" w:rsidR="00AA478E" w:rsidRPr="008D77AF" w:rsidRDefault="008937DE" w:rsidP="00013620">
            <w:pPr>
              <w:pStyle w:val="Nameofproposal"/>
            </w:pPr>
            <w:r w:rsidRPr="008937DE">
              <w:t>Lost revenue from the original mining tax</w:t>
            </w:r>
          </w:p>
        </w:tc>
      </w:tr>
      <w:tr w:rsidR="00AA478E" w:rsidRPr="008D77AF" w14:paraId="2A06CC5D" w14:textId="77777777" w:rsidTr="00013620">
        <w:tc>
          <w:tcPr>
            <w:tcW w:w="1957" w:type="pct"/>
          </w:tcPr>
          <w:p w14:paraId="11C02FF3" w14:textId="77777777" w:rsidR="00AA478E" w:rsidRPr="008D77AF" w:rsidRDefault="00AA478E" w:rsidP="00696DCC">
            <w:pPr>
              <w:pStyle w:val="BodyText"/>
            </w:pPr>
            <w:r w:rsidRPr="008D77AF">
              <w:t>Person/party requesting the costing:</w:t>
            </w:r>
          </w:p>
        </w:tc>
        <w:tc>
          <w:tcPr>
            <w:tcW w:w="3043" w:type="pct"/>
            <w:gridSpan w:val="2"/>
            <w:tcBorders>
              <w:bottom w:val="single" w:sz="8" w:space="0" w:color="788183" w:themeColor="accent6"/>
            </w:tcBorders>
          </w:tcPr>
          <w:p w14:paraId="14FC3195" w14:textId="77777777" w:rsidR="00AA478E" w:rsidRPr="008D77AF" w:rsidRDefault="00EE102B" w:rsidP="00696DCC">
            <w:pPr>
              <w:pStyle w:val="BodyText"/>
            </w:pPr>
            <w:sdt>
              <w:sdtPr>
                <w:alias w:val="Requestor"/>
                <w:tag w:val="Requestor"/>
                <w:id w:val="39022088"/>
                <w:placeholder>
                  <w:docPart w:val="07699190AD8D4412967BD61393219BE1"/>
                </w:placeholder>
                <w:dropDownList>
                  <w:listItem w:value="Choose an item."/>
                  <w:listItem w:displayText="Mr Adam Bandt MP, Australian Greens" w:value="Mr Adam Bandt MP, Australian Greens"/>
                  <w:listItem w:displayText="Dr Jim Chalmers MP, Australian Labor Party" w:value="Dr Jim Chalmers MP, Australian Labor Party"/>
                  <w:listItem w:displayText="Mr Stephen Jones MP, Australian Labor Party" w:value="Mr Stephen Jones MP, Australian Labor Party"/>
                  <w:listItem w:displayText="Senator Katy Gallagher, Australian Labor Party" w:value="Senator Katy Gallagher, Australian Labor Party"/>
                  <w:listItem w:displayText="The Hon Tanya Plibersek MP, Australian Labor Party" w:value="The Hon Tanya Plibersek MP, Australian Labor Party"/>
                  <w:listItem w:displayText="The Hon Linda Burney MP, Australian Labor Party" w:value="The Hon Linda Burney MP, Australian Labor Party"/>
                  <w:listItem w:displayText="Senator Jacqui Lambie, Jacqui Lambie Network" w:value="Senator Jacqui Lambie, Jacqui Lambie Network"/>
                  <w:listItem w:displayText="Mr Bert van Manen MP, Member for Forde" w:value="Mr Bert van Manen MP, Member for Forde"/>
                  <w:listItem w:displayText="Ms Rebekha Sharkie MP, Member for Mayo" w:value="Ms Rebekha Sharkie MP, Member for Mayo"/>
                  <w:listItem w:displayText="Senator Kimberley Kitching, Senator for Victoria" w:value="Senator Kimberley Kitching, Senator for Victoria"/>
                </w:dropDownList>
              </w:sdtPr>
              <w:sdtEndPr/>
              <w:sdtContent>
                <w:r w:rsidR="008937DE">
                  <w:t>Mr Adam Bandt MP, Australian Greens</w:t>
                </w:r>
              </w:sdtContent>
            </w:sdt>
          </w:p>
        </w:tc>
      </w:tr>
      <w:tr w:rsidR="00AA478E" w:rsidRPr="008D77AF" w14:paraId="135F0454" w14:textId="77777777" w:rsidTr="00013620">
        <w:tc>
          <w:tcPr>
            <w:tcW w:w="1957" w:type="pct"/>
          </w:tcPr>
          <w:p w14:paraId="61DADE34" w14:textId="77777777" w:rsidR="00AA478E" w:rsidRPr="008D77AF" w:rsidRDefault="00AA478E" w:rsidP="00696DCC">
            <w:pPr>
              <w:pStyle w:val="BodyText"/>
            </w:pPr>
            <w:r w:rsidRPr="008D77AF">
              <w:t>Date costing completed:</w:t>
            </w:r>
          </w:p>
        </w:tc>
        <w:tc>
          <w:tcPr>
            <w:tcW w:w="3043" w:type="pct"/>
            <w:gridSpan w:val="2"/>
          </w:tcPr>
          <w:p w14:paraId="248B699A" w14:textId="01AD4D58" w:rsidR="00AA478E" w:rsidRPr="008D77AF" w:rsidRDefault="007639C5" w:rsidP="00696DCC">
            <w:pPr>
              <w:pStyle w:val="BodyText"/>
            </w:pPr>
            <w:r>
              <w:t>2</w:t>
            </w:r>
            <w:r w:rsidR="00015A8D">
              <w:t>3</w:t>
            </w:r>
            <w:r w:rsidR="008937DE" w:rsidRPr="008937DE">
              <w:t xml:space="preserve"> February 2021</w:t>
            </w:r>
          </w:p>
        </w:tc>
      </w:tr>
      <w:tr w:rsidR="00AA478E" w:rsidRPr="008D77AF" w14:paraId="68D82A64" w14:textId="77777777" w:rsidTr="00013620">
        <w:tc>
          <w:tcPr>
            <w:tcW w:w="1957" w:type="pct"/>
          </w:tcPr>
          <w:p w14:paraId="3F35B3A7" w14:textId="77777777" w:rsidR="00AA478E" w:rsidRPr="008D77AF" w:rsidRDefault="00AA478E" w:rsidP="00696DCC">
            <w:pPr>
              <w:pStyle w:val="BodyText"/>
            </w:pPr>
            <w:r w:rsidRPr="008D77AF">
              <w:t>Expiry date of the costing:</w:t>
            </w:r>
          </w:p>
        </w:tc>
        <w:tc>
          <w:tcPr>
            <w:tcW w:w="3043" w:type="pct"/>
            <w:gridSpan w:val="2"/>
          </w:tcPr>
          <w:p w14:paraId="0A39DCCC" w14:textId="77777777" w:rsidR="00AA478E" w:rsidRPr="008D77AF" w:rsidRDefault="00AA478E" w:rsidP="00696DCC">
            <w:pPr>
              <w:pStyle w:val="BodyText"/>
            </w:pPr>
            <w:r w:rsidRPr="008D77AF">
              <w:t>Release of the next economic and fiscal outlook report.</w:t>
            </w:r>
          </w:p>
        </w:tc>
      </w:tr>
      <w:tr w:rsidR="00AA478E" w14:paraId="73275010" w14:textId="77777777" w:rsidTr="00013620">
        <w:tc>
          <w:tcPr>
            <w:tcW w:w="1957" w:type="pct"/>
            <w:vMerge w:val="restart"/>
          </w:tcPr>
          <w:p w14:paraId="47DF2594" w14:textId="77777777" w:rsidR="00AA478E" w:rsidRDefault="00AA478E" w:rsidP="00696DCC">
            <w:pPr>
              <w:pStyle w:val="BodyText"/>
            </w:pPr>
            <w:r>
              <w:t>Status at time of request</w:t>
            </w:r>
            <w:r w:rsidRPr="008D77AF">
              <w:t>:</w:t>
            </w:r>
          </w:p>
        </w:tc>
        <w:tc>
          <w:tcPr>
            <w:tcW w:w="3043" w:type="pct"/>
            <w:gridSpan w:val="2"/>
            <w:tcBorders>
              <w:bottom w:val="nil"/>
              <w:right w:val="single" w:sz="8" w:space="0" w:color="788183" w:themeColor="accent6"/>
            </w:tcBorders>
          </w:tcPr>
          <w:p w14:paraId="56B18424" w14:textId="77777777" w:rsidR="00AA478E" w:rsidRDefault="00AA478E" w:rsidP="00696DCC">
            <w:pPr>
              <w:pStyle w:val="BodyText"/>
            </w:pPr>
            <w:r>
              <w:t>Submitted outside the caretaker period</w:t>
            </w:r>
          </w:p>
        </w:tc>
      </w:tr>
      <w:tr w:rsidR="00AA478E" w:rsidRPr="008D77AF" w14:paraId="445F19FC" w14:textId="77777777" w:rsidTr="00013620">
        <w:tc>
          <w:tcPr>
            <w:tcW w:w="1957" w:type="pct"/>
            <w:vMerge/>
          </w:tcPr>
          <w:p w14:paraId="463760BC" w14:textId="77777777" w:rsidR="00AA478E" w:rsidRPr="008D77AF" w:rsidRDefault="00AA478E" w:rsidP="00013620">
            <w:pPr>
              <w:pStyle w:val="PullOutBoxBodyText"/>
              <w:ind w:left="0" w:right="0"/>
            </w:pPr>
          </w:p>
        </w:tc>
        <w:tc>
          <w:tcPr>
            <w:tcW w:w="1529" w:type="pct"/>
            <w:tcBorders>
              <w:top w:val="nil"/>
              <w:right w:val="nil"/>
            </w:tcBorders>
          </w:tcPr>
          <w:p w14:paraId="5586EDED" w14:textId="77777777" w:rsidR="00AA478E" w:rsidRPr="008D77AF" w:rsidRDefault="00EE102B" w:rsidP="00696DCC">
            <w:pPr>
              <w:pStyle w:val="BodyTex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7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8D77AF">
              <w:t xml:space="preserve"> </w:t>
            </w:r>
            <w:r w:rsidR="00AA478E">
              <w:t>Confidential</w:t>
            </w:r>
          </w:p>
        </w:tc>
        <w:tc>
          <w:tcPr>
            <w:tcW w:w="1514" w:type="pct"/>
            <w:tcBorders>
              <w:top w:val="nil"/>
              <w:left w:val="nil"/>
              <w:right w:val="single" w:sz="8" w:space="0" w:color="788183" w:themeColor="accent6"/>
            </w:tcBorders>
          </w:tcPr>
          <w:p w14:paraId="346290F0" w14:textId="77777777" w:rsidR="00AA478E" w:rsidRPr="008D77AF" w:rsidRDefault="00EE102B" w:rsidP="00696DCC">
            <w:pPr>
              <w:pStyle w:val="BodyTex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8E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8D77AF">
              <w:t xml:space="preserve"> No</w:t>
            </w:r>
            <w:r w:rsidR="00AA478E">
              <w:t>t confidential</w:t>
            </w:r>
          </w:p>
        </w:tc>
      </w:tr>
      <w:tr w:rsidR="00AA478E" w:rsidRPr="008D77AF" w14:paraId="29E41B48" w14:textId="77777777" w:rsidTr="00013620">
        <w:tc>
          <w:tcPr>
            <w:tcW w:w="5000" w:type="pct"/>
            <w:gridSpan w:val="3"/>
          </w:tcPr>
          <w:p w14:paraId="0F74A760" w14:textId="77777777" w:rsidR="00AA478E" w:rsidRPr="00E75D5E" w:rsidRDefault="00AA478E" w:rsidP="00696DCC">
            <w:pPr>
              <w:pStyle w:val="BodyText"/>
            </w:pPr>
            <w:r w:rsidRPr="00E75D5E">
              <w:t>Summary of proposal:</w:t>
            </w:r>
          </w:p>
          <w:p w14:paraId="0945C4A7" w14:textId="50050608" w:rsidR="008937DE" w:rsidRDefault="00E81429" w:rsidP="008937DE">
            <w:pPr>
              <w:pStyle w:val="BodyText"/>
            </w:pPr>
            <w:r>
              <w:t xml:space="preserve">This request sought the amount of revenue that </w:t>
            </w:r>
            <w:r w:rsidR="00155958">
              <w:t>may</w:t>
            </w:r>
            <w:r>
              <w:t xml:space="preserve"> have been raised from </w:t>
            </w:r>
            <w:r w:rsidR="006F39E8">
              <w:t>2012</w:t>
            </w:r>
            <w:r w:rsidR="006F39E8">
              <w:noBreakHyphen/>
              <w:t>13</w:t>
            </w:r>
            <w:r>
              <w:t xml:space="preserve"> </w:t>
            </w:r>
            <w:r w:rsidR="006F39E8">
              <w:t>to 2019</w:t>
            </w:r>
            <w:r w:rsidR="006F39E8">
              <w:noBreakHyphen/>
            </w:r>
            <w:r>
              <w:t>20 if the original Resource Super Profits Tax</w:t>
            </w:r>
            <w:r w:rsidR="006F39E8">
              <w:t xml:space="preserve"> (RSPT)</w:t>
            </w:r>
            <w:r>
              <w:t xml:space="preserve"> </w:t>
            </w:r>
            <w:r w:rsidR="00DD7686">
              <w:t>w</w:t>
            </w:r>
            <w:r>
              <w:t xml:space="preserve">as introduced by the Rudd Government </w:t>
            </w:r>
            <w:r w:rsidR="006F39E8">
              <w:t>from 1</w:t>
            </w:r>
            <w:r w:rsidR="00155958">
              <w:t> </w:t>
            </w:r>
            <w:r w:rsidR="006F39E8">
              <w:t>July</w:t>
            </w:r>
            <w:r w:rsidR="00155958">
              <w:t> </w:t>
            </w:r>
            <w:r w:rsidR="006F39E8">
              <w:t>2012</w:t>
            </w:r>
            <w:r>
              <w:t>.</w:t>
            </w:r>
          </w:p>
          <w:p w14:paraId="159901BB" w14:textId="1D64E5D8" w:rsidR="00AA478E" w:rsidRPr="008D77AF" w:rsidRDefault="005F1295" w:rsidP="00155958">
            <w:pPr>
              <w:pStyle w:val="BodyText"/>
            </w:pPr>
            <w:r>
              <w:t>The request specified that t</w:t>
            </w:r>
            <w:r w:rsidR="00712184">
              <w:t>he d</w:t>
            </w:r>
            <w:r w:rsidR="00E81429">
              <w:t xml:space="preserve">esign features of </w:t>
            </w:r>
            <w:r w:rsidR="00712184">
              <w:t xml:space="preserve">the </w:t>
            </w:r>
            <w:r w:rsidR="00E81429">
              <w:t xml:space="preserve">RSPT </w:t>
            </w:r>
            <w:r>
              <w:t xml:space="preserve">should </w:t>
            </w:r>
            <w:r w:rsidR="00A834CF">
              <w:t>reflect</w:t>
            </w:r>
            <w:r w:rsidR="00E81429">
              <w:t xml:space="preserve"> </w:t>
            </w:r>
            <w:r w:rsidR="006F39E8">
              <w:t xml:space="preserve">the Rudd Government’s </w:t>
            </w:r>
            <w:r w:rsidR="00E81429">
              <w:t>announce</w:t>
            </w:r>
            <w:r w:rsidR="006F39E8">
              <w:t>ment</w:t>
            </w:r>
            <w:r w:rsidR="00E81429">
              <w:t xml:space="preserve"> paper </w:t>
            </w:r>
            <w:r w:rsidR="00E81429" w:rsidRPr="006F39E8">
              <w:rPr>
                <w:i/>
              </w:rPr>
              <w:t>The Resource Super Profits Tax: a fair return to the nation</w:t>
            </w:r>
            <w:r w:rsidR="00E81429">
              <w:t xml:space="preserve"> </w:t>
            </w:r>
            <w:r w:rsidR="006F39E8">
              <w:t>released in May</w:t>
            </w:r>
            <w:r w:rsidR="00155958">
              <w:t> </w:t>
            </w:r>
            <w:r w:rsidR="006F39E8">
              <w:t>2010</w:t>
            </w:r>
            <w:r w:rsidR="00740776">
              <w:t xml:space="preserve"> and the Parliamentary Library Brief</w:t>
            </w:r>
            <w:r>
              <w:t>’s description of the tax</w:t>
            </w:r>
            <w:r w:rsidR="00740776">
              <w:rPr>
                <w:rStyle w:val="FootnoteReference"/>
              </w:rPr>
              <w:footnoteReference w:id="1"/>
            </w:r>
            <w:r w:rsidR="006F39E8">
              <w:t>.</w:t>
            </w:r>
            <w:r w:rsidR="00436D5D">
              <w:t xml:space="preserve">  </w:t>
            </w:r>
            <w:r w:rsidR="000A5AF1">
              <w:t>The k</w:t>
            </w:r>
            <w:r w:rsidR="00436D5D">
              <w:t xml:space="preserve">ey steps in calculating the RSPT are </w:t>
            </w:r>
            <w:r w:rsidR="00424F92">
              <w:t xml:space="preserve">provided </w:t>
            </w:r>
            <w:r>
              <w:t>at</w:t>
            </w:r>
            <w:r w:rsidR="00436D5D">
              <w:t xml:space="preserve"> </w:t>
            </w:r>
            <w:r w:rsidR="00436D5D" w:rsidRPr="000A5AF1">
              <w:rPr>
                <w:u w:val="single"/>
              </w:rPr>
              <w:t>Attachment B</w:t>
            </w:r>
            <w:r w:rsidR="00436D5D">
              <w:t>.</w:t>
            </w:r>
          </w:p>
        </w:tc>
      </w:tr>
    </w:tbl>
    <w:p w14:paraId="2EF76369" w14:textId="77777777" w:rsidR="00AA478E" w:rsidRPr="00D014E1" w:rsidRDefault="000E6DC6" w:rsidP="00AA478E">
      <w:pPr>
        <w:pStyle w:val="Heading1"/>
      </w:pPr>
      <w:r>
        <w:t>O</w:t>
      </w:r>
      <w:r w:rsidR="00AA478E" w:rsidRPr="00D014E1">
        <w:t>verview</w:t>
      </w:r>
    </w:p>
    <w:p w14:paraId="63AD8D35" w14:textId="77777777" w:rsidR="008937DE" w:rsidRDefault="008937DE" w:rsidP="008937DE">
      <w:pPr>
        <w:pStyle w:val="Heading2"/>
      </w:pPr>
      <w:r>
        <w:t>Policy background</w:t>
      </w:r>
    </w:p>
    <w:p w14:paraId="219560AD" w14:textId="77777777" w:rsidR="0029574B" w:rsidRDefault="008F36B6" w:rsidP="001A6236">
      <w:pPr>
        <w:pStyle w:val="BodyText"/>
      </w:pPr>
      <w:r>
        <w:t xml:space="preserve">In May 2010, </w:t>
      </w:r>
      <w:r w:rsidR="006F39E8">
        <w:t>the Rudd Government announced its intention t</w:t>
      </w:r>
      <w:r>
        <w:t xml:space="preserve">o introduce the RSPT in its </w:t>
      </w:r>
      <w:r w:rsidRPr="006F39E8">
        <w:t xml:space="preserve">response to the </w:t>
      </w:r>
      <w:r w:rsidRPr="00424F92">
        <w:rPr>
          <w:i/>
        </w:rPr>
        <w:t>Australia’s Future Tax System</w:t>
      </w:r>
      <w:r w:rsidRPr="006F39E8">
        <w:t xml:space="preserve"> (Henry T</w:t>
      </w:r>
      <w:r>
        <w:t>ax Review) report</w:t>
      </w:r>
      <w:r w:rsidR="0003656E">
        <w:t xml:space="preserve"> and commenced the initial consultation on the RSPT</w:t>
      </w:r>
      <w:r>
        <w:t xml:space="preserve">.  </w:t>
      </w:r>
    </w:p>
    <w:p w14:paraId="140F10D5" w14:textId="2DE0C3BF" w:rsidR="001A6236" w:rsidRDefault="0029574B" w:rsidP="001A6236">
      <w:pPr>
        <w:pStyle w:val="BodyText"/>
      </w:pPr>
      <w:r>
        <w:t xml:space="preserve">The Rudd Government’s </w:t>
      </w:r>
      <w:r w:rsidR="001A6236">
        <w:t>2010</w:t>
      </w:r>
      <w:r w:rsidR="001A6236">
        <w:noBreakHyphen/>
        <w:t xml:space="preserve">11 Budget </w:t>
      </w:r>
      <w:r>
        <w:t>included a measure</w:t>
      </w:r>
      <w:r w:rsidR="001A6236">
        <w:t xml:space="preserve"> to introduce the RSPT from 1</w:t>
      </w:r>
      <w:r>
        <w:t> </w:t>
      </w:r>
      <w:r w:rsidR="001A6236">
        <w:t>July</w:t>
      </w:r>
      <w:r>
        <w:t> </w:t>
      </w:r>
      <w:r w:rsidR="001A6236">
        <w:t>2012</w:t>
      </w:r>
      <w:r w:rsidR="001A6236" w:rsidRPr="008F36B6">
        <w:t>.</w:t>
      </w:r>
      <w:r w:rsidR="001A6236">
        <w:t xml:space="preserve"> </w:t>
      </w:r>
    </w:p>
    <w:p w14:paraId="21058868" w14:textId="7DB3625F" w:rsidR="008F36B6" w:rsidRDefault="001A6236" w:rsidP="006F39E8">
      <w:pPr>
        <w:pStyle w:val="BodyText"/>
      </w:pPr>
      <w:r>
        <w:t>As specified in the announcement paper, t</w:t>
      </w:r>
      <w:r w:rsidR="00FB275C">
        <w:t>he RSPT</w:t>
      </w:r>
      <w:r w:rsidR="00712184">
        <w:t xml:space="preserve"> would be</w:t>
      </w:r>
      <w:r w:rsidR="00FB275C">
        <w:t xml:space="preserve"> charged at</w:t>
      </w:r>
      <w:r w:rsidR="00D245C4" w:rsidRPr="00D245C4">
        <w:t xml:space="preserve"> a </w:t>
      </w:r>
      <w:r w:rsidR="00FB275C">
        <w:t xml:space="preserve">rate of 40 per cent </w:t>
      </w:r>
      <w:r w:rsidR="00D245C4" w:rsidRPr="00D245C4">
        <w:t>on the ‘super’ profits made from ‘the exploitation of Australia’s non-renewable resources’</w:t>
      </w:r>
      <w:r w:rsidR="00FB275C">
        <w:t xml:space="preserve">.  The ‘super’ profits are assessable </w:t>
      </w:r>
      <w:r w:rsidR="00564A26">
        <w:t xml:space="preserve">resource </w:t>
      </w:r>
      <w:r w:rsidR="00FB275C">
        <w:t xml:space="preserve">revenue less deductible expenses </w:t>
      </w:r>
      <w:r w:rsidR="00564A26">
        <w:t>(</w:t>
      </w:r>
      <w:r w:rsidR="00FB275C">
        <w:t xml:space="preserve">including an allowance for capital expenditure).  </w:t>
      </w:r>
      <w:r w:rsidR="003B7CF1">
        <w:t xml:space="preserve">The paper also </w:t>
      </w:r>
      <w:r w:rsidR="0029574B">
        <w:t xml:space="preserve">outlined how </w:t>
      </w:r>
      <w:r>
        <w:t xml:space="preserve">the Commonwealth Government </w:t>
      </w:r>
      <w:r w:rsidR="0029574B">
        <w:t>would</w:t>
      </w:r>
      <w:r>
        <w:t xml:space="preserve"> provide </w:t>
      </w:r>
      <w:r w:rsidR="00D245C4" w:rsidRPr="00D245C4">
        <w:t xml:space="preserve">a refundable credit </w:t>
      </w:r>
      <w:r>
        <w:t xml:space="preserve">to </w:t>
      </w:r>
      <w:r w:rsidR="005D768D">
        <w:t xml:space="preserve">mining companies </w:t>
      </w:r>
      <w:r>
        <w:t xml:space="preserve">for the royalties they pay to </w:t>
      </w:r>
      <w:r w:rsidR="0003656E">
        <w:t>s</w:t>
      </w:r>
      <w:r>
        <w:t xml:space="preserve">tate and </w:t>
      </w:r>
      <w:r w:rsidR="0003656E">
        <w:t>t</w:t>
      </w:r>
      <w:r>
        <w:t xml:space="preserve">erritory </w:t>
      </w:r>
      <w:r w:rsidR="00EE06B8">
        <w:t>g</w:t>
      </w:r>
      <w:r>
        <w:t xml:space="preserve">overnments after </w:t>
      </w:r>
      <w:r w:rsidR="00EE06B8">
        <w:t xml:space="preserve">the </w:t>
      </w:r>
      <w:r>
        <w:t>commencement of the RSPT</w:t>
      </w:r>
      <w:r w:rsidR="00D245C4" w:rsidRPr="00D245C4">
        <w:t>.</w:t>
      </w:r>
    </w:p>
    <w:p w14:paraId="6C4ECD21" w14:textId="2EA9C0AF" w:rsidR="006F39E8" w:rsidRDefault="008F36B6" w:rsidP="006F39E8">
      <w:pPr>
        <w:pStyle w:val="BodyText"/>
      </w:pPr>
      <w:r>
        <w:lastRenderedPageBreak/>
        <w:t>In July 2010, t</w:t>
      </w:r>
      <w:r w:rsidRPr="008F36B6">
        <w:t xml:space="preserve">he </w:t>
      </w:r>
      <w:r>
        <w:t>Gillard G</w:t>
      </w:r>
      <w:r w:rsidRPr="008F36B6">
        <w:t>overnment announced the Minerals Resource Rent Tax (MRRT)</w:t>
      </w:r>
      <w:r>
        <w:t xml:space="preserve"> as </w:t>
      </w:r>
      <w:r w:rsidRPr="008F36B6">
        <w:t>a replacement for the RSPT.</w:t>
      </w:r>
      <w:r w:rsidR="001C40DF" w:rsidDel="001C40DF">
        <w:t xml:space="preserve"> </w:t>
      </w:r>
    </w:p>
    <w:p w14:paraId="2620528B" w14:textId="584F9961" w:rsidR="008937DE" w:rsidRDefault="008937DE" w:rsidP="007A45B0">
      <w:pPr>
        <w:pStyle w:val="Heading2"/>
      </w:pPr>
      <w:r>
        <w:t>Financial implications</w:t>
      </w:r>
    </w:p>
    <w:p w14:paraId="410B532C" w14:textId="7D4C9B51" w:rsidR="008937DE" w:rsidRDefault="0029574B" w:rsidP="00050122">
      <w:pPr>
        <w:pStyle w:val="BodyText"/>
      </w:pPr>
      <w:r>
        <w:t>Had the original RSPT been implemented from 1 July 2012 it is estimated that it would</w:t>
      </w:r>
      <w:r w:rsidR="00633285">
        <w:t xml:space="preserve"> have</w:t>
      </w:r>
      <w:r>
        <w:t xml:space="preserve"> </w:t>
      </w:r>
      <w:r w:rsidR="008937DE" w:rsidRPr="00050122">
        <w:t>increase</w:t>
      </w:r>
      <w:r>
        <w:t>d</w:t>
      </w:r>
      <w:r w:rsidR="008937DE" w:rsidRPr="00050122">
        <w:t xml:space="preserve"> the fiscal balance by $</w:t>
      </w:r>
      <w:r w:rsidR="00866A11" w:rsidRPr="00050122">
        <w:t>33</w:t>
      </w:r>
      <w:r w:rsidR="000A5AF1" w:rsidRPr="00050122">
        <w:t>.0</w:t>
      </w:r>
      <w:r w:rsidR="00930E5E" w:rsidRPr="00050122">
        <w:t> b</w:t>
      </w:r>
      <w:r w:rsidR="008937DE" w:rsidRPr="00050122">
        <w:t xml:space="preserve">illion and </w:t>
      </w:r>
      <w:r w:rsidR="00633285">
        <w:t xml:space="preserve">increased </w:t>
      </w:r>
      <w:r w:rsidR="008937DE" w:rsidRPr="00050122">
        <w:t>the underlying cash balance by $</w:t>
      </w:r>
      <w:r w:rsidR="00866A11" w:rsidRPr="00050122">
        <w:t>34.6</w:t>
      </w:r>
      <w:r w:rsidR="00930E5E" w:rsidRPr="00050122">
        <w:t> b</w:t>
      </w:r>
      <w:r w:rsidR="008937DE" w:rsidRPr="00050122">
        <w:t>illion over the period</w:t>
      </w:r>
      <w:r w:rsidR="001A6236" w:rsidRPr="00050122">
        <w:t xml:space="preserve"> from 1 July 2012 to 30 June 2020</w:t>
      </w:r>
      <w:r w:rsidR="008937DE" w:rsidRPr="00050122">
        <w:t xml:space="preserve">.  On a fiscal balance </w:t>
      </w:r>
      <w:r w:rsidR="00213465" w:rsidRPr="00050122">
        <w:t xml:space="preserve">basis this impact reflects </w:t>
      </w:r>
      <w:r w:rsidR="008937DE" w:rsidRPr="00050122">
        <w:t>increase</w:t>
      </w:r>
      <w:r w:rsidR="004B38CB">
        <w:t>d</w:t>
      </w:r>
      <w:r w:rsidR="008937DE" w:rsidRPr="00050122">
        <w:t xml:space="preserve"> revenue of $</w:t>
      </w:r>
      <w:r w:rsidR="00866A11" w:rsidRPr="00050122">
        <w:t>75.3</w:t>
      </w:r>
      <w:r w:rsidR="00930E5E" w:rsidRPr="00050122">
        <w:t> b</w:t>
      </w:r>
      <w:r w:rsidR="008937DE" w:rsidRPr="00050122">
        <w:t>illion, partially offset by</w:t>
      </w:r>
      <w:r w:rsidR="00B07F5A" w:rsidRPr="00050122">
        <w:t xml:space="preserve"> </w:t>
      </w:r>
      <w:r w:rsidR="009A7565" w:rsidRPr="00050122">
        <w:t>increase</w:t>
      </w:r>
      <w:r w:rsidR="004B38CB">
        <w:t>d</w:t>
      </w:r>
      <w:r w:rsidR="009A7565" w:rsidRPr="00050122">
        <w:t xml:space="preserve"> administered expenses of $</w:t>
      </w:r>
      <w:r w:rsidR="001F6BDA" w:rsidRPr="00050122">
        <w:t>42.1</w:t>
      </w:r>
      <w:r w:rsidR="00930E5E" w:rsidRPr="00050122">
        <w:t> b</w:t>
      </w:r>
      <w:r w:rsidR="009A7565" w:rsidRPr="00050122">
        <w:t>illion</w:t>
      </w:r>
      <w:r w:rsidR="004B38CB">
        <w:t>,</w:t>
      </w:r>
      <w:r w:rsidR="009A7565" w:rsidRPr="00050122">
        <w:t xml:space="preserve"> for the refundable credits provided to mining companies for </w:t>
      </w:r>
      <w:r w:rsidR="00050122" w:rsidRPr="00050122">
        <w:t xml:space="preserve">state </w:t>
      </w:r>
      <w:r w:rsidR="009A7565" w:rsidRPr="00050122">
        <w:t>royalties</w:t>
      </w:r>
      <w:r w:rsidR="004B38CB">
        <w:t>,</w:t>
      </w:r>
      <w:r w:rsidR="009A7565" w:rsidRPr="00050122">
        <w:t xml:space="preserve"> and </w:t>
      </w:r>
      <w:r w:rsidR="008937DE" w:rsidRPr="00050122">
        <w:t>increase</w:t>
      </w:r>
      <w:r w:rsidR="004B38CB">
        <w:t>d</w:t>
      </w:r>
      <w:r w:rsidR="008937DE" w:rsidRPr="00050122">
        <w:t xml:space="preserve"> </w:t>
      </w:r>
      <w:r w:rsidR="004B38CB" w:rsidRPr="00050122">
        <w:t xml:space="preserve">Australian Taxation Office (ATO) </w:t>
      </w:r>
      <w:r w:rsidR="008937DE" w:rsidRPr="00050122">
        <w:t>departmental expenses of $</w:t>
      </w:r>
      <w:r w:rsidR="00930E5E" w:rsidRPr="00050122">
        <w:t>0.2 b</w:t>
      </w:r>
      <w:r w:rsidR="008937DE" w:rsidRPr="00050122">
        <w:t>illion</w:t>
      </w:r>
      <w:r w:rsidR="00633285">
        <w:t xml:space="preserve"> over this period</w:t>
      </w:r>
      <w:r w:rsidR="008937DE" w:rsidRPr="00050122">
        <w:t>.</w:t>
      </w:r>
    </w:p>
    <w:p w14:paraId="6A828D0F" w14:textId="346E4C50" w:rsidR="008015EC" w:rsidRPr="008015EC" w:rsidRDefault="008015EC" w:rsidP="00050122">
      <w:pPr>
        <w:pStyle w:val="BodyText"/>
      </w:pPr>
      <w:r>
        <w:t xml:space="preserve">As specified in the announcement paper, RSPT payments </w:t>
      </w:r>
      <w:r w:rsidR="004B38CB">
        <w:t>would have been</w:t>
      </w:r>
      <w:r>
        <w:t xml:space="preserve"> deductible </w:t>
      </w:r>
      <w:r w:rsidR="00050122">
        <w:t>for income tax purpose</w:t>
      </w:r>
      <w:r w:rsidR="004B38CB">
        <w:t>s</w:t>
      </w:r>
      <w:r w:rsidR="00050122">
        <w:t>.  R</w:t>
      </w:r>
      <w:r>
        <w:t>e</w:t>
      </w:r>
      <w:r w:rsidR="00050122">
        <w:t xml:space="preserve">fundable credits provided to mining companies for the </w:t>
      </w:r>
      <w:r>
        <w:t>royalties</w:t>
      </w:r>
      <w:r w:rsidR="00050122">
        <w:t xml:space="preserve"> they </w:t>
      </w:r>
      <w:r w:rsidR="004B38CB">
        <w:t xml:space="preserve">would have paid </w:t>
      </w:r>
      <w:r w:rsidR="00050122">
        <w:t>to state and territory governments</w:t>
      </w:r>
      <w:r>
        <w:t xml:space="preserve"> </w:t>
      </w:r>
      <w:r w:rsidR="004B38CB">
        <w:t xml:space="preserve">would have added to </w:t>
      </w:r>
      <w:r w:rsidR="0003656E">
        <w:t>assessable</w:t>
      </w:r>
      <w:r w:rsidR="00050122">
        <w:t xml:space="preserve"> </w:t>
      </w:r>
      <w:r w:rsidR="004B38CB">
        <w:t xml:space="preserve">income </w:t>
      </w:r>
      <w:r w:rsidR="00050122">
        <w:t>for the mining companies</w:t>
      </w:r>
      <w:r>
        <w:t>.</w:t>
      </w:r>
    </w:p>
    <w:p w14:paraId="2D6A5CA1" w14:textId="14BC3F67" w:rsidR="00B07F5A" w:rsidRDefault="003C4332" w:rsidP="008937DE">
      <w:pPr>
        <w:pStyle w:val="BodyText"/>
      </w:pPr>
      <w:r>
        <w:rPr>
          <w:u w:val="single"/>
        </w:rPr>
        <w:t>Diagram</w:t>
      </w:r>
      <w:r w:rsidR="00B07F5A" w:rsidRPr="00B07F5A">
        <w:rPr>
          <w:u w:val="single"/>
        </w:rPr>
        <w:t xml:space="preserve"> 1</w:t>
      </w:r>
      <w:r w:rsidR="00B07F5A">
        <w:t xml:space="preserve"> shows</w:t>
      </w:r>
      <w:r w:rsidR="00B07F5A" w:rsidRPr="00B07F5A">
        <w:t xml:space="preserve"> the high level interactions between the components of the </w:t>
      </w:r>
      <w:r w:rsidR="00B07F5A">
        <w:t xml:space="preserve">request </w:t>
      </w:r>
      <w:r w:rsidR="00B07F5A" w:rsidRPr="00B07F5A">
        <w:t>and their effect on the budget balances.</w:t>
      </w:r>
    </w:p>
    <w:p w14:paraId="647060B5" w14:textId="20BBD285" w:rsidR="008015EC" w:rsidRPr="00BD216D" w:rsidRDefault="003C4332" w:rsidP="008015EC">
      <w:pPr>
        <w:pStyle w:val="Caption"/>
        <w:rPr>
          <w:lang w:val="fr-FR"/>
        </w:rPr>
      </w:pPr>
      <w:r>
        <w:rPr>
          <w:lang w:val="fr-FR" w:eastAsia="zh-CN"/>
        </w:rPr>
        <w:t>Diagram</w:t>
      </w:r>
      <w:r w:rsidR="008015EC">
        <w:rPr>
          <w:lang w:val="fr-FR" w:eastAsia="zh-CN"/>
        </w:rPr>
        <w:t xml:space="preserve"> 1</w:t>
      </w:r>
      <w:r w:rsidR="008015EC" w:rsidRPr="004B25DB">
        <w:rPr>
          <w:lang w:val="fr-FR"/>
        </w:rPr>
        <w:t xml:space="preserve">: </w:t>
      </w:r>
      <w:r w:rsidR="008015EC" w:rsidRPr="004B25DB">
        <w:t xml:space="preserve">Summary of policy impact on </w:t>
      </w:r>
      <w:r w:rsidR="00A0652F">
        <w:t>budget</w:t>
      </w:r>
    </w:p>
    <w:p w14:paraId="463ADFE3" w14:textId="1E5081AE" w:rsidR="008015EC" w:rsidRDefault="00B071C9" w:rsidP="008937DE">
      <w:pPr>
        <w:pStyle w:val="BodyText"/>
      </w:pPr>
      <w:r>
        <w:rPr>
          <w:noProof/>
          <w:lang w:eastAsia="en-AU"/>
        </w:rPr>
        <w:drawing>
          <wp:inline distT="0" distB="0" distL="0" distR="0" wp14:anchorId="16D24783" wp14:editId="118BB140">
            <wp:extent cx="5759450" cy="31896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E307" w14:textId="44CDA2BD" w:rsidR="00930E5E" w:rsidRDefault="003B2CD0" w:rsidP="00930E5E">
      <w:pPr>
        <w:pStyle w:val="BodyText"/>
        <w:spacing w:before="260"/>
      </w:pPr>
      <w:r>
        <w:t xml:space="preserve">A breakdown of the estimated </w:t>
      </w:r>
      <w:r w:rsidR="00B07F5A" w:rsidRPr="00B07F5A">
        <w:t>financial implication</w:t>
      </w:r>
      <w:r>
        <w:t>s</w:t>
      </w:r>
      <w:r w:rsidR="00B07F5A" w:rsidRPr="00B07F5A">
        <w:t xml:space="preserve"> </w:t>
      </w:r>
      <w:r>
        <w:t>is</w:t>
      </w:r>
      <w:r w:rsidR="00B07F5A" w:rsidRPr="00B07F5A">
        <w:t xml:space="preserve"> provided </w:t>
      </w:r>
      <w:r>
        <w:t>at</w:t>
      </w:r>
      <w:r w:rsidR="00B07F5A" w:rsidRPr="00B07F5A">
        <w:t xml:space="preserve"> </w:t>
      </w:r>
      <w:r w:rsidR="00B07F5A" w:rsidRPr="00B07F5A">
        <w:rPr>
          <w:u w:val="single"/>
        </w:rPr>
        <w:t>Attachment A</w:t>
      </w:r>
      <w:r w:rsidR="00B07F5A" w:rsidRPr="00B07F5A">
        <w:t xml:space="preserve">. </w:t>
      </w:r>
      <w:r w:rsidR="00930E5E">
        <w:t xml:space="preserve"> </w:t>
      </w:r>
      <w:r>
        <w:t>Note that t</w:t>
      </w:r>
      <w:r w:rsidR="007A45B0">
        <w:t xml:space="preserve">he net </w:t>
      </w:r>
      <w:r w:rsidR="00A83743">
        <w:t xml:space="preserve">estimated </w:t>
      </w:r>
      <w:r>
        <w:t>impact</w:t>
      </w:r>
      <w:r w:rsidR="007A45B0">
        <w:t xml:space="preserve"> </w:t>
      </w:r>
      <w:r w:rsidR="00A83743">
        <w:t>for 2013-14 is rel</w:t>
      </w:r>
      <w:r w:rsidR="007A45B0">
        <w:t xml:space="preserve">atively </w:t>
      </w:r>
      <w:r w:rsidR="00A83743">
        <w:t>high reflecting</w:t>
      </w:r>
      <w:r>
        <w:t xml:space="preserve"> a </w:t>
      </w:r>
      <w:r w:rsidR="007A45B0">
        <w:t xml:space="preserve">peak </w:t>
      </w:r>
      <w:r>
        <w:t xml:space="preserve">in the </w:t>
      </w:r>
      <w:r w:rsidR="007A45B0">
        <w:t xml:space="preserve">iron ore price </w:t>
      </w:r>
      <w:r>
        <w:t>in</w:t>
      </w:r>
      <w:r w:rsidR="007A45B0">
        <w:t xml:space="preserve"> that year.  </w:t>
      </w:r>
      <w:r w:rsidR="007A45B0" w:rsidRPr="007A45B0">
        <w:t>There is a significa</w:t>
      </w:r>
      <w:r w:rsidR="00C86FC4">
        <w:t xml:space="preserve">nt increase in RSPT revenue </w:t>
      </w:r>
      <w:r w:rsidR="00A83743">
        <w:t>in</w:t>
      </w:r>
      <w:r w:rsidR="00C86FC4">
        <w:t xml:space="preserve"> 2017</w:t>
      </w:r>
      <w:r w:rsidR="00A83743">
        <w:noBreakHyphen/>
      </w:r>
      <w:r w:rsidR="00C86FC4">
        <w:t xml:space="preserve">18 because the </w:t>
      </w:r>
      <w:r w:rsidR="00CA724B">
        <w:t>five</w:t>
      </w:r>
      <w:r w:rsidR="00C86FC4">
        <w:t xml:space="preserve">-year accelerated depreciation of </w:t>
      </w:r>
      <w:r w:rsidR="007A45B0" w:rsidRPr="007A45B0">
        <w:t xml:space="preserve">the starting base </w:t>
      </w:r>
      <w:r w:rsidR="00A83743">
        <w:t xml:space="preserve">would have </w:t>
      </w:r>
      <w:r w:rsidR="0064675F">
        <w:t xml:space="preserve">ended </w:t>
      </w:r>
      <w:r w:rsidR="007A45B0" w:rsidRPr="007A45B0">
        <w:t>by</w:t>
      </w:r>
      <w:r w:rsidR="00C86FC4">
        <w:t xml:space="preserve"> 2016-17</w:t>
      </w:r>
      <w:r w:rsidR="007A45B0" w:rsidRPr="007A45B0">
        <w:t>.</w:t>
      </w:r>
    </w:p>
    <w:p w14:paraId="6C315C08" w14:textId="6C0F79A5" w:rsidR="00A51470" w:rsidRDefault="00050122" w:rsidP="00050122">
      <w:pPr>
        <w:pStyle w:val="BodyText"/>
      </w:pPr>
      <w:r>
        <w:t>ATO</w:t>
      </w:r>
      <w:r w:rsidR="00B56D12">
        <w:t xml:space="preserve"> </w:t>
      </w:r>
      <w:r w:rsidR="00155958">
        <w:t xml:space="preserve">departmental expenses </w:t>
      </w:r>
      <w:r w:rsidR="00B56D12">
        <w:t>reflect</w:t>
      </w:r>
      <w:r w:rsidR="00912E8E" w:rsidRPr="00912E8E">
        <w:t xml:space="preserve"> the upfront cost of updating systems and procedures, </w:t>
      </w:r>
      <w:r w:rsidR="0064675F">
        <w:t>and</w:t>
      </w:r>
      <w:r w:rsidR="00912E8E" w:rsidRPr="00912E8E">
        <w:t xml:space="preserve"> </w:t>
      </w:r>
      <w:r w:rsidR="0064675F">
        <w:t xml:space="preserve">the </w:t>
      </w:r>
      <w:r w:rsidR="00912E8E" w:rsidRPr="00912E8E">
        <w:t>ongoing administrative costs</w:t>
      </w:r>
      <w:r w:rsidR="00B56D12">
        <w:t xml:space="preserve"> </w:t>
      </w:r>
      <w:r w:rsidR="00564A26">
        <w:t xml:space="preserve">of collecting the RSPT.  </w:t>
      </w:r>
    </w:p>
    <w:p w14:paraId="3CA48C9A" w14:textId="77777777" w:rsidR="008937DE" w:rsidRPr="008015EC" w:rsidRDefault="0028571D" w:rsidP="008937DE">
      <w:pPr>
        <w:pStyle w:val="BodyText"/>
      </w:pPr>
      <w:r w:rsidRPr="000325AF">
        <w:t>The differences between the fiscal and underlying cash balance impacts reflect timing d</w:t>
      </w:r>
      <w:r w:rsidR="00B07F5A">
        <w:t>ifferences between when the RSPT</w:t>
      </w:r>
      <w:r w:rsidR="008015EC">
        <w:t xml:space="preserve"> is</w:t>
      </w:r>
      <w:r w:rsidRPr="000325AF">
        <w:t xml:space="preserve"> recognised and when </w:t>
      </w:r>
      <w:r w:rsidR="008015EC">
        <w:t xml:space="preserve">it is paid. </w:t>
      </w:r>
    </w:p>
    <w:p w14:paraId="0FB2C6CA" w14:textId="7CA84534" w:rsidR="008937DE" w:rsidRPr="00564A26" w:rsidRDefault="00213465" w:rsidP="00E04FE4">
      <w:pPr>
        <w:pStyle w:val="BodyText"/>
        <w:rPr>
          <w:spacing w:val="-2"/>
        </w:rPr>
      </w:pPr>
      <w:r>
        <w:t xml:space="preserve">It is worth noting that the RSPT </w:t>
      </w:r>
      <w:r w:rsidR="00905425">
        <w:t>was not</w:t>
      </w:r>
      <w:r w:rsidR="00FB073F">
        <w:t xml:space="preserve"> legislated with </w:t>
      </w:r>
      <w:r w:rsidR="00D33046">
        <w:t>an</w:t>
      </w:r>
      <w:r w:rsidR="00712184">
        <w:t xml:space="preserve"> </w:t>
      </w:r>
      <w:r w:rsidR="00FB073F">
        <w:t xml:space="preserve">agreed operating mechanism </w:t>
      </w:r>
      <w:r w:rsidR="008643E0">
        <w:t>as it</w:t>
      </w:r>
      <w:r w:rsidR="00FB073F">
        <w:t xml:space="preserve"> </w:t>
      </w:r>
      <w:r w:rsidR="00712184">
        <w:t xml:space="preserve">was </w:t>
      </w:r>
      <w:r w:rsidR="00564A26">
        <w:t xml:space="preserve">replaced by the MRRT </w:t>
      </w:r>
      <w:r w:rsidR="00D27D89">
        <w:t>during</w:t>
      </w:r>
      <w:r w:rsidR="00FB073F">
        <w:t xml:space="preserve"> </w:t>
      </w:r>
      <w:r w:rsidR="004E5C38">
        <w:t xml:space="preserve">the </w:t>
      </w:r>
      <w:r w:rsidR="00FB073F">
        <w:t>initial consultation</w:t>
      </w:r>
      <w:r w:rsidR="00D33046">
        <w:t xml:space="preserve"> stage</w:t>
      </w:r>
      <w:r w:rsidR="00FB073F">
        <w:t>.</w:t>
      </w:r>
      <w:r w:rsidR="00740776">
        <w:t xml:space="preserve">  </w:t>
      </w:r>
    </w:p>
    <w:p w14:paraId="5880FADD" w14:textId="77777777" w:rsidR="00FE3B13" w:rsidRPr="00D014E1" w:rsidRDefault="00FE3B13" w:rsidP="00CA06C8">
      <w:pPr>
        <w:pStyle w:val="Heading1"/>
      </w:pPr>
      <w:r w:rsidRPr="00D014E1">
        <w:lastRenderedPageBreak/>
        <w:t>Key assumptions</w:t>
      </w:r>
    </w:p>
    <w:p w14:paraId="6724D510" w14:textId="107D599E" w:rsidR="008937DE" w:rsidRPr="00576993" w:rsidRDefault="008937DE" w:rsidP="008937DE">
      <w:pPr>
        <w:pStyle w:val="BodyText"/>
      </w:pPr>
      <w:r w:rsidRPr="00576993">
        <w:t>The PBO has made the following assu</w:t>
      </w:r>
      <w:r w:rsidR="00740776">
        <w:t xml:space="preserve">mptions in </w:t>
      </w:r>
      <w:r w:rsidR="008643E0">
        <w:t xml:space="preserve">estimating </w:t>
      </w:r>
      <w:r w:rsidR="00155958">
        <w:t>how much revenue the RSPT may have raised had it been implemented from 1 July 2012</w:t>
      </w:r>
      <w:r w:rsidRPr="00576993">
        <w:t>.</w:t>
      </w:r>
    </w:p>
    <w:p w14:paraId="0B0EAC6B" w14:textId="3ECA096C" w:rsidR="00FB073F" w:rsidRDefault="00FB073F" w:rsidP="00FB073F">
      <w:pPr>
        <w:pStyle w:val="ListBullet"/>
      </w:pPr>
      <w:r>
        <w:t>C</w:t>
      </w:r>
      <w:r w:rsidRPr="00FB073F">
        <w:t>onsistent with resource rent tax specification</w:t>
      </w:r>
      <w:r w:rsidR="00446CA4">
        <w:t>s</w:t>
      </w:r>
      <w:r w:rsidRPr="00FB073F">
        <w:t xml:space="preserve"> </w:t>
      </w:r>
      <w:r>
        <w:t xml:space="preserve">in the </w:t>
      </w:r>
      <w:r w:rsidR="00712184">
        <w:t>Henry Tax Review</w:t>
      </w:r>
      <w:r>
        <w:t xml:space="preserve"> report </w:t>
      </w:r>
      <w:r w:rsidRPr="00FB073F">
        <w:t>(page 237)</w:t>
      </w:r>
      <w:r>
        <w:t xml:space="preserve">, the RSPT covers </w:t>
      </w:r>
      <w:r w:rsidRPr="00FB073F">
        <w:t xml:space="preserve">most non-renewable resources (other than those expected to generate low rent) including iron ore, metallurgical coal, thermal coal, gold, copper, nickel, </w:t>
      </w:r>
      <w:r>
        <w:t xml:space="preserve">and </w:t>
      </w:r>
      <w:r w:rsidRPr="00FB073F">
        <w:t>alumina</w:t>
      </w:r>
      <w:r>
        <w:t>.</w:t>
      </w:r>
    </w:p>
    <w:p w14:paraId="4CF94409" w14:textId="36A5799C" w:rsidR="00176A58" w:rsidRDefault="00D33046" w:rsidP="00B071C9">
      <w:pPr>
        <w:pStyle w:val="ListBullet"/>
      </w:pPr>
      <w:r>
        <w:t>All t</w:t>
      </w:r>
      <w:r w:rsidR="00176A58">
        <w:t>he production of these non-renewable minerals would be sold</w:t>
      </w:r>
      <w:r w:rsidR="00982109">
        <w:t xml:space="preserve"> and liable for the</w:t>
      </w:r>
      <w:r w:rsidR="00B071C9">
        <w:t xml:space="preserve"> RSPT</w:t>
      </w:r>
      <w:r w:rsidR="00982109">
        <w:t>.</w:t>
      </w:r>
      <w:r w:rsidR="00176A58">
        <w:t xml:space="preserve"> </w:t>
      </w:r>
    </w:p>
    <w:p w14:paraId="11B3EBD5" w14:textId="77777777" w:rsidR="00176A58" w:rsidRDefault="00176A58" w:rsidP="00FB073F">
      <w:pPr>
        <w:pStyle w:val="ListBullet"/>
      </w:pPr>
      <w:r>
        <w:t xml:space="preserve">New assets purchased </w:t>
      </w:r>
      <w:r w:rsidR="005D768D">
        <w:t xml:space="preserve">by mining companies </w:t>
      </w:r>
      <w:r w:rsidR="0077205A">
        <w:t xml:space="preserve">after the start date (1 July 2012) </w:t>
      </w:r>
      <w:r w:rsidR="005D768D">
        <w:t>would be</w:t>
      </w:r>
      <w:r>
        <w:t xml:space="preserve"> depreciated on a straight-line basis over 10 years</w:t>
      </w:r>
      <w:r w:rsidR="004C7218">
        <w:t>, based on</w:t>
      </w:r>
      <w:r w:rsidR="005D768D">
        <w:t xml:space="preserve"> the book value of investment.</w:t>
      </w:r>
    </w:p>
    <w:p w14:paraId="2AECBCF9" w14:textId="77777777" w:rsidR="00187AD2" w:rsidRDefault="00187AD2" w:rsidP="00187AD2">
      <w:pPr>
        <w:pStyle w:val="ListBullet"/>
      </w:pPr>
      <w:r w:rsidRPr="00576993">
        <w:t xml:space="preserve">The </w:t>
      </w:r>
      <w:r>
        <w:t xml:space="preserve">RSPT </w:t>
      </w:r>
      <w:r w:rsidRPr="00576993">
        <w:t>would be</w:t>
      </w:r>
      <w:r w:rsidR="007C4A7B">
        <w:t xml:space="preserve"> calculated and paid quarterly.</w:t>
      </w:r>
    </w:p>
    <w:p w14:paraId="294540CE" w14:textId="3BB94677" w:rsidR="007C4A7B" w:rsidRDefault="007C4A7B" w:rsidP="00187AD2">
      <w:pPr>
        <w:pStyle w:val="ListBullet"/>
      </w:pPr>
      <w:r>
        <w:t>The refundable credit for state royalties wou</w:t>
      </w:r>
      <w:r w:rsidR="00216525">
        <w:t xml:space="preserve">ld be assessed and paid </w:t>
      </w:r>
      <w:r w:rsidR="00982109">
        <w:t xml:space="preserve">in the year following the payment of the </w:t>
      </w:r>
      <w:r w:rsidR="00B071C9">
        <w:t>RSPT</w:t>
      </w:r>
      <w:r w:rsidR="00982109">
        <w:t>.</w:t>
      </w:r>
    </w:p>
    <w:p w14:paraId="60D3F108" w14:textId="45604FA2" w:rsidR="00187AD2" w:rsidRDefault="00187AD2" w:rsidP="00187AD2">
      <w:pPr>
        <w:pStyle w:val="ListBullet"/>
      </w:pPr>
      <w:r w:rsidRPr="00187AD2">
        <w:t xml:space="preserve">Mining companies liable for the </w:t>
      </w:r>
      <w:r>
        <w:t xml:space="preserve">RSPT </w:t>
      </w:r>
      <w:r w:rsidRPr="00187AD2">
        <w:t xml:space="preserve">would be subject to the </w:t>
      </w:r>
      <w:r w:rsidR="00884214">
        <w:t>30 per cent</w:t>
      </w:r>
      <w:r w:rsidRPr="00187AD2">
        <w:t xml:space="preserve"> company tax</w:t>
      </w:r>
      <w:r>
        <w:t xml:space="preserve"> </w:t>
      </w:r>
      <w:r w:rsidR="00884214">
        <w:t xml:space="preserve">rate </w:t>
      </w:r>
      <w:r>
        <w:t>over the period from 2012-13 to 2019-20</w:t>
      </w:r>
      <w:r w:rsidRPr="00187AD2">
        <w:t>.</w:t>
      </w:r>
    </w:p>
    <w:p w14:paraId="54DF54DB" w14:textId="17BB583C" w:rsidR="002F0765" w:rsidRDefault="002F0765" w:rsidP="00187AD2">
      <w:pPr>
        <w:pStyle w:val="ListBullet"/>
      </w:pPr>
      <w:r>
        <w:t>C</w:t>
      </w:r>
      <w:r w:rsidRPr="00187AD2">
        <w:t xml:space="preserve">ompanies </w:t>
      </w:r>
      <w:r>
        <w:t xml:space="preserve">investing in the mineral extraction </w:t>
      </w:r>
      <w:r w:rsidRPr="00187AD2">
        <w:t xml:space="preserve">projects would </w:t>
      </w:r>
      <w:r w:rsidRPr="002F0765">
        <w:t>have a majority foreign shareholding</w:t>
      </w:r>
      <w:r w:rsidRPr="00187AD2">
        <w:t xml:space="preserve"> </w:t>
      </w:r>
      <w:r>
        <w:t>over the period from 2012-13 to 2019-20</w:t>
      </w:r>
      <w:r w:rsidRPr="00187AD2">
        <w:t>.</w:t>
      </w:r>
      <w:r>
        <w:t xml:space="preserve">  </w:t>
      </w:r>
    </w:p>
    <w:p w14:paraId="767A1F4C" w14:textId="0C9A54FE" w:rsidR="002F0765" w:rsidRDefault="00187AD2" w:rsidP="007371C8">
      <w:pPr>
        <w:pStyle w:val="ListBullet"/>
        <w:numPr>
          <w:ilvl w:val="0"/>
          <w:numId w:val="0"/>
        </w:numPr>
        <w:ind w:left="284" w:hanging="284"/>
      </w:pPr>
      <w:r>
        <w:t>•</w:t>
      </w:r>
      <w:r>
        <w:tab/>
        <w:t>A</w:t>
      </w:r>
      <w:r w:rsidR="00FB073F">
        <w:t xml:space="preserve">dopting the RSPT would </w:t>
      </w:r>
      <w:r w:rsidR="007371C8">
        <w:t xml:space="preserve">not </w:t>
      </w:r>
      <w:r w:rsidR="00884214">
        <w:t>have changed</w:t>
      </w:r>
      <w:r w:rsidR="007371C8">
        <w:t xml:space="preserve"> mining compan</w:t>
      </w:r>
      <w:r w:rsidR="00884214">
        <w:t>y behaviour</w:t>
      </w:r>
      <w:r w:rsidR="007371C8">
        <w:t xml:space="preserve"> </w:t>
      </w:r>
      <w:r w:rsidR="00884214">
        <w:t xml:space="preserve">regarding </w:t>
      </w:r>
      <w:r w:rsidR="00FB073F">
        <w:t>the level of resource production</w:t>
      </w:r>
      <w:r w:rsidR="00884214">
        <w:t xml:space="preserve"> and investment or mineral </w:t>
      </w:r>
      <w:r w:rsidR="00FB073F">
        <w:t xml:space="preserve">prices </w:t>
      </w:r>
      <w:r w:rsidR="007371C8">
        <w:t>from 2012-13 to 2019-20</w:t>
      </w:r>
      <w:r>
        <w:t>.</w:t>
      </w:r>
    </w:p>
    <w:p w14:paraId="460F90B5" w14:textId="77777777" w:rsidR="00FE3B13" w:rsidRPr="00D014E1" w:rsidRDefault="00FE3B13" w:rsidP="0056001A">
      <w:pPr>
        <w:pStyle w:val="Heading1"/>
      </w:pPr>
      <w:r w:rsidRPr="00D014E1">
        <w:t>Methodology</w:t>
      </w:r>
    </w:p>
    <w:p w14:paraId="5E2F5162" w14:textId="77777777" w:rsidR="00DE491B" w:rsidRDefault="00DE491B" w:rsidP="00DE491B">
      <w:pPr>
        <w:pStyle w:val="Heading2"/>
      </w:pPr>
      <w:r>
        <w:t>RSPT</w:t>
      </w:r>
    </w:p>
    <w:p w14:paraId="482CFDC2" w14:textId="465334B4" w:rsidR="00C13D35" w:rsidRDefault="00A0416F" w:rsidP="000A5AF1">
      <w:pPr>
        <w:pStyle w:val="BodyText"/>
      </w:pPr>
      <w:r>
        <w:t xml:space="preserve">RSPT liability </w:t>
      </w:r>
      <w:r w:rsidR="00C13D35" w:rsidRPr="00C13D35">
        <w:t>was calculate</w:t>
      </w:r>
      <w:r w:rsidR="00C13D35">
        <w:t xml:space="preserve">d </w:t>
      </w:r>
      <w:r>
        <w:t xml:space="preserve">at </w:t>
      </w:r>
      <w:r w:rsidR="000A5AF1">
        <w:t xml:space="preserve">the </w:t>
      </w:r>
      <w:r>
        <w:t xml:space="preserve">aggregate level for each </w:t>
      </w:r>
      <w:r w:rsidR="00D33046">
        <w:t xml:space="preserve">identified </w:t>
      </w:r>
      <w:r>
        <w:t xml:space="preserve">mineral </w:t>
      </w:r>
      <w:r w:rsidR="00814ACD">
        <w:t xml:space="preserve">by </w:t>
      </w:r>
      <w:r w:rsidR="0034489B">
        <w:t>multiplying</w:t>
      </w:r>
      <w:r>
        <w:t xml:space="preserve"> taxable RSPT profits</w:t>
      </w:r>
      <w:r w:rsidR="0034489B">
        <w:t xml:space="preserve"> by 40 per cent.  Taxable RSPT profits comprise </w:t>
      </w:r>
      <w:r>
        <w:t xml:space="preserve">assessable revenue </w:t>
      </w:r>
      <w:r w:rsidRPr="00C13D35">
        <w:t xml:space="preserve">from the </w:t>
      </w:r>
      <w:r>
        <w:t>mineral extraction projects less deductible expenses.  The assessable revenue and ded</w:t>
      </w:r>
      <w:r w:rsidR="00890508">
        <w:t xml:space="preserve">uctible expenses are derived </w:t>
      </w:r>
      <w:r>
        <w:t xml:space="preserve">using data from </w:t>
      </w:r>
      <w:r w:rsidR="00446CA4">
        <w:t xml:space="preserve">The </w:t>
      </w:r>
      <w:r w:rsidRPr="00A1157B">
        <w:t xml:space="preserve">Treasury, </w:t>
      </w:r>
      <w:r w:rsidR="00446CA4">
        <w:t xml:space="preserve">the </w:t>
      </w:r>
      <w:r w:rsidRPr="00A1157B">
        <w:t>Department of Industry, Science, Energy and Resources</w:t>
      </w:r>
      <w:r w:rsidR="000A5AF1">
        <w:t>,</w:t>
      </w:r>
      <w:r w:rsidRPr="00A1157B">
        <w:t xml:space="preserve"> and </w:t>
      </w:r>
      <w:r w:rsidR="000A5AF1">
        <w:t xml:space="preserve">the </w:t>
      </w:r>
      <w:r w:rsidRPr="00A1157B">
        <w:t>Austra</w:t>
      </w:r>
      <w:r>
        <w:t>lian Bureau of Statistics (ABS).</w:t>
      </w:r>
    </w:p>
    <w:p w14:paraId="7C888235" w14:textId="0119B955" w:rsidR="00A0416F" w:rsidRDefault="00A0416F" w:rsidP="00D33046">
      <w:pPr>
        <w:pStyle w:val="BodyText"/>
      </w:pPr>
      <w:r>
        <w:t>Deductible expenses include</w:t>
      </w:r>
      <w:r w:rsidR="00814ACD">
        <w:t xml:space="preserve"> operating expenses incurred in mineral production process, exploration expenses, depreciation</w:t>
      </w:r>
      <w:r w:rsidR="00FB1392">
        <w:t xml:space="preserve"> of starting base</w:t>
      </w:r>
      <w:r w:rsidR="00D33046">
        <w:t>,</w:t>
      </w:r>
      <w:r w:rsidR="00FB1392">
        <w:t xml:space="preserve"> </w:t>
      </w:r>
      <w:r w:rsidR="00D33046">
        <w:t xml:space="preserve">depreciation of </w:t>
      </w:r>
      <w:r w:rsidR="00FB1392">
        <w:t>new assets acquired after the start date</w:t>
      </w:r>
      <w:r w:rsidR="00814ACD">
        <w:t>, the RSPT allowance</w:t>
      </w:r>
      <w:r w:rsidR="00D33046">
        <w:t xml:space="preserve"> and any prior year </w:t>
      </w:r>
      <w:r w:rsidR="00890508">
        <w:t xml:space="preserve">RSPT </w:t>
      </w:r>
      <w:r w:rsidR="00D33046">
        <w:t>losses</w:t>
      </w:r>
      <w:r w:rsidR="00814ACD">
        <w:t>.</w:t>
      </w:r>
    </w:p>
    <w:p w14:paraId="05326FAB" w14:textId="31B1B461" w:rsidR="00814ACD" w:rsidRDefault="00814ACD" w:rsidP="00F15445">
      <w:pPr>
        <w:pStyle w:val="BodyText"/>
      </w:pPr>
      <w:r>
        <w:t>The RSPT allowance w</w:t>
      </w:r>
      <w:r w:rsidR="006D75EF">
        <w:t xml:space="preserve">as calculated by multiplying </w:t>
      </w:r>
      <w:r w:rsidR="00890508">
        <w:t>the sum of mining assets</w:t>
      </w:r>
      <w:r w:rsidR="00F15445">
        <w:t>’</w:t>
      </w:r>
      <w:r w:rsidR="00890508">
        <w:t xml:space="preserve"> </w:t>
      </w:r>
      <w:r w:rsidR="00F15445">
        <w:t xml:space="preserve">current value </w:t>
      </w:r>
      <w:r w:rsidR="00890508">
        <w:t xml:space="preserve">and </w:t>
      </w:r>
      <w:r w:rsidR="00890508" w:rsidRPr="00890508">
        <w:t xml:space="preserve">unutilised RSPT </w:t>
      </w:r>
      <w:r w:rsidR="00890508">
        <w:t xml:space="preserve">losses by </w:t>
      </w:r>
      <w:r w:rsidR="00FB1392">
        <w:t xml:space="preserve">the </w:t>
      </w:r>
      <w:r w:rsidR="000A5AF1" w:rsidRPr="00144E21">
        <w:t>10-year government</w:t>
      </w:r>
      <w:r>
        <w:t xml:space="preserve"> bond rate</w:t>
      </w:r>
      <w:r w:rsidR="006D75EF">
        <w:t>.</w:t>
      </w:r>
    </w:p>
    <w:p w14:paraId="2CD81CBB" w14:textId="28094059" w:rsidR="00E04FE4" w:rsidRDefault="00E04FE4" w:rsidP="00D33046">
      <w:pPr>
        <w:pStyle w:val="BodyText"/>
      </w:pPr>
      <w:r w:rsidRPr="00E04FE4">
        <w:t xml:space="preserve">Where the </w:t>
      </w:r>
      <w:r>
        <w:t xml:space="preserve">mining </w:t>
      </w:r>
      <w:r w:rsidRPr="00E04FE4">
        <w:t>project does not earn sufficient RSPT profit before the depreciation of starting base to fully utilise this deduction, there would be a loss carried forward to offset future taxable profit.</w:t>
      </w:r>
    </w:p>
    <w:p w14:paraId="60A67426" w14:textId="77777777" w:rsidR="00DE491B" w:rsidRDefault="00DE491B" w:rsidP="00DE491B">
      <w:pPr>
        <w:pStyle w:val="Heading2"/>
      </w:pPr>
      <w:r>
        <w:t>Refundable credits for state royalties</w:t>
      </w:r>
    </w:p>
    <w:p w14:paraId="6CC2C4C5" w14:textId="29768913" w:rsidR="00DE491B" w:rsidRDefault="00285368" w:rsidP="00DE491B">
      <w:pPr>
        <w:pStyle w:val="BodyText"/>
      </w:pPr>
      <w:r>
        <w:t>The refundable cred</w:t>
      </w:r>
      <w:r w:rsidR="009A7565">
        <w:t xml:space="preserve">its were estimated using </w:t>
      </w:r>
      <w:r w:rsidR="0034489B">
        <w:t xml:space="preserve">ABS mining </w:t>
      </w:r>
      <w:r w:rsidR="009A7565">
        <w:t>royalty expense</w:t>
      </w:r>
      <w:r w:rsidR="00D82D23">
        <w:t xml:space="preserve"> data</w:t>
      </w:r>
      <w:r w:rsidR="009A7565">
        <w:t>.</w:t>
      </w:r>
    </w:p>
    <w:p w14:paraId="0703BA26" w14:textId="77777777" w:rsidR="00DE491B" w:rsidRDefault="00DE491B" w:rsidP="00DE491B">
      <w:pPr>
        <w:pStyle w:val="Heading2"/>
      </w:pPr>
      <w:r>
        <w:t>Company tax</w:t>
      </w:r>
    </w:p>
    <w:p w14:paraId="3508EB98" w14:textId="124E0C3C" w:rsidR="00DE491B" w:rsidRDefault="00D411E3" w:rsidP="00DE491B">
      <w:pPr>
        <w:pStyle w:val="BodyText"/>
      </w:pPr>
      <w:r w:rsidRPr="00D411E3">
        <w:t xml:space="preserve">The company tax impact was calculated </w:t>
      </w:r>
      <w:r w:rsidR="007F1437">
        <w:t xml:space="preserve">by </w:t>
      </w:r>
      <w:r w:rsidR="003C4332">
        <w:t xml:space="preserve">multiplying </w:t>
      </w:r>
      <w:r w:rsidRPr="00D411E3">
        <w:t>the net amount o</w:t>
      </w:r>
      <w:r w:rsidR="007F1437">
        <w:t>f the estimated RSPT</w:t>
      </w:r>
      <w:r w:rsidRPr="00D411E3">
        <w:t xml:space="preserve"> </w:t>
      </w:r>
      <w:r w:rsidR="007F1437">
        <w:t xml:space="preserve">collected </w:t>
      </w:r>
      <w:r w:rsidRPr="00D411E3">
        <w:t xml:space="preserve">and the estimated </w:t>
      </w:r>
      <w:r w:rsidR="007F1437">
        <w:t>credits paid for state royalties</w:t>
      </w:r>
      <w:r w:rsidR="003C4332">
        <w:t xml:space="preserve"> by 30 per cent</w:t>
      </w:r>
      <w:r w:rsidRPr="00D411E3">
        <w:t>.</w:t>
      </w:r>
    </w:p>
    <w:p w14:paraId="3242EB01" w14:textId="5ED34636" w:rsidR="00DE491B" w:rsidRDefault="00DE491B" w:rsidP="00DE491B">
      <w:pPr>
        <w:pStyle w:val="Heading2"/>
      </w:pPr>
      <w:r>
        <w:lastRenderedPageBreak/>
        <w:t xml:space="preserve">Departmental </w:t>
      </w:r>
      <w:r w:rsidR="004D7A3F">
        <w:t>expense</w:t>
      </w:r>
    </w:p>
    <w:p w14:paraId="4C3E5576" w14:textId="44F31B3C" w:rsidR="008937DE" w:rsidRDefault="00285368" w:rsidP="008937DE">
      <w:pPr>
        <w:pStyle w:val="BodyText"/>
        <w:rPr>
          <w:i/>
        </w:rPr>
      </w:pPr>
      <w:r>
        <w:t xml:space="preserve">ATO </w:t>
      </w:r>
      <w:r w:rsidR="003C4332">
        <w:t>departmental expenses are based on</w:t>
      </w:r>
      <w:r>
        <w:t xml:space="preserve"> the original departmental profile of the 2010</w:t>
      </w:r>
      <w:r>
        <w:noBreakHyphen/>
      </w:r>
      <w:r w:rsidR="008937DE" w:rsidRPr="00576993">
        <w:t xml:space="preserve">11 Budget measure </w:t>
      </w:r>
      <w:r w:rsidR="008937DE" w:rsidRPr="00576993">
        <w:rPr>
          <w:i/>
        </w:rPr>
        <w:t>Stronger, fairer, simpler tax reform – resource super profits tax.</w:t>
      </w:r>
    </w:p>
    <w:p w14:paraId="0E617061" w14:textId="77777777" w:rsidR="008937DE" w:rsidRPr="00285368" w:rsidRDefault="008937DE" w:rsidP="008937DE">
      <w:pPr>
        <w:pStyle w:val="BodyText"/>
      </w:pPr>
      <w:r w:rsidRPr="00285368">
        <w:t>Revenue estimates have been rounded to the nearest $100 million.</w:t>
      </w:r>
    </w:p>
    <w:p w14:paraId="4B20EAEA" w14:textId="77777777" w:rsidR="008937DE" w:rsidRPr="00576993" w:rsidRDefault="008937DE" w:rsidP="008937DE">
      <w:pPr>
        <w:pStyle w:val="BodyText"/>
      </w:pPr>
      <w:r w:rsidRPr="00285368">
        <w:t>Departmental expense estimates have been rounded to the nearest $1</w:t>
      </w:r>
      <w:r w:rsidR="00285368" w:rsidRPr="00285368">
        <w:t>00,000</w:t>
      </w:r>
      <w:r w:rsidRPr="00285368">
        <w:t>.</w:t>
      </w:r>
    </w:p>
    <w:p w14:paraId="7A60962E" w14:textId="77777777" w:rsidR="00FE3B13" w:rsidRPr="00D014E1" w:rsidRDefault="00FE3B13" w:rsidP="00FE3B13">
      <w:pPr>
        <w:pStyle w:val="Heading1"/>
      </w:pPr>
      <w:r w:rsidRPr="00D014E1">
        <w:t>Data sources</w:t>
      </w:r>
    </w:p>
    <w:p w14:paraId="666E4E4E" w14:textId="77777777" w:rsidR="006A29C7" w:rsidRPr="006A29C7" w:rsidRDefault="006A29C7" w:rsidP="008937DE">
      <w:pPr>
        <w:pStyle w:val="BodyText"/>
        <w:keepNext/>
        <w:keepLines/>
        <w:rPr>
          <w:noProof/>
        </w:rPr>
      </w:pPr>
      <w:r w:rsidRPr="006A29C7">
        <w:rPr>
          <w:noProof/>
        </w:rPr>
        <w:t xml:space="preserve">Australian Bureau of Statistics, 2018. </w:t>
      </w:r>
      <w:r w:rsidRPr="006A29C7">
        <w:rPr>
          <w:i/>
          <w:noProof/>
        </w:rPr>
        <w:t xml:space="preserve">Australian Industry, 2016-17, </w:t>
      </w:r>
      <w:r w:rsidRPr="006A29C7">
        <w:rPr>
          <w:noProof/>
        </w:rPr>
        <w:t>ABS Cat. No. 8155.0.</w:t>
      </w:r>
    </w:p>
    <w:p w14:paraId="30BF003F" w14:textId="77777777" w:rsidR="008937DE" w:rsidRPr="006A29C7" w:rsidRDefault="008937DE" w:rsidP="008937DE">
      <w:pPr>
        <w:pStyle w:val="BodyText"/>
        <w:keepNext/>
        <w:keepLines/>
        <w:rPr>
          <w:noProof/>
        </w:rPr>
      </w:pPr>
      <w:r w:rsidRPr="006A29C7">
        <w:rPr>
          <w:noProof/>
        </w:rPr>
        <w:t>Austr</w:t>
      </w:r>
      <w:r w:rsidR="006A29C7" w:rsidRPr="006A29C7">
        <w:rPr>
          <w:noProof/>
        </w:rPr>
        <w:t>alian Bureau of Statistics, 2020</w:t>
      </w:r>
      <w:r w:rsidRPr="006A29C7">
        <w:rPr>
          <w:noProof/>
        </w:rPr>
        <w:t xml:space="preserve">. </w:t>
      </w:r>
      <w:r w:rsidR="00AF2C61">
        <w:rPr>
          <w:i/>
          <w:noProof/>
        </w:rPr>
        <w:t>Australian Industry, 2018-19</w:t>
      </w:r>
      <w:r w:rsidRPr="006A29C7">
        <w:rPr>
          <w:i/>
          <w:noProof/>
        </w:rPr>
        <w:t xml:space="preserve">, </w:t>
      </w:r>
      <w:r w:rsidRPr="006A29C7">
        <w:rPr>
          <w:noProof/>
        </w:rPr>
        <w:t>ABS Cat. No. 8155.0.</w:t>
      </w:r>
    </w:p>
    <w:p w14:paraId="2A7938AB" w14:textId="77777777" w:rsidR="008937DE" w:rsidRPr="00576993" w:rsidRDefault="008937DE" w:rsidP="008937DE">
      <w:pPr>
        <w:pStyle w:val="BodyText"/>
        <w:keepNext/>
        <w:keepLines/>
        <w:rPr>
          <w:noProof/>
        </w:rPr>
      </w:pPr>
      <w:r w:rsidRPr="00AF2C61">
        <w:rPr>
          <w:noProof/>
        </w:rPr>
        <w:t xml:space="preserve">Australian Bureau of Statistics, 2018. </w:t>
      </w:r>
      <w:r w:rsidRPr="00AF2C61">
        <w:rPr>
          <w:i/>
          <w:noProof/>
        </w:rPr>
        <w:t>Australian System of National Accounts, 2017-18</w:t>
      </w:r>
      <w:r w:rsidRPr="00AF2C61">
        <w:rPr>
          <w:noProof/>
        </w:rPr>
        <w:t xml:space="preserve">, </w:t>
      </w:r>
      <w:r w:rsidRPr="00AF2C61">
        <w:rPr>
          <w:noProof/>
        </w:rPr>
        <w:br/>
        <w:t>ABS Cat. No. 5204.0</w:t>
      </w:r>
      <w:r w:rsidRPr="00AF2C61">
        <w:rPr>
          <w:i/>
          <w:noProof/>
        </w:rPr>
        <w:t>.</w:t>
      </w:r>
    </w:p>
    <w:p w14:paraId="077FD26A" w14:textId="77777777" w:rsidR="008937DE" w:rsidRDefault="008937DE" w:rsidP="008937DE">
      <w:pPr>
        <w:pStyle w:val="BodyText"/>
        <w:rPr>
          <w:noProof/>
        </w:rPr>
      </w:pPr>
      <w:r w:rsidRPr="006A29C7">
        <w:rPr>
          <w:noProof/>
        </w:rPr>
        <w:t xml:space="preserve">Australian Bureau of Statistics, 2016. </w:t>
      </w:r>
      <w:r w:rsidRPr="006A29C7">
        <w:rPr>
          <w:i/>
          <w:noProof/>
        </w:rPr>
        <w:t xml:space="preserve">Mining Operations, Australia, 2014-15, </w:t>
      </w:r>
      <w:r w:rsidRPr="006A29C7">
        <w:rPr>
          <w:noProof/>
        </w:rPr>
        <w:t>ABS Cat. No. 8415.0.</w:t>
      </w:r>
    </w:p>
    <w:p w14:paraId="4F08CC12" w14:textId="1F899F9D" w:rsidR="00B571D6" w:rsidRPr="00576993" w:rsidRDefault="00B571D6" w:rsidP="008937DE">
      <w:pPr>
        <w:pStyle w:val="BodyText"/>
        <w:rPr>
          <w:noProof/>
        </w:rPr>
      </w:pPr>
      <w:r>
        <w:rPr>
          <w:noProof/>
        </w:rPr>
        <w:t>Australian Government, 2010</w:t>
      </w:r>
      <w:r w:rsidRPr="00576993">
        <w:rPr>
          <w:noProof/>
        </w:rPr>
        <w:t>.</w:t>
      </w:r>
      <w:r>
        <w:rPr>
          <w:i/>
          <w:noProof/>
        </w:rPr>
        <w:t xml:space="preserve"> The resource super profits tax: a fair return to the nation</w:t>
      </w:r>
      <w:r w:rsidRPr="00576993">
        <w:rPr>
          <w:noProof/>
        </w:rPr>
        <w:t>, Canberra: Commonwealth of Australia.</w:t>
      </w:r>
    </w:p>
    <w:p w14:paraId="4DB7DB43" w14:textId="77777777" w:rsidR="008937DE" w:rsidRDefault="008937DE" w:rsidP="008937DE">
      <w:pPr>
        <w:pStyle w:val="BodyText"/>
        <w:rPr>
          <w:noProof/>
        </w:rPr>
      </w:pPr>
      <w:r w:rsidRPr="00576993">
        <w:rPr>
          <w:noProof/>
        </w:rPr>
        <w:t xml:space="preserve">Commonwealth of Australia, 2011. </w:t>
      </w:r>
      <w:r w:rsidRPr="00576993">
        <w:rPr>
          <w:i/>
          <w:noProof/>
        </w:rPr>
        <w:t>Budget 2010-11</w:t>
      </w:r>
      <w:r w:rsidRPr="00576993">
        <w:rPr>
          <w:noProof/>
        </w:rPr>
        <w:t>, Canberra: Commonwealth of Australia.</w:t>
      </w:r>
    </w:p>
    <w:p w14:paraId="2163805E" w14:textId="0EDB5065" w:rsidR="008937DE" w:rsidRDefault="008937DE" w:rsidP="008937DE">
      <w:pPr>
        <w:pStyle w:val="BodyText"/>
        <w:rPr>
          <w:noProof/>
        </w:rPr>
      </w:pPr>
      <w:r w:rsidRPr="00AF2C61">
        <w:rPr>
          <w:noProof/>
        </w:rPr>
        <w:t>Department of Indust</w:t>
      </w:r>
      <w:r w:rsidR="00AF2C61" w:rsidRPr="00AF2C61">
        <w:rPr>
          <w:noProof/>
        </w:rPr>
        <w:t>ry, Science</w:t>
      </w:r>
      <w:r w:rsidR="0028044F">
        <w:rPr>
          <w:noProof/>
        </w:rPr>
        <w:t>, Energy and Resources</w:t>
      </w:r>
      <w:r w:rsidR="00AF2C61" w:rsidRPr="00AF2C61">
        <w:rPr>
          <w:noProof/>
        </w:rPr>
        <w:t>, 2021</w:t>
      </w:r>
      <w:r w:rsidRPr="00AF2C61">
        <w:rPr>
          <w:noProof/>
        </w:rPr>
        <w:t xml:space="preserve">. </w:t>
      </w:r>
      <w:r w:rsidRPr="00AF2C61">
        <w:rPr>
          <w:i/>
          <w:noProof/>
        </w:rPr>
        <w:t>Resour</w:t>
      </w:r>
      <w:r w:rsidR="006A29C7" w:rsidRPr="00AF2C61">
        <w:rPr>
          <w:i/>
          <w:noProof/>
        </w:rPr>
        <w:t>ces and Energy Quarterly – December 2020</w:t>
      </w:r>
      <w:r w:rsidRPr="00AF2C61">
        <w:rPr>
          <w:noProof/>
        </w:rPr>
        <w:t>, for</w:t>
      </w:r>
      <w:r w:rsidR="00AF2C61" w:rsidRPr="00AF2C61">
        <w:rPr>
          <w:noProof/>
        </w:rPr>
        <w:t>ecast data and historical data</w:t>
      </w:r>
      <w:r w:rsidRPr="00AF2C61">
        <w:rPr>
          <w:noProof/>
        </w:rPr>
        <w:t xml:space="preserve"> </w:t>
      </w:r>
      <w:r w:rsidR="00436D5D">
        <w:rPr>
          <w:noProof/>
        </w:rPr>
        <w:t>(</w:t>
      </w:r>
      <w:r w:rsidRPr="00AF2C61">
        <w:rPr>
          <w:noProof/>
        </w:rPr>
        <w:t>available at</w:t>
      </w:r>
      <w:r w:rsidR="00436D5D">
        <w:rPr>
          <w:noProof/>
        </w:rPr>
        <w:t xml:space="preserve"> </w:t>
      </w:r>
      <w:r w:rsidR="00AF2C61" w:rsidRPr="00AF2C61">
        <w:t>https://publications.industry.gov.au/publications/resourcesandenergyquarterlydecember2020/index.html</w:t>
      </w:r>
    </w:p>
    <w:p w14:paraId="7F8CBB84" w14:textId="7A6A0EDC" w:rsidR="00436D5D" w:rsidRPr="00AF2C61" w:rsidRDefault="00436D5D" w:rsidP="008937DE">
      <w:pPr>
        <w:pStyle w:val="BodyText"/>
        <w:rPr>
          <w:noProof/>
        </w:rPr>
      </w:pPr>
      <w:r>
        <w:rPr>
          <w:noProof/>
        </w:rPr>
        <w:t xml:space="preserve">Parliamentary Library, 2010. </w:t>
      </w:r>
      <w:r w:rsidRPr="000A5AF1">
        <w:rPr>
          <w:i/>
          <w:noProof/>
        </w:rPr>
        <w:t>Budget Review 2010-11: Resource super profits tax</w:t>
      </w:r>
      <w:r>
        <w:rPr>
          <w:noProof/>
        </w:rPr>
        <w:t xml:space="preserve">, Canberra: Parliament of Australia (available at </w:t>
      </w:r>
      <w:hyperlink r:id="rId9" w:history="1">
        <w:r w:rsidR="00446CA4" w:rsidRPr="007F2430">
          <w:rPr>
            <w:rStyle w:val="Hyperlink"/>
            <w:noProof/>
            <w:u w:val="none"/>
          </w:rPr>
          <w:t>https://www.aph.gov.au/About_Parliament/Parliamentary_Departments/Parliamentary_Library/pubs/rp/BudgetReview201011/TaxationRSPTax</w:t>
        </w:r>
      </w:hyperlink>
      <w:r w:rsidR="00446CA4">
        <w:rPr>
          <w:noProof/>
        </w:rPr>
        <w:t xml:space="preserve"> </w:t>
      </w:r>
    </w:p>
    <w:p w14:paraId="014066A0" w14:textId="77777777" w:rsidR="00AF2C61" w:rsidRDefault="00AF2C61" w:rsidP="00AF2C61">
      <w:pPr>
        <w:pStyle w:val="BodyText"/>
        <w:keepNext/>
        <w:keepLines/>
        <w:rPr>
          <w:noProof/>
        </w:rPr>
      </w:pPr>
      <w:r>
        <w:rPr>
          <w:noProof/>
        </w:rPr>
        <w:t>Reserve Bank of Australia, 2021</w:t>
      </w:r>
      <w:r w:rsidRPr="006A29C7">
        <w:rPr>
          <w:noProof/>
        </w:rPr>
        <w:t xml:space="preserve">. </w:t>
      </w:r>
      <w:r w:rsidRPr="00AF2C61">
        <w:rPr>
          <w:i/>
          <w:noProof/>
        </w:rPr>
        <w:t>F2.1 CAPITAL MARKET YIELDS – GOVERNMENT BONDS</w:t>
      </w:r>
      <w:r>
        <w:rPr>
          <w:i/>
          <w:noProof/>
        </w:rPr>
        <w:t xml:space="preserve"> (</w:t>
      </w:r>
      <w:r w:rsidRPr="00AF2C61">
        <w:rPr>
          <w:i/>
          <w:noProof/>
        </w:rPr>
        <w:t>Commonwealth Government 10 year bond</w:t>
      </w:r>
      <w:r>
        <w:rPr>
          <w:i/>
          <w:noProof/>
        </w:rPr>
        <w:t>)</w:t>
      </w:r>
      <w:r w:rsidRPr="006A29C7">
        <w:rPr>
          <w:i/>
          <w:noProof/>
        </w:rPr>
        <w:t xml:space="preserve">, </w:t>
      </w:r>
      <w:r>
        <w:rPr>
          <w:noProof/>
        </w:rPr>
        <w:t xml:space="preserve">Series ID </w:t>
      </w:r>
      <w:r w:rsidRPr="00AF2C61">
        <w:rPr>
          <w:noProof/>
        </w:rPr>
        <w:t>FCMYGBAG10</w:t>
      </w:r>
      <w:r w:rsidRPr="006A29C7">
        <w:rPr>
          <w:noProof/>
        </w:rPr>
        <w:t>.</w:t>
      </w:r>
    </w:p>
    <w:p w14:paraId="62CC96A9" w14:textId="253D9F16" w:rsidR="00436D5D" w:rsidRPr="006A29C7" w:rsidRDefault="007F2430" w:rsidP="00AF2C61">
      <w:pPr>
        <w:pStyle w:val="BodyText"/>
        <w:keepNext/>
        <w:keepLines/>
        <w:rPr>
          <w:noProof/>
        </w:rPr>
      </w:pPr>
      <w:r>
        <w:rPr>
          <w:noProof/>
        </w:rPr>
        <w:t xml:space="preserve">The </w:t>
      </w:r>
      <w:r w:rsidR="00436D5D">
        <w:rPr>
          <w:noProof/>
        </w:rPr>
        <w:t xml:space="preserve">Treasury, 2013, </w:t>
      </w:r>
      <w:r w:rsidR="00436D5D" w:rsidRPr="000A5AF1">
        <w:rPr>
          <w:i/>
          <w:noProof/>
        </w:rPr>
        <w:t>Resource Super Profits and the Minerals Resource Rent Tax: FOI Document 47</w:t>
      </w:r>
      <w:r w:rsidR="00436D5D">
        <w:rPr>
          <w:noProof/>
        </w:rPr>
        <w:t xml:space="preserve">, Canberra: Commonwealth of Australia (available  at </w:t>
      </w:r>
      <w:r w:rsidR="00436D5D" w:rsidRPr="000A5AF1">
        <w:rPr>
          <w:noProof/>
        </w:rPr>
        <w:t>https://treasury.gov.au/sites/default/files/2019-03/Document-47-1.pdf)</w:t>
      </w:r>
      <w:r w:rsidR="00436D5D">
        <w:rPr>
          <w:noProof/>
        </w:rPr>
        <w:t>.</w:t>
      </w:r>
    </w:p>
    <w:p w14:paraId="1EADBEC0" w14:textId="51C911DF" w:rsidR="008937DE" w:rsidRDefault="007F2430" w:rsidP="008937DE">
      <w:pPr>
        <w:pStyle w:val="BodyText"/>
      </w:pPr>
      <w:r>
        <w:t xml:space="preserve">The </w:t>
      </w:r>
      <w:r w:rsidR="008937DE">
        <w:t xml:space="preserve">Treasury provided </w:t>
      </w:r>
      <w:r w:rsidR="006A29C7">
        <w:t>the commodity price for iron ore, metallurgical c</w:t>
      </w:r>
      <w:r w:rsidR="006A29C7" w:rsidRPr="006A29C7">
        <w:t xml:space="preserve">oal </w:t>
      </w:r>
      <w:r w:rsidR="006A29C7">
        <w:t>and thermal coal as at 2020</w:t>
      </w:r>
      <w:r w:rsidR="006A29C7">
        <w:noBreakHyphen/>
        <w:t>21 </w:t>
      </w:r>
      <w:r w:rsidR="008937DE">
        <w:t>M</w:t>
      </w:r>
      <w:r w:rsidR="002822EF">
        <w:t xml:space="preserve">id-Year </w:t>
      </w:r>
      <w:r w:rsidR="008937DE">
        <w:t>E</w:t>
      </w:r>
      <w:r w:rsidR="002822EF">
        <w:t>con</w:t>
      </w:r>
      <w:r w:rsidR="006D59D3">
        <w:t>o</w:t>
      </w:r>
      <w:r w:rsidR="002822EF">
        <w:t xml:space="preserve">mic </w:t>
      </w:r>
      <w:r w:rsidR="008937DE">
        <w:t>F</w:t>
      </w:r>
      <w:r w:rsidR="002822EF">
        <w:t xml:space="preserve">iscal </w:t>
      </w:r>
      <w:r w:rsidR="008937DE">
        <w:t>O</w:t>
      </w:r>
      <w:r w:rsidR="002822EF">
        <w:t>utlook</w:t>
      </w:r>
      <w:r w:rsidR="008937DE">
        <w:t>.</w:t>
      </w:r>
    </w:p>
    <w:p w14:paraId="0A7B8F31" w14:textId="77777777" w:rsidR="008937DE" w:rsidRPr="00576993" w:rsidRDefault="008937DE" w:rsidP="008937DE">
      <w:pPr>
        <w:pStyle w:val="BodyText"/>
      </w:pPr>
    </w:p>
    <w:p w14:paraId="4130F5B3" w14:textId="77777777" w:rsidR="0046444F" w:rsidRDefault="0046444F" w:rsidP="00B311BA">
      <w:pPr>
        <w:pStyle w:val="BodyText"/>
        <w:sectPr w:rsidR="0046444F" w:rsidSect="00D8781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</w:p>
    <w:p w14:paraId="0E4E9A47" w14:textId="77777777" w:rsidR="00016D53" w:rsidRDefault="00016D53" w:rsidP="006D4EE3">
      <w:pPr>
        <w:pStyle w:val="Heading8"/>
      </w:pPr>
      <w:r w:rsidRPr="00D014E1">
        <w:lastRenderedPageBreak/>
        <w:t xml:space="preserve">– </w:t>
      </w:r>
      <w:r w:rsidR="003A199B">
        <w:rPr>
          <w:noProof/>
        </w:rPr>
        <w:fldChar w:fldCharType="begin"/>
      </w:r>
      <w:r w:rsidR="003A199B">
        <w:rPr>
          <w:noProof/>
        </w:rPr>
        <w:instrText xml:space="preserve"> STYLEREF  "Name of proposal"  \* MERGEFORMAT </w:instrText>
      </w:r>
      <w:r w:rsidR="003A199B">
        <w:rPr>
          <w:noProof/>
        </w:rPr>
        <w:fldChar w:fldCharType="separate"/>
      </w:r>
      <w:r w:rsidR="006D4EE3" w:rsidRPr="006D4EE3">
        <w:rPr>
          <w:noProof/>
        </w:rPr>
        <w:t>Lost revenue from the original mining tax</w:t>
      </w:r>
      <w:r w:rsidR="003A199B">
        <w:rPr>
          <w:noProof/>
        </w:rPr>
        <w:fldChar w:fldCharType="end"/>
      </w:r>
      <w:r w:rsidR="00326E3E" w:rsidRPr="00D014E1">
        <w:t xml:space="preserve"> – </w:t>
      </w:r>
      <w:r w:rsidRPr="00D014E1">
        <w:t>financial implications</w:t>
      </w:r>
    </w:p>
    <w:p w14:paraId="78814119" w14:textId="464BFBE9" w:rsidR="00503C4C" w:rsidRDefault="00503C4C" w:rsidP="00503C4C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STYLEREF 8 \s </w:instrText>
      </w:r>
      <w:r>
        <w:rPr>
          <w:noProof/>
        </w:rPr>
        <w:fldChar w:fldCharType="separate"/>
      </w:r>
      <w:r>
        <w:rPr>
          <w:noProof/>
        </w:rPr>
        <w:t>A</w:t>
      </w:r>
      <w:r>
        <w:rPr>
          <w:noProof/>
        </w:rPr>
        <w:fldChar w:fldCharType="end"/>
      </w:r>
      <w:r>
        <w:rPr>
          <w:noProof/>
        </w:rPr>
        <w:fldChar w:fldCharType="begin"/>
      </w:r>
      <w:r>
        <w:rPr>
          <w:noProof/>
        </w:rPr>
        <w:instrText xml:space="preserve"> SEQ AppendixTable\s 8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2D239A">
        <w:t xml:space="preserve">: </w:t>
      </w:r>
      <w:r>
        <w:rPr>
          <w:noProof/>
        </w:rPr>
        <w:t>Lost revenue from the original mining tax</w:t>
      </w:r>
      <w:r w:rsidR="00633285">
        <w:rPr>
          <w:noProof/>
        </w:rPr>
        <w:t xml:space="preserve"> </w:t>
      </w:r>
      <w:r>
        <w:t>–</w:t>
      </w:r>
      <w:r>
        <w:rPr>
          <w:rFonts w:hint="eastAsia"/>
          <w:lang w:eastAsia="zh-CN"/>
        </w:rPr>
        <w:t xml:space="preserve"> </w:t>
      </w:r>
      <w:r>
        <w:t>Fiscal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4864" w:type="pct"/>
        <w:tblLayout w:type="fixed"/>
        <w:tblLook w:val="0680" w:firstRow="0" w:lastRow="0" w:firstColumn="1" w:lastColumn="0" w:noHBand="1" w:noVBand="1"/>
      </w:tblPr>
      <w:tblGrid>
        <w:gridCol w:w="2746"/>
        <w:gridCol w:w="765"/>
        <w:gridCol w:w="765"/>
        <w:gridCol w:w="763"/>
        <w:gridCol w:w="763"/>
        <w:gridCol w:w="763"/>
        <w:gridCol w:w="763"/>
        <w:gridCol w:w="763"/>
        <w:gridCol w:w="763"/>
        <w:gridCol w:w="780"/>
      </w:tblGrid>
      <w:tr w:rsidR="000A5AF1" w:rsidRPr="009F2A5C" w14:paraId="29207D2E" w14:textId="77777777" w:rsidTr="000A5AF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shd w:val="clear" w:color="auto" w:fill="A7B2D4" w:themeFill="background2" w:themeFillTint="66"/>
            <w:vAlign w:val="center"/>
          </w:tcPr>
          <w:p w14:paraId="11AB5BD7" w14:textId="77777777" w:rsidR="00503C4C" w:rsidRPr="009F2A5C" w:rsidRDefault="00503C4C" w:rsidP="00503C4C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75EEEF0A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2012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6A554BB7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13</w:t>
            </w: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654699B3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2013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60834948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14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279F4685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2014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24611D5B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15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3CAFF903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2015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45F0B078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16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3DAED744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2016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77852637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4A17F601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2017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14455F1B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18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445E4103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2018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6EF0DE63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2990750D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2019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25E73B95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32E57E06" w14:textId="77777777" w:rsidR="00503C4C" w:rsidRPr="00ED0817" w:rsidRDefault="00503C4C" w:rsidP="00503C4C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Total to 2019</w:t>
            </w:r>
            <w:r w:rsidRPr="00ED0817">
              <w:rPr>
                <w:rFonts w:asciiTheme="minorHAnsi" w:hAnsiTheme="minorHAnsi"/>
                <w:sz w:val="16"/>
                <w:szCs w:val="16"/>
              </w:rPr>
              <w:t>–2</w:t>
            </w: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</w:tr>
      <w:tr w:rsidR="000A5AF1" w:rsidRPr="009F2A5C" w14:paraId="26F85015" w14:textId="77777777" w:rsidTr="00014DF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right w:val="nil"/>
            </w:tcBorders>
            <w:shd w:val="clear" w:color="auto" w:fill="D3D8E9" w:themeFill="background2" w:themeFillTint="33"/>
            <w:vAlign w:val="center"/>
          </w:tcPr>
          <w:p w14:paraId="5E6F0EBF" w14:textId="77777777" w:rsidR="00503C4C" w:rsidRPr="009F2A5C" w:rsidRDefault="00503C4C" w:rsidP="00503C4C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Revenue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6595A8B3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3975C9C6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76CA763C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026DCAC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7DEC9C81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793D01E3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347E5993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6E3F3CD5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right w:val="single" w:sz="8" w:space="0" w:color="788183" w:themeColor="accent6"/>
            </w:tcBorders>
            <w:shd w:val="clear" w:color="auto" w:fill="D3D8E9" w:themeFill="background2" w:themeFillTint="33"/>
            <w:vAlign w:val="center"/>
          </w:tcPr>
          <w:p w14:paraId="0B0DAED1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1F6BDA" w:rsidRPr="009F2A5C" w14:paraId="008C49CF" w14:textId="77777777" w:rsidTr="00144E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vAlign w:val="center"/>
          </w:tcPr>
          <w:p w14:paraId="1F250C66" w14:textId="77777777" w:rsidR="001F6BDA" w:rsidRPr="009F2A5C" w:rsidRDefault="001F6BDA" w:rsidP="001F6B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RSPT</w:t>
            </w:r>
          </w:p>
        </w:tc>
        <w:tc>
          <w:tcPr>
            <w:tcW w:w="397" w:type="pct"/>
          </w:tcPr>
          <w:p w14:paraId="6B596591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1,700.0</w:t>
            </w:r>
          </w:p>
        </w:tc>
        <w:tc>
          <w:tcPr>
            <w:tcW w:w="397" w:type="pct"/>
          </w:tcPr>
          <w:p w14:paraId="5F9A5493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9,300.0</w:t>
            </w:r>
          </w:p>
        </w:tc>
        <w:tc>
          <w:tcPr>
            <w:tcW w:w="396" w:type="pct"/>
          </w:tcPr>
          <w:p w14:paraId="3EAB70A2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2,400.0</w:t>
            </w:r>
          </w:p>
        </w:tc>
        <w:tc>
          <w:tcPr>
            <w:tcW w:w="396" w:type="pct"/>
          </w:tcPr>
          <w:p w14:paraId="520CB989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1,700.0</w:t>
            </w:r>
          </w:p>
        </w:tc>
        <w:tc>
          <w:tcPr>
            <w:tcW w:w="396" w:type="pct"/>
          </w:tcPr>
          <w:p w14:paraId="4D36AFEF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8,500.0</w:t>
            </w:r>
          </w:p>
        </w:tc>
        <w:tc>
          <w:tcPr>
            <w:tcW w:w="396" w:type="pct"/>
          </w:tcPr>
          <w:p w14:paraId="460844A2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13,300.0</w:t>
            </w:r>
          </w:p>
        </w:tc>
        <w:tc>
          <w:tcPr>
            <w:tcW w:w="396" w:type="pct"/>
          </w:tcPr>
          <w:p w14:paraId="463DC867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27,700.0</w:t>
            </w:r>
          </w:p>
        </w:tc>
        <w:tc>
          <w:tcPr>
            <w:tcW w:w="396" w:type="pct"/>
          </w:tcPr>
          <w:p w14:paraId="4B3DF12F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24,900.0</w:t>
            </w:r>
          </w:p>
        </w:tc>
        <w:tc>
          <w:tcPr>
            <w:tcW w:w="405" w:type="pct"/>
          </w:tcPr>
          <w:p w14:paraId="225A62C8" w14:textId="77777777" w:rsidR="001F6BDA" w:rsidRPr="00015A8D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89,600.0</w:t>
            </w:r>
          </w:p>
        </w:tc>
      </w:tr>
      <w:tr w:rsidR="005C79CE" w:rsidRPr="009F2A5C" w14:paraId="16003A52" w14:textId="77777777" w:rsidTr="00144E2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vAlign w:val="center"/>
          </w:tcPr>
          <w:p w14:paraId="20F831B0" w14:textId="77777777" w:rsidR="005C79CE" w:rsidRPr="009F2A5C" w:rsidRDefault="005C79CE" w:rsidP="005C79C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Company tax</w:t>
            </w:r>
          </w:p>
        </w:tc>
        <w:tc>
          <w:tcPr>
            <w:tcW w:w="397" w:type="pct"/>
            <w:vAlign w:val="center"/>
          </w:tcPr>
          <w:p w14:paraId="6C96FC36" w14:textId="352AF947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-360.0</w:t>
            </w:r>
          </w:p>
        </w:tc>
        <w:tc>
          <w:tcPr>
            <w:tcW w:w="397" w:type="pct"/>
            <w:vAlign w:val="center"/>
          </w:tcPr>
          <w:p w14:paraId="77568FB3" w14:textId="2C91FC43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-1,600.0</w:t>
            </w:r>
          </w:p>
        </w:tc>
        <w:tc>
          <w:tcPr>
            <w:tcW w:w="396" w:type="pct"/>
            <w:vAlign w:val="center"/>
          </w:tcPr>
          <w:p w14:paraId="4ED3B3CC" w14:textId="1E41306B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420.0</w:t>
            </w:r>
          </w:p>
        </w:tc>
        <w:tc>
          <w:tcPr>
            <w:tcW w:w="396" w:type="pct"/>
            <w:vAlign w:val="center"/>
          </w:tcPr>
          <w:p w14:paraId="2AA576FF" w14:textId="69816A78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200.0</w:t>
            </w:r>
          </w:p>
        </w:tc>
        <w:tc>
          <w:tcPr>
            <w:tcW w:w="396" w:type="pct"/>
            <w:vAlign w:val="center"/>
          </w:tcPr>
          <w:p w14:paraId="28D2DEF8" w14:textId="02DDF734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-1,410.0</w:t>
            </w:r>
          </w:p>
        </w:tc>
        <w:tc>
          <w:tcPr>
            <w:tcW w:w="396" w:type="pct"/>
            <w:vAlign w:val="center"/>
          </w:tcPr>
          <w:p w14:paraId="3CC08AC3" w14:textId="662A4E14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-2,060.0</w:t>
            </w:r>
          </w:p>
        </w:tc>
        <w:tc>
          <w:tcPr>
            <w:tcW w:w="396" w:type="pct"/>
            <w:vAlign w:val="center"/>
          </w:tcPr>
          <w:p w14:paraId="41983D4C" w14:textId="70CCF9D9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-4,640.0</w:t>
            </w:r>
          </w:p>
        </w:tc>
        <w:tc>
          <w:tcPr>
            <w:tcW w:w="396" w:type="pct"/>
            <w:vAlign w:val="center"/>
          </w:tcPr>
          <w:p w14:paraId="08745A04" w14:textId="6371208C" w:rsidR="005C79CE" w:rsidRPr="001F6BDA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-4,880.0</w:t>
            </w:r>
          </w:p>
        </w:tc>
        <w:tc>
          <w:tcPr>
            <w:tcW w:w="405" w:type="pct"/>
            <w:vAlign w:val="center"/>
          </w:tcPr>
          <w:p w14:paraId="72ADF0EA" w14:textId="7664284B" w:rsidR="005C79CE" w:rsidRPr="00015A8D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-14,310.0</w:t>
            </w:r>
          </w:p>
        </w:tc>
      </w:tr>
      <w:tr w:rsidR="005C79CE" w:rsidRPr="009F2A5C" w14:paraId="503B6ACE" w14:textId="77777777" w:rsidTr="00144E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vAlign w:val="center"/>
          </w:tcPr>
          <w:p w14:paraId="21CA1244" w14:textId="77777777" w:rsidR="005C79CE" w:rsidRPr="009F2A5C" w:rsidRDefault="005C79CE" w:rsidP="005C79CE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revenue</w:t>
            </w:r>
          </w:p>
        </w:tc>
        <w:tc>
          <w:tcPr>
            <w:tcW w:w="397" w:type="pct"/>
            <w:vAlign w:val="center"/>
          </w:tcPr>
          <w:p w14:paraId="602B7033" w14:textId="462C0C4E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1,340.0</w:t>
            </w:r>
          </w:p>
        </w:tc>
        <w:tc>
          <w:tcPr>
            <w:tcW w:w="397" w:type="pct"/>
            <w:vAlign w:val="center"/>
          </w:tcPr>
          <w:p w14:paraId="7D7C48E3" w14:textId="2A1050D4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7,700.0</w:t>
            </w:r>
          </w:p>
        </w:tc>
        <w:tc>
          <w:tcPr>
            <w:tcW w:w="396" w:type="pct"/>
            <w:vAlign w:val="center"/>
          </w:tcPr>
          <w:p w14:paraId="2405300A" w14:textId="5BE3D729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2,820.0</w:t>
            </w:r>
          </w:p>
        </w:tc>
        <w:tc>
          <w:tcPr>
            <w:tcW w:w="396" w:type="pct"/>
            <w:vAlign w:val="center"/>
          </w:tcPr>
          <w:p w14:paraId="7610C7F8" w14:textId="08EEC120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1,900.0</w:t>
            </w:r>
          </w:p>
        </w:tc>
        <w:tc>
          <w:tcPr>
            <w:tcW w:w="396" w:type="pct"/>
            <w:vAlign w:val="center"/>
          </w:tcPr>
          <w:p w14:paraId="7CD47B36" w14:textId="5129D841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7,090.0</w:t>
            </w:r>
          </w:p>
        </w:tc>
        <w:tc>
          <w:tcPr>
            <w:tcW w:w="396" w:type="pct"/>
            <w:vAlign w:val="center"/>
          </w:tcPr>
          <w:p w14:paraId="7E87CC36" w14:textId="12DBE925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11,240.0</w:t>
            </w:r>
          </w:p>
        </w:tc>
        <w:tc>
          <w:tcPr>
            <w:tcW w:w="396" w:type="pct"/>
            <w:vAlign w:val="center"/>
          </w:tcPr>
          <w:p w14:paraId="3AB22EBA" w14:textId="26408538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23,060.0</w:t>
            </w:r>
          </w:p>
        </w:tc>
        <w:tc>
          <w:tcPr>
            <w:tcW w:w="396" w:type="pct"/>
            <w:vAlign w:val="center"/>
          </w:tcPr>
          <w:p w14:paraId="60B759D4" w14:textId="7ABCBF13" w:rsidR="005C79CE" w:rsidRPr="00982C23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20,020.0</w:t>
            </w:r>
          </w:p>
        </w:tc>
        <w:tc>
          <w:tcPr>
            <w:tcW w:w="405" w:type="pct"/>
            <w:vAlign w:val="center"/>
          </w:tcPr>
          <w:p w14:paraId="74FE060F" w14:textId="03FE1562" w:rsidR="005C79CE" w:rsidRPr="00035901" w:rsidRDefault="005C79CE" w:rsidP="005C79CE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035901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75,290.0</w:t>
            </w:r>
          </w:p>
        </w:tc>
      </w:tr>
      <w:tr w:rsidR="000A5AF1" w:rsidRPr="009F2A5C" w14:paraId="7433977B" w14:textId="77777777" w:rsidTr="00014DF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127D3655" w14:textId="77777777" w:rsidR="00503C4C" w:rsidRPr="009F2A5C" w:rsidRDefault="00503C4C" w:rsidP="00503C4C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Expenses</w:t>
            </w:r>
          </w:p>
        </w:tc>
        <w:tc>
          <w:tcPr>
            <w:tcW w:w="397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689A1805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7A985A0B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41C35D38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7EDC05AE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59D2EA55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0B749E1E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13E29335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76361578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bottom w:val="single" w:sz="8" w:space="0" w:color="788183" w:themeColor="accent6"/>
              <w:right w:val="single" w:sz="8" w:space="0" w:color="788183" w:themeColor="accent6"/>
            </w:tcBorders>
            <w:shd w:val="clear" w:color="auto" w:fill="D3D8E9" w:themeFill="background2" w:themeFillTint="33"/>
            <w:vAlign w:val="center"/>
          </w:tcPr>
          <w:p w14:paraId="13E285CC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503C4C" w:rsidRPr="009F2A5C" w14:paraId="18798776" w14:textId="77777777" w:rsidTr="00014DF5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right w:val="nil"/>
            </w:tcBorders>
            <w:vAlign w:val="center"/>
          </w:tcPr>
          <w:p w14:paraId="7A47489C" w14:textId="77777777" w:rsidR="00503C4C" w:rsidRPr="009F2A5C" w:rsidRDefault="00503C4C" w:rsidP="00503C4C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Administered</w:t>
            </w:r>
          </w:p>
        </w:tc>
        <w:tc>
          <w:tcPr>
            <w:tcW w:w="397" w:type="pct"/>
            <w:tcBorders>
              <w:left w:val="nil"/>
              <w:right w:val="nil"/>
            </w:tcBorders>
            <w:vAlign w:val="center"/>
          </w:tcPr>
          <w:p w14:paraId="1BB97D7D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bottom w:val="single" w:sz="4" w:space="0" w:color="788183" w:themeColor="accent6"/>
              <w:right w:val="nil"/>
            </w:tcBorders>
            <w:vAlign w:val="center"/>
          </w:tcPr>
          <w:p w14:paraId="360FDEC8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19E2653E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1D52B30C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08AB9DB1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3ACD49F8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709B918C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1B2B9BA0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right w:val="single" w:sz="8" w:space="0" w:color="788183" w:themeColor="accent6"/>
            </w:tcBorders>
            <w:vAlign w:val="center"/>
          </w:tcPr>
          <w:p w14:paraId="72FE1506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F6BDA" w:rsidRPr="009F2A5C" w14:paraId="0DE4CA93" w14:textId="77777777" w:rsidTr="00144E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vAlign w:val="center"/>
          </w:tcPr>
          <w:p w14:paraId="094E6C26" w14:textId="77777777" w:rsidR="001F6BDA" w:rsidRPr="009F2A5C" w:rsidRDefault="001F6BDA" w:rsidP="001F6B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 w:rsidRPr="007C4A7B">
              <w:rPr>
                <w:rFonts w:asciiTheme="minorHAnsi" w:hAnsiTheme="minorHAnsi"/>
                <w:i/>
                <w:noProof/>
                <w:sz w:val="16"/>
                <w:szCs w:val="16"/>
              </w:rPr>
              <w:t>Refundable credit</w:t>
            </w: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s</w:t>
            </w:r>
            <w:r w:rsidRPr="007C4A7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for state royalties</w:t>
            </w:r>
          </w:p>
        </w:tc>
        <w:tc>
          <w:tcPr>
            <w:tcW w:w="397" w:type="pct"/>
          </w:tcPr>
          <w:p w14:paraId="20979CB6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-1,700.0</w:t>
            </w:r>
          </w:p>
        </w:tc>
        <w:tc>
          <w:tcPr>
            <w:tcW w:w="397" w:type="pct"/>
            <w:tcBorders>
              <w:top w:val="single" w:sz="4" w:space="0" w:color="788183" w:themeColor="accent6"/>
            </w:tcBorders>
          </w:tcPr>
          <w:p w14:paraId="7363C0B7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-6,200.0</w:t>
            </w:r>
          </w:p>
        </w:tc>
        <w:tc>
          <w:tcPr>
            <w:tcW w:w="396" w:type="pct"/>
          </w:tcPr>
          <w:p w14:paraId="54E51B13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-2,400.0</w:t>
            </w:r>
          </w:p>
        </w:tc>
        <w:tc>
          <w:tcPr>
            <w:tcW w:w="396" w:type="pct"/>
          </w:tcPr>
          <w:p w14:paraId="744C85A3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-1,700.0</w:t>
            </w:r>
          </w:p>
        </w:tc>
        <w:tc>
          <w:tcPr>
            <w:tcW w:w="396" w:type="pct"/>
          </w:tcPr>
          <w:p w14:paraId="36AFA0F9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-5,100.0</w:t>
            </w:r>
          </w:p>
        </w:tc>
        <w:tc>
          <w:tcPr>
            <w:tcW w:w="396" w:type="pct"/>
          </w:tcPr>
          <w:p w14:paraId="0ABF3385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-7,900.0</w:t>
            </w:r>
          </w:p>
        </w:tc>
        <w:tc>
          <w:tcPr>
            <w:tcW w:w="396" w:type="pct"/>
          </w:tcPr>
          <w:p w14:paraId="64283E98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-9,300.0</w:t>
            </w:r>
          </w:p>
        </w:tc>
        <w:tc>
          <w:tcPr>
            <w:tcW w:w="396" w:type="pct"/>
          </w:tcPr>
          <w:p w14:paraId="76F63FC8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-7,800.0</w:t>
            </w:r>
          </w:p>
        </w:tc>
        <w:tc>
          <w:tcPr>
            <w:tcW w:w="405" w:type="pct"/>
          </w:tcPr>
          <w:p w14:paraId="5FF9D171" w14:textId="77777777" w:rsidR="001F6BDA" w:rsidRPr="00015A8D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-42,100.0</w:t>
            </w:r>
          </w:p>
        </w:tc>
      </w:tr>
      <w:tr w:rsidR="00503C4C" w:rsidRPr="009F2A5C" w14:paraId="1A28352D" w14:textId="77777777" w:rsidTr="00014DF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tcBorders>
              <w:right w:val="nil"/>
            </w:tcBorders>
            <w:vAlign w:val="center"/>
          </w:tcPr>
          <w:p w14:paraId="1D3C19CF" w14:textId="77777777" w:rsidR="00503C4C" w:rsidRPr="009F2A5C" w:rsidRDefault="00503C4C" w:rsidP="00503C4C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Departmental</w:t>
            </w:r>
          </w:p>
        </w:tc>
        <w:tc>
          <w:tcPr>
            <w:tcW w:w="397" w:type="pct"/>
            <w:tcBorders>
              <w:left w:val="nil"/>
              <w:right w:val="nil"/>
            </w:tcBorders>
            <w:vAlign w:val="center"/>
          </w:tcPr>
          <w:p w14:paraId="25B6DAB7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right w:val="nil"/>
            </w:tcBorders>
            <w:vAlign w:val="center"/>
          </w:tcPr>
          <w:p w14:paraId="72F16104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3123BBAF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42E3EB56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3CC81603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63014DC6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44119938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722FCF95" w14:textId="77777777" w:rsidR="00503C4C" w:rsidRPr="009F2A5C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right w:val="single" w:sz="8" w:space="0" w:color="788183" w:themeColor="accent6"/>
            </w:tcBorders>
            <w:vAlign w:val="center"/>
          </w:tcPr>
          <w:p w14:paraId="2F3B89F4" w14:textId="77777777" w:rsidR="00503C4C" w:rsidRPr="00035901" w:rsidRDefault="00503C4C" w:rsidP="00503C4C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7C4A7B" w:rsidRPr="009F2A5C" w14:paraId="572B050E" w14:textId="77777777" w:rsidTr="00144E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vAlign w:val="center"/>
          </w:tcPr>
          <w:p w14:paraId="138CC988" w14:textId="77777777" w:rsidR="007C4A7B" w:rsidRPr="0069586F" w:rsidRDefault="007C4A7B" w:rsidP="007C4A7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Australian Taxation Office</w:t>
            </w:r>
          </w:p>
        </w:tc>
        <w:tc>
          <w:tcPr>
            <w:tcW w:w="397" w:type="pct"/>
          </w:tcPr>
          <w:p w14:paraId="1B1C1324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-37.8</w:t>
            </w:r>
          </w:p>
        </w:tc>
        <w:tc>
          <w:tcPr>
            <w:tcW w:w="397" w:type="pct"/>
          </w:tcPr>
          <w:p w14:paraId="1F17106A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52DD7F29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16641AC5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1963A700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1F0A5DA7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6BB7A16A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7EB83FDD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405" w:type="pct"/>
          </w:tcPr>
          <w:p w14:paraId="7D76F1E6" w14:textId="77777777" w:rsidR="007C4A7B" w:rsidRPr="00015A8D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-228.9</w:t>
            </w:r>
          </w:p>
        </w:tc>
      </w:tr>
      <w:tr w:rsidR="001F6BDA" w:rsidRPr="009F2A5C" w14:paraId="4F4E67AA" w14:textId="77777777" w:rsidTr="00144E21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vAlign w:val="center"/>
          </w:tcPr>
          <w:p w14:paraId="286DD7B5" w14:textId="77777777" w:rsidR="001F6BDA" w:rsidRPr="009F2A5C" w:rsidRDefault="001F6BDA" w:rsidP="001F6B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>Total – expenses</w:t>
            </w:r>
          </w:p>
        </w:tc>
        <w:tc>
          <w:tcPr>
            <w:tcW w:w="397" w:type="pct"/>
          </w:tcPr>
          <w:p w14:paraId="18F90AA1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-1,737.8</w:t>
            </w:r>
          </w:p>
        </w:tc>
        <w:tc>
          <w:tcPr>
            <w:tcW w:w="397" w:type="pct"/>
          </w:tcPr>
          <w:p w14:paraId="25198E18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-6,227.3</w:t>
            </w:r>
          </w:p>
        </w:tc>
        <w:tc>
          <w:tcPr>
            <w:tcW w:w="396" w:type="pct"/>
          </w:tcPr>
          <w:p w14:paraId="606CECC2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-2,427.3</w:t>
            </w:r>
          </w:p>
        </w:tc>
        <w:tc>
          <w:tcPr>
            <w:tcW w:w="396" w:type="pct"/>
          </w:tcPr>
          <w:p w14:paraId="4DC3B79A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-1,727.3</w:t>
            </w:r>
          </w:p>
        </w:tc>
        <w:tc>
          <w:tcPr>
            <w:tcW w:w="396" w:type="pct"/>
          </w:tcPr>
          <w:p w14:paraId="686762B7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-5,127.3</w:t>
            </w:r>
          </w:p>
        </w:tc>
        <w:tc>
          <w:tcPr>
            <w:tcW w:w="396" w:type="pct"/>
          </w:tcPr>
          <w:p w14:paraId="6142E32A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-7,927.3</w:t>
            </w:r>
          </w:p>
        </w:tc>
        <w:tc>
          <w:tcPr>
            <w:tcW w:w="396" w:type="pct"/>
          </w:tcPr>
          <w:p w14:paraId="5E11B68C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-9,327.3</w:t>
            </w:r>
          </w:p>
        </w:tc>
        <w:tc>
          <w:tcPr>
            <w:tcW w:w="396" w:type="pct"/>
          </w:tcPr>
          <w:p w14:paraId="6894EF1A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-7,827.3</w:t>
            </w:r>
          </w:p>
        </w:tc>
        <w:tc>
          <w:tcPr>
            <w:tcW w:w="405" w:type="pct"/>
          </w:tcPr>
          <w:p w14:paraId="34A594E8" w14:textId="77777777" w:rsidR="001F6BDA" w:rsidRPr="00035901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035901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-42,328.9</w:t>
            </w:r>
          </w:p>
        </w:tc>
      </w:tr>
      <w:tr w:rsidR="000A5AF1" w:rsidRPr="009F2A5C" w14:paraId="4C8F604F" w14:textId="77777777" w:rsidTr="000A5AF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pct"/>
            <w:shd w:val="clear" w:color="auto" w:fill="A7B2D4" w:themeFill="background2" w:themeFillTint="66"/>
            <w:vAlign w:val="center"/>
          </w:tcPr>
          <w:p w14:paraId="0DEBC75E" w14:textId="77777777" w:rsidR="00866A11" w:rsidRPr="009F2A5C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294C1620" w14:textId="2A338970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-397.8</w:t>
            </w: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66F98D35" w14:textId="40CBB4DF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1,472.7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0EAB2451" w14:textId="66C09DB2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392.7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569CE6C8" w14:textId="5E0AB0ED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172.7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5C4E58B4" w14:textId="356030CA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1,962.7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44ADC742" w14:textId="1B359C0E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3,312.7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59C20EF5" w14:textId="7A04DBD7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13,732.7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04C4C0FF" w14:textId="77388BC2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12,192.7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0B2CB102" w14:textId="43795C10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32,961.1</w:t>
            </w:r>
          </w:p>
        </w:tc>
      </w:tr>
    </w:tbl>
    <w:p w14:paraId="336E9496" w14:textId="77777777" w:rsidR="00503C4C" w:rsidRPr="00816E26" w:rsidRDefault="00503C4C" w:rsidP="00503C4C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(a)</w:t>
      </w:r>
      <w:r w:rsidRPr="00816E26">
        <w:rPr>
          <w:spacing w:val="-1"/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</w:t>
      </w:r>
    </w:p>
    <w:p w14:paraId="344708D2" w14:textId="77777777" w:rsidR="00503C4C" w:rsidRPr="00816E26" w:rsidRDefault="00503C4C" w:rsidP="00503C4C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(b)</w:t>
      </w:r>
      <w:r w:rsidRPr="00816E26">
        <w:rPr>
          <w:spacing w:val="-1"/>
          <w:sz w:val="16"/>
          <w:szCs w:val="16"/>
        </w:rPr>
        <w:tab/>
        <w:t>Figures may not sum to totals due to rounding.</w:t>
      </w:r>
    </w:p>
    <w:p w14:paraId="0418C940" w14:textId="05529AFA" w:rsidR="00503C4C" w:rsidRPr="00503C4C" w:rsidRDefault="00503C4C" w:rsidP="00503C4C">
      <w:pPr>
        <w:pStyle w:val="BodyText"/>
      </w:pPr>
    </w:p>
    <w:p w14:paraId="45ED434A" w14:textId="77777777" w:rsidR="007C4A7B" w:rsidRDefault="007C4A7B" w:rsidP="007C4A7B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STYLEREF 8 \s </w:instrText>
      </w:r>
      <w:r>
        <w:rPr>
          <w:noProof/>
        </w:rPr>
        <w:fldChar w:fldCharType="separate"/>
      </w:r>
      <w:r>
        <w:rPr>
          <w:noProof/>
        </w:rPr>
        <w:t>A</w:t>
      </w:r>
      <w:r>
        <w:rPr>
          <w:noProof/>
        </w:rPr>
        <w:fldChar w:fldCharType="end"/>
      </w:r>
      <w:r>
        <w:rPr>
          <w:noProof/>
        </w:rPr>
        <w:t>2</w:t>
      </w:r>
      <w:r w:rsidRPr="002D239A">
        <w:t xml:space="preserve">: </w:t>
      </w:r>
      <w:r>
        <w:rPr>
          <w:noProof/>
        </w:rPr>
        <w:t>Lost revenue from the original mining tax</w:t>
      </w:r>
      <w:r>
        <w:t>–</w:t>
      </w:r>
      <w:r>
        <w:rPr>
          <w:rFonts w:hint="eastAsia"/>
          <w:lang w:eastAsia="zh-CN"/>
        </w:rPr>
        <w:t xml:space="preserve"> </w:t>
      </w:r>
      <w:r>
        <w:t>Underlying cash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4903" w:type="pct"/>
        <w:tblLayout w:type="fixed"/>
        <w:tblLook w:val="0680" w:firstRow="0" w:lastRow="0" w:firstColumn="1" w:lastColumn="0" w:noHBand="1" w:noVBand="1"/>
      </w:tblPr>
      <w:tblGrid>
        <w:gridCol w:w="2770"/>
        <w:gridCol w:w="771"/>
        <w:gridCol w:w="771"/>
        <w:gridCol w:w="769"/>
        <w:gridCol w:w="769"/>
        <w:gridCol w:w="769"/>
        <w:gridCol w:w="769"/>
        <w:gridCol w:w="769"/>
        <w:gridCol w:w="769"/>
        <w:gridCol w:w="785"/>
      </w:tblGrid>
      <w:tr w:rsidR="000A5AF1" w:rsidRPr="009F2A5C" w14:paraId="59522CDA" w14:textId="77777777" w:rsidTr="00144E21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A7B2D4" w:themeFill="background2" w:themeFillTint="66"/>
            <w:vAlign w:val="center"/>
          </w:tcPr>
          <w:p w14:paraId="3A3B39B6" w14:textId="77777777" w:rsidR="007C4A7B" w:rsidRPr="009F2A5C" w:rsidRDefault="007C4A7B" w:rsidP="007C4A7B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0D21CE11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2012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64EB1892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13</w:t>
            </w: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2A1A944C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2013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58B7F9BB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14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24F457C6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2014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4CD7FC6E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15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14FBD5F7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2015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1C4C1B95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16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2ECAD51C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2016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365E4C91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5AAC35C2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2017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1B974093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18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14950CDD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2018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351B3C5F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70E7EA4A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2019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14:paraId="0C141AA9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7A4F8FF2" w14:textId="77777777" w:rsidR="007C4A7B" w:rsidRPr="00ED0817" w:rsidRDefault="007C4A7B" w:rsidP="007C4A7B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Total to 2019</w:t>
            </w:r>
            <w:r w:rsidRPr="00ED0817">
              <w:rPr>
                <w:rFonts w:asciiTheme="minorHAnsi" w:hAnsiTheme="minorHAnsi"/>
                <w:sz w:val="16"/>
                <w:szCs w:val="16"/>
              </w:rPr>
              <w:t>–2</w:t>
            </w: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</w:tr>
      <w:tr w:rsidR="00144E21" w:rsidRPr="009F2A5C" w14:paraId="44FE6283" w14:textId="77777777" w:rsidTr="00014DF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tcBorders>
              <w:right w:val="nil"/>
            </w:tcBorders>
            <w:shd w:val="clear" w:color="auto" w:fill="D3D8E9" w:themeFill="background2" w:themeFillTint="33"/>
            <w:vAlign w:val="center"/>
          </w:tcPr>
          <w:p w14:paraId="408F7D70" w14:textId="77777777" w:rsidR="007C4A7B" w:rsidRPr="009F2A5C" w:rsidRDefault="006A29C7" w:rsidP="007C4A7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Receipts</w:t>
            </w: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BCC0E26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3E47A730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DE5BF0B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1DEE455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6EEA7AD3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3476EAB6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51171DE9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shd w:val="clear" w:color="auto" w:fill="D3D8E9" w:themeFill="background2" w:themeFillTint="33"/>
            <w:vAlign w:val="center"/>
          </w:tcPr>
          <w:p w14:paraId="7EE34CA8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right w:val="single" w:sz="8" w:space="0" w:color="788183" w:themeColor="accent6"/>
            </w:tcBorders>
            <w:shd w:val="clear" w:color="auto" w:fill="D3D8E9" w:themeFill="background2" w:themeFillTint="33"/>
            <w:vAlign w:val="center"/>
          </w:tcPr>
          <w:p w14:paraId="7100C123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0A5AF1" w:rsidRPr="009F2A5C" w14:paraId="1F5BC9C5" w14:textId="77777777" w:rsidTr="000A5AF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E160CBC" w14:textId="77777777" w:rsidR="001F6BDA" w:rsidRPr="009F2A5C" w:rsidRDefault="001F6BDA" w:rsidP="001F6B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RSPT</w:t>
            </w:r>
          </w:p>
        </w:tc>
        <w:tc>
          <w:tcPr>
            <w:tcW w:w="397" w:type="pct"/>
          </w:tcPr>
          <w:p w14:paraId="5EF37DA2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1,300.0</w:t>
            </w:r>
          </w:p>
        </w:tc>
        <w:tc>
          <w:tcPr>
            <w:tcW w:w="397" w:type="pct"/>
          </w:tcPr>
          <w:p w14:paraId="3E279B13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7,400.0</w:t>
            </w:r>
          </w:p>
        </w:tc>
        <w:tc>
          <w:tcPr>
            <w:tcW w:w="396" w:type="pct"/>
          </w:tcPr>
          <w:p w14:paraId="1074FEF9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4,100.0</w:t>
            </w:r>
          </w:p>
        </w:tc>
        <w:tc>
          <w:tcPr>
            <w:tcW w:w="396" w:type="pct"/>
          </w:tcPr>
          <w:p w14:paraId="73664C7A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1,800.0</w:t>
            </w:r>
          </w:p>
        </w:tc>
        <w:tc>
          <w:tcPr>
            <w:tcW w:w="396" w:type="pct"/>
          </w:tcPr>
          <w:p w14:paraId="3690E31A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6,800.0</w:t>
            </w:r>
          </w:p>
        </w:tc>
        <w:tc>
          <w:tcPr>
            <w:tcW w:w="396" w:type="pct"/>
          </w:tcPr>
          <w:p w14:paraId="6F651CCE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12,100.0</w:t>
            </w:r>
          </w:p>
        </w:tc>
        <w:tc>
          <w:tcPr>
            <w:tcW w:w="396" w:type="pct"/>
          </w:tcPr>
          <w:p w14:paraId="150F0C2A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24,100.0</w:t>
            </w:r>
          </w:p>
        </w:tc>
        <w:tc>
          <w:tcPr>
            <w:tcW w:w="396" w:type="pct"/>
          </w:tcPr>
          <w:p w14:paraId="7D526E83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25,600.0</w:t>
            </w:r>
          </w:p>
        </w:tc>
        <w:tc>
          <w:tcPr>
            <w:tcW w:w="405" w:type="pct"/>
          </w:tcPr>
          <w:p w14:paraId="5E668DD3" w14:textId="77777777" w:rsidR="001F6BDA" w:rsidRPr="00015A8D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83,400.0</w:t>
            </w:r>
          </w:p>
        </w:tc>
      </w:tr>
      <w:tr w:rsidR="000A5AF1" w:rsidRPr="009F2A5C" w14:paraId="492E4E40" w14:textId="77777777" w:rsidTr="000A5AF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58568C" w14:textId="77777777" w:rsidR="00866A11" w:rsidRPr="009F2A5C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Company tax</w:t>
            </w:r>
          </w:p>
        </w:tc>
        <w:tc>
          <w:tcPr>
            <w:tcW w:w="397" w:type="pct"/>
            <w:vAlign w:val="center"/>
          </w:tcPr>
          <w:p w14:paraId="1AFCF362" w14:textId="10D53245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-360.0</w:t>
            </w:r>
          </w:p>
        </w:tc>
        <w:tc>
          <w:tcPr>
            <w:tcW w:w="397" w:type="pct"/>
            <w:vAlign w:val="center"/>
          </w:tcPr>
          <w:p w14:paraId="7511A4C1" w14:textId="4B69D1BA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-1,600.0</w:t>
            </w:r>
          </w:p>
        </w:tc>
        <w:tc>
          <w:tcPr>
            <w:tcW w:w="396" w:type="pct"/>
            <w:vAlign w:val="center"/>
          </w:tcPr>
          <w:p w14:paraId="40EA7C1F" w14:textId="46F110A3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420.0</w:t>
            </w:r>
          </w:p>
        </w:tc>
        <w:tc>
          <w:tcPr>
            <w:tcW w:w="396" w:type="pct"/>
            <w:vAlign w:val="center"/>
          </w:tcPr>
          <w:p w14:paraId="7EA87C69" w14:textId="1DDA1302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200.0</w:t>
            </w:r>
          </w:p>
        </w:tc>
        <w:tc>
          <w:tcPr>
            <w:tcW w:w="396" w:type="pct"/>
            <w:vAlign w:val="center"/>
          </w:tcPr>
          <w:p w14:paraId="20B9CF78" w14:textId="7C6C0C45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-1,410.0</w:t>
            </w:r>
          </w:p>
        </w:tc>
        <w:tc>
          <w:tcPr>
            <w:tcW w:w="396" w:type="pct"/>
            <w:vAlign w:val="center"/>
          </w:tcPr>
          <w:p w14:paraId="1358E3DF" w14:textId="55077A66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-2,060.0</w:t>
            </w:r>
          </w:p>
        </w:tc>
        <w:tc>
          <w:tcPr>
            <w:tcW w:w="396" w:type="pct"/>
            <w:vAlign w:val="center"/>
          </w:tcPr>
          <w:p w14:paraId="542A9B1B" w14:textId="70E85567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-4,640.0</w:t>
            </w:r>
          </w:p>
        </w:tc>
        <w:tc>
          <w:tcPr>
            <w:tcW w:w="396" w:type="pct"/>
            <w:vAlign w:val="center"/>
          </w:tcPr>
          <w:p w14:paraId="018D4463" w14:textId="422AB772" w:rsidR="00866A11" w:rsidRPr="001F6BDA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866A11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-4,880.0</w:t>
            </w:r>
          </w:p>
        </w:tc>
        <w:tc>
          <w:tcPr>
            <w:tcW w:w="405" w:type="pct"/>
            <w:vAlign w:val="center"/>
          </w:tcPr>
          <w:p w14:paraId="23853AD2" w14:textId="6D76A160" w:rsidR="00866A11" w:rsidRPr="00015A8D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-14,310.0</w:t>
            </w:r>
          </w:p>
        </w:tc>
      </w:tr>
      <w:tr w:rsidR="000A5AF1" w:rsidRPr="009F2A5C" w14:paraId="1C1966FF" w14:textId="77777777" w:rsidTr="000A5AF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07CC8EE" w14:textId="77777777" w:rsidR="00866A11" w:rsidRPr="009F2A5C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 – receipts</w:t>
            </w:r>
          </w:p>
        </w:tc>
        <w:tc>
          <w:tcPr>
            <w:tcW w:w="397" w:type="pct"/>
            <w:vAlign w:val="center"/>
          </w:tcPr>
          <w:p w14:paraId="1E34FBD3" w14:textId="296E7FC2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940.0</w:t>
            </w:r>
          </w:p>
        </w:tc>
        <w:tc>
          <w:tcPr>
            <w:tcW w:w="397" w:type="pct"/>
            <w:vAlign w:val="center"/>
          </w:tcPr>
          <w:p w14:paraId="71AD8B51" w14:textId="0B87CEA4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5,800.0</w:t>
            </w:r>
          </w:p>
        </w:tc>
        <w:tc>
          <w:tcPr>
            <w:tcW w:w="396" w:type="pct"/>
            <w:vAlign w:val="center"/>
          </w:tcPr>
          <w:p w14:paraId="29C68F13" w14:textId="02DA73C3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4,520.0</w:t>
            </w:r>
          </w:p>
        </w:tc>
        <w:tc>
          <w:tcPr>
            <w:tcW w:w="396" w:type="pct"/>
            <w:vAlign w:val="center"/>
          </w:tcPr>
          <w:p w14:paraId="416B8E10" w14:textId="03BB7C9F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2,000.0</w:t>
            </w:r>
          </w:p>
        </w:tc>
        <w:tc>
          <w:tcPr>
            <w:tcW w:w="396" w:type="pct"/>
            <w:vAlign w:val="center"/>
          </w:tcPr>
          <w:p w14:paraId="5635E490" w14:textId="403F3BAB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5,390.0</w:t>
            </w:r>
          </w:p>
        </w:tc>
        <w:tc>
          <w:tcPr>
            <w:tcW w:w="396" w:type="pct"/>
            <w:vAlign w:val="center"/>
          </w:tcPr>
          <w:p w14:paraId="6C8E3F9A" w14:textId="5375959E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10,040.0</w:t>
            </w:r>
          </w:p>
        </w:tc>
        <w:tc>
          <w:tcPr>
            <w:tcW w:w="396" w:type="pct"/>
            <w:vAlign w:val="center"/>
          </w:tcPr>
          <w:p w14:paraId="282AE83D" w14:textId="639B6AA2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19,460.0</w:t>
            </w:r>
          </w:p>
        </w:tc>
        <w:tc>
          <w:tcPr>
            <w:tcW w:w="396" w:type="pct"/>
            <w:vAlign w:val="center"/>
          </w:tcPr>
          <w:p w14:paraId="111C3837" w14:textId="064128B9" w:rsidR="00866A11" w:rsidRPr="00982C23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20,720.0</w:t>
            </w:r>
          </w:p>
        </w:tc>
        <w:tc>
          <w:tcPr>
            <w:tcW w:w="405" w:type="pct"/>
            <w:vAlign w:val="center"/>
          </w:tcPr>
          <w:p w14:paraId="02A55779" w14:textId="52F3A1BD" w:rsidR="00866A11" w:rsidRPr="00035901" w:rsidRDefault="00866A11" w:rsidP="00866A11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035901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69,090.0</w:t>
            </w:r>
          </w:p>
        </w:tc>
      </w:tr>
      <w:tr w:rsidR="00144E21" w:rsidRPr="009F2A5C" w14:paraId="5FE094A9" w14:textId="77777777" w:rsidTr="00014DF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tcBorders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1590F44C" w14:textId="77777777" w:rsidR="007C4A7B" w:rsidRPr="009F2A5C" w:rsidRDefault="006A29C7" w:rsidP="007C4A7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Payments</w:t>
            </w:r>
          </w:p>
        </w:tc>
        <w:tc>
          <w:tcPr>
            <w:tcW w:w="397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74F8BFCD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05E32485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75FCBE55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7C1EAFAC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40464FCC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647017C1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3B4C2E5D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bottom w:val="single" w:sz="8" w:space="0" w:color="788183" w:themeColor="accent6"/>
              <w:right w:val="nil"/>
            </w:tcBorders>
            <w:shd w:val="clear" w:color="auto" w:fill="D3D8E9" w:themeFill="background2" w:themeFillTint="33"/>
            <w:vAlign w:val="center"/>
          </w:tcPr>
          <w:p w14:paraId="749B8B29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 w:val="0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bottom w:val="single" w:sz="8" w:space="0" w:color="788183" w:themeColor="accent6"/>
              <w:right w:val="single" w:sz="8" w:space="0" w:color="788183" w:themeColor="accent6"/>
            </w:tcBorders>
            <w:shd w:val="clear" w:color="auto" w:fill="D3D8E9" w:themeFill="background2" w:themeFillTint="33"/>
            <w:vAlign w:val="center"/>
          </w:tcPr>
          <w:p w14:paraId="0E369AE2" w14:textId="77777777" w:rsidR="007C4A7B" w:rsidRPr="00035901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0A5AF1" w:rsidRPr="009F2A5C" w14:paraId="2F0C6EF9" w14:textId="77777777" w:rsidTr="00014DF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tcBorders>
              <w:right w:val="nil"/>
            </w:tcBorders>
            <w:vAlign w:val="center"/>
          </w:tcPr>
          <w:p w14:paraId="45B3F8F3" w14:textId="77777777" w:rsidR="007C4A7B" w:rsidRPr="009F2A5C" w:rsidRDefault="007C4A7B" w:rsidP="007C4A7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Administered</w:t>
            </w:r>
          </w:p>
        </w:tc>
        <w:tc>
          <w:tcPr>
            <w:tcW w:w="397" w:type="pct"/>
            <w:tcBorders>
              <w:left w:val="nil"/>
              <w:right w:val="nil"/>
            </w:tcBorders>
            <w:vAlign w:val="center"/>
          </w:tcPr>
          <w:p w14:paraId="24626F26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bottom w:val="single" w:sz="4" w:space="0" w:color="788183" w:themeColor="accent6"/>
              <w:right w:val="nil"/>
            </w:tcBorders>
            <w:vAlign w:val="center"/>
          </w:tcPr>
          <w:p w14:paraId="6F4EDBB8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3F5016A8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7E820BC3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5E0A24C9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4632110E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09C51E5B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6A2A3B7C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right w:val="single" w:sz="8" w:space="0" w:color="788183" w:themeColor="accent6"/>
            </w:tcBorders>
            <w:vAlign w:val="center"/>
          </w:tcPr>
          <w:p w14:paraId="7138E740" w14:textId="77777777" w:rsidR="007C4A7B" w:rsidRPr="00035901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0A5AF1" w:rsidRPr="009F2A5C" w14:paraId="37F11CD6" w14:textId="77777777" w:rsidTr="000A5AF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B0A0F84" w14:textId="77777777" w:rsidR="001F6BDA" w:rsidRPr="009F2A5C" w:rsidRDefault="001F6BDA" w:rsidP="001F6B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 w:rsidRPr="007C4A7B">
              <w:rPr>
                <w:rFonts w:asciiTheme="minorHAnsi" w:hAnsiTheme="minorHAnsi"/>
                <w:i/>
                <w:noProof/>
                <w:sz w:val="16"/>
                <w:szCs w:val="16"/>
              </w:rPr>
              <w:t>Refundable credit</w:t>
            </w:r>
            <w:r>
              <w:rPr>
                <w:rFonts w:asciiTheme="minorHAnsi" w:hAnsiTheme="minorHAnsi"/>
                <w:i/>
                <w:noProof/>
                <w:sz w:val="16"/>
                <w:szCs w:val="16"/>
              </w:rPr>
              <w:t>s</w:t>
            </w:r>
            <w:r w:rsidRPr="007C4A7B">
              <w:rPr>
                <w:rFonts w:asciiTheme="minorHAnsi" w:hAnsiTheme="minorHAnsi"/>
                <w:i/>
                <w:noProof/>
                <w:sz w:val="16"/>
                <w:szCs w:val="16"/>
              </w:rPr>
              <w:t xml:space="preserve"> for state royalties</w:t>
            </w:r>
          </w:p>
        </w:tc>
        <w:tc>
          <w:tcPr>
            <w:tcW w:w="397" w:type="pct"/>
          </w:tcPr>
          <w:p w14:paraId="1C01F241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97" w:type="pct"/>
            <w:tcBorders>
              <w:top w:val="single" w:sz="4" w:space="0" w:color="788183" w:themeColor="accent6"/>
            </w:tcBorders>
          </w:tcPr>
          <w:p w14:paraId="11B75D0A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-1,700.0</w:t>
            </w:r>
          </w:p>
        </w:tc>
        <w:tc>
          <w:tcPr>
            <w:tcW w:w="396" w:type="pct"/>
          </w:tcPr>
          <w:p w14:paraId="42790FAA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-6,200.0</w:t>
            </w:r>
          </w:p>
        </w:tc>
        <w:tc>
          <w:tcPr>
            <w:tcW w:w="396" w:type="pct"/>
          </w:tcPr>
          <w:p w14:paraId="395ACE17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-2,400.0</w:t>
            </w:r>
          </w:p>
        </w:tc>
        <w:tc>
          <w:tcPr>
            <w:tcW w:w="396" w:type="pct"/>
          </w:tcPr>
          <w:p w14:paraId="6BA12052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-1,700.0</w:t>
            </w:r>
          </w:p>
        </w:tc>
        <w:tc>
          <w:tcPr>
            <w:tcW w:w="396" w:type="pct"/>
          </w:tcPr>
          <w:p w14:paraId="1F61CD12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-5,100.0</w:t>
            </w:r>
          </w:p>
        </w:tc>
        <w:tc>
          <w:tcPr>
            <w:tcW w:w="396" w:type="pct"/>
          </w:tcPr>
          <w:p w14:paraId="0604F8F2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-7,900.0</w:t>
            </w:r>
          </w:p>
        </w:tc>
        <w:tc>
          <w:tcPr>
            <w:tcW w:w="396" w:type="pct"/>
          </w:tcPr>
          <w:p w14:paraId="07CF0162" w14:textId="77777777" w:rsidR="001F6BDA" w:rsidRPr="001F6BDA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1F6BD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-9,300.0</w:t>
            </w:r>
          </w:p>
        </w:tc>
        <w:tc>
          <w:tcPr>
            <w:tcW w:w="405" w:type="pct"/>
          </w:tcPr>
          <w:p w14:paraId="2B74B92F" w14:textId="77777777" w:rsidR="001F6BDA" w:rsidRPr="00035901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035901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34,300.0</w:t>
            </w:r>
          </w:p>
        </w:tc>
      </w:tr>
      <w:tr w:rsidR="000A5AF1" w:rsidRPr="009F2A5C" w14:paraId="2AF2A648" w14:textId="77777777" w:rsidTr="00014DF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tcBorders>
              <w:right w:val="nil"/>
            </w:tcBorders>
            <w:vAlign w:val="center"/>
          </w:tcPr>
          <w:p w14:paraId="37EC12A3" w14:textId="77777777" w:rsidR="007C4A7B" w:rsidRPr="009F2A5C" w:rsidRDefault="007C4A7B" w:rsidP="007C4A7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 w:rsidRPr="009F2A5C">
              <w:rPr>
                <w:rFonts w:asciiTheme="minorHAnsi" w:hAnsiTheme="minorHAnsi"/>
                <w:i/>
                <w:sz w:val="16"/>
                <w:szCs w:val="16"/>
              </w:rPr>
              <w:t>Departmental</w:t>
            </w:r>
          </w:p>
        </w:tc>
        <w:tc>
          <w:tcPr>
            <w:tcW w:w="397" w:type="pct"/>
            <w:tcBorders>
              <w:left w:val="nil"/>
              <w:right w:val="nil"/>
            </w:tcBorders>
            <w:vAlign w:val="center"/>
          </w:tcPr>
          <w:p w14:paraId="7693C955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nil"/>
              <w:right w:val="nil"/>
            </w:tcBorders>
            <w:vAlign w:val="center"/>
          </w:tcPr>
          <w:p w14:paraId="1E9FC515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72586C33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453BDBDC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246E602A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396BEB8C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7C382DDA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pct"/>
            <w:tcBorders>
              <w:left w:val="nil"/>
              <w:right w:val="nil"/>
            </w:tcBorders>
            <w:vAlign w:val="center"/>
          </w:tcPr>
          <w:p w14:paraId="1243F5CA" w14:textId="77777777" w:rsidR="007C4A7B" w:rsidRPr="009F2A5C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nil"/>
              <w:right w:val="single" w:sz="8" w:space="0" w:color="788183" w:themeColor="accent6"/>
            </w:tcBorders>
            <w:vAlign w:val="center"/>
          </w:tcPr>
          <w:p w14:paraId="543907F2" w14:textId="77777777" w:rsidR="007C4A7B" w:rsidRPr="00035901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</w:p>
        </w:tc>
      </w:tr>
      <w:tr w:rsidR="000A5AF1" w:rsidRPr="009F2A5C" w14:paraId="46533F3C" w14:textId="77777777" w:rsidTr="000A5AF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39E1EA0E" w14:textId="77777777" w:rsidR="007C4A7B" w:rsidRPr="0069586F" w:rsidRDefault="007C4A7B" w:rsidP="007C4A7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Australian Taxation Office</w:t>
            </w:r>
          </w:p>
        </w:tc>
        <w:tc>
          <w:tcPr>
            <w:tcW w:w="397" w:type="pct"/>
          </w:tcPr>
          <w:p w14:paraId="2ADCE305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-37.8</w:t>
            </w:r>
          </w:p>
        </w:tc>
        <w:tc>
          <w:tcPr>
            <w:tcW w:w="397" w:type="pct"/>
          </w:tcPr>
          <w:p w14:paraId="76FDF8AD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0839F817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32EF4BEB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21404DBD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3AF31D8F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1BC1BEE2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396" w:type="pct"/>
          </w:tcPr>
          <w:p w14:paraId="72C4A5F6" w14:textId="77777777" w:rsidR="007C4A7B" w:rsidRPr="007C4A7B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7C4A7B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-27.3</w:t>
            </w:r>
          </w:p>
        </w:tc>
        <w:tc>
          <w:tcPr>
            <w:tcW w:w="405" w:type="pct"/>
          </w:tcPr>
          <w:p w14:paraId="7D1FC19A" w14:textId="77777777" w:rsidR="007C4A7B" w:rsidRPr="00015A8D" w:rsidRDefault="007C4A7B" w:rsidP="007C4A7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015A8D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-228.9</w:t>
            </w:r>
          </w:p>
        </w:tc>
      </w:tr>
      <w:tr w:rsidR="000A5AF1" w:rsidRPr="009F2A5C" w14:paraId="54A9482F" w14:textId="77777777" w:rsidTr="000A5AF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2ADB83E" w14:textId="77777777" w:rsidR="001F6BDA" w:rsidRPr="009F2A5C" w:rsidRDefault="001F6BDA" w:rsidP="001F6B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 – payments</w:t>
            </w:r>
          </w:p>
        </w:tc>
        <w:tc>
          <w:tcPr>
            <w:tcW w:w="397" w:type="pct"/>
          </w:tcPr>
          <w:p w14:paraId="5D81D506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-37.8</w:t>
            </w:r>
          </w:p>
        </w:tc>
        <w:tc>
          <w:tcPr>
            <w:tcW w:w="397" w:type="pct"/>
          </w:tcPr>
          <w:p w14:paraId="58D6315B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-1,727.3</w:t>
            </w:r>
          </w:p>
        </w:tc>
        <w:tc>
          <w:tcPr>
            <w:tcW w:w="396" w:type="pct"/>
          </w:tcPr>
          <w:p w14:paraId="2C30494D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-6,227.3</w:t>
            </w:r>
          </w:p>
        </w:tc>
        <w:tc>
          <w:tcPr>
            <w:tcW w:w="396" w:type="pct"/>
          </w:tcPr>
          <w:p w14:paraId="5378CF43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-2,427.3</w:t>
            </w:r>
          </w:p>
        </w:tc>
        <w:tc>
          <w:tcPr>
            <w:tcW w:w="396" w:type="pct"/>
          </w:tcPr>
          <w:p w14:paraId="5CB41155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-1,727.3</w:t>
            </w:r>
          </w:p>
        </w:tc>
        <w:tc>
          <w:tcPr>
            <w:tcW w:w="396" w:type="pct"/>
          </w:tcPr>
          <w:p w14:paraId="0309DB79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-5,127.3</w:t>
            </w:r>
          </w:p>
        </w:tc>
        <w:tc>
          <w:tcPr>
            <w:tcW w:w="396" w:type="pct"/>
          </w:tcPr>
          <w:p w14:paraId="2C357285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-7,927.3</w:t>
            </w:r>
          </w:p>
        </w:tc>
        <w:tc>
          <w:tcPr>
            <w:tcW w:w="396" w:type="pct"/>
          </w:tcPr>
          <w:p w14:paraId="19772FB0" w14:textId="77777777" w:rsidR="001F6BDA" w:rsidRPr="00982C23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982C23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-9,327.3</w:t>
            </w:r>
          </w:p>
        </w:tc>
        <w:tc>
          <w:tcPr>
            <w:tcW w:w="405" w:type="pct"/>
          </w:tcPr>
          <w:p w14:paraId="0C6D357A" w14:textId="77777777" w:rsidR="001F6BDA" w:rsidRPr="00035901" w:rsidRDefault="001F6BDA" w:rsidP="001F6BD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035901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-34,528.9</w:t>
            </w:r>
          </w:p>
        </w:tc>
      </w:tr>
      <w:tr w:rsidR="000A5AF1" w:rsidRPr="009F2A5C" w14:paraId="016A2EDD" w14:textId="77777777" w:rsidTr="00144E2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A7B2D4" w:themeFill="background2" w:themeFillTint="66"/>
            <w:vAlign w:val="center"/>
          </w:tcPr>
          <w:p w14:paraId="7D431C1F" w14:textId="77777777" w:rsidR="00866A11" w:rsidRPr="009F2A5C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129AC46E" w14:textId="439F1C3D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902.2</w:t>
            </w:r>
          </w:p>
        </w:tc>
        <w:tc>
          <w:tcPr>
            <w:tcW w:w="397" w:type="pct"/>
            <w:shd w:val="clear" w:color="auto" w:fill="A7B2D4" w:themeFill="background2" w:themeFillTint="66"/>
            <w:vAlign w:val="center"/>
          </w:tcPr>
          <w:p w14:paraId="566E6A7B" w14:textId="26B0B232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4,072.7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64F7C533" w14:textId="14DB1DC0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-1,707.3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10553189" w14:textId="6A442915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-427.3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2F5A1FD9" w14:textId="2C5D358E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3,662.7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2F84A1D2" w14:textId="35E1567B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4,912.7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0E40D4E7" w14:textId="6C53EE79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11,532.7</w:t>
            </w:r>
          </w:p>
        </w:tc>
        <w:tc>
          <w:tcPr>
            <w:tcW w:w="396" w:type="pct"/>
            <w:shd w:val="clear" w:color="auto" w:fill="A7B2D4" w:themeFill="background2" w:themeFillTint="66"/>
            <w:vAlign w:val="center"/>
          </w:tcPr>
          <w:p w14:paraId="68344CB3" w14:textId="293E4356" w:rsidR="00866A11" w:rsidRPr="001F6BDA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866A11">
              <w:rPr>
                <w:rFonts w:asciiTheme="minorHAnsi" w:hAnsiTheme="minorHAnsi"/>
                <w:b/>
                <w:noProof/>
                <w:sz w:val="15"/>
                <w:szCs w:val="15"/>
              </w:rPr>
              <w:t>11,392.7</w:t>
            </w:r>
          </w:p>
        </w:tc>
        <w:tc>
          <w:tcPr>
            <w:tcW w:w="405" w:type="pct"/>
            <w:shd w:val="clear" w:color="auto" w:fill="A7B2D4" w:themeFill="background2" w:themeFillTint="66"/>
            <w:vAlign w:val="center"/>
          </w:tcPr>
          <w:p w14:paraId="396F645E" w14:textId="182265B9" w:rsidR="00866A11" w:rsidRPr="00035901" w:rsidRDefault="00866A11" w:rsidP="00866A11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035901">
              <w:rPr>
                <w:rFonts w:asciiTheme="minorHAnsi" w:hAnsiTheme="minorHAnsi"/>
                <w:b/>
                <w:noProof/>
                <w:sz w:val="15"/>
                <w:szCs w:val="15"/>
              </w:rPr>
              <w:t>34,561.1</w:t>
            </w:r>
          </w:p>
        </w:tc>
      </w:tr>
    </w:tbl>
    <w:p w14:paraId="6194770D" w14:textId="77777777" w:rsidR="007C4A7B" w:rsidRPr="00816E26" w:rsidRDefault="007C4A7B" w:rsidP="007C4A7B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(a)</w:t>
      </w:r>
      <w:r w:rsidRPr="00816E26">
        <w:rPr>
          <w:spacing w:val="-1"/>
          <w:sz w:val="16"/>
          <w:szCs w:val="16"/>
        </w:rPr>
        <w:tab/>
      </w:r>
      <w:r w:rsidR="006A29C7" w:rsidRPr="00816E26">
        <w:rPr>
          <w:spacing w:val="-1"/>
          <w:sz w:val="16"/>
          <w:szCs w:val="16"/>
        </w:rPr>
        <w:t xml:space="preserve">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14:paraId="17A8125B" w14:textId="77777777" w:rsidR="007C4A7B" w:rsidRPr="00816E26" w:rsidRDefault="007C4A7B" w:rsidP="007C4A7B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(b)</w:t>
      </w:r>
      <w:r w:rsidRPr="00816E26">
        <w:rPr>
          <w:spacing w:val="-1"/>
          <w:sz w:val="16"/>
          <w:szCs w:val="16"/>
        </w:rPr>
        <w:tab/>
        <w:t>Figures may not sum to totals due to rounding.</w:t>
      </w:r>
    </w:p>
    <w:p w14:paraId="25D4E9D4" w14:textId="77777777" w:rsidR="007C4A7B" w:rsidRPr="00816E26" w:rsidRDefault="007C4A7B" w:rsidP="007C4A7B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Indicates nil.</w:t>
      </w:r>
    </w:p>
    <w:p w14:paraId="741B2967" w14:textId="77777777" w:rsidR="00503C4C" w:rsidRDefault="00503C4C" w:rsidP="00564A26">
      <w:pPr>
        <w:pStyle w:val="BodyText"/>
      </w:pPr>
    </w:p>
    <w:p w14:paraId="511047E2" w14:textId="701F6F2B" w:rsidR="00436D5D" w:rsidRDefault="00436D5D">
      <w:pPr>
        <w:rPr>
          <w:rFonts w:cs="Times New Roman"/>
          <w:spacing w:val="-1"/>
        </w:rPr>
      </w:pPr>
      <w:r>
        <w:br w:type="page"/>
      </w:r>
    </w:p>
    <w:p w14:paraId="56A085EC" w14:textId="754D2012" w:rsidR="00436D5D" w:rsidRDefault="00436D5D" w:rsidP="00436D5D">
      <w:pPr>
        <w:pStyle w:val="Heading8"/>
      </w:pPr>
      <w:r w:rsidRPr="00D014E1">
        <w:lastRenderedPageBreak/>
        <w:t xml:space="preserve">– </w:t>
      </w:r>
      <w:r w:rsidRPr="00436D5D">
        <w:t>Lost revenue from the original min</w:t>
      </w:r>
      <w:r>
        <w:t>ing tax –</w:t>
      </w:r>
      <w:r w:rsidR="003C4332">
        <w:t xml:space="preserve"> </w:t>
      </w:r>
      <w:r>
        <w:t>RSPT calculation</w:t>
      </w:r>
    </w:p>
    <w:p w14:paraId="598E03B4" w14:textId="73F6206B" w:rsidR="00436D5D" w:rsidRPr="00485350" w:rsidRDefault="00B64D4E" w:rsidP="00485350">
      <w:pPr>
        <w:pStyle w:val="BodyText"/>
      </w:pPr>
      <w:r w:rsidRPr="00485350">
        <w:t>T</w:t>
      </w:r>
      <w:r w:rsidR="00961202" w:rsidRPr="00485350">
        <w:t xml:space="preserve">he </w:t>
      </w:r>
      <w:r w:rsidR="00436D5D" w:rsidRPr="00485350">
        <w:t xml:space="preserve">RSPT </w:t>
      </w:r>
      <w:r w:rsidR="00961202" w:rsidRPr="00485350">
        <w:t xml:space="preserve">calculation </w:t>
      </w:r>
      <w:r w:rsidRPr="00485350">
        <w:t xml:space="preserve">is illustrated in </w:t>
      </w:r>
      <w:r w:rsidR="003C4332" w:rsidRPr="003C4332">
        <w:rPr>
          <w:u w:val="single"/>
        </w:rPr>
        <w:t>Table B1</w:t>
      </w:r>
      <w:r w:rsidR="00961202" w:rsidRPr="00485350">
        <w:t>.</w:t>
      </w:r>
    </w:p>
    <w:p w14:paraId="39FCDAFB" w14:textId="30379A77" w:rsidR="00961202" w:rsidRDefault="003C4332" w:rsidP="002C6039">
      <w:pPr>
        <w:pStyle w:val="Caption"/>
        <w:spacing w:before="240"/>
      </w:pPr>
      <w:r>
        <w:rPr>
          <w:lang w:val="fr-FR" w:eastAsia="zh-CN"/>
        </w:rPr>
        <w:t>Table B1</w:t>
      </w:r>
      <w:r w:rsidR="00961202" w:rsidRPr="004B25DB">
        <w:rPr>
          <w:lang w:val="fr-FR"/>
        </w:rPr>
        <w:t xml:space="preserve">: </w:t>
      </w:r>
      <w:r w:rsidR="00961202">
        <w:t>Resource Super Profits Tax calculation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93"/>
        <w:gridCol w:w="4253"/>
      </w:tblGrid>
      <w:tr w:rsidR="00961202" w:rsidRPr="00961202" w14:paraId="3C711EEA" w14:textId="77777777" w:rsidTr="00961202">
        <w:trPr>
          <w:trHeight w:val="584"/>
        </w:trPr>
        <w:tc>
          <w:tcPr>
            <w:tcW w:w="50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9CD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4ED1C" w14:textId="77777777" w:rsidR="00961202" w:rsidRPr="00961202" w:rsidRDefault="00961202" w:rsidP="00961202">
            <w:pPr>
              <w:pStyle w:val="BodyText"/>
            </w:pPr>
            <w:r w:rsidRPr="00961202">
              <w:t>Assessable revenue</w:t>
            </w:r>
          </w:p>
          <w:p w14:paraId="61B92862" w14:textId="77777777" w:rsidR="00961202" w:rsidRPr="00961202" w:rsidRDefault="00961202" w:rsidP="00961202">
            <w:pPr>
              <w:pStyle w:val="BodyText"/>
            </w:pPr>
            <w:r w:rsidRPr="00961202">
              <w:rPr>
                <w:i/>
                <w:iCs/>
              </w:rPr>
              <w:t>less</w:t>
            </w:r>
            <w:r w:rsidRPr="00961202">
              <w:t xml:space="preserve"> Operating expenses</w:t>
            </w:r>
          </w:p>
          <w:p w14:paraId="174F0FF2" w14:textId="77777777" w:rsidR="00961202" w:rsidRPr="00961202" w:rsidRDefault="00961202" w:rsidP="00961202">
            <w:pPr>
              <w:pStyle w:val="BodyText"/>
            </w:pPr>
            <w:r w:rsidRPr="00961202">
              <w:rPr>
                <w:i/>
                <w:iCs/>
              </w:rPr>
              <w:t>less</w:t>
            </w:r>
            <w:r w:rsidRPr="00961202">
              <w:t xml:space="preserve"> Exploration expenses</w:t>
            </w:r>
          </w:p>
          <w:p w14:paraId="4F23704F" w14:textId="77777777" w:rsidR="00961202" w:rsidRPr="00961202" w:rsidRDefault="00961202" w:rsidP="00961202">
            <w:pPr>
              <w:pStyle w:val="BodyText"/>
            </w:pPr>
            <w:r w:rsidRPr="00961202">
              <w:rPr>
                <w:i/>
                <w:iCs/>
              </w:rPr>
              <w:t>less</w:t>
            </w:r>
            <w:r w:rsidRPr="00961202">
              <w:t xml:space="preserve"> Depreciation of new capital</w:t>
            </w:r>
          </w:p>
          <w:p w14:paraId="1D9865C9" w14:textId="32B41C09" w:rsidR="00961202" w:rsidRPr="00961202" w:rsidRDefault="00961202" w:rsidP="00961202">
            <w:pPr>
              <w:pStyle w:val="BodyText"/>
            </w:pPr>
            <w:r w:rsidRPr="00961202">
              <w:rPr>
                <w:i/>
                <w:iCs/>
              </w:rPr>
              <w:t>less</w:t>
            </w:r>
            <w:r w:rsidRPr="00961202">
              <w:t xml:space="preserve"> </w:t>
            </w:r>
            <w:r w:rsidR="00CC6D2F">
              <w:t xml:space="preserve">Annual </w:t>
            </w:r>
            <w:r w:rsidRPr="00961202">
              <w:t>RSPT allowance</w:t>
            </w:r>
          </w:p>
          <w:p w14:paraId="7A8596C0" w14:textId="2B34F611" w:rsidR="00961202" w:rsidRPr="00961202" w:rsidRDefault="00961202" w:rsidP="00961202">
            <w:pPr>
              <w:pStyle w:val="BodyText"/>
            </w:pPr>
            <w:r w:rsidRPr="00961202">
              <w:rPr>
                <w:i/>
                <w:iCs/>
              </w:rPr>
              <w:t>less</w:t>
            </w:r>
            <w:r w:rsidRPr="00961202">
              <w:t xml:space="preserve"> Prior year </w:t>
            </w:r>
            <w:r w:rsidR="00CC6D2F">
              <w:t xml:space="preserve">RSPT </w:t>
            </w:r>
            <w:r w:rsidRPr="00961202">
              <w:t>loss (if any)</w:t>
            </w:r>
          </w:p>
          <w:p w14:paraId="71F52F92" w14:textId="77777777" w:rsidR="00961202" w:rsidRPr="00961202" w:rsidRDefault="00961202" w:rsidP="00961202">
            <w:pPr>
              <w:pStyle w:val="BodyText"/>
            </w:pPr>
            <w:r w:rsidRPr="00961202">
              <w:rPr>
                <w:i/>
                <w:iCs/>
              </w:rPr>
              <w:t>less</w:t>
            </w:r>
            <w:r w:rsidRPr="00961202">
              <w:t xml:space="preserve"> Depreciation of starting base</w:t>
            </w:r>
          </w:p>
          <w:p w14:paraId="662EDC90" w14:textId="1767137B" w:rsidR="00961202" w:rsidRPr="00961202" w:rsidRDefault="00584A68" w:rsidP="00961202">
            <w:pPr>
              <w:pStyle w:val="BodyText"/>
            </w:pPr>
            <w:r>
              <w:rPr>
                <w:b/>
                <w:bCs/>
              </w:rPr>
              <w:t xml:space="preserve">= </w:t>
            </w:r>
            <w:r w:rsidR="00961202" w:rsidRPr="00961202">
              <w:rPr>
                <w:b/>
                <w:bCs/>
              </w:rPr>
              <w:t>RSPT net profit or loss</w:t>
            </w:r>
          </w:p>
        </w:tc>
        <w:tc>
          <w:tcPr>
            <w:tcW w:w="425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9CD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0FA5D" w14:textId="77777777" w:rsidR="00961202" w:rsidRDefault="00961202" w:rsidP="00961202">
            <w:pPr>
              <w:pStyle w:val="BodyText"/>
            </w:pPr>
          </w:p>
          <w:p w14:paraId="1781A61E" w14:textId="77777777" w:rsidR="00961202" w:rsidRDefault="00961202" w:rsidP="00961202">
            <w:pPr>
              <w:pStyle w:val="BodyText"/>
            </w:pPr>
          </w:p>
          <w:p w14:paraId="63CE88B0" w14:textId="77777777" w:rsidR="00961202" w:rsidRDefault="00961202" w:rsidP="00961202">
            <w:pPr>
              <w:pStyle w:val="BodyText"/>
            </w:pPr>
          </w:p>
          <w:p w14:paraId="2DCCEB95" w14:textId="77777777" w:rsidR="00D82D23" w:rsidRDefault="00D82D23" w:rsidP="00961202">
            <w:pPr>
              <w:pStyle w:val="BodyText"/>
            </w:pPr>
          </w:p>
          <w:p w14:paraId="2ED06923" w14:textId="595D2767" w:rsidR="00961202" w:rsidRPr="00961202" w:rsidRDefault="00CC6D2F" w:rsidP="00961202">
            <w:pPr>
              <w:pStyle w:val="BodyText"/>
            </w:pPr>
            <w:r>
              <w:t xml:space="preserve">Annual </w:t>
            </w:r>
            <w:r w:rsidR="00961202" w:rsidRPr="00961202">
              <w:t xml:space="preserve">RSPT allowance = </w:t>
            </w:r>
          </w:p>
          <w:p w14:paraId="3F653696" w14:textId="3D4B0BC6" w:rsidR="00CC6D2F" w:rsidRDefault="00890508" w:rsidP="00961202">
            <w:pPr>
              <w:pStyle w:val="BodyText"/>
            </w:pPr>
            <w:r>
              <w:t>(current value of mining assets + unutilised RSPT losses)</w:t>
            </w:r>
            <w:r w:rsidR="00961202" w:rsidRPr="00961202">
              <w:t xml:space="preserve"> x 10-year government bond rate</w:t>
            </w:r>
          </w:p>
          <w:p w14:paraId="1715DAA1" w14:textId="77777777" w:rsidR="00961202" w:rsidRPr="00961202" w:rsidRDefault="00961202" w:rsidP="00961202">
            <w:pPr>
              <w:pStyle w:val="BodyText"/>
            </w:pPr>
            <w:r w:rsidRPr="00961202">
              <w:t>If net loss, loss is carried forward</w:t>
            </w:r>
          </w:p>
        </w:tc>
      </w:tr>
      <w:tr w:rsidR="00961202" w:rsidRPr="00961202" w14:paraId="19E4A4F3" w14:textId="77777777" w:rsidTr="00961202">
        <w:trPr>
          <w:trHeight w:val="584"/>
        </w:trPr>
        <w:tc>
          <w:tcPr>
            <w:tcW w:w="50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9CD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BDB56" w14:textId="77777777" w:rsidR="00961202" w:rsidRPr="00961202" w:rsidRDefault="00961202" w:rsidP="00961202">
            <w:pPr>
              <w:pStyle w:val="BodyText"/>
            </w:pPr>
            <w:r w:rsidRPr="00961202">
              <w:rPr>
                <w:b/>
                <w:bCs/>
              </w:rPr>
              <w:t>RSPT liability = 40 per cent of RSPT net profit</w:t>
            </w:r>
          </w:p>
        </w:tc>
        <w:tc>
          <w:tcPr>
            <w:tcW w:w="425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73DA5465" w14:textId="77777777" w:rsidR="00961202" w:rsidRPr="00961202" w:rsidRDefault="00961202" w:rsidP="00961202">
            <w:pPr>
              <w:pStyle w:val="BodyText"/>
            </w:pPr>
          </w:p>
        </w:tc>
      </w:tr>
    </w:tbl>
    <w:p w14:paraId="1FFE8275" w14:textId="0CD8328D" w:rsidR="00436D5D" w:rsidRDefault="00436D5D" w:rsidP="00B071C9">
      <w:pPr>
        <w:pStyle w:val="ListBullet"/>
      </w:pPr>
      <w:r>
        <w:t>As specified</w:t>
      </w:r>
      <w:r w:rsidR="00424F92">
        <w:t xml:space="preserve"> in the announcement paper</w:t>
      </w:r>
      <w:r>
        <w:t>, the starting base was depreciate</w:t>
      </w:r>
      <w:r w:rsidR="00915F57">
        <w:t>d on an accelerated basis over five</w:t>
      </w:r>
      <w:r>
        <w:t xml:space="preserve"> years at</w:t>
      </w:r>
      <w:r w:rsidR="002C6039">
        <w:t xml:space="preserve"> the</w:t>
      </w:r>
      <w:r>
        <w:t xml:space="preserve"> following rate while new </w:t>
      </w:r>
      <w:r w:rsidRPr="0077205A">
        <w:t xml:space="preserve">assets purchased after the start date </w:t>
      </w:r>
      <w:r>
        <w:t>was depreciated under the general provision (i.e. assumed the straight-line m</w:t>
      </w:r>
      <w:r w:rsidR="00915F57">
        <w:t>ethod over 10</w:t>
      </w:r>
      <w:r>
        <w:t xml:space="preserve"> years)</w:t>
      </w:r>
      <w:r w:rsidRPr="0077205A">
        <w:t>.</w:t>
      </w:r>
    </w:p>
    <w:p w14:paraId="01DF8F3C" w14:textId="77777777" w:rsidR="00436D5D" w:rsidRDefault="00436D5D" w:rsidP="00B071C9">
      <w:pPr>
        <w:pStyle w:val="ListBullet2"/>
      </w:pPr>
      <w:r>
        <w:t>Year 1 (2012-13) – 36 per cent</w:t>
      </w:r>
    </w:p>
    <w:p w14:paraId="7886A445" w14:textId="77777777" w:rsidR="00436D5D" w:rsidRDefault="00436D5D" w:rsidP="00B071C9">
      <w:pPr>
        <w:pStyle w:val="ListBullet2"/>
      </w:pPr>
      <w:r>
        <w:t>Year 2 (2013-14) – 24 per cent</w:t>
      </w:r>
    </w:p>
    <w:p w14:paraId="6058E31A" w14:textId="77777777" w:rsidR="00436D5D" w:rsidRDefault="00436D5D" w:rsidP="00B071C9">
      <w:pPr>
        <w:pStyle w:val="ListBullet2"/>
      </w:pPr>
      <w:r>
        <w:t>Year 3 (2014-15) – 15 per cent</w:t>
      </w:r>
    </w:p>
    <w:p w14:paraId="4D0D4CEA" w14:textId="77777777" w:rsidR="00436D5D" w:rsidRDefault="00436D5D" w:rsidP="00B071C9">
      <w:pPr>
        <w:pStyle w:val="ListBullet2"/>
      </w:pPr>
      <w:r>
        <w:t>Year 4 (2015-16) – 15 per cent</w:t>
      </w:r>
    </w:p>
    <w:p w14:paraId="248C6B8D" w14:textId="67EFAE04" w:rsidR="00436D5D" w:rsidRDefault="00436D5D" w:rsidP="00B071C9">
      <w:pPr>
        <w:pStyle w:val="ListBullet2"/>
      </w:pPr>
      <w:r>
        <w:t>Year 5</w:t>
      </w:r>
      <w:r w:rsidR="00B64D4E">
        <w:t xml:space="preserve"> (2016-17) – 10 per cent</w:t>
      </w:r>
    </w:p>
    <w:p w14:paraId="0440AB06" w14:textId="75864D15" w:rsidR="00B071C9" w:rsidRPr="00B071C9" w:rsidRDefault="00485350" w:rsidP="00B071C9">
      <w:pPr>
        <w:pStyle w:val="ListBullet"/>
      </w:pPr>
      <w:r>
        <w:t>T</w:t>
      </w:r>
      <w:r w:rsidR="002700E3">
        <w:t>he provision of r</w:t>
      </w:r>
      <w:r w:rsidR="002700E3" w:rsidRPr="002700E3">
        <w:t>efundable credit</w:t>
      </w:r>
      <w:r w:rsidR="002700E3">
        <w:t xml:space="preserve">s for state </w:t>
      </w:r>
      <w:r w:rsidR="002700E3" w:rsidRPr="002700E3">
        <w:t xml:space="preserve">royalties </w:t>
      </w:r>
      <w:r w:rsidR="002700E3">
        <w:t xml:space="preserve">to </w:t>
      </w:r>
      <w:r w:rsidR="00B071C9">
        <w:t>the mining companies was decoupled</w:t>
      </w:r>
      <w:r w:rsidR="002700E3">
        <w:t xml:space="preserve"> from the calculation of the RSPT liabilities.</w:t>
      </w:r>
      <w:r w:rsidR="00B071C9">
        <w:t xml:space="preserve">  </w:t>
      </w:r>
      <w:r w:rsidR="00B071C9" w:rsidRPr="00B071C9">
        <w:t>A refundable credit to mining companies for state royalties would be limited to the amount of the RSPT where state royalties exceed the RSPT assessed.</w:t>
      </w:r>
    </w:p>
    <w:p w14:paraId="48FEEA1E" w14:textId="138D4486" w:rsidR="00B071C9" w:rsidRPr="00436D5D" w:rsidRDefault="00B071C9" w:rsidP="00B071C9">
      <w:pPr>
        <w:pStyle w:val="ListBullet"/>
      </w:pPr>
      <w:r w:rsidRPr="00B071C9">
        <w:t>Petroleum and gas producers would remain taxable under the Petroleum Resource Rent Tax.</w:t>
      </w:r>
    </w:p>
    <w:sectPr w:rsidR="00B071C9" w:rsidRPr="00436D5D" w:rsidSect="00131861">
      <w:footerReference w:type="default" r:id="rId14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6F593" w14:textId="77777777" w:rsidR="00890508" w:rsidRDefault="00890508" w:rsidP="00A20802">
      <w:pPr>
        <w:spacing w:line="240" w:lineRule="auto"/>
      </w:pPr>
      <w:r>
        <w:separator/>
      </w:r>
    </w:p>
    <w:p w14:paraId="2077E13B" w14:textId="77777777" w:rsidR="00890508" w:rsidRDefault="00890508"/>
    <w:p w14:paraId="320867E8" w14:textId="77777777" w:rsidR="00890508" w:rsidRDefault="00890508"/>
  </w:endnote>
  <w:endnote w:type="continuationSeparator" w:id="0">
    <w:p w14:paraId="5EB5A720" w14:textId="77777777" w:rsidR="00890508" w:rsidRDefault="00890508" w:rsidP="00A20802">
      <w:pPr>
        <w:spacing w:line="240" w:lineRule="auto"/>
      </w:pPr>
      <w:r>
        <w:continuationSeparator/>
      </w:r>
    </w:p>
    <w:p w14:paraId="79D971BB" w14:textId="77777777" w:rsidR="00890508" w:rsidRDefault="00890508"/>
    <w:p w14:paraId="25ECFD7C" w14:textId="77777777" w:rsidR="00890508" w:rsidRDefault="00890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AACCF" w14:textId="533B8AFA" w:rsidR="00890508" w:rsidRPr="00015E04" w:rsidRDefault="00890508" w:rsidP="0042553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A4450C">
      <w:rPr>
        <w:rStyle w:val="FooterChar"/>
        <w:rFonts w:ascii="Calibri" w:hAnsi="Calibri" w:cs="Arial"/>
        <w:b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EE102B">
      <w:rPr>
        <w:rStyle w:val="FooterChar"/>
        <w:b/>
        <w:noProof/>
      </w:rPr>
      <w:t>4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D8781A">
      <w:rPr>
        <w:rStyle w:val="FooterChar"/>
        <w:b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8EF0" w14:textId="34A30BD0" w:rsidR="00890508" w:rsidRPr="007A47D0" w:rsidRDefault="00890508" w:rsidP="00015E0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 w:rsidRPr="00DD281D">
      <w:rPr>
        <w:rStyle w:val="FooterChar"/>
        <w:rFonts w:ascii="Calibri" w:hAnsi="Calibri" w:cs="Arial"/>
        <w:b/>
      </w:rPr>
      <w:t>PBO</w:t>
    </w:r>
    <w:r>
      <w:rPr>
        <w:rStyle w:val="FooterChar"/>
        <w:rFonts w:ascii="Calibri" w:hAnsi="Calibri" w:cs="Arial"/>
        <w:b/>
      </w:rPr>
      <w:t xml:space="preserve"> reference </w:t>
    </w:r>
    <w:r w:rsidRPr="003E41B2">
      <w:rPr>
        <w:rStyle w:val="FooterChar"/>
        <w:rFonts w:ascii="Calibri" w:hAnsi="Calibri" w:cs="Arial"/>
        <w:b/>
      </w:rPr>
      <w:t>PR</w:t>
    </w:r>
    <w:r>
      <w:rPr>
        <w:rStyle w:val="FooterChar"/>
        <w:rFonts w:ascii="Calibri" w:hAnsi="Calibri" w:cs="Arial"/>
        <w:b/>
      </w:rPr>
      <w:t>20</w:t>
    </w:r>
    <w:r w:rsidRPr="003E41B2">
      <w:rPr>
        <w:rStyle w:val="FooterChar"/>
        <w:rFonts w:ascii="Calibri" w:hAnsi="Calibri" w:cs="Arial"/>
        <w:b/>
      </w:rPr>
      <w:t>/00</w:t>
    </w:r>
    <w:r>
      <w:rPr>
        <w:rStyle w:val="FooterChar"/>
        <w:rFonts w:ascii="Calibri" w:hAnsi="Calibri" w:cs="Arial"/>
        <w:b/>
      </w:rPr>
      <w:t>115</w:t>
    </w:r>
    <w:r w:rsidRPr="009B70E6">
      <w:rPr>
        <w:rStyle w:val="FooterChar"/>
        <w:rFonts w:ascii="Calibri" w:hAnsi="Calibri" w:cs="Arial"/>
        <w:b/>
        <w:sz w:val="20"/>
        <w:szCs w:val="20"/>
      </w:rPr>
      <w:tab/>
    </w:r>
    <w:r w:rsidRPr="00A4450C">
      <w:rPr>
        <w:rStyle w:val="FooterChar"/>
        <w:rFonts w:ascii="Calibri" w:hAnsi="Calibri" w:cs="Arial"/>
        <w:b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EE102B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D8781A">
      <w:rPr>
        <w:rStyle w:val="FooterChar"/>
        <w:b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A76E8" w14:textId="4E3651CC" w:rsidR="00890508" w:rsidRPr="00015E04" w:rsidRDefault="00890508" w:rsidP="002E5CE6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A4450C">
      <w:rPr>
        <w:rStyle w:val="FooterChar"/>
        <w:rFonts w:ascii="Calibri" w:hAnsi="Calibri" w:cs="Arial"/>
        <w:b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EE102B">
      <w:rPr>
        <w:rStyle w:val="FooterChar"/>
        <w:b/>
        <w:noProof/>
      </w:rPr>
      <w:t>6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D8781A">
      <w:rPr>
        <w:rStyle w:val="FooterChar"/>
        <w:b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9012D" w14:textId="77777777" w:rsidR="00890508" w:rsidRPr="000557A7" w:rsidRDefault="00890508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14:paraId="609CF591" w14:textId="77777777" w:rsidR="00890508" w:rsidRDefault="00890508" w:rsidP="00A20802">
      <w:pPr>
        <w:spacing w:line="240" w:lineRule="auto"/>
      </w:pPr>
      <w:r>
        <w:continuationSeparator/>
      </w:r>
    </w:p>
    <w:p w14:paraId="0085A853" w14:textId="77777777" w:rsidR="00890508" w:rsidRDefault="00890508"/>
    <w:p w14:paraId="22973A2B" w14:textId="77777777" w:rsidR="00890508" w:rsidRDefault="00890508"/>
  </w:footnote>
  <w:footnote w:id="1">
    <w:p w14:paraId="3005F0F2" w14:textId="62B0E902" w:rsidR="00890508" w:rsidRDefault="00890508" w:rsidP="00A51EC0">
      <w:pPr>
        <w:pStyle w:val="FootnoteText"/>
        <w:tabs>
          <w:tab w:val="clear" w:pos="425"/>
          <w:tab w:val="left" w:pos="0"/>
        </w:tabs>
        <w:ind w:left="0" w:firstLine="0"/>
      </w:pPr>
      <w:r>
        <w:rPr>
          <w:rStyle w:val="FootnoteReference"/>
        </w:rPr>
        <w:footnoteRef/>
      </w:r>
      <w:r>
        <w:t xml:space="preserve"> </w:t>
      </w:r>
      <w:r>
        <w:rPr>
          <w:noProof/>
        </w:rPr>
        <w:t xml:space="preserve">Parliamentary Library, 2010. </w:t>
      </w:r>
      <w:r w:rsidRPr="00A47A9F">
        <w:rPr>
          <w:i/>
          <w:noProof/>
        </w:rPr>
        <w:t>Budget Review 2010-11: Resource super profits tax</w:t>
      </w:r>
      <w:r>
        <w:rPr>
          <w:noProof/>
        </w:rPr>
        <w:t>, Canberra: Parliament of Australia (available at </w:t>
      </w:r>
      <w:r w:rsidRPr="00436D5D">
        <w:rPr>
          <w:noProof/>
        </w:rPr>
        <w:t>https://www.aph.gov.au/About_Parliament/Parliamentary_Departments/Parliamentary_Library/pubs/rp/BudgetReview201011/TaxationRSPTax</w:t>
      </w:r>
      <w:r>
        <w:rPr>
          <w:noProof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1668" w14:textId="77777777" w:rsidR="00D8781A" w:rsidRPr="00A4450C" w:rsidRDefault="00D8781A" w:rsidP="00D8781A">
    <w:pPr>
      <w:pStyle w:val="Header"/>
      <w:jc w:val="center"/>
      <w:rPr>
        <w:rFonts w:ascii="Calibri" w:hAnsi="Calibri"/>
        <w:b/>
        <w:strike/>
        <w:color w:val="FF0000"/>
        <w:sz w:val="36"/>
        <w:szCs w:val="36"/>
      </w:rPr>
    </w:pPr>
    <w:r w:rsidRPr="00A4450C">
      <w:rPr>
        <w:rFonts w:ascii="Calibri" w:hAnsi="Calibri"/>
        <w:b/>
        <w:strike/>
        <w:color w:val="FF0000"/>
        <w:sz w:val="36"/>
        <w:szCs w:val="36"/>
      </w:rPr>
      <w:t>OFFICIAL: 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8B227" w14:textId="77777777" w:rsidR="00890508" w:rsidRPr="00A4450C" w:rsidRDefault="00890508" w:rsidP="002C4DA6">
    <w:pPr>
      <w:pStyle w:val="Header"/>
      <w:jc w:val="center"/>
      <w:rPr>
        <w:rFonts w:ascii="Calibri" w:hAnsi="Calibri"/>
        <w:b/>
        <w:strike/>
        <w:color w:val="FF0000"/>
        <w:sz w:val="36"/>
        <w:szCs w:val="36"/>
      </w:rPr>
    </w:pPr>
    <w:r w:rsidRPr="00A4450C">
      <w:rPr>
        <w:rFonts w:ascii="Calibri" w:hAnsi="Calibri"/>
        <w:b/>
        <w:strike/>
        <w:color w:val="FF0000"/>
        <w:sz w:val="36"/>
        <w:szCs w:val="36"/>
      </w:rPr>
      <w:t>OFFICIAL: Sensitive</w:t>
    </w:r>
  </w:p>
  <w:p w14:paraId="649754D0" w14:textId="77777777" w:rsidR="00890508" w:rsidRPr="0046444F" w:rsidRDefault="00890508" w:rsidP="0046444F">
    <w:pPr>
      <w:pStyle w:val="Header"/>
    </w:pPr>
    <w:r>
      <w:rPr>
        <w:noProof/>
        <w:lang w:eastAsia="en-AU"/>
      </w:rPr>
      <w:drawing>
        <wp:inline distT="0" distB="0" distL="0" distR="0" wp14:anchorId="1FD0C417" wp14:editId="26FF6D04">
          <wp:extent cx="1934491" cy="5760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BO Logo In Line_Black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49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DE0"/>
    <w:multiLevelType w:val="hybridMultilevel"/>
    <w:tmpl w:val="C9EE274E"/>
    <w:lvl w:ilvl="0" w:tplc="A7C26D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7FE"/>
    <w:multiLevelType w:val="multilevel"/>
    <w:tmpl w:val="2CA8A22A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5448"/>
    <w:multiLevelType w:val="multilevel"/>
    <w:tmpl w:val="B9B2787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5" w15:restartNumberingAfterBreak="0">
    <w:nsid w:val="0E724DC5"/>
    <w:multiLevelType w:val="hybridMultilevel"/>
    <w:tmpl w:val="7752DE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7" w15:restartNumberingAfterBreak="0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9754C"/>
    <w:multiLevelType w:val="hybridMultilevel"/>
    <w:tmpl w:val="AE1A9498"/>
    <w:lvl w:ilvl="0" w:tplc="51F6B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0" w15:restartNumberingAfterBreak="0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6107C"/>
    <w:multiLevelType w:val="hybridMultilevel"/>
    <w:tmpl w:val="A316FB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D8045F"/>
    <w:multiLevelType w:val="hybridMultilevel"/>
    <w:tmpl w:val="0060B1BA"/>
    <w:lvl w:ilvl="0" w:tplc="EBC0B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D034B"/>
    <w:multiLevelType w:val="hybridMultilevel"/>
    <w:tmpl w:val="AC467CF0"/>
    <w:lvl w:ilvl="0" w:tplc="E8FC9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A6D86"/>
    <w:multiLevelType w:val="hybridMultilevel"/>
    <w:tmpl w:val="AA7E32E4"/>
    <w:lvl w:ilvl="0" w:tplc="9392B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A777C"/>
    <w:multiLevelType w:val="hybridMultilevel"/>
    <w:tmpl w:val="2CF8AB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540A9"/>
    <w:multiLevelType w:val="multilevel"/>
    <w:tmpl w:val="DB8C0C4C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D4D7D" w:themeColor="background2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31" w15:restartNumberingAfterBreak="0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9778B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7" w15:restartNumberingAfterBreak="0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9" w15:restartNumberingAfterBreak="0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A4965"/>
    <w:multiLevelType w:val="hybridMultilevel"/>
    <w:tmpl w:val="01C64E94"/>
    <w:lvl w:ilvl="0" w:tplc="2EC83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38"/>
  </w:num>
  <w:num w:numId="4">
    <w:abstractNumId w:val="18"/>
  </w:num>
  <w:num w:numId="5">
    <w:abstractNumId w:val="14"/>
  </w:num>
  <w:num w:numId="6">
    <w:abstractNumId w:val="36"/>
  </w:num>
  <w:num w:numId="7">
    <w:abstractNumId w:val="6"/>
  </w:num>
  <w:num w:numId="8">
    <w:abstractNumId w:val="9"/>
  </w:num>
  <w:num w:numId="9">
    <w:abstractNumId w:val="35"/>
  </w:num>
  <w:num w:numId="10">
    <w:abstractNumId w:val="4"/>
  </w:num>
  <w:num w:numId="11">
    <w:abstractNumId w:val="12"/>
  </w:num>
  <w:num w:numId="12">
    <w:abstractNumId w:val="3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7"/>
  </w:num>
  <w:num w:numId="18">
    <w:abstractNumId w:val="41"/>
  </w:num>
  <w:num w:numId="19">
    <w:abstractNumId w:val="1"/>
  </w:num>
  <w:num w:numId="20">
    <w:abstractNumId w:val="24"/>
  </w:num>
  <w:num w:numId="21">
    <w:abstractNumId w:val="28"/>
  </w:num>
  <w:num w:numId="22">
    <w:abstractNumId w:val="20"/>
  </w:num>
  <w:num w:numId="23">
    <w:abstractNumId w:val="21"/>
  </w:num>
  <w:num w:numId="24">
    <w:abstractNumId w:val="32"/>
  </w:num>
  <w:num w:numId="25">
    <w:abstractNumId w:val="19"/>
  </w:num>
  <w:num w:numId="26">
    <w:abstractNumId w:val="7"/>
  </w:num>
  <w:num w:numId="27">
    <w:abstractNumId w:val="31"/>
  </w:num>
  <w:num w:numId="28">
    <w:abstractNumId w:val="29"/>
  </w:num>
  <w:num w:numId="29">
    <w:abstractNumId w:val="33"/>
  </w:num>
  <w:num w:numId="30">
    <w:abstractNumId w:val="39"/>
  </w:num>
  <w:num w:numId="31">
    <w:abstractNumId w:val="26"/>
  </w:num>
  <w:num w:numId="32">
    <w:abstractNumId w:val="16"/>
  </w:num>
  <w:num w:numId="33">
    <w:abstractNumId w:val="22"/>
  </w:num>
  <w:num w:numId="34">
    <w:abstractNumId w:val="13"/>
  </w:num>
  <w:num w:numId="35">
    <w:abstractNumId w:val="4"/>
  </w:num>
  <w:num w:numId="36">
    <w:abstractNumId w:val="2"/>
  </w:num>
  <w:num w:numId="37">
    <w:abstractNumId w:val="10"/>
  </w:num>
  <w:num w:numId="38">
    <w:abstractNumId w:val="6"/>
  </w:num>
  <w:num w:numId="39">
    <w:abstractNumId w:val="6"/>
  </w:num>
  <w:num w:numId="40">
    <w:abstractNumId w:val="17"/>
  </w:num>
  <w:num w:numId="41">
    <w:abstractNumId w:val="5"/>
  </w:num>
  <w:num w:numId="42">
    <w:abstractNumId w:val="27"/>
  </w:num>
  <w:num w:numId="43">
    <w:abstractNumId w:val="0"/>
  </w:num>
  <w:num w:numId="44">
    <w:abstractNumId w:val="8"/>
  </w:num>
  <w:num w:numId="45">
    <w:abstractNumId w:val="25"/>
  </w:num>
  <w:num w:numId="46">
    <w:abstractNumId w:val="11"/>
  </w:num>
  <w:num w:numId="47">
    <w:abstractNumId w:val="40"/>
  </w:num>
  <w:num w:numId="4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8937DE"/>
    <w:rsid w:val="0000071C"/>
    <w:rsid w:val="0000322C"/>
    <w:rsid w:val="00003CDD"/>
    <w:rsid w:val="00013620"/>
    <w:rsid w:val="0001406F"/>
    <w:rsid w:val="00014DF5"/>
    <w:rsid w:val="00015A8D"/>
    <w:rsid w:val="00015E04"/>
    <w:rsid w:val="000168A7"/>
    <w:rsid w:val="00016D53"/>
    <w:rsid w:val="000278D0"/>
    <w:rsid w:val="00027E62"/>
    <w:rsid w:val="000307C8"/>
    <w:rsid w:val="00030F73"/>
    <w:rsid w:val="00033326"/>
    <w:rsid w:val="00035901"/>
    <w:rsid w:val="00035ADE"/>
    <w:rsid w:val="0003656E"/>
    <w:rsid w:val="0004224B"/>
    <w:rsid w:val="000427E9"/>
    <w:rsid w:val="00046226"/>
    <w:rsid w:val="00050122"/>
    <w:rsid w:val="000505FB"/>
    <w:rsid w:val="0005330D"/>
    <w:rsid w:val="000557A7"/>
    <w:rsid w:val="00055805"/>
    <w:rsid w:val="00056CB3"/>
    <w:rsid w:val="0005793B"/>
    <w:rsid w:val="00061758"/>
    <w:rsid w:val="00065125"/>
    <w:rsid w:val="00066D54"/>
    <w:rsid w:val="00067A28"/>
    <w:rsid w:val="0007260F"/>
    <w:rsid w:val="000739CB"/>
    <w:rsid w:val="00073C89"/>
    <w:rsid w:val="0007488E"/>
    <w:rsid w:val="000805D5"/>
    <w:rsid w:val="0008103B"/>
    <w:rsid w:val="00085F97"/>
    <w:rsid w:val="000879B1"/>
    <w:rsid w:val="00092A33"/>
    <w:rsid w:val="000973F9"/>
    <w:rsid w:val="00097A23"/>
    <w:rsid w:val="000A0848"/>
    <w:rsid w:val="000A2FEC"/>
    <w:rsid w:val="000A348F"/>
    <w:rsid w:val="000A5AF1"/>
    <w:rsid w:val="000B1B0C"/>
    <w:rsid w:val="000B4345"/>
    <w:rsid w:val="000B5900"/>
    <w:rsid w:val="000B60AE"/>
    <w:rsid w:val="000B6942"/>
    <w:rsid w:val="000B6D00"/>
    <w:rsid w:val="000C09FA"/>
    <w:rsid w:val="000C1AB0"/>
    <w:rsid w:val="000C37A9"/>
    <w:rsid w:val="000C6728"/>
    <w:rsid w:val="000C702E"/>
    <w:rsid w:val="000D15E9"/>
    <w:rsid w:val="000D3182"/>
    <w:rsid w:val="000D45C4"/>
    <w:rsid w:val="000D46B3"/>
    <w:rsid w:val="000E18F3"/>
    <w:rsid w:val="000E19AC"/>
    <w:rsid w:val="000E266E"/>
    <w:rsid w:val="000E4C7B"/>
    <w:rsid w:val="000E6DC6"/>
    <w:rsid w:val="000E70EE"/>
    <w:rsid w:val="000F053D"/>
    <w:rsid w:val="000F1515"/>
    <w:rsid w:val="000F16B5"/>
    <w:rsid w:val="000F26E5"/>
    <w:rsid w:val="000F616E"/>
    <w:rsid w:val="000F7D50"/>
    <w:rsid w:val="00106BAC"/>
    <w:rsid w:val="00110D43"/>
    <w:rsid w:val="001159EA"/>
    <w:rsid w:val="00120A75"/>
    <w:rsid w:val="00125410"/>
    <w:rsid w:val="00130858"/>
    <w:rsid w:val="00131861"/>
    <w:rsid w:val="00132C93"/>
    <w:rsid w:val="00136C26"/>
    <w:rsid w:val="0014059F"/>
    <w:rsid w:val="00141551"/>
    <w:rsid w:val="001417CE"/>
    <w:rsid w:val="0014479F"/>
    <w:rsid w:val="00144E21"/>
    <w:rsid w:val="00146B30"/>
    <w:rsid w:val="00146EAD"/>
    <w:rsid w:val="001541BF"/>
    <w:rsid w:val="00154DC5"/>
    <w:rsid w:val="00155958"/>
    <w:rsid w:val="00160C8D"/>
    <w:rsid w:val="001616E8"/>
    <w:rsid w:val="001629C0"/>
    <w:rsid w:val="00165122"/>
    <w:rsid w:val="00165854"/>
    <w:rsid w:val="00166078"/>
    <w:rsid w:val="00166A15"/>
    <w:rsid w:val="001711BC"/>
    <w:rsid w:val="001738DB"/>
    <w:rsid w:val="001738F5"/>
    <w:rsid w:val="00173DFD"/>
    <w:rsid w:val="00176A58"/>
    <w:rsid w:val="00180FF9"/>
    <w:rsid w:val="00187AD2"/>
    <w:rsid w:val="0019204F"/>
    <w:rsid w:val="00195228"/>
    <w:rsid w:val="00195696"/>
    <w:rsid w:val="00196532"/>
    <w:rsid w:val="001967E9"/>
    <w:rsid w:val="001A1EFC"/>
    <w:rsid w:val="001A48EF"/>
    <w:rsid w:val="001A49CC"/>
    <w:rsid w:val="001A5553"/>
    <w:rsid w:val="001A6236"/>
    <w:rsid w:val="001A716E"/>
    <w:rsid w:val="001B18C6"/>
    <w:rsid w:val="001B2C65"/>
    <w:rsid w:val="001B4255"/>
    <w:rsid w:val="001B7058"/>
    <w:rsid w:val="001C3A4F"/>
    <w:rsid w:val="001C40DF"/>
    <w:rsid w:val="001C4121"/>
    <w:rsid w:val="001C48DE"/>
    <w:rsid w:val="001C7F8D"/>
    <w:rsid w:val="001D0ECF"/>
    <w:rsid w:val="001D30C1"/>
    <w:rsid w:val="001D52E3"/>
    <w:rsid w:val="001D576F"/>
    <w:rsid w:val="001D7C29"/>
    <w:rsid w:val="001E0475"/>
    <w:rsid w:val="001E33C2"/>
    <w:rsid w:val="001E708A"/>
    <w:rsid w:val="001F2AAD"/>
    <w:rsid w:val="001F5C90"/>
    <w:rsid w:val="001F6BDA"/>
    <w:rsid w:val="001F767C"/>
    <w:rsid w:val="001F7B10"/>
    <w:rsid w:val="00203A7B"/>
    <w:rsid w:val="002057EF"/>
    <w:rsid w:val="00205C6E"/>
    <w:rsid w:val="00210074"/>
    <w:rsid w:val="00210FCF"/>
    <w:rsid w:val="00213465"/>
    <w:rsid w:val="00216525"/>
    <w:rsid w:val="002179B6"/>
    <w:rsid w:val="00222EFF"/>
    <w:rsid w:val="002240D5"/>
    <w:rsid w:val="002261A7"/>
    <w:rsid w:val="00226AEC"/>
    <w:rsid w:val="0023077A"/>
    <w:rsid w:val="00235C95"/>
    <w:rsid w:val="002545F3"/>
    <w:rsid w:val="0026257E"/>
    <w:rsid w:val="0026344F"/>
    <w:rsid w:val="00266A17"/>
    <w:rsid w:val="002700E3"/>
    <w:rsid w:val="00270372"/>
    <w:rsid w:val="00274D5A"/>
    <w:rsid w:val="00275534"/>
    <w:rsid w:val="00277075"/>
    <w:rsid w:val="002775D2"/>
    <w:rsid w:val="0028044F"/>
    <w:rsid w:val="00281ADD"/>
    <w:rsid w:val="002822EF"/>
    <w:rsid w:val="00285368"/>
    <w:rsid w:val="0028563E"/>
    <w:rsid w:val="0028571D"/>
    <w:rsid w:val="00287823"/>
    <w:rsid w:val="0028792D"/>
    <w:rsid w:val="00293E0D"/>
    <w:rsid w:val="00293E80"/>
    <w:rsid w:val="0029574B"/>
    <w:rsid w:val="002973B0"/>
    <w:rsid w:val="00297C14"/>
    <w:rsid w:val="002A220F"/>
    <w:rsid w:val="002A24F1"/>
    <w:rsid w:val="002A43A0"/>
    <w:rsid w:val="002A45A3"/>
    <w:rsid w:val="002A5778"/>
    <w:rsid w:val="002A6E3B"/>
    <w:rsid w:val="002B1C24"/>
    <w:rsid w:val="002B1E84"/>
    <w:rsid w:val="002B2085"/>
    <w:rsid w:val="002B3EC4"/>
    <w:rsid w:val="002C37D5"/>
    <w:rsid w:val="002C4DA6"/>
    <w:rsid w:val="002C6039"/>
    <w:rsid w:val="002C60A0"/>
    <w:rsid w:val="002D0BAB"/>
    <w:rsid w:val="002D18E1"/>
    <w:rsid w:val="002D239A"/>
    <w:rsid w:val="002D34DB"/>
    <w:rsid w:val="002D48BE"/>
    <w:rsid w:val="002D4B11"/>
    <w:rsid w:val="002D5FDA"/>
    <w:rsid w:val="002E461A"/>
    <w:rsid w:val="002E5633"/>
    <w:rsid w:val="002E5CE6"/>
    <w:rsid w:val="002F0765"/>
    <w:rsid w:val="002F1963"/>
    <w:rsid w:val="002F5B6E"/>
    <w:rsid w:val="002F61B5"/>
    <w:rsid w:val="00300066"/>
    <w:rsid w:val="0030209B"/>
    <w:rsid w:val="003116DE"/>
    <w:rsid w:val="00312494"/>
    <w:rsid w:val="003127E4"/>
    <w:rsid w:val="00312C42"/>
    <w:rsid w:val="00313215"/>
    <w:rsid w:val="00313DA1"/>
    <w:rsid w:val="0031737C"/>
    <w:rsid w:val="003174C3"/>
    <w:rsid w:val="003230D5"/>
    <w:rsid w:val="0032557A"/>
    <w:rsid w:val="00326E3E"/>
    <w:rsid w:val="003318BA"/>
    <w:rsid w:val="003326F7"/>
    <w:rsid w:val="00340778"/>
    <w:rsid w:val="00343205"/>
    <w:rsid w:val="0034489B"/>
    <w:rsid w:val="00344D2C"/>
    <w:rsid w:val="003458CE"/>
    <w:rsid w:val="00345A57"/>
    <w:rsid w:val="00346D90"/>
    <w:rsid w:val="00351F62"/>
    <w:rsid w:val="0035792C"/>
    <w:rsid w:val="003601F4"/>
    <w:rsid w:val="00361150"/>
    <w:rsid w:val="003671E2"/>
    <w:rsid w:val="00370320"/>
    <w:rsid w:val="00372AE6"/>
    <w:rsid w:val="00376C3A"/>
    <w:rsid w:val="0038082C"/>
    <w:rsid w:val="003837E1"/>
    <w:rsid w:val="0038542D"/>
    <w:rsid w:val="0038584D"/>
    <w:rsid w:val="0039257F"/>
    <w:rsid w:val="003931DE"/>
    <w:rsid w:val="00397D1A"/>
    <w:rsid w:val="003A163C"/>
    <w:rsid w:val="003A199B"/>
    <w:rsid w:val="003A2B4E"/>
    <w:rsid w:val="003A2FBB"/>
    <w:rsid w:val="003A3799"/>
    <w:rsid w:val="003A4913"/>
    <w:rsid w:val="003A54A9"/>
    <w:rsid w:val="003A62A5"/>
    <w:rsid w:val="003A65FB"/>
    <w:rsid w:val="003A7083"/>
    <w:rsid w:val="003B2CD0"/>
    <w:rsid w:val="003B2CF2"/>
    <w:rsid w:val="003B3103"/>
    <w:rsid w:val="003B38B3"/>
    <w:rsid w:val="003B3A97"/>
    <w:rsid w:val="003B3D44"/>
    <w:rsid w:val="003B47BC"/>
    <w:rsid w:val="003B7CF1"/>
    <w:rsid w:val="003C2540"/>
    <w:rsid w:val="003C4332"/>
    <w:rsid w:val="003C6BB5"/>
    <w:rsid w:val="003C74C1"/>
    <w:rsid w:val="003C7CC2"/>
    <w:rsid w:val="003D3379"/>
    <w:rsid w:val="003D50B6"/>
    <w:rsid w:val="003E05DF"/>
    <w:rsid w:val="003E1562"/>
    <w:rsid w:val="003E41B2"/>
    <w:rsid w:val="003E6085"/>
    <w:rsid w:val="003E6CA3"/>
    <w:rsid w:val="003F4C96"/>
    <w:rsid w:val="0040125B"/>
    <w:rsid w:val="00401C49"/>
    <w:rsid w:val="00404CFE"/>
    <w:rsid w:val="00406002"/>
    <w:rsid w:val="00406AD3"/>
    <w:rsid w:val="00410731"/>
    <w:rsid w:val="00412E42"/>
    <w:rsid w:val="00413EC1"/>
    <w:rsid w:val="00415776"/>
    <w:rsid w:val="0042112A"/>
    <w:rsid w:val="00424F92"/>
    <w:rsid w:val="00425534"/>
    <w:rsid w:val="00425C05"/>
    <w:rsid w:val="00426356"/>
    <w:rsid w:val="00426929"/>
    <w:rsid w:val="00433D11"/>
    <w:rsid w:val="00436D5D"/>
    <w:rsid w:val="00440108"/>
    <w:rsid w:val="00441A6D"/>
    <w:rsid w:val="00442C16"/>
    <w:rsid w:val="00445410"/>
    <w:rsid w:val="00446439"/>
    <w:rsid w:val="00446CA4"/>
    <w:rsid w:val="00450BDA"/>
    <w:rsid w:val="00453A3E"/>
    <w:rsid w:val="0045452F"/>
    <w:rsid w:val="0045766B"/>
    <w:rsid w:val="00457EA9"/>
    <w:rsid w:val="004618A2"/>
    <w:rsid w:val="0046444F"/>
    <w:rsid w:val="00464FF9"/>
    <w:rsid w:val="004716E3"/>
    <w:rsid w:val="00474BB7"/>
    <w:rsid w:val="00476133"/>
    <w:rsid w:val="00476800"/>
    <w:rsid w:val="004816D7"/>
    <w:rsid w:val="00482F63"/>
    <w:rsid w:val="0048342E"/>
    <w:rsid w:val="00485350"/>
    <w:rsid w:val="00487478"/>
    <w:rsid w:val="0048782D"/>
    <w:rsid w:val="00490873"/>
    <w:rsid w:val="00491703"/>
    <w:rsid w:val="00494DC1"/>
    <w:rsid w:val="004A0FED"/>
    <w:rsid w:val="004A3F56"/>
    <w:rsid w:val="004A4F1C"/>
    <w:rsid w:val="004A5E21"/>
    <w:rsid w:val="004A666A"/>
    <w:rsid w:val="004B143F"/>
    <w:rsid w:val="004B3022"/>
    <w:rsid w:val="004B38CB"/>
    <w:rsid w:val="004B49A0"/>
    <w:rsid w:val="004B515E"/>
    <w:rsid w:val="004C3BDA"/>
    <w:rsid w:val="004C6306"/>
    <w:rsid w:val="004C6F5E"/>
    <w:rsid w:val="004C7218"/>
    <w:rsid w:val="004C7E94"/>
    <w:rsid w:val="004D4551"/>
    <w:rsid w:val="004D7A3F"/>
    <w:rsid w:val="004D7CF8"/>
    <w:rsid w:val="004D7EDA"/>
    <w:rsid w:val="004E0E49"/>
    <w:rsid w:val="004E197A"/>
    <w:rsid w:val="004E2220"/>
    <w:rsid w:val="004E5C38"/>
    <w:rsid w:val="004E5D52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0F08"/>
    <w:rsid w:val="0050132A"/>
    <w:rsid w:val="00502CBF"/>
    <w:rsid w:val="00503253"/>
    <w:rsid w:val="00503BB0"/>
    <w:rsid w:val="00503C4C"/>
    <w:rsid w:val="00503E03"/>
    <w:rsid w:val="00511F0B"/>
    <w:rsid w:val="00512226"/>
    <w:rsid w:val="00512B31"/>
    <w:rsid w:val="005147C6"/>
    <w:rsid w:val="005159B1"/>
    <w:rsid w:val="00522502"/>
    <w:rsid w:val="00522530"/>
    <w:rsid w:val="005255A1"/>
    <w:rsid w:val="00525825"/>
    <w:rsid w:val="0052641C"/>
    <w:rsid w:val="005311C2"/>
    <w:rsid w:val="0053795D"/>
    <w:rsid w:val="00544522"/>
    <w:rsid w:val="00545D37"/>
    <w:rsid w:val="005467E2"/>
    <w:rsid w:val="005468AB"/>
    <w:rsid w:val="005501A0"/>
    <w:rsid w:val="0055026B"/>
    <w:rsid w:val="00550831"/>
    <w:rsid w:val="00550A6C"/>
    <w:rsid w:val="005525B0"/>
    <w:rsid w:val="00554273"/>
    <w:rsid w:val="0056001A"/>
    <w:rsid w:val="005614FB"/>
    <w:rsid w:val="005642B6"/>
    <w:rsid w:val="00564A26"/>
    <w:rsid w:val="00566A97"/>
    <w:rsid w:val="00571D5E"/>
    <w:rsid w:val="005814CA"/>
    <w:rsid w:val="0058153A"/>
    <w:rsid w:val="005823D0"/>
    <w:rsid w:val="00582D54"/>
    <w:rsid w:val="00583AAF"/>
    <w:rsid w:val="00584A68"/>
    <w:rsid w:val="00585B9E"/>
    <w:rsid w:val="00587AF9"/>
    <w:rsid w:val="005962D5"/>
    <w:rsid w:val="005979D8"/>
    <w:rsid w:val="005A2748"/>
    <w:rsid w:val="005A443F"/>
    <w:rsid w:val="005A5215"/>
    <w:rsid w:val="005A7C26"/>
    <w:rsid w:val="005B0970"/>
    <w:rsid w:val="005B0E43"/>
    <w:rsid w:val="005B54F9"/>
    <w:rsid w:val="005B58D4"/>
    <w:rsid w:val="005B5B58"/>
    <w:rsid w:val="005B7DC9"/>
    <w:rsid w:val="005C07B3"/>
    <w:rsid w:val="005C284E"/>
    <w:rsid w:val="005C47D4"/>
    <w:rsid w:val="005C79CE"/>
    <w:rsid w:val="005D51D0"/>
    <w:rsid w:val="005D6F83"/>
    <w:rsid w:val="005D768D"/>
    <w:rsid w:val="005D7877"/>
    <w:rsid w:val="005D7B5B"/>
    <w:rsid w:val="005D7CCF"/>
    <w:rsid w:val="005E04CF"/>
    <w:rsid w:val="005E58C4"/>
    <w:rsid w:val="005E5D8F"/>
    <w:rsid w:val="005E6D54"/>
    <w:rsid w:val="005F1295"/>
    <w:rsid w:val="005F5A5C"/>
    <w:rsid w:val="005F5CD9"/>
    <w:rsid w:val="00602664"/>
    <w:rsid w:val="0061135C"/>
    <w:rsid w:val="00612E34"/>
    <w:rsid w:val="006136DD"/>
    <w:rsid w:val="006149F0"/>
    <w:rsid w:val="006220A5"/>
    <w:rsid w:val="00622D86"/>
    <w:rsid w:val="00624AC8"/>
    <w:rsid w:val="006262CF"/>
    <w:rsid w:val="00633285"/>
    <w:rsid w:val="00633558"/>
    <w:rsid w:val="00633812"/>
    <w:rsid w:val="00633C60"/>
    <w:rsid w:val="0064126D"/>
    <w:rsid w:val="006451B8"/>
    <w:rsid w:val="00645722"/>
    <w:rsid w:val="0064675F"/>
    <w:rsid w:val="006509C3"/>
    <w:rsid w:val="00652432"/>
    <w:rsid w:val="00657840"/>
    <w:rsid w:val="0066003C"/>
    <w:rsid w:val="0066041E"/>
    <w:rsid w:val="006619BB"/>
    <w:rsid w:val="00673CCC"/>
    <w:rsid w:val="00675C98"/>
    <w:rsid w:val="00677B92"/>
    <w:rsid w:val="006839BC"/>
    <w:rsid w:val="0069026B"/>
    <w:rsid w:val="006956EA"/>
    <w:rsid w:val="00696DCC"/>
    <w:rsid w:val="006A0D82"/>
    <w:rsid w:val="006A29C7"/>
    <w:rsid w:val="006A490C"/>
    <w:rsid w:val="006A5881"/>
    <w:rsid w:val="006A6733"/>
    <w:rsid w:val="006A766E"/>
    <w:rsid w:val="006B0AF8"/>
    <w:rsid w:val="006B4F7D"/>
    <w:rsid w:val="006B509C"/>
    <w:rsid w:val="006B63B1"/>
    <w:rsid w:val="006C114C"/>
    <w:rsid w:val="006C3668"/>
    <w:rsid w:val="006C3864"/>
    <w:rsid w:val="006C5383"/>
    <w:rsid w:val="006C5E72"/>
    <w:rsid w:val="006D2AEC"/>
    <w:rsid w:val="006D438F"/>
    <w:rsid w:val="006D4B1C"/>
    <w:rsid w:val="006D4C8E"/>
    <w:rsid w:val="006D4EE3"/>
    <w:rsid w:val="006D59D3"/>
    <w:rsid w:val="006D75EF"/>
    <w:rsid w:val="006E19D1"/>
    <w:rsid w:val="006E1CBB"/>
    <w:rsid w:val="006E4B27"/>
    <w:rsid w:val="006E5E7E"/>
    <w:rsid w:val="006F100B"/>
    <w:rsid w:val="006F239A"/>
    <w:rsid w:val="006F2C9D"/>
    <w:rsid w:val="006F39E8"/>
    <w:rsid w:val="006F4201"/>
    <w:rsid w:val="006F6B51"/>
    <w:rsid w:val="007048DB"/>
    <w:rsid w:val="0070637D"/>
    <w:rsid w:val="007071DD"/>
    <w:rsid w:val="0070771F"/>
    <w:rsid w:val="00712184"/>
    <w:rsid w:val="00712A14"/>
    <w:rsid w:val="00713208"/>
    <w:rsid w:val="00716C04"/>
    <w:rsid w:val="00717180"/>
    <w:rsid w:val="007179D2"/>
    <w:rsid w:val="00720750"/>
    <w:rsid w:val="0072549C"/>
    <w:rsid w:val="00725A80"/>
    <w:rsid w:val="00726E61"/>
    <w:rsid w:val="0073102A"/>
    <w:rsid w:val="00733970"/>
    <w:rsid w:val="007371C8"/>
    <w:rsid w:val="007375FE"/>
    <w:rsid w:val="00740776"/>
    <w:rsid w:val="0074148C"/>
    <w:rsid w:val="00741D0B"/>
    <w:rsid w:val="00754C58"/>
    <w:rsid w:val="007608BD"/>
    <w:rsid w:val="007639C5"/>
    <w:rsid w:val="0077205A"/>
    <w:rsid w:val="0077436E"/>
    <w:rsid w:val="00776E78"/>
    <w:rsid w:val="0078138A"/>
    <w:rsid w:val="00783014"/>
    <w:rsid w:val="007834DC"/>
    <w:rsid w:val="00790768"/>
    <w:rsid w:val="007959D8"/>
    <w:rsid w:val="0079630F"/>
    <w:rsid w:val="007A04C2"/>
    <w:rsid w:val="007A3F9E"/>
    <w:rsid w:val="007A4188"/>
    <w:rsid w:val="007A4238"/>
    <w:rsid w:val="007A45B0"/>
    <w:rsid w:val="007A47D0"/>
    <w:rsid w:val="007A5CF5"/>
    <w:rsid w:val="007B146A"/>
    <w:rsid w:val="007B57C9"/>
    <w:rsid w:val="007C0E7C"/>
    <w:rsid w:val="007C0EAA"/>
    <w:rsid w:val="007C19C3"/>
    <w:rsid w:val="007C44B2"/>
    <w:rsid w:val="007C4A7B"/>
    <w:rsid w:val="007C54EE"/>
    <w:rsid w:val="007C6496"/>
    <w:rsid w:val="007C745E"/>
    <w:rsid w:val="007D0ABE"/>
    <w:rsid w:val="007D580C"/>
    <w:rsid w:val="007E0E53"/>
    <w:rsid w:val="007E319A"/>
    <w:rsid w:val="007E356F"/>
    <w:rsid w:val="007E3F8C"/>
    <w:rsid w:val="007F1437"/>
    <w:rsid w:val="007F2058"/>
    <w:rsid w:val="007F2430"/>
    <w:rsid w:val="007F41A3"/>
    <w:rsid w:val="007F7685"/>
    <w:rsid w:val="0080011D"/>
    <w:rsid w:val="00800EA5"/>
    <w:rsid w:val="008015EC"/>
    <w:rsid w:val="00801C01"/>
    <w:rsid w:val="008040AD"/>
    <w:rsid w:val="008112CC"/>
    <w:rsid w:val="008130BB"/>
    <w:rsid w:val="00813D7D"/>
    <w:rsid w:val="008147C6"/>
    <w:rsid w:val="00814ACD"/>
    <w:rsid w:val="00817406"/>
    <w:rsid w:val="008208A7"/>
    <w:rsid w:val="008237FA"/>
    <w:rsid w:val="00825D37"/>
    <w:rsid w:val="008369B0"/>
    <w:rsid w:val="008372D1"/>
    <w:rsid w:val="00845C1E"/>
    <w:rsid w:val="0085711F"/>
    <w:rsid w:val="0085732C"/>
    <w:rsid w:val="00857C91"/>
    <w:rsid w:val="00860B45"/>
    <w:rsid w:val="00861F68"/>
    <w:rsid w:val="00863860"/>
    <w:rsid w:val="008638B5"/>
    <w:rsid w:val="008643E0"/>
    <w:rsid w:val="00866A11"/>
    <w:rsid w:val="00866B47"/>
    <w:rsid w:val="008734DB"/>
    <w:rsid w:val="0087390B"/>
    <w:rsid w:val="00874035"/>
    <w:rsid w:val="008745A1"/>
    <w:rsid w:val="008768E9"/>
    <w:rsid w:val="0087751B"/>
    <w:rsid w:val="00881A32"/>
    <w:rsid w:val="00884214"/>
    <w:rsid w:val="00890508"/>
    <w:rsid w:val="00890995"/>
    <w:rsid w:val="008914FB"/>
    <w:rsid w:val="00892516"/>
    <w:rsid w:val="008937DE"/>
    <w:rsid w:val="0089737A"/>
    <w:rsid w:val="00897E99"/>
    <w:rsid w:val="00897F60"/>
    <w:rsid w:val="008A4829"/>
    <w:rsid w:val="008B2384"/>
    <w:rsid w:val="008B38D6"/>
    <w:rsid w:val="008B4802"/>
    <w:rsid w:val="008B545D"/>
    <w:rsid w:val="008B69E3"/>
    <w:rsid w:val="008C1FD1"/>
    <w:rsid w:val="008C24A8"/>
    <w:rsid w:val="008C35EF"/>
    <w:rsid w:val="008C3664"/>
    <w:rsid w:val="008C5996"/>
    <w:rsid w:val="008D2BAF"/>
    <w:rsid w:val="008D4FA9"/>
    <w:rsid w:val="008D5A11"/>
    <w:rsid w:val="008D5E23"/>
    <w:rsid w:val="008D77AF"/>
    <w:rsid w:val="008E6D59"/>
    <w:rsid w:val="008F30C7"/>
    <w:rsid w:val="008F36B6"/>
    <w:rsid w:val="008F4527"/>
    <w:rsid w:val="008F5D66"/>
    <w:rsid w:val="00901D5B"/>
    <w:rsid w:val="009028AA"/>
    <w:rsid w:val="00903E3F"/>
    <w:rsid w:val="009049C3"/>
    <w:rsid w:val="00904AB8"/>
    <w:rsid w:val="00905425"/>
    <w:rsid w:val="009057D9"/>
    <w:rsid w:val="0090774A"/>
    <w:rsid w:val="00907C97"/>
    <w:rsid w:val="00910D07"/>
    <w:rsid w:val="00912E8E"/>
    <w:rsid w:val="00914B2F"/>
    <w:rsid w:val="009150E6"/>
    <w:rsid w:val="00915F57"/>
    <w:rsid w:val="00916290"/>
    <w:rsid w:val="00916F37"/>
    <w:rsid w:val="00917F89"/>
    <w:rsid w:val="009223BE"/>
    <w:rsid w:val="0092499B"/>
    <w:rsid w:val="009255EE"/>
    <w:rsid w:val="00925603"/>
    <w:rsid w:val="00925F76"/>
    <w:rsid w:val="00925FCE"/>
    <w:rsid w:val="00930E5E"/>
    <w:rsid w:val="00932E89"/>
    <w:rsid w:val="0093359D"/>
    <w:rsid w:val="00933F2B"/>
    <w:rsid w:val="009346FD"/>
    <w:rsid w:val="00942EEB"/>
    <w:rsid w:val="0094468E"/>
    <w:rsid w:val="00944B6E"/>
    <w:rsid w:val="00945261"/>
    <w:rsid w:val="00947377"/>
    <w:rsid w:val="009506A5"/>
    <w:rsid w:val="00951452"/>
    <w:rsid w:val="009541CC"/>
    <w:rsid w:val="00956564"/>
    <w:rsid w:val="009567A6"/>
    <w:rsid w:val="00956D5A"/>
    <w:rsid w:val="00961202"/>
    <w:rsid w:val="00961B2C"/>
    <w:rsid w:val="00961DBB"/>
    <w:rsid w:val="0096215B"/>
    <w:rsid w:val="00963D2B"/>
    <w:rsid w:val="0096618E"/>
    <w:rsid w:val="009758AE"/>
    <w:rsid w:val="00981433"/>
    <w:rsid w:val="00982109"/>
    <w:rsid w:val="0098222F"/>
    <w:rsid w:val="0098244F"/>
    <w:rsid w:val="00982C23"/>
    <w:rsid w:val="00983122"/>
    <w:rsid w:val="00985C07"/>
    <w:rsid w:val="00995B4F"/>
    <w:rsid w:val="00995FA3"/>
    <w:rsid w:val="00997582"/>
    <w:rsid w:val="009A22F8"/>
    <w:rsid w:val="009A2C21"/>
    <w:rsid w:val="009A3E58"/>
    <w:rsid w:val="009A3EDB"/>
    <w:rsid w:val="009A5F02"/>
    <w:rsid w:val="009A7565"/>
    <w:rsid w:val="009A7AB1"/>
    <w:rsid w:val="009B424D"/>
    <w:rsid w:val="009B6408"/>
    <w:rsid w:val="009B70E6"/>
    <w:rsid w:val="009C6DAA"/>
    <w:rsid w:val="009D0E74"/>
    <w:rsid w:val="009D1A96"/>
    <w:rsid w:val="009D1B13"/>
    <w:rsid w:val="009D370B"/>
    <w:rsid w:val="009D4670"/>
    <w:rsid w:val="009D7EE0"/>
    <w:rsid w:val="009E2087"/>
    <w:rsid w:val="009E252B"/>
    <w:rsid w:val="009E3265"/>
    <w:rsid w:val="009E3353"/>
    <w:rsid w:val="009E446D"/>
    <w:rsid w:val="009E4FFA"/>
    <w:rsid w:val="009E7C09"/>
    <w:rsid w:val="009F146D"/>
    <w:rsid w:val="009F4F1E"/>
    <w:rsid w:val="009F5D6A"/>
    <w:rsid w:val="00A015E4"/>
    <w:rsid w:val="00A0416F"/>
    <w:rsid w:val="00A0652F"/>
    <w:rsid w:val="00A075BC"/>
    <w:rsid w:val="00A11222"/>
    <w:rsid w:val="00A1157B"/>
    <w:rsid w:val="00A12C39"/>
    <w:rsid w:val="00A134FB"/>
    <w:rsid w:val="00A162FE"/>
    <w:rsid w:val="00A20802"/>
    <w:rsid w:val="00A25B4F"/>
    <w:rsid w:val="00A261B3"/>
    <w:rsid w:val="00A27E8B"/>
    <w:rsid w:val="00A311CF"/>
    <w:rsid w:val="00A442BF"/>
    <w:rsid w:val="00A4450C"/>
    <w:rsid w:val="00A50A1F"/>
    <w:rsid w:val="00A50BC1"/>
    <w:rsid w:val="00A51470"/>
    <w:rsid w:val="00A517D0"/>
    <w:rsid w:val="00A51B96"/>
    <w:rsid w:val="00A51EC0"/>
    <w:rsid w:val="00A53716"/>
    <w:rsid w:val="00A53B98"/>
    <w:rsid w:val="00A5629E"/>
    <w:rsid w:val="00A63BE2"/>
    <w:rsid w:val="00A64832"/>
    <w:rsid w:val="00A732DB"/>
    <w:rsid w:val="00A75338"/>
    <w:rsid w:val="00A834CF"/>
    <w:rsid w:val="00A83743"/>
    <w:rsid w:val="00A838D2"/>
    <w:rsid w:val="00A86F04"/>
    <w:rsid w:val="00A9176D"/>
    <w:rsid w:val="00A92C08"/>
    <w:rsid w:val="00A946C4"/>
    <w:rsid w:val="00AA478E"/>
    <w:rsid w:val="00AB137D"/>
    <w:rsid w:val="00AB7273"/>
    <w:rsid w:val="00AC01F8"/>
    <w:rsid w:val="00AC059A"/>
    <w:rsid w:val="00AC3BE3"/>
    <w:rsid w:val="00AC41CF"/>
    <w:rsid w:val="00AD0308"/>
    <w:rsid w:val="00AD179E"/>
    <w:rsid w:val="00AD377A"/>
    <w:rsid w:val="00AD67BB"/>
    <w:rsid w:val="00AE1CC1"/>
    <w:rsid w:val="00AE3EA4"/>
    <w:rsid w:val="00AE51FE"/>
    <w:rsid w:val="00AF1B02"/>
    <w:rsid w:val="00AF2C61"/>
    <w:rsid w:val="00AF41E4"/>
    <w:rsid w:val="00AF568A"/>
    <w:rsid w:val="00AF60C1"/>
    <w:rsid w:val="00B013CC"/>
    <w:rsid w:val="00B05262"/>
    <w:rsid w:val="00B06A75"/>
    <w:rsid w:val="00B06BC3"/>
    <w:rsid w:val="00B071C9"/>
    <w:rsid w:val="00B07F5A"/>
    <w:rsid w:val="00B138BA"/>
    <w:rsid w:val="00B15A0F"/>
    <w:rsid w:val="00B17FB2"/>
    <w:rsid w:val="00B20236"/>
    <w:rsid w:val="00B20937"/>
    <w:rsid w:val="00B220A0"/>
    <w:rsid w:val="00B22B64"/>
    <w:rsid w:val="00B22D72"/>
    <w:rsid w:val="00B22FEA"/>
    <w:rsid w:val="00B24321"/>
    <w:rsid w:val="00B30FEB"/>
    <w:rsid w:val="00B311BA"/>
    <w:rsid w:val="00B35B47"/>
    <w:rsid w:val="00B40AA3"/>
    <w:rsid w:val="00B43AF9"/>
    <w:rsid w:val="00B44478"/>
    <w:rsid w:val="00B4609C"/>
    <w:rsid w:val="00B508DA"/>
    <w:rsid w:val="00B538BA"/>
    <w:rsid w:val="00B56D12"/>
    <w:rsid w:val="00B571D6"/>
    <w:rsid w:val="00B6002C"/>
    <w:rsid w:val="00B620EE"/>
    <w:rsid w:val="00B64D4E"/>
    <w:rsid w:val="00B717FF"/>
    <w:rsid w:val="00B80FB4"/>
    <w:rsid w:val="00B85366"/>
    <w:rsid w:val="00B87F60"/>
    <w:rsid w:val="00B9079B"/>
    <w:rsid w:val="00B93B5E"/>
    <w:rsid w:val="00B93D3D"/>
    <w:rsid w:val="00B96341"/>
    <w:rsid w:val="00BA471F"/>
    <w:rsid w:val="00BA7322"/>
    <w:rsid w:val="00BB5013"/>
    <w:rsid w:val="00BB528E"/>
    <w:rsid w:val="00BB615A"/>
    <w:rsid w:val="00BB78CD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E0D9A"/>
    <w:rsid w:val="00BE1A50"/>
    <w:rsid w:val="00BE2F0D"/>
    <w:rsid w:val="00BE5E2E"/>
    <w:rsid w:val="00BF0BD5"/>
    <w:rsid w:val="00BF0D35"/>
    <w:rsid w:val="00BF488B"/>
    <w:rsid w:val="00BF55F8"/>
    <w:rsid w:val="00C051FD"/>
    <w:rsid w:val="00C0564C"/>
    <w:rsid w:val="00C13D35"/>
    <w:rsid w:val="00C15FD2"/>
    <w:rsid w:val="00C1744F"/>
    <w:rsid w:val="00C20C7D"/>
    <w:rsid w:val="00C20DEF"/>
    <w:rsid w:val="00C24B25"/>
    <w:rsid w:val="00C24E89"/>
    <w:rsid w:val="00C32C2F"/>
    <w:rsid w:val="00C3738A"/>
    <w:rsid w:val="00C40859"/>
    <w:rsid w:val="00C419AC"/>
    <w:rsid w:val="00C4315A"/>
    <w:rsid w:val="00C43F5E"/>
    <w:rsid w:val="00C44074"/>
    <w:rsid w:val="00C4651F"/>
    <w:rsid w:val="00C51D0B"/>
    <w:rsid w:val="00C52207"/>
    <w:rsid w:val="00C52A50"/>
    <w:rsid w:val="00C558E5"/>
    <w:rsid w:val="00C61628"/>
    <w:rsid w:val="00C642D4"/>
    <w:rsid w:val="00C66AF6"/>
    <w:rsid w:val="00C730F4"/>
    <w:rsid w:val="00C74311"/>
    <w:rsid w:val="00C75BF3"/>
    <w:rsid w:val="00C80200"/>
    <w:rsid w:val="00C80BC5"/>
    <w:rsid w:val="00C80E0A"/>
    <w:rsid w:val="00C8270B"/>
    <w:rsid w:val="00C841A9"/>
    <w:rsid w:val="00C86FC4"/>
    <w:rsid w:val="00C8728F"/>
    <w:rsid w:val="00C91D48"/>
    <w:rsid w:val="00C97FBC"/>
    <w:rsid w:val="00CA06C8"/>
    <w:rsid w:val="00CA0B7E"/>
    <w:rsid w:val="00CA37B6"/>
    <w:rsid w:val="00CA4C28"/>
    <w:rsid w:val="00CA4E33"/>
    <w:rsid w:val="00CA5598"/>
    <w:rsid w:val="00CA5EF8"/>
    <w:rsid w:val="00CA724B"/>
    <w:rsid w:val="00CB28A3"/>
    <w:rsid w:val="00CB73EC"/>
    <w:rsid w:val="00CC00A0"/>
    <w:rsid w:val="00CC0FED"/>
    <w:rsid w:val="00CC3C34"/>
    <w:rsid w:val="00CC5455"/>
    <w:rsid w:val="00CC6C06"/>
    <w:rsid w:val="00CC6D2F"/>
    <w:rsid w:val="00CD1526"/>
    <w:rsid w:val="00CD1546"/>
    <w:rsid w:val="00CD2807"/>
    <w:rsid w:val="00CD5509"/>
    <w:rsid w:val="00CE0215"/>
    <w:rsid w:val="00CE1EB0"/>
    <w:rsid w:val="00CE3DF2"/>
    <w:rsid w:val="00CF04D5"/>
    <w:rsid w:val="00CF0C0F"/>
    <w:rsid w:val="00CF1690"/>
    <w:rsid w:val="00CF1F2A"/>
    <w:rsid w:val="00CF5CE3"/>
    <w:rsid w:val="00CF7412"/>
    <w:rsid w:val="00D014E1"/>
    <w:rsid w:val="00D030F8"/>
    <w:rsid w:val="00D077B7"/>
    <w:rsid w:val="00D20297"/>
    <w:rsid w:val="00D21E43"/>
    <w:rsid w:val="00D21E6B"/>
    <w:rsid w:val="00D2336A"/>
    <w:rsid w:val="00D23634"/>
    <w:rsid w:val="00D245C4"/>
    <w:rsid w:val="00D27D89"/>
    <w:rsid w:val="00D33046"/>
    <w:rsid w:val="00D34551"/>
    <w:rsid w:val="00D36D27"/>
    <w:rsid w:val="00D411E3"/>
    <w:rsid w:val="00D41664"/>
    <w:rsid w:val="00D43AB4"/>
    <w:rsid w:val="00D4569D"/>
    <w:rsid w:val="00D457D6"/>
    <w:rsid w:val="00D55013"/>
    <w:rsid w:val="00D64CE2"/>
    <w:rsid w:val="00D661D4"/>
    <w:rsid w:val="00D702E1"/>
    <w:rsid w:val="00D719B9"/>
    <w:rsid w:val="00D7270F"/>
    <w:rsid w:val="00D7596A"/>
    <w:rsid w:val="00D75C0F"/>
    <w:rsid w:val="00D7751B"/>
    <w:rsid w:val="00D815DC"/>
    <w:rsid w:val="00D822B5"/>
    <w:rsid w:val="00D82D23"/>
    <w:rsid w:val="00D83D3C"/>
    <w:rsid w:val="00D84451"/>
    <w:rsid w:val="00D85C95"/>
    <w:rsid w:val="00D867AE"/>
    <w:rsid w:val="00D8781A"/>
    <w:rsid w:val="00D87BBB"/>
    <w:rsid w:val="00D87C87"/>
    <w:rsid w:val="00D921C4"/>
    <w:rsid w:val="00D9296A"/>
    <w:rsid w:val="00D93C23"/>
    <w:rsid w:val="00D95638"/>
    <w:rsid w:val="00D9584C"/>
    <w:rsid w:val="00D97180"/>
    <w:rsid w:val="00D97C79"/>
    <w:rsid w:val="00DA14D9"/>
    <w:rsid w:val="00DA7588"/>
    <w:rsid w:val="00DB13AD"/>
    <w:rsid w:val="00DB23F9"/>
    <w:rsid w:val="00DB58BE"/>
    <w:rsid w:val="00DB602E"/>
    <w:rsid w:val="00DB6176"/>
    <w:rsid w:val="00DB6AA0"/>
    <w:rsid w:val="00DB7C3A"/>
    <w:rsid w:val="00DC719B"/>
    <w:rsid w:val="00DD14EE"/>
    <w:rsid w:val="00DD32AB"/>
    <w:rsid w:val="00DD5BF6"/>
    <w:rsid w:val="00DD64DC"/>
    <w:rsid w:val="00DD7686"/>
    <w:rsid w:val="00DE1865"/>
    <w:rsid w:val="00DE491B"/>
    <w:rsid w:val="00DE6CEF"/>
    <w:rsid w:val="00DF11C2"/>
    <w:rsid w:val="00DF2134"/>
    <w:rsid w:val="00DF4593"/>
    <w:rsid w:val="00DF64E0"/>
    <w:rsid w:val="00E04FE4"/>
    <w:rsid w:val="00E10D05"/>
    <w:rsid w:val="00E15733"/>
    <w:rsid w:val="00E2223E"/>
    <w:rsid w:val="00E22D98"/>
    <w:rsid w:val="00E24623"/>
    <w:rsid w:val="00E252E3"/>
    <w:rsid w:val="00E25B1B"/>
    <w:rsid w:val="00E378A9"/>
    <w:rsid w:val="00E40505"/>
    <w:rsid w:val="00E42A41"/>
    <w:rsid w:val="00E45766"/>
    <w:rsid w:val="00E45AC5"/>
    <w:rsid w:val="00E567E5"/>
    <w:rsid w:val="00E64480"/>
    <w:rsid w:val="00E65807"/>
    <w:rsid w:val="00E66103"/>
    <w:rsid w:val="00E6708B"/>
    <w:rsid w:val="00E73A8C"/>
    <w:rsid w:val="00E75050"/>
    <w:rsid w:val="00E75D5E"/>
    <w:rsid w:val="00E7692A"/>
    <w:rsid w:val="00E76F42"/>
    <w:rsid w:val="00E77D6D"/>
    <w:rsid w:val="00E81429"/>
    <w:rsid w:val="00E915E6"/>
    <w:rsid w:val="00EA3E11"/>
    <w:rsid w:val="00EA6EB3"/>
    <w:rsid w:val="00EB4A8E"/>
    <w:rsid w:val="00EB5EF3"/>
    <w:rsid w:val="00EB62F7"/>
    <w:rsid w:val="00EB664D"/>
    <w:rsid w:val="00EB695D"/>
    <w:rsid w:val="00EB7C6D"/>
    <w:rsid w:val="00EC38F3"/>
    <w:rsid w:val="00EC4241"/>
    <w:rsid w:val="00ED0404"/>
    <w:rsid w:val="00ED1407"/>
    <w:rsid w:val="00ED39CE"/>
    <w:rsid w:val="00ED4134"/>
    <w:rsid w:val="00ED7A9F"/>
    <w:rsid w:val="00EE05F1"/>
    <w:rsid w:val="00EE06B8"/>
    <w:rsid w:val="00EE102B"/>
    <w:rsid w:val="00EE1B0F"/>
    <w:rsid w:val="00EE3226"/>
    <w:rsid w:val="00EE471A"/>
    <w:rsid w:val="00EE5492"/>
    <w:rsid w:val="00EE583A"/>
    <w:rsid w:val="00EF0A00"/>
    <w:rsid w:val="00EF7395"/>
    <w:rsid w:val="00F0183C"/>
    <w:rsid w:val="00F0379D"/>
    <w:rsid w:val="00F03C79"/>
    <w:rsid w:val="00F07BD5"/>
    <w:rsid w:val="00F122D6"/>
    <w:rsid w:val="00F147EA"/>
    <w:rsid w:val="00F15445"/>
    <w:rsid w:val="00F15BF4"/>
    <w:rsid w:val="00F171E0"/>
    <w:rsid w:val="00F17940"/>
    <w:rsid w:val="00F17DC0"/>
    <w:rsid w:val="00F2046C"/>
    <w:rsid w:val="00F20647"/>
    <w:rsid w:val="00F207FC"/>
    <w:rsid w:val="00F274DB"/>
    <w:rsid w:val="00F300E4"/>
    <w:rsid w:val="00F31392"/>
    <w:rsid w:val="00F348B5"/>
    <w:rsid w:val="00F3652B"/>
    <w:rsid w:val="00F36D95"/>
    <w:rsid w:val="00F377B9"/>
    <w:rsid w:val="00F45442"/>
    <w:rsid w:val="00F5145E"/>
    <w:rsid w:val="00F554DB"/>
    <w:rsid w:val="00F558EA"/>
    <w:rsid w:val="00F5681C"/>
    <w:rsid w:val="00F6045D"/>
    <w:rsid w:val="00F613CB"/>
    <w:rsid w:val="00F61F79"/>
    <w:rsid w:val="00F651DD"/>
    <w:rsid w:val="00F656A4"/>
    <w:rsid w:val="00F6665E"/>
    <w:rsid w:val="00F7075F"/>
    <w:rsid w:val="00F71D76"/>
    <w:rsid w:val="00F779AD"/>
    <w:rsid w:val="00F8349F"/>
    <w:rsid w:val="00F83FB7"/>
    <w:rsid w:val="00F85935"/>
    <w:rsid w:val="00F85D29"/>
    <w:rsid w:val="00F969D3"/>
    <w:rsid w:val="00F9789E"/>
    <w:rsid w:val="00FA190E"/>
    <w:rsid w:val="00FA54D8"/>
    <w:rsid w:val="00FB073F"/>
    <w:rsid w:val="00FB1392"/>
    <w:rsid w:val="00FB275C"/>
    <w:rsid w:val="00FB460E"/>
    <w:rsid w:val="00FC0104"/>
    <w:rsid w:val="00FC4FB7"/>
    <w:rsid w:val="00FC65E5"/>
    <w:rsid w:val="00FC6998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3069"/>
    <w:rsid w:val="00FE3B13"/>
    <w:rsid w:val="00FF0566"/>
    <w:rsid w:val="00FF15F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8510AA1"/>
  <w15:docId w15:val="{5323C61A-71D6-4ACE-9514-55785E22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0" w:defUnhideWhenUsed="0" w:defQFormat="0" w:count="371"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39" w:unhideWhenUsed="1"/>
    <w:lsdException w:name="index heading" w:semiHidden="1" w:unhideWhenUsed="1"/>
    <w:lsdException w:name="caption" w:semiHidden="1" w:uiPriority="13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3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D014E1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D014E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D014E1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3D4D7D" w:themeColor="background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3D4D7D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D014E1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3D4D7D" w:themeColor="background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D014E1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3D4D7D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D014E1"/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D014E1"/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D014E1"/>
    <w:rPr>
      <w:i/>
      <w:color w:val="3D4D7D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3D4D7D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D014E1"/>
    <w:rPr>
      <w:rFonts w:ascii="Calibri" w:eastAsiaTheme="majorEastAsia" w:hAnsi="Calibri" w:cstheme="majorBidi"/>
      <w:color w:val="3D4D7D" w:themeColor="background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D014E1"/>
    <w:rPr>
      <w:rFonts w:asciiTheme="majorHAnsi" w:hAnsiTheme="majorHAnsi"/>
      <w:color w:val="3D4D7D" w:themeColor="background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D014E1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3D4D7D" w:themeColor="background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D014E1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3D4D7D" w:themeColor="background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D014E1"/>
    <w:pPr>
      <w:keepNext/>
      <w:keepLines/>
      <w:spacing w:before="360" w:after="120"/>
    </w:pPr>
    <w:rPr>
      <w:b/>
      <w:bCs/>
      <w:color w:val="3D4D7D" w:themeColor="background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3D4D7D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9778B4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9778B4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9778B4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9778B4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1873D" w:themeColor="accent3"/>
        <w:insideV w:val="single" w:sz="4" w:space="0" w:color="F1873D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F1873D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9778B4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FCC648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78B4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873D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3D4D7D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9778B4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9778B4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9778B4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3D4D7D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3D4D7D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9778B4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h.gov.au/About_Parliament/Parliamentary_Departments/Parliamentary_Library/pubs/rp/BudgetReview201011/TaxationRSPTax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1%20PR%20%20IR\PRR%20-%20RB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699190AD8D4412967BD6139321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F159-A1B6-4C33-A3F6-ED47813A8304}"/>
      </w:docPartPr>
      <w:docPartBody>
        <w:p w:rsidR="00DD1B08" w:rsidRDefault="00DD1B08">
          <w:pPr>
            <w:pStyle w:val="07699190AD8D4412967BD61393219BE1"/>
          </w:pPr>
          <w:r w:rsidRPr="00925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08"/>
    <w:rsid w:val="00177AA3"/>
    <w:rsid w:val="002F5BA0"/>
    <w:rsid w:val="00395444"/>
    <w:rsid w:val="004D5B0D"/>
    <w:rsid w:val="005007E1"/>
    <w:rsid w:val="005A6E3B"/>
    <w:rsid w:val="00721F82"/>
    <w:rsid w:val="007E252A"/>
    <w:rsid w:val="00B5573C"/>
    <w:rsid w:val="00C34177"/>
    <w:rsid w:val="00C4084B"/>
    <w:rsid w:val="00D04821"/>
    <w:rsid w:val="00DC3017"/>
    <w:rsid w:val="00DD1B08"/>
    <w:rsid w:val="00F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6FE059AB6FC8404CA1D8375F4003FCB0">
    <w:name w:val="6FE059AB6FC8404CA1D8375F4003FCB0"/>
  </w:style>
  <w:style w:type="paragraph" w:customStyle="1" w:styleId="FBE1359EF3A34BEC94E2C51C5D7EADA3">
    <w:name w:val="FBE1359EF3A34BEC94E2C51C5D7EADA3"/>
  </w:style>
  <w:style w:type="paragraph" w:customStyle="1" w:styleId="4561D516C70F4AE8BA45291A164A83DA">
    <w:name w:val="4561D516C70F4AE8BA45291A164A83DA"/>
  </w:style>
  <w:style w:type="paragraph" w:customStyle="1" w:styleId="954A4C86008B45E3A8E2BF9698AA5CCA">
    <w:name w:val="954A4C86008B45E3A8E2BF9698AA5CCA"/>
  </w:style>
  <w:style w:type="paragraph" w:customStyle="1" w:styleId="6C6973BD0A98476CAA28D259E129E4F2">
    <w:name w:val="6C6973BD0A98476CAA28D259E129E4F2"/>
  </w:style>
  <w:style w:type="paragraph" w:customStyle="1" w:styleId="0302165776F340FBA5E3CB22F52419EB">
    <w:name w:val="0302165776F340FBA5E3CB22F52419EB"/>
  </w:style>
  <w:style w:type="paragraph" w:customStyle="1" w:styleId="0D5A892426094FF4901E92B03D68D8DF">
    <w:name w:val="0D5A892426094FF4901E92B03D68D8DF"/>
  </w:style>
  <w:style w:type="paragraph" w:customStyle="1" w:styleId="07699190AD8D4412967BD61393219BE1">
    <w:name w:val="07699190AD8D4412967BD61393219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80899D10-002C-45E8-8FBB-C126E465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 - RBA.dotm</Template>
  <TotalTime>5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Parliamentary Budget Office</dc:creator>
  <cp:lastModifiedBy>Kuo, Suzy (PBO)</cp:lastModifiedBy>
  <cp:revision>5</cp:revision>
  <cp:lastPrinted>2017-11-13T23:47:00Z</cp:lastPrinted>
  <dcterms:created xsi:type="dcterms:W3CDTF">2021-03-26T06:27:00Z</dcterms:created>
  <dcterms:modified xsi:type="dcterms:W3CDTF">2021-03-29T22:45:00Z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</Properties>
</file>