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73C" w:rsidRDefault="00137136" w:rsidP="00552FE1">
      <w:pPr>
        <w:pStyle w:val="Title"/>
        <w:spacing w:before="1080" w:after="1200"/>
        <w:ind w:left="567" w:hanging="567"/>
        <w:jc w:val="left"/>
        <w:outlineLvl w:val="9"/>
      </w:pPr>
      <w:bookmarkStart w:id="0" w:name="_GoBack"/>
      <w:bookmarkEnd w:id="0"/>
      <w:r>
        <w:rPr>
          <w:noProof/>
        </w:rPr>
        <w:drawing>
          <wp:inline distT="0" distB="0" distL="0" distR="0" wp14:anchorId="2467B9CB" wp14:editId="3A4F544C">
            <wp:extent cx="2876550" cy="609600"/>
            <wp:effectExtent l="0" t="0" r="0" b="0"/>
            <wp:docPr id="1" name="Picture 1"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p>
    <w:p w:rsidR="0097473C" w:rsidRPr="00290579" w:rsidRDefault="00273BB3" w:rsidP="00552FE1">
      <w:pPr>
        <w:pStyle w:val="Title"/>
        <w:jc w:val="left"/>
        <w:outlineLvl w:val="9"/>
        <w:rPr>
          <w:sz w:val="46"/>
          <w:szCs w:val="46"/>
        </w:rPr>
      </w:pPr>
      <w:r w:rsidRPr="00290579">
        <w:rPr>
          <w:sz w:val="46"/>
          <w:szCs w:val="46"/>
        </w:rPr>
        <w:t xml:space="preserve">Submission to the </w:t>
      </w:r>
      <w:r w:rsidR="00954989" w:rsidRPr="00290579">
        <w:rPr>
          <w:sz w:val="46"/>
          <w:szCs w:val="46"/>
        </w:rPr>
        <w:t>Senate Select Committee on Health</w:t>
      </w:r>
      <w:r w:rsidR="00FD6F82">
        <w:rPr>
          <w:sz w:val="46"/>
          <w:szCs w:val="46"/>
        </w:rPr>
        <w:t xml:space="preserve"> </w:t>
      </w:r>
      <w:r w:rsidR="00954989" w:rsidRPr="00290579">
        <w:rPr>
          <w:sz w:val="46"/>
          <w:szCs w:val="46"/>
        </w:rPr>
        <w:t>regarding Commonwealth funding</w:t>
      </w:r>
      <w:r w:rsidR="00FD6F82">
        <w:rPr>
          <w:sz w:val="46"/>
          <w:szCs w:val="46"/>
        </w:rPr>
        <w:t xml:space="preserve"> </w:t>
      </w:r>
      <w:r w:rsidR="00954989" w:rsidRPr="00290579">
        <w:rPr>
          <w:sz w:val="46"/>
          <w:szCs w:val="46"/>
        </w:rPr>
        <w:t>of</w:t>
      </w:r>
      <w:r w:rsidR="00FD6F82" w:rsidRPr="00290579">
        <w:rPr>
          <w:sz w:val="46"/>
          <w:szCs w:val="46"/>
        </w:rPr>
        <w:t xml:space="preserve"> </w:t>
      </w:r>
      <w:r w:rsidR="00954989" w:rsidRPr="00290579">
        <w:rPr>
          <w:sz w:val="46"/>
          <w:szCs w:val="46"/>
        </w:rPr>
        <w:t>public hospitals</w:t>
      </w:r>
    </w:p>
    <w:p w:rsidR="0097473C" w:rsidRDefault="001B6346" w:rsidP="00273BB3">
      <w:pPr>
        <w:pStyle w:val="Subtitle"/>
        <w:jc w:val="left"/>
        <w:outlineLvl w:val="9"/>
      </w:pPr>
      <w:r>
        <w:t xml:space="preserve">3 February </w:t>
      </w:r>
      <w:r w:rsidR="00B639C2">
        <w:t>2016</w:t>
      </w:r>
    </w:p>
    <w:p w:rsidR="0097473C" w:rsidRDefault="0097473C" w:rsidP="00552FE1">
      <w:pPr>
        <w:pStyle w:val="PBOtext"/>
        <w:sectPr w:rsidR="0097473C" w:rsidSect="00131DDC">
          <w:headerReference w:type="default" r:id="rId10"/>
          <w:footerReference w:type="even" r:id="rId11"/>
          <w:footerReference w:type="default" r:id="rId12"/>
          <w:pgSz w:w="11900" w:h="16840"/>
          <w:pgMar w:top="1440" w:right="1440" w:bottom="1440" w:left="1440" w:header="709" w:footer="709" w:gutter="0"/>
          <w:pgNumType w:start="1"/>
          <w:cols w:space="708"/>
          <w:titlePg/>
          <w:docGrid w:linePitch="326"/>
        </w:sectPr>
      </w:pPr>
    </w:p>
    <w:p w:rsidR="0031037A" w:rsidRDefault="0031037A" w:rsidP="0023299E">
      <w:pPr>
        <w:pStyle w:val="PBOheading1"/>
        <w:ind w:left="567" w:hanging="567"/>
        <w:outlineLvl w:val="9"/>
      </w:pPr>
      <w:bookmarkStart w:id="1" w:name="_Toc435699997"/>
      <w:bookmarkStart w:id="2" w:name="_Toc440955922"/>
      <w:r>
        <w:lastRenderedPageBreak/>
        <w:t>Contents</w:t>
      </w:r>
      <w:bookmarkEnd w:id="1"/>
      <w:bookmarkEnd w:id="2"/>
    </w:p>
    <w:p w:rsidR="00C847A9" w:rsidRDefault="00760408">
      <w:pPr>
        <w:pStyle w:val="TOC1"/>
        <w:rPr>
          <w:rFonts w:asciiTheme="minorHAnsi" w:eastAsiaTheme="minorEastAsia" w:hAnsiTheme="minorHAnsi" w:cstheme="minorBidi"/>
          <w:b w:val="0"/>
          <w:sz w:val="22"/>
          <w:szCs w:val="22"/>
        </w:rPr>
      </w:pPr>
      <w:r>
        <w:rPr>
          <w:rFonts w:eastAsiaTheme="majorEastAsia" w:cstheme="majorBidi"/>
          <w:b w:val="0"/>
          <w:bCs/>
          <w:szCs w:val="22"/>
          <w:lang w:eastAsia="en-US"/>
        </w:rPr>
        <w:fldChar w:fldCharType="begin"/>
      </w:r>
      <w:r>
        <w:rPr>
          <w:rFonts w:eastAsiaTheme="majorEastAsia" w:cstheme="majorBidi"/>
          <w:b w:val="0"/>
          <w:bCs/>
          <w:szCs w:val="22"/>
          <w:lang w:eastAsia="en-US"/>
        </w:rPr>
        <w:instrText xml:space="preserve"> TOC \o "1-1" \h \z \u </w:instrText>
      </w:r>
      <w:r>
        <w:rPr>
          <w:rFonts w:eastAsiaTheme="majorEastAsia" w:cstheme="majorBidi"/>
          <w:b w:val="0"/>
          <w:bCs/>
          <w:szCs w:val="22"/>
          <w:lang w:eastAsia="en-US"/>
        </w:rPr>
        <w:fldChar w:fldCharType="separate"/>
      </w:r>
      <w:hyperlink w:anchor="_Toc442264434" w:history="1">
        <w:r w:rsidR="00C847A9" w:rsidRPr="00E555EB">
          <w:rPr>
            <w:rStyle w:val="Hyperlink"/>
          </w:rPr>
          <w:t>Introduction</w:t>
        </w:r>
        <w:r w:rsidR="00C847A9">
          <w:rPr>
            <w:webHidden/>
          </w:rPr>
          <w:tab/>
        </w:r>
        <w:r w:rsidR="00C847A9">
          <w:rPr>
            <w:webHidden/>
          </w:rPr>
          <w:fldChar w:fldCharType="begin"/>
        </w:r>
        <w:r w:rsidR="00C847A9">
          <w:rPr>
            <w:webHidden/>
          </w:rPr>
          <w:instrText xml:space="preserve"> PAGEREF _Toc442264434 \h </w:instrText>
        </w:r>
        <w:r w:rsidR="00C847A9">
          <w:rPr>
            <w:webHidden/>
          </w:rPr>
        </w:r>
        <w:r w:rsidR="00C847A9">
          <w:rPr>
            <w:webHidden/>
          </w:rPr>
          <w:fldChar w:fldCharType="separate"/>
        </w:r>
        <w:r w:rsidR="000E189F">
          <w:rPr>
            <w:webHidden/>
          </w:rPr>
          <w:t>3</w:t>
        </w:r>
        <w:r w:rsidR="00C847A9">
          <w:rPr>
            <w:webHidden/>
          </w:rPr>
          <w:fldChar w:fldCharType="end"/>
        </w:r>
      </w:hyperlink>
    </w:p>
    <w:p w:rsidR="00C847A9" w:rsidRDefault="00AE7538">
      <w:pPr>
        <w:pStyle w:val="TOC1"/>
        <w:rPr>
          <w:rFonts w:asciiTheme="minorHAnsi" w:eastAsiaTheme="minorEastAsia" w:hAnsiTheme="minorHAnsi" w:cstheme="minorBidi"/>
          <w:b w:val="0"/>
          <w:sz w:val="22"/>
          <w:szCs w:val="22"/>
        </w:rPr>
      </w:pPr>
      <w:hyperlink w:anchor="_Toc442264435" w:history="1">
        <w:r w:rsidR="00C847A9" w:rsidRPr="00E555EB">
          <w:rPr>
            <w:rStyle w:val="Hyperlink"/>
          </w:rPr>
          <w:t>Background</w:t>
        </w:r>
        <w:r w:rsidR="00C847A9">
          <w:rPr>
            <w:webHidden/>
          </w:rPr>
          <w:tab/>
        </w:r>
        <w:r w:rsidR="00C847A9">
          <w:rPr>
            <w:webHidden/>
          </w:rPr>
          <w:fldChar w:fldCharType="begin"/>
        </w:r>
        <w:r w:rsidR="00C847A9">
          <w:rPr>
            <w:webHidden/>
          </w:rPr>
          <w:instrText xml:space="preserve"> PAGEREF _Toc442264435 \h </w:instrText>
        </w:r>
        <w:r w:rsidR="00C847A9">
          <w:rPr>
            <w:webHidden/>
          </w:rPr>
        </w:r>
        <w:r w:rsidR="00C847A9">
          <w:rPr>
            <w:webHidden/>
          </w:rPr>
          <w:fldChar w:fldCharType="separate"/>
        </w:r>
        <w:r w:rsidR="000E189F">
          <w:rPr>
            <w:webHidden/>
          </w:rPr>
          <w:t>3</w:t>
        </w:r>
        <w:r w:rsidR="00C847A9">
          <w:rPr>
            <w:webHidden/>
          </w:rPr>
          <w:fldChar w:fldCharType="end"/>
        </w:r>
      </w:hyperlink>
    </w:p>
    <w:p w:rsidR="00C847A9" w:rsidRDefault="00AE7538">
      <w:pPr>
        <w:pStyle w:val="TOC1"/>
        <w:rPr>
          <w:rFonts w:asciiTheme="minorHAnsi" w:eastAsiaTheme="minorEastAsia" w:hAnsiTheme="minorHAnsi" w:cstheme="minorBidi"/>
          <w:b w:val="0"/>
          <w:sz w:val="22"/>
          <w:szCs w:val="22"/>
        </w:rPr>
      </w:pPr>
      <w:hyperlink w:anchor="_Toc442264436" w:history="1">
        <w:r w:rsidR="00C847A9" w:rsidRPr="00E555EB">
          <w:rPr>
            <w:rStyle w:val="Hyperlink"/>
          </w:rPr>
          <w:t>Data Sources</w:t>
        </w:r>
        <w:r w:rsidR="00C847A9">
          <w:rPr>
            <w:webHidden/>
          </w:rPr>
          <w:tab/>
        </w:r>
        <w:r w:rsidR="00C847A9">
          <w:rPr>
            <w:webHidden/>
          </w:rPr>
          <w:fldChar w:fldCharType="begin"/>
        </w:r>
        <w:r w:rsidR="00C847A9">
          <w:rPr>
            <w:webHidden/>
          </w:rPr>
          <w:instrText xml:space="preserve"> PAGEREF _Toc442264436 \h </w:instrText>
        </w:r>
        <w:r w:rsidR="00C847A9">
          <w:rPr>
            <w:webHidden/>
          </w:rPr>
        </w:r>
        <w:r w:rsidR="00C847A9">
          <w:rPr>
            <w:webHidden/>
          </w:rPr>
          <w:fldChar w:fldCharType="separate"/>
        </w:r>
        <w:r w:rsidR="000E189F">
          <w:rPr>
            <w:webHidden/>
          </w:rPr>
          <w:t>8</w:t>
        </w:r>
        <w:r w:rsidR="00C847A9">
          <w:rPr>
            <w:webHidden/>
          </w:rPr>
          <w:fldChar w:fldCharType="end"/>
        </w:r>
      </w:hyperlink>
    </w:p>
    <w:p w:rsidR="00C847A9" w:rsidRDefault="00AE7538">
      <w:pPr>
        <w:pStyle w:val="TOC1"/>
        <w:rPr>
          <w:rFonts w:asciiTheme="minorHAnsi" w:eastAsiaTheme="minorEastAsia" w:hAnsiTheme="minorHAnsi" w:cstheme="minorBidi"/>
          <w:b w:val="0"/>
          <w:sz w:val="22"/>
          <w:szCs w:val="22"/>
        </w:rPr>
      </w:pPr>
      <w:hyperlink w:anchor="_Toc442264437" w:history="1">
        <w:r w:rsidR="00C847A9" w:rsidRPr="00E555EB">
          <w:rPr>
            <w:rStyle w:val="Hyperlink"/>
          </w:rPr>
          <w:t>Attachment A</w:t>
        </w:r>
        <w:r w:rsidR="00C847A9">
          <w:rPr>
            <w:webHidden/>
          </w:rPr>
          <w:tab/>
        </w:r>
        <w:r w:rsidR="00C847A9">
          <w:rPr>
            <w:webHidden/>
          </w:rPr>
          <w:fldChar w:fldCharType="begin"/>
        </w:r>
        <w:r w:rsidR="00C847A9">
          <w:rPr>
            <w:webHidden/>
          </w:rPr>
          <w:instrText xml:space="preserve"> PAGEREF _Toc442264437 \h </w:instrText>
        </w:r>
        <w:r w:rsidR="00C847A9">
          <w:rPr>
            <w:webHidden/>
          </w:rPr>
        </w:r>
        <w:r w:rsidR="00C847A9">
          <w:rPr>
            <w:webHidden/>
          </w:rPr>
          <w:fldChar w:fldCharType="separate"/>
        </w:r>
        <w:r w:rsidR="000E189F">
          <w:rPr>
            <w:webHidden/>
          </w:rPr>
          <w:t>9</w:t>
        </w:r>
        <w:r w:rsidR="00C847A9">
          <w:rPr>
            <w:webHidden/>
          </w:rPr>
          <w:fldChar w:fldCharType="end"/>
        </w:r>
      </w:hyperlink>
    </w:p>
    <w:p w:rsidR="00C847A9" w:rsidRDefault="00AE7538">
      <w:pPr>
        <w:pStyle w:val="TOC1"/>
        <w:rPr>
          <w:rFonts w:asciiTheme="minorHAnsi" w:eastAsiaTheme="minorEastAsia" w:hAnsiTheme="minorHAnsi" w:cstheme="minorBidi"/>
          <w:b w:val="0"/>
          <w:sz w:val="22"/>
          <w:szCs w:val="22"/>
        </w:rPr>
      </w:pPr>
      <w:hyperlink w:anchor="_Toc442264438" w:history="1">
        <w:r w:rsidR="00C847A9" w:rsidRPr="00E555EB">
          <w:rPr>
            <w:rStyle w:val="Hyperlink"/>
          </w:rPr>
          <w:t>Attachment B</w:t>
        </w:r>
        <w:r w:rsidR="00C847A9">
          <w:rPr>
            <w:webHidden/>
          </w:rPr>
          <w:tab/>
        </w:r>
        <w:r w:rsidR="00C847A9">
          <w:rPr>
            <w:webHidden/>
          </w:rPr>
          <w:fldChar w:fldCharType="begin"/>
        </w:r>
        <w:r w:rsidR="00C847A9">
          <w:rPr>
            <w:webHidden/>
          </w:rPr>
          <w:instrText xml:space="preserve"> PAGEREF _Toc442264438 \h </w:instrText>
        </w:r>
        <w:r w:rsidR="00C847A9">
          <w:rPr>
            <w:webHidden/>
          </w:rPr>
        </w:r>
        <w:r w:rsidR="00C847A9">
          <w:rPr>
            <w:webHidden/>
          </w:rPr>
          <w:fldChar w:fldCharType="separate"/>
        </w:r>
        <w:r w:rsidR="000E189F">
          <w:rPr>
            <w:webHidden/>
          </w:rPr>
          <w:t>14</w:t>
        </w:r>
        <w:r w:rsidR="00C847A9">
          <w:rPr>
            <w:webHidden/>
          </w:rPr>
          <w:fldChar w:fldCharType="end"/>
        </w:r>
      </w:hyperlink>
    </w:p>
    <w:p w:rsidR="0023299E" w:rsidRDefault="00760408" w:rsidP="009C708B">
      <w:pPr>
        <w:pStyle w:val="PBOtext"/>
        <w:numPr>
          <w:ilvl w:val="0"/>
          <w:numId w:val="0"/>
        </w:numPr>
        <w:spacing w:after="100"/>
        <w:ind w:left="567" w:hanging="567"/>
        <w:rPr>
          <w:rFonts w:eastAsiaTheme="majorEastAsia" w:cstheme="majorBidi"/>
          <w:bCs/>
          <w:color w:val="2D3B5F"/>
          <w:sz w:val="20"/>
          <w:lang w:eastAsia="en-US"/>
        </w:rPr>
      </w:pPr>
      <w:r>
        <w:rPr>
          <w:rFonts w:eastAsiaTheme="majorEastAsia" w:cstheme="majorBidi"/>
          <w:b/>
          <w:bCs/>
          <w:noProof/>
          <w:szCs w:val="22"/>
          <w:lang w:eastAsia="en-US"/>
        </w:rPr>
        <w:fldChar w:fldCharType="end"/>
      </w:r>
    </w:p>
    <w:p w:rsidR="009C708B" w:rsidRDefault="009C708B" w:rsidP="009C708B">
      <w:pPr>
        <w:pStyle w:val="PBOtext"/>
        <w:numPr>
          <w:ilvl w:val="0"/>
          <w:numId w:val="0"/>
        </w:numPr>
        <w:spacing w:after="100"/>
        <w:ind w:left="567" w:hanging="567"/>
        <w:sectPr w:rsidR="009C708B" w:rsidSect="00273BB3">
          <w:headerReference w:type="even" r:id="rId13"/>
          <w:headerReference w:type="default" r:id="rId14"/>
          <w:headerReference w:type="first" r:id="rId15"/>
          <w:footerReference w:type="first" r:id="rId16"/>
          <w:pgSz w:w="11900" w:h="16840"/>
          <w:pgMar w:top="1440" w:right="1440" w:bottom="1440" w:left="1440" w:header="709" w:footer="709" w:gutter="0"/>
          <w:cols w:space="708"/>
          <w:titlePg/>
          <w:docGrid w:linePitch="326"/>
        </w:sectPr>
      </w:pPr>
    </w:p>
    <w:p w:rsidR="00785085" w:rsidRPr="007804DA" w:rsidRDefault="00273BB3" w:rsidP="00290579">
      <w:pPr>
        <w:pStyle w:val="PBOheading1"/>
      </w:pPr>
      <w:bookmarkStart w:id="3" w:name="_Toc442264434"/>
      <w:r w:rsidRPr="007804DA">
        <w:lastRenderedPageBreak/>
        <w:t>Introduction</w:t>
      </w:r>
      <w:bookmarkEnd w:id="3"/>
    </w:p>
    <w:p w:rsidR="00631210" w:rsidRPr="009D6D95" w:rsidRDefault="003E341C" w:rsidP="003E341C">
      <w:pPr>
        <w:pStyle w:val="PBOtext"/>
      </w:pPr>
      <w:r>
        <w:t xml:space="preserve">The Secretary </w:t>
      </w:r>
      <w:r w:rsidR="00631210">
        <w:t>of the Senate Select Committee on Health</w:t>
      </w:r>
      <w:r w:rsidR="00E90070">
        <w:t xml:space="preserve"> (the Committee) </w:t>
      </w:r>
      <w:r>
        <w:t xml:space="preserve">wrote to the </w:t>
      </w:r>
      <w:r w:rsidR="007804DA">
        <w:t xml:space="preserve">Parliamentary Budget Officer </w:t>
      </w:r>
      <w:r w:rsidR="00685182">
        <w:t>on 16</w:t>
      </w:r>
      <w:r>
        <w:t xml:space="preserve"> December 2015 requesting the preparation of a submission to the Committee in relation to Commonwealth funding of public hospitals.</w:t>
      </w:r>
      <w:r w:rsidR="00631210">
        <w:t xml:space="preserve"> </w:t>
      </w:r>
      <w:r>
        <w:t xml:space="preserve"> </w:t>
      </w:r>
      <w:r w:rsidR="00631210">
        <w:t>A</w:t>
      </w:r>
      <w:r w:rsidR="007804DA">
        <w:t> </w:t>
      </w:r>
      <w:r w:rsidR="00631210">
        <w:t xml:space="preserve">copy of this request is provided at </w:t>
      </w:r>
      <w:hyperlink w:anchor="AttachmentA" w:history="1">
        <w:r w:rsidR="00631210" w:rsidRPr="009D6D95">
          <w:rPr>
            <w:rStyle w:val="Hyperlink"/>
          </w:rPr>
          <w:t>Attachment A</w:t>
        </w:r>
      </w:hyperlink>
      <w:r w:rsidR="00631210" w:rsidRPr="009D6D95">
        <w:t>.</w:t>
      </w:r>
    </w:p>
    <w:p w:rsidR="003E341C" w:rsidRDefault="00631210" w:rsidP="003E341C">
      <w:pPr>
        <w:pStyle w:val="PBOtext"/>
      </w:pPr>
      <w:r>
        <w:t xml:space="preserve">In response to this request the PBO has provided </w:t>
      </w:r>
      <w:r w:rsidR="00843380">
        <w:t>the following information</w:t>
      </w:r>
      <w:r w:rsidR="00332BFB">
        <w:t>:</w:t>
      </w:r>
    </w:p>
    <w:p w:rsidR="00760408" w:rsidRDefault="00AE7538" w:rsidP="00290579">
      <w:pPr>
        <w:pStyle w:val="PBObullet1"/>
      </w:pPr>
      <w:hyperlink w:anchor="Table1" w:history="1">
        <w:r w:rsidR="00760408" w:rsidRPr="00760408">
          <w:rPr>
            <w:rStyle w:val="Hyperlink"/>
          </w:rPr>
          <w:t>Table</w:t>
        </w:r>
        <w:r w:rsidR="004C7EF0">
          <w:rPr>
            <w:rStyle w:val="Hyperlink"/>
          </w:rPr>
          <w:t xml:space="preserve"> </w:t>
        </w:r>
        <w:r w:rsidR="00760408" w:rsidRPr="00760408">
          <w:rPr>
            <w:rStyle w:val="Hyperlink"/>
          </w:rPr>
          <w:t>1</w:t>
        </w:r>
      </w:hyperlink>
    </w:p>
    <w:p w:rsidR="00875314" w:rsidRPr="00691FD2" w:rsidRDefault="00875314" w:rsidP="009D6D95">
      <w:pPr>
        <w:pStyle w:val="PBObullet1"/>
        <w:numPr>
          <w:ilvl w:val="0"/>
          <w:numId w:val="0"/>
        </w:numPr>
        <w:ind w:left="851"/>
      </w:pPr>
      <w:r>
        <w:t>Aggregate and State breakdown of t</w:t>
      </w:r>
      <w:r w:rsidR="00631210">
        <w:t xml:space="preserve">he difference in Commonwealth hospital funding under </w:t>
      </w:r>
      <w:r w:rsidR="008D313A">
        <w:t xml:space="preserve">current </w:t>
      </w:r>
      <w:r w:rsidR="00631210">
        <w:t>Government policy (</w:t>
      </w:r>
      <w:r w:rsidR="007804DA">
        <w:t>i</w:t>
      </w:r>
      <w:r w:rsidR="00631210">
        <w:t xml:space="preserve">ndexation by Consumer Price Index (CPI) and </w:t>
      </w:r>
      <w:r w:rsidR="00DF5193">
        <w:t>p</w:t>
      </w:r>
      <w:r w:rsidR="00631210">
        <w:t>opulation growth</w:t>
      </w:r>
      <w:r w:rsidR="00A86D1A">
        <w:t xml:space="preserve">, see Table </w:t>
      </w:r>
      <w:r w:rsidR="007804DA">
        <w:t>B</w:t>
      </w:r>
      <w:r w:rsidR="00A86D1A">
        <w:t xml:space="preserve">1 at </w:t>
      </w:r>
      <w:hyperlink w:anchor="AttachmentB" w:history="1">
        <w:r w:rsidR="00A86D1A" w:rsidRPr="006B103A">
          <w:rPr>
            <w:rStyle w:val="Hyperlink"/>
          </w:rPr>
          <w:t>Attachment B</w:t>
        </w:r>
      </w:hyperlink>
      <w:r w:rsidR="00631210" w:rsidRPr="00290579">
        <w:rPr>
          <w:rStyle w:val="Hyperlink"/>
          <w:color w:val="auto"/>
          <w:u w:val="none"/>
        </w:rPr>
        <w:t>) a</w:t>
      </w:r>
      <w:r w:rsidR="00631210">
        <w:t xml:space="preserve">nd </w:t>
      </w:r>
      <w:r w:rsidR="008D313A">
        <w:t xml:space="preserve">the scenario where </w:t>
      </w:r>
      <w:r w:rsidR="00631210">
        <w:t xml:space="preserve">Commonwealth hospital funding </w:t>
      </w:r>
      <w:r w:rsidR="008D313A">
        <w:t xml:space="preserve">was </w:t>
      </w:r>
      <w:r w:rsidR="00631210">
        <w:t xml:space="preserve">to be provided in </w:t>
      </w:r>
      <w:r w:rsidR="00631210" w:rsidRPr="00691FD2">
        <w:t xml:space="preserve">accordance with the </w:t>
      </w:r>
      <w:r w:rsidR="00631210" w:rsidRPr="00B1442A">
        <w:rPr>
          <w:i/>
        </w:rPr>
        <w:t>National Health Reform Agreement</w:t>
      </w:r>
      <w:r w:rsidRPr="00B1442A">
        <w:rPr>
          <w:i/>
        </w:rPr>
        <w:t xml:space="preserve"> 2011</w:t>
      </w:r>
      <w:r w:rsidRPr="00691FD2">
        <w:t xml:space="preserve"> (the</w:t>
      </w:r>
      <w:r w:rsidR="00E90070" w:rsidRPr="00691FD2">
        <w:t xml:space="preserve"> </w:t>
      </w:r>
      <w:r w:rsidR="0098104C" w:rsidRPr="00691FD2">
        <w:t>2011</w:t>
      </w:r>
      <w:r w:rsidR="00603DB4">
        <w:t> </w:t>
      </w:r>
      <w:r w:rsidR="00DF5193" w:rsidRPr="00691FD2">
        <w:t>A</w:t>
      </w:r>
      <w:r w:rsidRPr="00691FD2">
        <w:t>greement</w:t>
      </w:r>
      <w:r w:rsidR="00A86D1A">
        <w:t xml:space="preserve">, see Table </w:t>
      </w:r>
      <w:r w:rsidR="007804DA">
        <w:t>B</w:t>
      </w:r>
      <w:r w:rsidR="00A86D1A">
        <w:t xml:space="preserve">2 at </w:t>
      </w:r>
      <w:r w:rsidR="00A86D1A" w:rsidRPr="00290579">
        <w:rPr>
          <w:rStyle w:val="Hyperlink"/>
          <w:color w:val="auto"/>
          <w:u w:val="none"/>
        </w:rPr>
        <w:t>Attachment B</w:t>
      </w:r>
      <w:r w:rsidRPr="00691FD2">
        <w:t>)</w:t>
      </w:r>
      <w:r w:rsidR="007804DA">
        <w:t>,</w:t>
      </w:r>
      <w:r w:rsidR="00DF5193" w:rsidRPr="00691FD2">
        <w:rPr>
          <w:rStyle w:val="FootnoteReference"/>
        </w:rPr>
        <w:footnoteReference w:id="1"/>
      </w:r>
      <w:r w:rsidR="00BC5B52">
        <w:t xml:space="preserve"> over 2014</w:t>
      </w:r>
      <w:r w:rsidR="00603DB4">
        <w:t>–</w:t>
      </w:r>
      <w:r w:rsidR="00BC5B52">
        <w:t>15 to 2024</w:t>
      </w:r>
      <w:r w:rsidR="00603DB4">
        <w:t>–</w:t>
      </w:r>
      <w:r w:rsidR="00BC5B52">
        <w:t>25</w:t>
      </w:r>
      <w:r w:rsidR="0058425A" w:rsidRPr="00691FD2">
        <w:t>.</w:t>
      </w:r>
    </w:p>
    <w:p w:rsidR="009D6D95" w:rsidRDefault="00AE7538" w:rsidP="00F1407F">
      <w:pPr>
        <w:pStyle w:val="PBObullet1"/>
      </w:pPr>
      <w:hyperlink w:anchor="Table2" w:history="1">
        <w:r w:rsidR="00332BFB">
          <w:rPr>
            <w:rStyle w:val="Hyperlink"/>
          </w:rPr>
          <w:t xml:space="preserve">Table </w:t>
        </w:r>
        <w:r w:rsidR="009D6D95" w:rsidRPr="005A07B9">
          <w:rPr>
            <w:rStyle w:val="Hyperlink"/>
          </w:rPr>
          <w:t>2</w:t>
        </w:r>
      </w:hyperlink>
    </w:p>
    <w:p w:rsidR="00631210" w:rsidRPr="00691FD2" w:rsidRDefault="00875314" w:rsidP="009D6D95">
      <w:pPr>
        <w:pStyle w:val="PBObullet1"/>
        <w:numPr>
          <w:ilvl w:val="0"/>
          <w:numId w:val="0"/>
        </w:numPr>
        <w:ind w:left="851"/>
      </w:pPr>
      <w:r w:rsidRPr="00691FD2">
        <w:t xml:space="preserve">Aggregate and State breakdown of the difference between Commonwealth hospital funding </w:t>
      </w:r>
      <w:r w:rsidR="008D313A">
        <w:t xml:space="preserve">with and </w:t>
      </w:r>
      <w:r w:rsidRPr="00691FD2">
        <w:t>without the funding guarantee specified in clause</w:t>
      </w:r>
      <w:r w:rsidR="0058425A" w:rsidRPr="00691FD2">
        <w:t xml:space="preserve">s A67 to A79 </w:t>
      </w:r>
      <w:r w:rsidRPr="00691FD2">
        <w:t>of the</w:t>
      </w:r>
      <w:r w:rsidR="0058425A" w:rsidRPr="00691FD2">
        <w:t xml:space="preserve"> </w:t>
      </w:r>
      <w:r w:rsidR="0098104C" w:rsidRPr="00691FD2">
        <w:t>2011</w:t>
      </w:r>
      <w:r w:rsidRPr="00691FD2">
        <w:t xml:space="preserve"> </w:t>
      </w:r>
      <w:r w:rsidR="00DF5193" w:rsidRPr="00691FD2">
        <w:t>A</w:t>
      </w:r>
      <w:r w:rsidRPr="00691FD2">
        <w:t>greement in place</w:t>
      </w:r>
      <w:r w:rsidR="00BC5B52">
        <w:t>, over 2014</w:t>
      </w:r>
      <w:r w:rsidR="00603DB4">
        <w:t>–</w:t>
      </w:r>
      <w:r w:rsidR="00BC5B52">
        <w:t>15 to 2017</w:t>
      </w:r>
      <w:r w:rsidR="00603DB4">
        <w:t>–</w:t>
      </w:r>
      <w:r w:rsidR="00BC5B52">
        <w:t>18</w:t>
      </w:r>
      <w:r w:rsidRPr="00691FD2">
        <w:t>.</w:t>
      </w:r>
    </w:p>
    <w:p w:rsidR="009D6D95" w:rsidRDefault="00AE7538" w:rsidP="00F1407F">
      <w:pPr>
        <w:pStyle w:val="PBObullet1"/>
      </w:pPr>
      <w:hyperlink w:anchor="Table3" w:history="1">
        <w:r w:rsidR="00332BFB">
          <w:rPr>
            <w:rStyle w:val="Hyperlink"/>
          </w:rPr>
          <w:t xml:space="preserve">Table </w:t>
        </w:r>
        <w:r w:rsidR="0031736F" w:rsidRPr="005A07B9">
          <w:rPr>
            <w:rStyle w:val="Hyperlink"/>
          </w:rPr>
          <w:t>3</w:t>
        </w:r>
      </w:hyperlink>
    </w:p>
    <w:p w:rsidR="008F6734" w:rsidRDefault="0031736F" w:rsidP="008F6734">
      <w:pPr>
        <w:pStyle w:val="PBObullet1"/>
        <w:numPr>
          <w:ilvl w:val="0"/>
          <w:numId w:val="0"/>
        </w:numPr>
        <w:ind w:left="851"/>
      </w:pPr>
      <w:r w:rsidRPr="00691FD2">
        <w:t xml:space="preserve">Aggregate and State breakdown of the difference in Commonwealth funding under current Government policy and </w:t>
      </w:r>
      <w:r w:rsidR="008D313A">
        <w:t xml:space="preserve">the scenario where </w:t>
      </w:r>
      <w:r w:rsidRPr="00691FD2">
        <w:t xml:space="preserve">the National Partnerships </w:t>
      </w:r>
      <w:r w:rsidR="00691552" w:rsidRPr="00691FD2">
        <w:t>terminated in the 2014</w:t>
      </w:r>
      <w:r w:rsidR="00603DB4">
        <w:t>–</w:t>
      </w:r>
      <w:r w:rsidR="00691552" w:rsidRPr="00691FD2">
        <w:t xml:space="preserve">15 Budget </w:t>
      </w:r>
      <w:r w:rsidR="008D313A">
        <w:t xml:space="preserve">were </w:t>
      </w:r>
      <w:r w:rsidR="00691552" w:rsidRPr="00691FD2">
        <w:t xml:space="preserve">still </w:t>
      </w:r>
      <w:r w:rsidRPr="00691FD2">
        <w:t>in effect</w:t>
      </w:r>
      <w:r w:rsidR="00BC5B52">
        <w:t>, over 2014</w:t>
      </w:r>
      <w:r w:rsidR="00603DB4">
        <w:t>–</w:t>
      </w:r>
      <w:r w:rsidR="00BC5B52">
        <w:t>15 to 2024</w:t>
      </w:r>
      <w:r w:rsidR="00603DB4">
        <w:t>–</w:t>
      </w:r>
      <w:r w:rsidR="00BC5B52">
        <w:t>25</w:t>
      </w:r>
      <w:r w:rsidR="007804DA">
        <w:t>.</w:t>
      </w:r>
    </w:p>
    <w:p w:rsidR="00843380" w:rsidRPr="008F6734" w:rsidRDefault="00843380" w:rsidP="008F6734">
      <w:pPr>
        <w:pStyle w:val="PBOheading1"/>
      </w:pPr>
      <w:bookmarkStart w:id="4" w:name="_Toc442264435"/>
      <w:r w:rsidRPr="008F6734">
        <w:t>Background</w:t>
      </w:r>
      <w:bookmarkEnd w:id="4"/>
    </w:p>
    <w:p w:rsidR="00843380" w:rsidRPr="008F6734" w:rsidRDefault="00843380" w:rsidP="008F6734">
      <w:pPr>
        <w:pStyle w:val="PBOheading2"/>
      </w:pPr>
      <w:r w:rsidRPr="008F6734">
        <w:t>National Health Reform</w:t>
      </w:r>
    </w:p>
    <w:p w:rsidR="00843380" w:rsidRDefault="00843380" w:rsidP="00014048">
      <w:pPr>
        <w:pStyle w:val="PBOtext"/>
      </w:pPr>
      <w:r>
        <w:t>On 2 August 2011 the Council of Australian Governments (COAG) agreed</w:t>
      </w:r>
      <w:r w:rsidR="007804DA">
        <w:t xml:space="preserve"> to</w:t>
      </w:r>
      <w:r>
        <w:t xml:space="preserve"> the </w:t>
      </w:r>
      <w:r w:rsidR="007804DA">
        <w:t xml:space="preserve">2011 </w:t>
      </w:r>
      <w:r w:rsidRPr="00290579">
        <w:t>Agreement</w:t>
      </w:r>
      <w:r>
        <w:t xml:space="preserve">, replacing the </w:t>
      </w:r>
      <w:r w:rsidR="006D7FB4">
        <w:t xml:space="preserve">former National Healthcare </w:t>
      </w:r>
      <w:r w:rsidR="00014048" w:rsidRPr="00014048">
        <w:t xml:space="preserve">Specific Purpose Payment </w:t>
      </w:r>
      <w:r w:rsidR="00014048">
        <w:t>(</w:t>
      </w:r>
      <w:r w:rsidR="006D7FB4">
        <w:t>SPP</w:t>
      </w:r>
      <w:r w:rsidR="00014048">
        <w:t>)</w:t>
      </w:r>
      <w:r w:rsidR="006D7FB4">
        <w:t>.</w:t>
      </w:r>
    </w:p>
    <w:p w:rsidR="00843380" w:rsidRDefault="00843380" w:rsidP="00843380">
      <w:pPr>
        <w:pStyle w:val="PBOtext"/>
      </w:pPr>
      <w:r>
        <w:t>Under the 2011 Agreement, from 1 July 2014 Commonwealth funding for public hospitals would use an activity based funding (ABF) approach with a national efficient price for hospital services.  The Commonwealth agreed to meet 45 per cent of the efficient growth in activity based funding initially, rising to 50 per cent after 1 July 2017.</w:t>
      </w:r>
    </w:p>
    <w:p w:rsidR="00843380" w:rsidRDefault="00843380" w:rsidP="00843380">
      <w:pPr>
        <w:pStyle w:val="PBOtext"/>
      </w:pPr>
      <w:r w:rsidRPr="00294E01">
        <w:t xml:space="preserve">The </w:t>
      </w:r>
      <w:r>
        <w:t>2011 A</w:t>
      </w:r>
      <w:r w:rsidRPr="00294E01">
        <w:t xml:space="preserve">greement also set out an approach for hospital services and functions where block funding </w:t>
      </w:r>
      <w:r w:rsidR="004779F2">
        <w:t>was deemed</w:t>
      </w:r>
      <w:r w:rsidRPr="00294E01">
        <w:t xml:space="preserve"> appropriate (such as those provided in rural/small hospitals).  As per the ABF approach, the Commonwealth agreed to meet 45 per cent of the efficient growth in block grant funding based on the national efficient cost initially</w:t>
      </w:r>
      <w:r>
        <w:t>, rising to 50 per cent after 1 </w:t>
      </w:r>
      <w:r w:rsidRPr="00294E01">
        <w:t>July</w:t>
      </w:r>
      <w:r>
        <w:t> </w:t>
      </w:r>
      <w:r w:rsidRPr="00294E01">
        <w:t>2017.</w:t>
      </w:r>
    </w:p>
    <w:p w:rsidR="00843380" w:rsidRDefault="00843380" w:rsidP="00843380">
      <w:pPr>
        <w:pStyle w:val="PBOtext"/>
      </w:pPr>
      <w:r>
        <w:lastRenderedPageBreak/>
        <w:t>Further, the 2011 Agreement provided a</w:t>
      </w:r>
      <w:r w:rsidR="002760D6">
        <w:t xml:space="preserve"> </w:t>
      </w:r>
      <w:r>
        <w:t xml:space="preserve">guarantee that the Commonwealth funding under the ABF approach would provide at least an additional $16.4 billion in growth in funding between 2014–15 and 2019–20.  As such, in the event the ABF approach resulted in </w:t>
      </w:r>
      <w:r w:rsidR="000707F3">
        <w:t xml:space="preserve">additional </w:t>
      </w:r>
      <w:r>
        <w:t xml:space="preserve">funding of less than $16.4 billion over the period, </w:t>
      </w:r>
      <w:r w:rsidRPr="0027164C">
        <w:t xml:space="preserve">the Commonwealth </w:t>
      </w:r>
      <w:r>
        <w:t>would</w:t>
      </w:r>
      <w:r w:rsidRPr="0027164C">
        <w:t xml:space="preserve"> provide the remainder to States as top-up funding</w:t>
      </w:r>
      <w:r>
        <w:t>.</w:t>
      </w:r>
    </w:p>
    <w:p w:rsidR="00281DE6" w:rsidRDefault="00281DE6" w:rsidP="00290579">
      <w:pPr>
        <w:pStyle w:val="PBOlist1"/>
      </w:pPr>
      <w:r>
        <w:t xml:space="preserve">Of the $16.4 billion guarantee </w:t>
      </w:r>
      <w:r w:rsidR="007B7BCC">
        <w:t xml:space="preserve">up to </w:t>
      </w:r>
      <w:r>
        <w:t xml:space="preserve">$9.5 billion </w:t>
      </w:r>
      <w:r w:rsidR="007B7BCC">
        <w:t xml:space="preserve">in top-up funding </w:t>
      </w:r>
      <w:r w:rsidR="002358A7">
        <w:t xml:space="preserve">(referred to as the state specific guarantee) </w:t>
      </w:r>
      <w:r w:rsidR="007B7BCC">
        <w:t>was to be provided to states based on an annual reconciliation of what was provided under the ABF approach and what would have been provided under the former National Health Care SPP.</w:t>
      </w:r>
    </w:p>
    <w:p w:rsidR="007B7BCC" w:rsidRDefault="007B7BCC" w:rsidP="00290579">
      <w:pPr>
        <w:pStyle w:val="PBOlist1"/>
      </w:pPr>
      <w:r>
        <w:t>An ass</w:t>
      </w:r>
      <w:r w:rsidR="002358A7">
        <w:t>essment of the amount of the remaining top-up funding under the national guarantee ($6.9 billion) was to occur in 2017 at which time decisions regarding the quantum and timing of the remaining guarantee funding would be made (refer</w:t>
      </w:r>
      <w:r w:rsidR="00A359C8">
        <w:t xml:space="preserve"> to</w:t>
      </w:r>
      <w:r w:rsidR="002358A7">
        <w:t xml:space="preserve"> cl</w:t>
      </w:r>
      <w:r w:rsidR="00570D34">
        <w:t>ause A75 of the 2011 Agreement</w:t>
      </w:r>
      <w:r w:rsidR="00FC5CB7">
        <w:t>)</w:t>
      </w:r>
      <w:r w:rsidR="00570D34">
        <w:t>.</w:t>
      </w:r>
    </w:p>
    <w:p w:rsidR="002B5835" w:rsidRPr="00332BFB" w:rsidRDefault="00843380" w:rsidP="00332BFB">
      <w:pPr>
        <w:pStyle w:val="PBOtext"/>
      </w:pPr>
      <w:r>
        <w:t>In May 2015 the Government announced that from 1 July 2017 the Commonwealth’s c</w:t>
      </w:r>
      <w:r w:rsidR="004779F2">
        <w:t>ontribution would</w:t>
      </w:r>
      <w:r w:rsidR="00F00DCE">
        <w:t xml:space="preserve"> grow in line with CPI and population growth.</w:t>
      </w:r>
    </w:p>
    <w:p w:rsidR="002B5835" w:rsidRPr="004C7EF0" w:rsidRDefault="00843380" w:rsidP="004C7EF0">
      <w:pPr>
        <w:pStyle w:val="PBOtext"/>
      </w:pPr>
      <w:r w:rsidRPr="004C7EF0">
        <w:t>The 2014–15 Budget included two measures ceasing the National Partnership on Preventive Health and the National Partnership on Improving Public Hospital Services.</w:t>
      </w:r>
    </w:p>
    <w:p w:rsidR="002841EA" w:rsidRDefault="002841EA">
      <w:pPr>
        <w:spacing w:before="0" w:after="0"/>
        <w:rPr>
          <w:sz w:val="22"/>
        </w:rPr>
      </w:pPr>
    </w:p>
    <w:p w:rsidR="002841EA" w:rsidRDefault="002841EA" w:rsidP="00332BFB">
      <w:pPr>
        <w:pStyle w:val="PBOtext"/>
        <w:numPr>
          <w:ilvl w:val="0"/>
          <w:numId w:val="0"/>
        </w:numPr>
        <w:spacing w:before="0"/>
        <w:ind w:left="567" w:hanging="567"/>
        <w:sectPr w:rsidR="002841EA" w:rsidSect="00273BB3">
          <w:pgSz w:w="11900" w:h="16840"/>
          <w:pgMar w:top="1440" w:right="1440" w:bottom="1440" w:left="1440" w:header="709" w:footer="709" w:gutter="0"/>
          <w:cols w:space="708"/>
          <w:titlePg/>
          <w:docGrid w:linePitch="326"/>
        </w:sectPr>
      </w:pPr>
    </w:p>
    <w:p w:rsidR="002841EA" w:rsidRPr="00EF137F" w:rsidRDefault="002841EA" w:rsidP="00290579">
      <w:pPr>
        <w:pStyle w:val="PBOfiguretableheading"/>
      </w:pPr>
      <w:bookmarkStart w:id="5" w:name="Table1"/>
      <w:r w:rsidRPr="00EF137F">
        <w:lastRenderedPageBreak/>
        <w:t>Table 1:</w:t>
      </w:r>
      <w:r w:rsidR="00EF137F">
        <w:t xml:space="preserve"> </w:t>
      </w:r>
      <w:r w:rsidR="00685182" w:rsidRPr="00EF137F">
        <w:t>PBO projections</w:t>
      </w:r>
      <w:r w:rsidR="00EF137F">
        <w:t>—</w:t>
      </w:r>
      <w:r w:rsidRPr="00EF137F">
        <w:t xml:space="preserve">Aggregate and State breakdown of the difference in Commonwealth hospital funding under current Government policy (indexation by CPI and population growth) and the scenario where Commonwealth hospital funding was to be provided in accordance with the 2011 Agreement, over </w:t>
      </w:r>
      <w:r w:rsidRPr="00EF137F">
        <w:br/>
        <w:t>2014–15 to 2024–25</w:t>
      </w:r>
      <w:r w:rsidRPr="00290579">
        <w:rPr>
          <w:vertAlign w:val="superscript"/>
        </w:rPr>
        <w:footnoteReference w:id="2"/>
      </w:r>
      <w:r w:rsidR="00EF137F">
        <w:t xml:space="preserve"> </w:t>
      </w:r>
      <w:r w:rsidRPr="00EF137F">
        <w:t>(a)(b)(c)(d)</w:t>
      </w:r>
      <w:r w:rsidR="00F50FCE">
        <w:t>(e)(f)</w:t>
      </w:r>
    </w:p>
    <w:tbl>
      <w:tblPr>
        <w:tblStyle w:val="PBOtable"/>
        <w:tblW w:w="13926" w:type="dxa"/>
        <w:tblInd w:w="108" w:type="dxa"/>
        <w:tblLook w:val="04A0" w:firstRow="1" w:lastRow="0" w:firstColumn="1" w:lastColumn="0" w:noHBand="0" w:noVBand="1"/>
      </w:tblPr>
      <w:tblGrid>
        <w:gridCol w:w="2725"/>
        <w:gridCol w:w="933"/>
        <w:gridCol w:w="933"/>
        <w:gridCol w:w="934"/>
        <w:gridCol w:w="933"/>
        <w:gridCol w:w="934"/>
        <w:gridCol w:w="933"/>
        <w:gridCol w:w="933"/>
        <w:gridCol w:w="934"/>
        <w:gridCol w:w="933"/>
        <w:gridCol w:w="934"/>
        <w:gridCol w:w="933"/>
        <w:gridCol w:w="934"/>
      </w:tblGrid>
      <w:tr w:rsidR="00290579" w:rsidRPr="00E51BFB" w:rsidTr="005D1173">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25" w:type="dxa"/>
            <w:shd w:val="clear" w:color="auto" w:fill="2B3B5F"/>
          </w:tcPr>
          <w:bookmarkEnd w:id="5"/>
          <w:p w:rsidR="002841EA" w:rsidRPr="00E51BFB" w:rsidRDefault="002841EA" w:rsidP="00290579">
            <w:pPr>
              <w:spacing w:before="70" w:after="70"/>
              <w:jc w:val="left"/>
            </w:pPr>
            <w:r w:rsidRPr="00E51BFB">
              <w:t>($m)</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2014–15</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2015–16</w:t>
            </w:r>
          </w:p>
        </w:tc>
        <w:tc>
          <w:tcPr>
            <w:tcW w:w="934"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2016–17</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2017–18</w:t>
            </w:r>
          </w:p>
        </w:tc>
        <w:tc>
          <w:tcPr>
            <w:tcW w:w="934"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2018–19</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2019–20</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2020–21</w:t>
            </w:r>
          </w:p>
        </w:tc>
        <w:tc>
          <w:tcPr>
            <w:tcW w:w="934"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2021–22</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2022–23</w:t>
            </w:r>
          </w:p>
        </w:tc>
        <w:tc>
          <w:tcPr>
            <w:tcW w:w="934"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2023–24</w:t>
            </w:r>
          </w:p>
        </w:tc>
        <w:tc>
          <w:tcPr>
            <w:tcW w:w="933"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2024–25</w:t>
            </w:r>
          </w:p>
        </w:tc>
        <w:tc>
          <w:tcPr>
            <w:tcW w:w="934" w:type="dxa"/>
            <w:shd w:val="clear" w:color="auto" w:fill="2B3B5F"/>
          </w:tcPr>
          <w:p w:rsidR="002841EA" w:rsidRPr="00E51BFB" w:rsidRDefault="002841EA" w:rsidP="002850D0">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Total</w:t>
            </w:r>
          </w:p>
        </w:tc>
      </w:tr>
      <w:tr w:rsidR="00290579" w:rsidRPr="00E51BFB" w:rsidTr="005D11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New South Wales</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-371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-801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-1,265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-1,782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-2,359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-2,988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-3,679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-4,436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-17,681 </w:t>
            </w:r>
          </w:p>
        </w:tc>
      </w:tr>
      <w:tr w:rsidR="00290579"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Victoria</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-272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-589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-952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-1,356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-1,806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-2,298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-2,838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-3,430 </w:t>
            </w:r>
          </w:p>
        </w:tc>
        <w:tc>
          <w:tcPr>
            <w:tcW w:w="934" w:type="dxa"/>
            <w:vAlign w:val="top"/>
          </w:tcPr>
          <w:p w:rsidR="00C366C2" w:rsidRPr="006870FA" w:rsidRDefault="00C366C2"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 xml:space="preserve">-13,541 </w:t>
            </w:r>
          </w:p>
        </w:tc>
      </w:tr>
      <w:tr w:rsidR="00290579"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Queensland</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-199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-464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-752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-1,074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-1,433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-1,824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-2,254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-2,726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-10,726 </w:t>
            </w:r>
          </w:p>
        </w:tc>
      </w:tr>
      <w:tr w:rsidR="00290579"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Western Australia</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-168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-308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-474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-658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-863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-1,087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-1,333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-1,602 </w:t>
            </w:r>
          </w:p>
        </w:tc>
        <w:tc>
          <w:tcPr>
            <w:tcW w:w="934" w:type="dxa"/>
            <w:vAlign w:val="top"/>
          </w:tcPr>
          <w:p w:rsidR="00C366C2" w:rsidRPr="006870FA" w:rsidRDefault="00C366C2"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 xml:space="preserve">-6,493 </w:t>
            </w:r>
          </w:p>
        </w:tc>
      </w:tr>
      <w:tr w:rsidR="00290579"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South Australia</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-103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-206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-312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-429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-559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-701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-858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-1,029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-4,197 </w:t>
            </w:r>
          </w:p>
        </w:tc>
      </w:tr>
      <w:tr w:rsidR="00290579"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Tasmania</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-20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-53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-83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-117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-154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-195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-240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-289 </w:t>
            </w:r>
          </w:p>
        </w:tc>
        <w:tc>
          <w:tcPr>
            <w:tcW w:w="934" w:type="dxa"/>
            <w:vAlign w:val="top"/>
          </w:tcPr>
          <w:p w:rsidR="00C366C2" w:rsidRPr="006870FA" w:rsidRDefault="00C366C2"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 xml:space="preserve">-1,151 </w:t>
            </w:r>
          </w:p>
        </w:tc>
      </w:tr>
      <w:tr w:rsidR="00290579"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color w:val="000000"/>
              </w:rPr>
            </w:pPr>
            <w:r w:rsidRPr="00E51BFB">
              <w:rPr>
                <w:b w:val="0"/>
                <w:color w:val="000000"/>
              </w:rPr>
              <w:t>Australian Capital Territory</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-84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-113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-145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-180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-218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-260 </w:t>
            </w:r>
          </w:p>
        </w:tc>
        <w:tc>
          <w:tcPr>
            <w:tcW w:w="934"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-306 </w:t>
            </w:r>
          </w:p>
        </w:tc>
        <w:tc>
          <w:tcPr>
            <w:tcW w:w="933" w:type="dxa"/>
            <w:vAlign w:val="top"/>
          </w:tcPr>
          <w:p w:rsidR="00C366C2" w:rsidRPr="00AA0116" w:rsidRDefault="00C366C2" w:rsidP="00290579">
            <w:pPr>
              <w:jc w:val="right"/>
              <w:cnfStyle w:val="000000100000" w:firstRow="0" w:lastRow="0" w:firstColumn="0" w:lastColumn="0" w:oddVBand="0" w:evenVBand="0" w:oddHBand="1" w:evenHBand="0" w:firstRowFirstColumn="0" w:firstRowLastColumn="0" w:lastRowFirstColumn="0" w:lastRowLastColumn="0"/>
            </w:pPr>
            <w:r w:rsidRPr="00AA0116">
              <w:t xml:space="preserve">-356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-1,662 </w:t>
            </w:r>
          </w:p>
        </w:tc>
      </w:tr>
      <w:tr w:rsidR="00290579" w:rsidRPr="00E51BFB" w:rsidTr="005D117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 w:val="0"/>
                <w:bCs/>
                <w:color w:val="000000"/>
              </w:rPr>
            </w:pPr>
            <w:r w:rsidRPr="00E51BFB">
              <w:rPr>
                <w:b w:val="0"/>
                <w:bCs/>
                <w:color w:val="000000"/>
              </w:rPr>
              <w:t>Northern Territory</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4" w:type="dxa"/>
          </w:tcPr>
          <w:p w:rsidR="00C366C2" w:rsidRPr="00E51BFB" w:rsidRDefault="00C366C2" w:rsidP="002850D0">
            <w:pPr>
              <w:spacing w:before="70" w:after="70"/>
              <w:jc w:val="right"/>
              <w:cnfStyle w:val="000000010000" w:firstRow="0" w:lastRow="0" w:firstColumn="0" w:lastColumn="0" w:oddVBand="0" w:evenVBand="0" w:oddHBand="0" w:evenHBand="1" w:firstRowFirstColumn="0" w:firstRowLastColumn="0" w:lastRowFirstColumn="0" w:lastRowLastColumn="0"/>
            </w:pPr>
            <w:r w:rsidRPr="00E51BFB">
              <w:t>-</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-30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-46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-63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-82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-103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-125 </w:t>
            </w:r>
          </w:p>
        </w:tc>
        <w:tc>
          <w:tcPr>
            <w:tcW w:w="934"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-150 </w:t>
            </w:r>
          </w:p>
        </w:tc>
        <w:tc>
          <w:tcPr>
            <w:tcW w:w="933" w:type="dxa"/>
            <w:vAlign w:val="top"/>
          </w:tcPr>
          <w:p w:rsidR="00C366C2" w:rsidRPr="00AA0116" w:rsidRDefault="00C366C2" w:rsidP="00290579">
            <w:pPr>
              <w:jc w:val="right"/>
              <w:cnfStyle w:val="000000010000" w:firstRow="0" w:lastRow="0" w:firstColumn="0" w:lastColumn="0" w:oddVBand="0" w:evenVBand="0" w:oddHBand="0" w:evenHBand="1" w:firstRowFirstColumn="0" w:firstRowLastColumn="0" w:lastRowFirstColumn="0" w:lastRowLastColumn="0"/>
            </w:pPr>
            <w:r w:rsidRPr="00AA0116">
              <w:t xml:space="preserve">-178 </w:t>
            </w:r>
          </w:p>
        </w:tc>
        <w:tc>
          <w:tcPr>
            <w:tcW w:w="934" w:type="dxa"/>
            <w:vAlign w:val="top"/>
          </w:tcPr>
          <w:p w:rsidR="00C366C2" w:rsidRPr="006870FA" w:rsidRDefault="00C366C2"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 xml:space="preserve">-777 </w:t>
            </w:r>
          </w:p>
        </w:tc>
      </w:tr>
      <w:tr w:rsidR="00290579" w:rsidRPr="00E51BFB" w:rsidTr="005D11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25" w:type="dxa"/>
          </w:tcPr>
          <w:p w:rsidR="00C366C2" w:rsidRPr="00E51BFB" w:rsidRDefault="00C366C2" w:rsidP="002850D0">
            <w:pPr>
              <w:spacing w:before="70" w:after="70"/>
              <w:rPr>
                <w:bCs/>
                <w:color w:val="000000"/>
              </w:rPr>
            </w:pPr>
            <w:r w:rsidRPr="00E51BFB">
              <w:rPr>
                <w:bCs/>
                <w:color w:val="000000"/>
              </w:rPr>
              <w:t>Total</w:t>
            </w:r>
          </w:p>
        </w:tc>
        <w:tc>
          <w:tcPr>
            <w:tcW w:w="933" w:type="dxa"/>
          </w:tcPr>
          <w:p w:rsidR="00C366C2" w:rsidRPr="006870FA"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6870FA">
              <w:rPr>
                <w:b/>
              </w:rPr>
              <w:t>-</w:t>
            </w:r>
          </w:p>
        </w:tc>
        <w:tc>
          <w:tcPr>
            <w:tcW w:w="933" w:type="dxa"/>
          </w:tcPr>
          <w:p w:rsidR="00C366C2" w:rsidRPr="006870FA"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6870FA">
              <w:rPr>
                <w:b/>
              </w:rPr>
              <w:t>-</w:t>
            </w:r>
          </w:p>
        </w:tc>
        <w:tc>
          <w:tcPr>
            <w:tcW w:w="934" w:type="dxa"/>
          </w:tcPr>
          <w:p w:rsidR="00C366C2" w:rsidRPr="006870FA" w:rsidRDefault="00C366C2" w:rsidP="002850D0">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6870FA">
              <w:rPr>
                <w:b/>
              </w:rPr>
              <w:t>-</w:t>
            </w:r>
          </w:p>
        </w:tc>
        <w:tc>
          <w:tcPr>
            <w:tcW w:w="933"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-1,247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-2,580 </w:t>
            </w:r>
          </w:p>
        </w:tc>
        <w:tc>
          <w:tcPr>
            <w:tcW w:w="933"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-4,046 </w:t>
            </w:r>
          </w:p>
        </w:tc>
        <w:tc>
          <w:tcPr>
            <w:tcW w:w="933"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-5,678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-7,495 </w:t>
            </w:r>
          </w:p>
        </w:tc>
        <w:tc>
          <w:tcPr>
            <w:tcW w:w="933"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-9,478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-11,658 </w:t>
            </w:r>
          </w:p>
        </w:tc>
        <w:tc>
          <w:tcPr>
            <w:tcW w:w="933"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-14,046 </w:t>
            </w:r>
          </w:p>
        </w:tc>
        <w:tc>
          <w:tcPr>
            <w:tcW w:w="934" w:type="dxa"/>
            <w:vAlign w:val="top"/>
          </w:tcPr>
          <w:p w:rsidR="00C366C2" w:rsidRPr="006870FA" w:rsidRDefault="00C366C2"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 xml:space="preserve">-56,228 </w:t>
            </w:r>
          </w:p>
        </w:tc>
      </w:tr>
    </w:tbl>
    <w:p w:rsidR="002841EA" w:rsidRDefault="002841EA" w:rsidP="0048532C">
      <w:pPr>
        <w:keepLines/>
        <w:numPr>
          <w:ilvl w:val="0"/>
          <w:numId w:val="10"/>
        </w:numPr>
        <w:spacing w:before="60" w:after="0"/>
        <w:ind w:left="567" w:hanging="567"/>
        <w:rPr>
          <w:rFonts w:eastAsia="Times New Roman"/>
          <w:sz w:val="18"/>
          <w:szCs w:val="18"/>
        </w:rPr>
      </w:pPr>
      <w:r w:rsidRPr="001E62C6">
        <w:rPr>
          <w:rFonts w:eastAsia="Times New Roman"/>
          <w:sz w:val="18"/>
          <w:szCs w:val="18"/>
        </w:rPr>
        <w:t>The impact</w:t>
      </w:r>
      <w:r>
        <w:rPr>
          <w:rFonts w:eastAsia="Times New Roman"/>
          <w:sz w:val="18"/>
          <w:szCs w:val="18"/>
        </w:rPr>
        <w:t>s are</w:t>
      </w:r>
      <w:r w:rsidRPr="001E62C6">
        <w:rPr>
          <w:rFonts w:eastAsia="Times New Roman"/>
          <w:sz w:val="18"/>
          <w:szCs w:val="18"/>
        </w:rPr>
        <w:t xml:space="preserve"> on</w:t>
      </w:r>
      <w:r>
        <w:rPr>
          <w:rFonts w:eastAsia="Times New Roman"/>
          <w:sz w:val="18"/>
          <w:szCs w:val="18"/>
        </w:rPr>
        <w:t xml:space="preserve"> a</w:t>
      </w:r>
      <w:r w:rsidRPr="001E62C6">
        <w:rPr>
          <w:rFonts w:eastAsia="Times New Roman"/>
          <w:sz w:val="18"/>
          <w:szCs w:val="18"/>
        </w:rPr>
        <w:t xml:space="preserve"> </w:t>
      </w:r>
      <w:r>
        <w:rPr>
          <w:rFonts w:eastAsia="Times New Roman"/>
          <w:sz w:val="18"/>
          <w:szCs w:val="18"/>
        </w:rPr>
        <w:t>fiscal balance basis.</w:t>
      </w:r>
    </w:p>
    <w:p w:rsidR="002841EA" w:rsidRDefault="002841EA" w:rsidP="0048532C">
      <w:pPr>
        <w:keepLines/>
        <w:numPr>
          <w:ilvl w:val="0"/>
          <w:numId w:val="10"/>
        </w:numPr>
        <w:spacing w:before="60" w:after="0"/>
        <w:ind w:left="567" w:hanging="567"/>
        <w:rPr>
          <w:rFonts w:eastAsia="Times New Roman"/>
          <w:sz w:val="18"/>
          <w:szCs w:val="18"/>
        </w:rPr>
      </w:pPr>
      <w:r>
        <w:rPr>
          <w:rFonts w:eastAsia="Times New Roman"/>
          <w:sz w:val="18"/>
          <w:szCs w:val="18"/>
        </w:rPr>
        <w:t>Figures presented are</w:t>
      </w:r>
      <w:r w:rsidR="00685182">
        <w:rPr>
          <w:rFonts w:eastAsia="Times New Roman"/>
          <w:sz w:val="18"/>
          <w:szCs w:val="18"/>
        </w:rPr>
        <w:t xml:space="preserve"> based on economic and fiscal </w:t>
      </w:r>
      <w:r w:rsidR="0012793D">
        <w:rPr>
          <w:rFonts w:eastAsia="Times New Roman"/>
          <w:sz w:val="18"/>
          <w:szCs w:val="18"/>
        </w:rPr>
        <w:t>parameters</w:t>
      </w:r>
      <w:r>
        <w:rPr>
          <w:rFonts w:eastAsia="Times New Roman"/>
          <w:sz w:val="18"/>
          <w:szCs w:val="18"/>
        </w:rPr>
        <w:t xml:space="preserve"> as at the 2015</w:t>
      </w:r>
      <w:r w:rsidR="00E61579">
        <w:rPr>
          <w:rFonts w:eastAsia="Times New Roman"/>
          <w:sz w:val="18"/>
          <w:szCs w:val="18"/>
        </w:rPr>
        <w:t>–</w:t>
      </w:r>
      <w:r>
        <w:rPr>
          <w:rFonts w:eastAsia="Times New Roman"/>
          <w:sz w:val="18"/>
          <w:szCs w:val="18"/>
        </w:rPr>
        <w:t>16 MYEFO.</w:t>
      </w:r>
    </w:p>
    <w:p w:rsidR="002841EA" w:rsidRDefault="002841EA" w:rsidP="0048532C">
      <w:pPr>
        <w:keepLines/>
        <w:numPr>
          <w:ilvl w:val="0"/>
          <w:numId w:val="10"/>
        </w:numPr>
        <w:spacing w:before="60" w:after="0"/>
        <w:ind w:left="567" w:hanging="567"/>
        <w:rPr>
          <w:rFonts w:eastAsia="Times New Roman"/>
          <w:sz w:val="18"/>
          <w:szCs w:val="18"/>
        </w:rPr>
      </w:pPr>
      <w:r>
        <w:rPr>
          <w:rFonts w:eastAsia="Times New Roman"/>
          <w:sz w:val="18"/>
          <w:szCs w:val="18"/>
        </w:rPr>
        <w:t>Note the 2011 Agreement profile used to derive these amounts did not include the funding guarantees</w:t>
      </w:r>
      <w:r w:rsidR="00E43B40">
        <w:rPr>
          <w:rFonts w:eastAsia="Times New Roman"/>
          <w:sz w:val="18"/>
          <w:szCs w:val="18"/>
        </w:rPr>
        <w:t xml:space="preserve"> (this is addressed in Table </w:t>
      </w:r>
      <w:r>
        <w:rPr>
          <w:rFonts w:eastAsia="Times New Roman"/>
          <w:sz w:val="18"/>
          <w:szCs w:val="18"/>
        </w:rPr>
        <w:t>2).</w:t>
      </w:r>
    </w:p>
    <w:p w:rsidR="00332BFB" w:rsidRDefault="002841EA" w:rsidP="0048532C">
      <w:pPr>
        <w:keepLines/>
        <w:numPr>
          <w:ilvl w:val="0"/>
          <w:numId w:val="10"/>
        </w:numPr>
        <w:spacing w:before="60" w:after="0"/>
        <w:ind w:left="567" w:hanging="567"/>
        <w:rPr>
          <w:rFonts w:eastAsia="Times New Roman"/>
          <w:sz w:val="18"/>
          <w:szCs w:val="18"/>
        </w:rPr>
      </w:pPr>
      <w:r w:rsidRPr="00E43B40">
        <w:rPr>
          <w:rFonts w:eastAsia="Times New Roman"/>
          <w:sz w:val="18"/>
          <w:szCs w:val="18"/>
        </w:rPr>
        <w:t>Amounts may not sum due to rounding.</w:t>
      </w:r>
    </w:p>
    <w:p w:rsidR="0048532C" w:rsidRPr="0048532C" w:rsidRDefault="0048532C" w:rsidP="0048532C">
      <w:pPr>
        <w:keepLines/>
        <w:numPr>
          <w:ilvl w:val="0"/>
          <w:numId w:val="10"/>
        </w:numPr>
        <w:spacing w:before="60" w:after="0"/>
        <w:ind w:left="567" w:hanging="567"/>
        <w:rPr>
          <w:rFonts w:eastAsia="Times New Roman"/>
          <w:sz w:val="18"/>
          <w:szCs w:val="18"/>
        </w:rPr>
      </w:pPr>
      <w:r w:rsidRPr="0048532C">
        <w:rPr>
          <w:rFonts w:eastAsia="Times New Roman"/>
          <w:sz w:val="18"/>
          <w:szCs w:val="18"/>
        </w:rPr>
        <w:t xml:space="preserve">The aggregate financial implications are considered to be of </w:t>
      </w:r>
      <w:r w:rsidRPr="0048532C">
        <w:rPr>
          <w:rFonts w:eastAsia="Times New Roman"/>
          <w:b/>
          <w:sz w:val="18"/>
          <w:szCs w:val="18"/>
        </w:rPr>
        <w:t>medium</w:t>
      </w:r>
      <w:r w:rsidRPr="0048532C">
        <w:rPr>
          <w:rFonts w:eastAsia="Times New Roman"/>
          <w:sz w:val="18"/>
          <w:szCs w:val="18"/>
        </w:rPr>
        <w:t xml:space="preserve"> reliability.  The estimates for hospital funding under the current policy setting (where growth is based on population and CPI) are considered reliable particularly given that population is relatively stable and has predictable growth.  The estimates for hospital funding based on the 2011</w:t>
      </w:r>
      <w:r w:rsidR="001C6A37">
        <w:rPr>
          <w:rFonts w:eastAsia="Times New Roman"/>
          <w:sz w:val="18"/>
          <w:szCs w:val="18"/>
        </w:rPr>
        <w:t> </w:t>
      </w:r>
      <w:r w:rsidRPr="0048532C">
        <w:rPr>
          <w:rFonts w:eastAsia="Times New Roman"/>
          <w:sz w:val="18"/>
          <w:szCs w:val="18"/>
        </w:rPr>
        <w:t xml:space="preserve">Agreement are less reliable as they are based on estimated total hospital expenditure (Commonwealth and </w:t>
      </w:r>
      <w:r w:rsidR="001C6A37">
        <w:rPr>
          <w:rFonts w:eastAsia="Times New Roman"/>
          <w:sz w:val="18"/>
          <w:szCs w:val="18"/>
        </w:rPr>
        <w:t>s</w:t>
      </w:r>
      <w:r w:rsidRPr="0048532C">
        <w:rPr>
          <w:rFonts w:eastAsia="Times New Roman"/>
          <w:sz w:val="18"/>
          <w:szCs w:val="18"/>
        </w:rPr>
        <w:t xml:space="preserve">tate </w:t>
      </w:r>
      <w:r w:rsidR="001C6A37">
        <w:rPr>
          <w:rFonts w:eastAsia="Times New Roman"/>
          <w:sz w:val="18"/>
          <w:szCs w:val="18"/>
        </w:rPr>
        <w:t>g</w:t>
      </w:r>
      <w:r w:rsidRPr="0048532C">
        <w:rPr>
          <w:rFonts w:eastAsia="Times New Roman"/>
          <w:sz w:val="18"/>
          <w:szCs w:val="18"/>
        </w:rPr>
        <w:t>overnments) which are less predictable as there is limited historical data (particularly for growth in efficient prices).</w:t>
      </w:r>
    </w:p>
    <w:p w:rsidR="0048532C" w:rsidRPr="0048532C" w:rsidRDefault="0048532C" w:rsidP="0048532C">
      <w:pPr>
        <w:keepLines/>
        <w:numPr>
          <w:ilvl w:val="0"/>
          <w:numId w:val="10"/>
        </w:numPr>
        <w:spacing w:before="60" w:after="0"/>
        <w:ind w:left="567" w:hanging="567"/>
        <w:rPr>
          <w:rFonts w:eastAsia="Times New Roman"/>
          <w:sz w:val="18"/>
          <w:szCs w:val="18"/>
        </w:rPr>
      </w:pPr>
      <w:r w:rsidRPr="0048532C">
        <w:rPr>
          <w:rFonts w:eastAsia="Times New Roman"/>
          <w:sz w:val="18"/>
          <w:szCs w:val="18"/>
        </w:rPr>
        <w:t xml:space="preserve">The state breakdowns are of </w:t>
      </w:r>
      <w:r w:rsidRPr="0048532C">
        <w:rPr>
          <w:rFonts w:eastAsia="Times New Roman"/>
          <w:b/>
          <w:sz w:val="18"/>
          <w:szCs w:val="18"/>
        </w:rPr>
        <w:t>medium</w:t>
      </w:r>
      <w:r w:rsidRPr="0048532C">
        <w:rPr>
          <w:rFonts w:eastAsia="Times New Roman"/>
          <w:sz w:val="18"/>
          <w:szCs w:val="18"/>
        </w:rPr>
        <w:t xml:space="preserve"> reliability as the estimates are calculated based on state proportions of the total </w:t>
      </w:r>
      <w:r w:rsidR="0036609F">
        <w:rPr>
          <w:rFonts w:eastAsia="Times New Roman"/>
          <w:sz w:val="18"/>
          <w:szCs w:val="18"/>
        </w:rPr>
        <w:t>in the last known year of available</w:t>
      </w:r>
      <w:r w:rsidRPr="0048532C">
        <w:rPr>
          <w:rFonts w:eastAsia="Times New Roman"/>
          <w:sz w:val="18"/>
          <w:szCs w:val="18"/>
        </w:rPr>
        <w:t xml:space="preserve"> data, and the future distribution of the Australian population across states and territories may differ, particularly as the projection period increases.</w:t>
      </w:r>
    </w:p>
    <w:p w:rsidR="002841EA" w:rsidRPr="00917B78" w:rsidRDefault="002841EA" w:rsidP="00290579">
      <w:pPr>
        <w:pStyle w:val="PBOfiguretableheading"/>
      </w:pPr>
      <w:r>
        <w:rPr>
          <w:rFonts w:eastAsia="Times New Roman"/>
          <w:sz w:val="18"/>
          <w:szCs w:val="18"/>
        </w:rPr>
        <w:br w:type="page"/>
      </w:r>
      <w:bookmarkStart w:id="6" w:name="Table2"/>
      <w:r w:rsidRPr="00917B78">
        <w:lastRenderedPageBreak/>
        <w:t>Table 2:</w:t>
      </w:r>
      <w:r w:rsidR="00917B78">
        <w:t xml:space="preserve"> </w:t>
      </w:r>
      <w:r w:rsidR="00DB5A19" w:rsidRPr="00917B78">
        <w:t>PBO projections</w:t>
      </w:r>
      <w:r w:rsidR="00917B78">
        <w:t>—</w:t>
      </w:r>
      <w:r w:rsidRPr="00917B78">
        <w:t>Aggregate and State breakdown of the difference between Commonwealth hospital funding with and without the funding guarantee specified in clauses A67 to A79 of the 2011 Agreement in place, over 2014–15 to 2017–18</w:t>
      </w:r>
      <w:r w:rsidRPr="00290579">
        <w:rPr>
          <w:vertAlign w:val="superscript"/>
        </w:rPr>
        <w:footnoteReference w:id="3"/>
      </w:r>
      <w:r w:rsidR="00917B78">
        <w:t xml:space="preserve"> </w:t>
      </w:r>
      <w:r w:rsidRPr="00917B78">
        <w:t>(a)(b</w:t>
      </w:r>
      <w:r w:rsidR="00917B78">
        <w:t>)</w:t>
      </w:r>
      <w:r w:rsidR="00DA7F9B" w:rsidRPr="00917B78">
        <w:t>(c)</w:t>
      </w:r>
      <w:r w:rsidR="00F50FCE">
        <w:t>(d)(e)</w:t>
      </w:r>
    </w:p>
    <w:tbl>
      <w:tblPr>
        <w:tblStyle w:val="PBOtable"/>
        <w:tblW w:w="9639" w:type="dxa"/>
        <w:tblInd w:w="108" w:type="dxa"/>
        <w:tblLook w:val="04A0" w:firstRow="1" w:lastRow="0" w:firstColumn="1" w:lastColumn="0" w:noHBand="0" w:noVBand="1"/>
      </w:tblPr>
      <w:tblGrid>
        <w:gridCol w:w="3707"/>
        <w:gridCol w:w="1158"/>
        <w:gridCol w:w="1158"/>
        <w:gridCol w:w="1158"/>
        <w:gridCol w:w="1158"/>
        <w:gridCol w:w="1300"/>
      </w:tblGrid>
      <w:tr w:rsidR="002841EA" w:rsidRPr="00A1160F" w:rsidTr="00290579">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707" w:type="dxa"/>
            <w:shd w:val="clear" w:color="auto" w:fill="2B3B5F"/>
          </w:tcPr>
          <w:bookmarkEnd w:id="6"/>
          <w:p w:rsidR="002841EA" w:rsidRPr="00A1160F" w:rsidRDefault="002841EA" w:rsidP="00290579">
            <w:pPr>
              <w:spacing w:before="70" w:after="70"/>
              <w:jc w:val="left"/>
            </w:pPr>
            <w:r w:rsidRPr="00A1160F">
              <w:t>($m)</w:t>
            </w:r>
          </w:p>
        </w:tc>
        <w:tc>
          <w:tcPr>
            <w:tcW w:w="1158" w:type="dxa"/>
            <w:shd w:val="clear" w:color="auto" w:fill="2B3B5F"/>
          </w:tcPr>
          <w:p w:rsidR="002841EA" w:rsidRPr="00A1160F" w:rsidRDefault="002841EA" w:rsidP="00917B7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A1160F">
              <w:t>2014–15</w:t>
            </w:r>
          </w:p>
        </w:tc>
        <w:tc>
          <w:tcPr>
            <w:tcW w:w="1158" w:type="dxa"/>
            <w:shd w:val="clear" w:color="auto" w:fill="2B3B5F"/>
          </w:tcPr>
          <w:p w:rsidR="002841EA" w:rsidRPr="00A1160F" w:rsidRDefault="002841EA" w:rsidP="00917B7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A1160F">
              <w:t>2015–16</w:t>
            </w:r>
          </w:p>
        </w:tc>
        <w:tc>
          <w:tcPr>
            <w:tcW w:w="1158" w:type="dxa"/>
            <w:shd w:val="clear" w:color="auto" w:fill="2B3B5F"/>
          </w:tcPr>
          <w:p w:rsidR="002841EA" w:rsidRPr="00A1160F" w:rsidRDefault="002841EA" w:rsidP="00917B7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A1160F">
              <w:t>2016–17</w:t>
            </w:r>
          </w:p>
        </w:tc>
        <w:tc>
          <w:tcPr>
            <w:tcW w:w="1158" w:type="dxa"/>
            <w:shd w:val="clear" w:color="auto" w:fill="2B3B5F"/>
          </w:tcPr>
          <w:p w:rsidR="002841EA" w:rsidRPr="00A1160F" w:rsidRDefault="002841EA" w:rsidP="00917B7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A1160F">
              <w:t>2017–18</w:t>
            </w:r>
          </w:p>
        </w:tc>
        <w:tc>
          <w:tcPr>
            <w:tcW w:w="1300" w:type="dxa"/>
            <w:shd w:val="clear" w:color="auto" w:fill="2B3B5F"/>
          </w:tcPr>
          <w:p w:rsidR="002841EA" w:rsidRPr="00A1160F" w:rsidRDefault="002841EA" w:rsidP="00290579">
            <w:pPr>
              <w:spacing w:before="70" w:after="70"/>
              <w:ind w:left="-57" w:right="33"/>
              <w:jc w:val="right"/>
              <w:cnfStyle w:val="100000000000" w:firstRow="1" w:lastRow="0" w:firstColumn="0" w:lastColumn="0" w:oddVBand="0" w:evenVBand="0" w:oddHBand="0" w:evenHBand="0" w:firstRowFirstColumn="0" w:firstRowLastColumn="0" w:lastRowFirstColumn="0" w:lastRowLastColumn="0"/>
            </w:pPr>
            <w:r w:rsidRPr="00A1160F">
              <w:t>Total</w:t>
            </w:r>
          </w:p>
        </w:tc>
      </w:tr>
      <w:tr w:rsidR="000E189F" w:rsidRPr="00AC5AF8" w:rsidTr="000E18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New South Wales</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300"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rPr>
              <w:t xml:space="preserve">          -   </w:t>
            </w:r>
          </w:p>
        </w:tc>
      </w:tr>
      <w:tr w:rsidR="000E189F" w:rsidRPr="00AC5AF8" w:rsidTr="000E189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Victoria</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23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109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3 </w:t>
            </w:r>
          </w:p>
        </w:tc>
        <w:tc>
          <w:tcPr>
            <w:tcW w:w="1300"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rPr>
              <w:t xml:space="preserve">        135 </w:t>
            </w:r>
          </w:p>
        </w:tc>
      </w:tr>
      <w:tr w:rsidR="000E189F" w:rsidRPr="00AC5AF8" w:rsidTr="000E18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Queensland</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17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92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160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87 </w:t>
            </w:r>
          </w:p>
        </w:tc>
        <w:tc>
          <w:tcPr>
            <w:tcW w:w="1300"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rPr>
              <w:t xml:space="preserve">        356 </w:t>
            </w:r>
          </w:p>
        </w:tc>
      </w:tr>
      <w:tr w:rsidR="000E189F" w:rsidRPr="00AC5AF8" w:rsidTr="000E189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Western Australia</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43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74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58 </w:t>
            </w:r>
          </w:p>
        </w:tc>
        <w:tc>
          <w:tcPr>
            <w:tcW w:w="1300"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rPr>
              <w:t xml:space="preserve">        174 </w:t>
            </w:r>
          </w:p>
        </w:tc>
      </w:tr>
      <w:tr w:rsidR="000E189F" w:rsidRPr="00AC5AF8" w:rsidTr="000E18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South Australia</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21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300"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rPr>
              <w:t xml:space="preserve">          21 </w:t>
            </w:r>
          </w:p>
        </w:tc>
      </w:tr>
      <w:tr w:rsidR="000E189F" w:rsidRPr="00AC5AF8" w:rsidTr="000E189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Tasmania</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7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300"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rPr>
              <w:t xml:space="preserve">            7 </w:t>
            </w:r>
          </w:p>
        </w:tc>
      </w:tr>
      <w:tr w:rsidR="000E189F" w:rsidRPr="00AC5AF8" w:rsidTr="000E18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color w:val="000000"/>
              </w:rPr>
            </w:pPr>
            <w:r w:rsidRPr="00A1160F">
              <w:rPr>
                <w:b w:val="0"/>
                <w:color w:val="000000"/>
              </w:rPr>
              <w:t>Australian Capital Territory</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1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1 </w:t>
            </w:r>
          </w:p>
        </w:tc>
        <w:tc>
          <w:tcPr>
            <w:tcW w:w="1158"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 xml:space="preserve">          -   </w:t>
            </w:r>
          </w:p>
        </w:tc>
        <w:tc>
          <w:tcPr>
            <w:tcW w:w="1300" w:type="dxa"/>
          </w:tcPr>
          <w:p w:rsid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bCs/>
                <w:color w:val="000000"/>
                <w:sz w:val="24"/>
                <w:szCs w:val="24"/>
              </w:rPr>
            </w:pPr>
            <w:r>
              <w:rPr>
                <w:b/>
                <w:bCs/>
                <w:color w:val="000000"/>
              </w:rPr>
              <w:t xml:space="preserve">            2 </w:t>
            </w:r>
          </w:p>
        </w:tc>
      </w:tr>
      <w:tr w:rsidR="000E189F" w:rsidRPr="00AC5AF8" w:rsidTr="000E189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 w:val="0"/>
                <w:bCs/>
                <w:color w:val="000000"/>
              </w:rPr>
            </w:pPr>
            <w:r w:rsidRPr="00A1160F">
              <w:rPr>
                <w:b w:val="0"/>
                <w:bCs/>
                <w:color w:val="000000"/>
              </w:rPr>
              <w:t>Northern Territory</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158"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rPr>
              <w:t xml:space="preserve">          -   </w:t>
            </w:r>
          </w:p>
        </w:tc>
        <w:tc>
          <w:tcPr>
            <w:tcW w:w="1300" w:type="dxa"/>
          </w:tcPr>
          <w:p w:rsidR="000E189F" w:rsidRDefault="000E189F" w:rsidP="000E189F">
            <w:pPr>
              <w:jc w:val="right"/>
              <w:cnfStyle w:val="000000010000" w:firstRow="0" w:lastRow="0" w:firstColumn="0" w:lastColumn="0" w:oddVBand="0" w:evenVBand="0" w:oddHBand="0" w:evenHBand="1" w:firstRowFirstColumn="0" w:firstRowLastColumn="0" w:lastRowFirstColumn="0" w:lastRowLastColumn="0"/>
              <w:rPr>
                <w:b/>
                <w:bCs/>
                <w:color w:val="000000"/>
                <w:sz w:val="24"/>
                <w:szCs w:val="24"/>
              </w:rPr>
            </w:pPr>
            <w:r>
              <w:rPr>
                <w:b/>
                <w:bCs/>
                <w:color w:val="000000"/>
              </w:rPr>
              <w:t xml:space="preserve">          -   </w:t>
            </w:r>
          </w:p>
        </w:tc>
      </w:tr>
      <w:tr w:rsidR="000E189F" w:rsidRPr="00A1160F" w:rsidTr="000E18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Pr>
          <w:p w:rsidR="000E189F" w:rsidRPr="00A1160F" w:rsidRDefault="000E189F" w:rsidP="00917B78">
            <w:pPr>
              <w:spacing w:before="70" w:after="70"/>
              <w:rPr>
                <w:bCs/>
                <w:color w:val="000000"/>
              </w:rPr>
            </w:pPr>
            <w:r w:rsidRPr="00A1160F">
              <w:rPr>
                <w:bCs/>
                <w:color w:val="000000"/>
              </w:rPr>
              <w:t>Total</w:t>
            </w:r>
          </w:p>
        </w:tc>
        <w:tc>
          <w:tcPr>
            <w:tcW w:w="1158" w:type="dxa"/>
          </w:tcPr>
          <w:p w:rsidR="000E189F" w:rsidRP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color w:val="000000"/>
                <w:sz w:val="24"/>
                <w:szCs w:val="24"/>
              </w:rPr>
            </w:pPr>
            <w:r w:rsidRPr="000E189F">
              <w:rPr>
                <w:b/>
                <w:color w:val="000000"/>
              </w:rPr>
              <w:t xml:space="preserve">            17 </w:t>
            </w:r>
          </w:p>
        </w:tc>
        <w:tc>
          <w:tcPr>
            <w:tcW w:w="1158" w:type="dxa"/>
          </w:tcPr>
          <w:p w:rsidR="000E189F" w:rsidRP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color w:val="000000"/>
                <w:sz w:val="24"/>
                <w:szCs w:val="24"/>
              </w:rPr>
            </w:pPr>
            <w:r w:rsidRPr="000E189F">
              <w:rPr>
                <w:b/>
                <w:color w:val="000000"/>
              </w:rPr>
              <w:t xml:space="preserve">        158 </w:t>
            </w:r>
          </w:p>
        </w:tc>
        <w:tc>
          <w:tcPr>
            <w:tcW w:w="1158" w:type="dxa"/>
          </w:tcPr>
          <w:p w:rsidR="000E189F" w:rsidRP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color w:val="000000"/>
                <w:sz w:val="24"/>
                <w:szCs w:val="24"/>
              </w:rPr>
            </w:pPr>
            <w:r w:rsidRPr="000E189F">
              <w:rPr>
                <w:b/>
                <w:color w:val="000000"/>
              </w:rPr>
              <w:t xml:space="preserve">        371 </w:t>
            </w:r>
          </w:p>
        </w:tc>
        <w:tc>
          <w:tcPr>
            <w:tcW w:w="1158" w:type="dxa"/>
          </w:tcPr>
          <w:p w:rsidR="000E189F" w:rsidRP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color w:val="000000"/>
                <w:sz w:val="24"/>
                <w:szCs w:val="24"/>
              </w:rPr>
            </w:pPr>
            <w:r w:rsidRPr="000E189F">
              <w:rPr>
                <w:b/>
                <w:color w:val="000000"/>
              </w:rPr>
              <w:t xml:space="preserve">        148 </w:t>
            </w:r>
          </w:p>
        </w:tc>
        <w:tc>
          <w:tcPr>
            <w:tcW w:w="1300" w:type="dxa"/>
          </w:tcPr>
          <w:p w:rsidR="000E189F" w:rsidRPr="000E189F" w:rsidRDefault="000E189F" w:rsidP="000E189F">
            <w:pPr>
              <w:jc w:val="right"/>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0E189F">
              <w:rPr>
                <w:b/>
                <w:bCs/>
                <w:color w:val="000000"/>
              </w:rPr>
              <w:t xml:space="preserve">        695 </w:t>
            </w:r>
          </w:p>
        </w:tc>
      </w:tr>
    </w:tbl>
    <w:p w:rsidR="002841EA" w:rsidRDefault="002841EA" w:rsidP="00290579">
      <w:pPr>
        <w:keepLines/>
        <w:numPr>
          <w:ilvl w:val="0"/>
          <w:numId w:val="22"/>
        </w:numPr>
        <w:spacing w:before="60" w:after="0"/>
        <w:ind w:left="567" w:hanging="567"/>
        <w:rPr>
          <w:rFonts w:eastAsia="Times New Roman"/>
          <w:sz w:val="18"/>
          <w:szCs w:val="18"/>
        </w:rPr>
      </w:pPr>
      <w:r w:rsidRPr="001E62C6">
        <w:rPr>
          <w:rFonts w:eastAsia="Times New Roman"/>
          <w:sz w:val="18"/>
          <w:szCs w:val="18"/>
        </w:rPr>
        <w:t>The impact</w:t>
      </w:r>
      <w:r>
        <w:rPr>
          <w:rFonts w:eastAsia="Times New Roman"/>
          <w:sz w:val="18"/>
          <w:szCs w:val="18"/>
        </w:rPr>
        <w:t>s are</w:t>
      </w:r>
      <w:r w:rsidRPr="001E62C6">
        <w:rPr>
          <w:rFonts w:eastAsia="Times New Roman"/>
          <w:sz w:val="18"/>
          <w:szCs w:val="18"/>
        </w:rPr>
        <w:t xml:space="preserve"> on</w:t>
      </w:r>
      <w:r>
        <w:rPr>
          <w:rFonts w:eastAsia="Times New Roman"/>
          <w:sz w:val="18"/>
          <w:szCs w:val="18"/>
        </w:rPr>
        <w:t xml:space="preserve"> a</w:t>
      </w:r>
      <w:r w:rsidRPr="001E62C6">
        <w:rPr>
          <w:rFonts w:eastAsia="Times New Roman"/>
          <w:sz w:val="18"/>
          <w:szCs w:val="18"/>
        </w:rPr>
        <w:t xml:space="preserve"> </w:t>
      </w:r>
      <w:r>
        <w:rPr>
          <w:rFonts w:eastAsia="Times New Roman"/>
          <w:sz w:val="18"/>
          <w:szCs w:val="18"/>
        </w:rPr>
        <w:t>fiscal balance basis.</w:t>
      </w:r>
    </w:p>
    <w:p w:rsidR="0012793D" w:rsidRPr="0012793D" w:rsidRDefault="0012793D" w:rsidP="00290579">
      <w:pPr>
        <w:keepLines/>
        <w:numPr>
          <w:ilvl w:val="0"/>
          <w:numId w:val="22"/>
        </w:numPr>
        <w:spacing w:before="60" w:after="0"/>
        <w:ind w:left="567" w:hanging="567"/>
        <w:rPr>
          <w:rFonts w:eastAsia="Times New Roman"/>
          <w:sz w:val="18"/>
          <w:szCs w:val="18"/>
        </w:rPr>
      </w:pPr>
      <w:r w:rsidRPr="0012793D">
        <w:rPr>
          <w:rFonts w:eastAsia="Times New Roman"/>
          <w:sz w:val="18"/>
          <w:szCs w:val="18"/>
        </w:rPr>
        <w:t>Figures presented are based on economic and fiscal parameters as at the 2015</w:t>
      </w:r>
      <w:r w:rsidR="00DF7452">
        <w:rPr>
          <w:rFonts w:eastAsia="Times New Roman"/>
          <w:sz w:val="18"/>
          <w:szCs w:val="18"/>
        </w:rPr>
        <w:t>–</w:t>
      </w:r>
      <w:r w:rsidRPr="0012793D">
        <w:rPr>
          <w:rFonts w:eastAsia="Times New Roman"/>
          <w:sz w:val="18"/>
          <w:szCs w:val="18"/>
        </w:rPr>
        <w:t>16 MYEFO.</w:t>
      </w:r>
    </w:p>
    <w:p w:rsidR="00DA7F9B" w:rsidRDefault="00DA7F9B" w:rsidP="00290579">
      <w:pPr>
        <w:keepLines/>
        <w:numPr>
          <w:ilvl w:val="0"/>
          <w:numId w:val="22"/>
        </w:numPr>
        <w:spacing w:before="60" w:after="0"/>
        <w:ind w:left="567" w:hanging="567"/>
        <w:rPr>
          <w:rFonts w:eastAsia="Times New Roman"/>
          <w:sz w:val="18"/>
          <w:szCs w:val="18"/>
        </w:rPr>
      </w:pPr>
      <w:r w:rsidRPr="00DA7F9B">
        <w:rPr>
          <w:rFonts w:eastAsia="Times New Roman"/>
          <w:sz w:val="18"/>
          <w:szCs w:val="18"/>
        </w:rPr>
        <w:t>Amounts may not sum due to rounding.</w:t>
      </w:r>
    </w:p>
    <w:p w:rsidR="0048532C" w:rsidRPr="0048532C" w:rsidRDefault="0048532C" w:rsidP="00290579">
      <w:pPr>
        <w:keepLines/>
        <w:numPr>
          <w:ilvl w:val="0"/>
          <w:numId w:val="22"/>
        </w:numPr>
        <w:spacing w:before="60" w:after="0"/>
        <w:ind w:left="567" w:hanging="567"/>
        <w:rPr>
          <w:rFonts w:eastAsia="Times New Roman"/>
          <w:sz w:val="18"/>
          <w:szCs w:val="18"/>
        </w:rPr>
      </w:pPr>
      <w:r w:rsidRPr="0048532C">
        <w:rPr>
          <w:rFonts w:eastAsia="Times New Roman"/>
          <w:sz w:val="18"/>
          <w:szCs w:val="18"/>
        </w:rPr>
        <w:t xml:space="preserve">The aggregate financial implications are considered to be of </w:t>
      </w:r>
      <w:r w:rsidRPr="00917B78">
        <w:rPr>
          <w:rFonts w:eastAsia="Times New Roman"/>
          <w:b/>
          <w:sz w:val="18"/>
          <w:szCs w:val="18"/>
        </w:rPr>
        <w:t>low</w:t>
      </w:r>
      <w:r w:rsidRPr="0048532C">
        <w:rPr>
          <w:rFonts w:eastAsia="Times New Roman"/>
          <w:sz w:val="18"/>
          <w:szCs w:val="18"/>
        </w:rPr>
        <w:t xml:space="preserve"> reliability.  The estimates for the withdrawal of the funding guarantee were derived using the estimates for Commonwealth hospital funding, based on the 2011 Agreement, and estimates for the National Healthcare SPP, and a state breakdown of the funding guarantee amounts outlined in the 2011 Agreement.  The reliability of estimates for funding based on the 2</w:t>
      </w:r>
      <w:r w:rsidR="00DC3B84">
        <w:rPr>
          <w:rFonts w:eastAsia="Times New Roman"/>
          <w:sz w:val="18"/>
          <w:szCs w:val="18"/>
        </w:rPr>
        <w:t>011 Agreement are outlined in notes to Table 1</w:t>
      </w:r>
      <w:r w:rsidRPr="0048532C">
        <w:rPr>
          <w:rFonts w:eastAsia="Times New Roman"/>
          <w:sz w:val="18"/>
          <w:szCs w:val="18"/>
        </w:rPr>
        <w:t>, and the estimates for the National Healthcare SPP are slightly more</w:t>
      </w:r>
      <w:r w:rsidR="00DC3B84">
        <w:rPr>
          <w:rFonts w:eastAsia="Times New Roman"/>
          <w:sz w:val="18"/>
          <w:szCs w:val="18"/>
        </w:rPr>
        <w:t xml:space="preserve"> reliable as they are based on the</w:t>
      </w:r>
      <w:r w:rsidRPr="0048532C">
        <w:rPr>
          <w:rFonts w:eastAsia="Times New Roman"/>
          <w:sz w:val="18"/>
          <w:szCs w:val="18"/>
        </w:rPr>
        <w:t xml:space="preserve"> formula specified in the </w:t>
      </w:r>
      <w:r w:rsidRPr="00290579">
        <w:rPr>
          <w:rFonts w:eastAsia="Times New Roman"/>
          <w:i/>
          <w:sz w:val="18"/>
          <w:szCs w:val="18"/>
        </w:rPr>
        <w:t>2009 Intergovernmental Agreement on Federal Financial Relations</w:t>
      </w:r>
      <w:r w:rsidRPr="0048532C">
        <w:rPr>
          <w:rFonts w:eastAsia="Times New Roman"/>
          <w:sz w:val="18"/>
          <w:szCs w:val="18"/>
        </w:rPr>
        <w:t>.  As the aggregate implications are dependent on the two series of estimates mentioned, they are rated as low reliability as the margins for error compound.</w:t>
      </w:r>
    </w:p>
    <w:p w:rsidR="0055790C" w:rsidRDefault="0048532C" w:rsidP="004C7EF0">
      <w:pPr>
        <w:keepLines/>
        <w:numPr>
          <w:ilvl w:val="0"/>
          <w:numId w:val="22"/>
        </w:numPr>
        <w:spacing w:before="60" w:after="0"/>
        <w:ind w:left="567" w:hanging="567"/>
        <w:rPr>
          <w:rFonts w:eastAsia="Times New Roman"/>
          <w:sz w:val="18"/>
          <w:szCs w:val="18"/>
        </w:rPr>
      </w:pPr>
      <w:r w:rsidRPr="0055790C">
        <w:rPr>
          <w:rFonts w:eastAsia="Times New Roman"/>
          <w:sz w:val="18"/>
          <w:szCs w:val="18"/>
        </w:rPr>
        <w:t xml:space="preserve">The state breakdowns are of </w:t>
      </w:r>
      <w:r w:rsidRPr="004C7EF0">
        <w:rPr>
          <w:rFonts w:eastAsia="Times New Roman"/>
          <w:b/>
          <w:sz w:val="18"/>
          <w:szCs w:val="18"/>
        </w:rPr>
        <w:t>medium</w:t>
      </w:r>
      <w:r w:rsidRPr="0055790C">
        <w:rPr>
          <w:rFonts w:eastAsia="Times New Roman"/>
          <w:sz w:val="18"/>
          <w:szCs w:val="18"/>
        </w:rPr>
        <w:t xml:space="preserve"> reliability as the estimates are calculated based on state proportions of the total in the last known year of actual data and may differ particularly as the projection period increases.</w:t>
      </w:r>
      <w:r w:rsidR="0055790C">
        <w:rPr>
          <w:rFonts w:eastAsia="Times New Roman"/>
          <w:sz w:val="18"/>
          <w:szCs w:val="18"/>
        </w:rPr>
        <w:br w:type="page"/>
      </w:r>
    </w:p>
    <w:p w:rsidR="002841EA" w:rsidRPr="000A7C58" w:rsidRDefault="002841EA" w:rsidP="00290579">
      <w:pPr>
        <w:pStyle w:val="PBOfiguretableheading"/>
      </w:pPr>
      <w:bookmarkStart w:id="7" w:name="Table3"/>
      <w:r w:rsidRPr="000A7C58">
        <w:lastRenderedPageBreak/>
        <w:t>Table 3:</w:t>
      </w:r>
      <w:r w:rsidR="000A7C58">
        <w:t xml:space="preserve"> </w:t>
      </w:r>
      <w:r w:rsidR="00DB5A19" w:rsidRPr="000A7C58">
        <w:t>PBO projections</w:t>
      </w:r>
      <w:r w:rsidR="000A7C58">
        <w:t>—</w:t>
      </w:r>
      <w:r w:rsidRPr="000A7C58">
        <w:t>Aggregate and State breakdown of the difference in Commonwealth funding under current Government policy and the scenario where the National Partnerships terminated in the 2014</w:t>
      </w:r>
      <w:r w:rsidR="000A7C58">
        <w:t>–</w:t>
      </w:r>
      <w:r w:rsidRPr="000A7C58">
        <w:t>15 Budget were still in effect, over 2014</w:t>
      </w:r>
      <w:r w:rsidR="000A7C58">
        <w:t>–</w:t>
      </w:r>
      <w:r w:rsidRPr="000A7C58">
        <w:t>15 to 2024</w:t>
      </w:r>
      <w:r w:rsidR="000A7C58">
        <w:t>–</w:t>
      </w:r>
      <w:r w:rsidRPr="000A7C58">
        <w:t>25</w:t>
      </w:r>
      <w:r w:rsidRPr="000A7C58">
        <w:rPr>
          <w:rStyle w:val="FootnoteReference"/>
        </w:rPr>
        <w:footnoteReference w:id="4"/>
      </w:r>
      <w:r w:rsidR="000A7C58">
        <w:t xml:space="preserve"> </w:t>
      </w:r>
      <w:r w:rsidRPr="00290579">
        <w:t>(a)(b)</w:t>
      </w:r>
      <w:r w:rsidR="00EC49D4" w:rsidRPr="00290579">
        <w:t>(c)</w:t>
      </w:r>
      <w:r w:rsidR="00DC3B84">
        <w:t>(d)</w:t>
      </w:r>
    </w:p>
    <w:tbl>
      <w:tblPr>
        <w:tblStyle w:val="PBOtable"/>
        <w:tblW w:w="13926" w:type="dxa"/>
        <w:tblInd w:w="108" w:type="dxa"/>
        <w:tblLayout w:type="fixed"/>
        <w:tblLook w:val="04A0" w:firstRow="1" w:lastRow="0" w:firstColumn="1" w:lastColumn="0" w:noHBand="0" w:noVBand="1"/>
      </w:tblPr>
      <w:tblGrid>
        <w:gridCol w:w="2268"/>
        <w:gridCol w:w="971"/>
        <w:gridCol w:w="972"/>
        <w:gridCol w:w="971"/>
        <w:gridCol w:w="972"/>
        <w:gridCol w:w="971"/>
        <w:gridCol w:w="972"/>
        <w:gridCol w:w="971"/>
        <w:gridCol w:w="972"/>
        <w:gridCol w:w="971"/>
        <w:gridCol w:w="972"/>
        <w:gridCol w:w="971"/>
        <w:gridCol w:w="972"/>
      </w:tblGrid>
      <w:tr w:rsidR="00290579" w:rsidRPr="001015EF" w:rsidTr="00F14858">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68" w:type="dxa"/>
            <w:shd w:val="clear" w:color="auto" w:fill="2B3B5F"/>
          </w:tcPr>
          <w:bookmarkEnd w:id="7"/>
          <w:p w:rsidR="002841EA" w:rsidRPr="001015EF" w:rsidRDefault="002841EA" w:rsidP="00290579">
            <w:pPr>
              <w:spacing w:before="70" w:after="70"/>
              <w:jc w:val="left"/>
            </w:pPr>
            <w:r w:rsidRPr="001015EF">
              <w:t>($m)</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2014–15</w:t>
            </w:r>
          </w:p>
        </w:tc>
        <w:tc>
          <w:tcPr>
            <w:tcW w:w="972"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2015–16</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2016–17</w:t>
            </w:r>
          </w:p>
        </w:tc>
        <w:tc>
          <w:tcPr>
            <w:tcW w:w="972"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2017–18</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2018–19</w:t>
            </w:r>
          </w:p>
        </w:tc>
        <w:tc>
          <w:tcPr>
            <w:tcW w:w="972"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2019–20</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2020–21</w:t>
            </w:r>
          </w:p>
        </w:tc>
        <w:tc>
          <w:tcPr>
            <w:tcW w:w="972"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2021–22</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2022–23</w:t>
            </w:r>
          </w:p>
        </w:tc>
        <w:tc>
          <w:tcPr>
            <w:tcW w:w="972"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2023–24</w:t>
            </w:r>
          </w:p>
        </w:tc>
        <w:tc>
          <w:tcPr>
            <w:tcW w:w="971" w:type="dxa"/>
            <w:shd w:val="clear" w:color="auto" w:fill="2B3B5F"/>
          </w:tcPr>
          <w:p w:rsidR="002841EA" w:rsidRPr="001015EF" w:rsidRDefault="002841EA" w:rsidP="000A7C58">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1015EF">
              <w:t>2024–25</w:t>
            </w:r>
          </w:p>
        </w:tc>
        <w:tc>
          <w:tcPr>
            <w:tcW w:w="972" w:type="dxa"/>
            <w:shd w:val="clear" w:color="auto" w:fill="2B3B5F"/>
          </w:tcPr>
          <w:p w:rsidR="002841EA" w:rsidRPr="001015EF" w:rsidRDefault="002841EA"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1015EF">
              <w:t>Total</w:t>
            </w:r>
          </w:p>
        </w:tc>
      </w:tr>
      <w:tr w:rsidR="00FF3CEC" w:rsidRPr="00F213DC"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New South Wales</w:t>
            </w:r>
          </w:p>
        </w:tc>
        <w:tc>
          <w:tcPr>
            <w:tcW w:w="971" w:type="dxa"/>
          </w:tcPr>
          <w:p w:rsidR="002841EA" w:rsidRPr="0021082B"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21082B">
              <w:t>17</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49</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74</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42</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ED6718">
              <w:rPr>
                <w:b/>
              </w:rPr>
              <w:t>182</w:t>
            </w:r>
          </w:p>
        </w:tc>
      </w:tr>
      <w:tr w:rsidR="00FF3CEC" w:rsidRPr="00F213DC"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Victoria</w:t>
            </w:r>
          </w:p>
        </w:tc>
        <w:tc>
          <w:tcPr>
            <w:tcW w:w="971" w:type="dxa"/>
          </w:tcPr>
          <w:p w:rsidR="002841EA" w:rsidRPr="0021082B"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21082B">
              <w:t>13</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38</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56</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32</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010000" w:firstRow="0" w:lastRow="0" w:firstColumn="0" w:lastColumn="0" w:oddVBand="0" w:evenVBand="0" w:oddHBand="0" w:evenHBand="1" w:firstRowFirstColumn="0" w:firstRowLastColumn="0" w:lastRowFirstColumn="0" w:lastRowLastColumn="0"/>
              <w:rPr>
                <w:b/>
              </w:rPr>
            </w:pPr>
            <w:r w:rsidRPr="00ED6718">
              <w:rPr>
                <w:b/>
              </w:rPr>
              <w:t>139</w:t>
            </w:r>
          </w:p>
        </w:tc>
      </w:tr>
      <w:tr w:rsidR="00FF3CEC" w:rsidRPr="00F213DC"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Queensland</w:t>
            </w:r>
          </w:p>
        </w:tc>
        <w:tc>
          <w:tcPr>
            <w:tcW w:w="971" w:type="dxa"/>
          </w:tcPr>
          <w:p w:rsidR="002841EA" w:rsidRPr="0021082B"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21082B">
              <w:t>11</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32</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48</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27</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ED6718">
              <w:rPr>
                <w:b/>
              </w:rPr>
              <w:t>117</w:t>
            </w:r>
          </w:p>
        </w:tc>
      </w:tr>
      <w:tr w:rsidR="00FF3CEC" w:rsidRPr="00F213DC"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Western Australia</w:t>
            </w:r>
          </w:p>
        </w:tc>
        <w:tc>
          <w:tcPr>
            <w:tcW w:w="971" w:type="dxa"/>
          </w:tcPr>
          <w:p w:rsidR="002841EA" w:rsidRPr="0021082B"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21082B">
              <w:t>6</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16</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24</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14</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010000" w:firstRow="0" w:lastRow="0" w:firstColumn="0" w:lastColumn="0" w:oddVBand="0" w:evenVBand="0" w:oddHBand="0" w:evenHBand="1" w:firstRowFirstColumn="0" w:firstRowLastColumn="0" w:lastRowFirstColumn="0" w:lastRowLastColumn="0"/>
              <w:rPr>
                <w:b/>
              </w:rPr>
            </w:pPr>
            <w:r w:rsidRPr="00ED6718">
              <w:rPr>
                <w:b/>
              </w:rPr>
              <w:t>60</w:t>
            </w:r>
          </w:p>
        </w:tc>
      </w:tr>
      <w:tr w:rsidR="00FF3CEC" w:rsidRPr="00F213DC"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South Australia</w:t>
            </w:r>
          </w:p>
        </w:tc>
        <w:tc>
          <w:tcPr>
            <w:tcW w:w="971" w:type="dxa"/>
          </w:tcPr>
          <w:p w:rsidR="002841EA" w:rsidRPr="0021082B"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21082B">
              <w:t>4</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11</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16</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9</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ED6718">
              <w:rPr>
                <w:b/>
              </w:rPr>
              <w:t>40</w:t>
            </w:r>
          </w:p>
        </w:tc>
      </w:tr>
      <w:tr w:rsidR="00FF3CEC" w:rsidRPr="00F213DC"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Tasmania</w:t>
            </w:r>
          </w:p>
        </w:tc>
        <w:tc>
          <w:tcPr>
            <w:tcW w:w="971" w:type="dxa"/>
          </w:tcPr>
          <w:p w:rsidR="002841EA" w:rsidRPr="0021082B"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21082B">
              <w:t>1</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3</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5</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3</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010000" w:firstRow="0" w:lastRow="0" w:firstColumn="0" w:lastColumn="0" w:oddVBand="0" w:evenVBand="0" w:oddHBand="0" w:evenHBand="1" w:firstRowFirstColumn="0" w:firstRowLastColumn="0" w:lastRowFirstColumn="0" w:lastRowLastColumn="0"/>
              <w:rPr>
                <w:b/>
              </w:rPr>
            </w:pPr>
            <w:r w:rsidRPr="00ED6718">
              <w:rPr>
                <w:b/>
              </w:rPr>
              <w:t>12</w:t>
            </w:r>
          </w:p>
        </w:tc>
      </w:tr>
      <w:tr w:rsidR="00FF3CEC" w:rsidRPr="00F213DC"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color w:val="000000"/>
              </w:rPr>
            </w:pPr>
            <w:r w:rsidRPr="001015EF">
              <w:rPr>
                <w:b w:val="0"/>
                <w:color w:val="000000"/>
              </w:rPr>
              <w:t>Australian Capital Territory</w:t>
            </w:r>
          </w:p>
        </w:tc>
        <w:tc>
          <w:tcPr>
            <w:tcW w:w="971" w:type="dxa"/>
          </w:tcPr>
          <w:p w:rsidR="002841EA" w:rsidRPr="0021082B"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21082B">
              <w:t>1</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2</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4</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rsidRPr="00893D82">
              <w:t>2</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ED6718">
              <w:rPr>
                <w:b/>
              </w:rPr>
              <w:t>9</w:t>
            </w:r>
          </w:p>
        </w:tc>
      </w:tr>
      <w:tr w:rsidR="00FF3CEC" w:rsidRPr="00F213DC"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 w:val="0"/>
                <w:bCs/>
                <w:color w:val="000000"/>
              </w:rPr>
            </w:pPr>
            <w:r w:rsidRPr="001015EF">
              <w:rPr>
                <w:b w:val="0"/>
                <w:bCs/>
                <w:color w:val="000000"/>
              </w:rPr>
              <w:t>Northern Territory</w:t>
            </w:r>
          </w:p>
        </w:tc>
        <w:tc>
          <w:tcPr>
            <w:tcW w:w="971" w:type="dxa"/>
          </w:tcPr>
          <w:p w:rsidR="002841EA" w:rsidRPr="0021082B"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21082B">
              <w:t>1</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2</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3</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rsidRPr="00893D82">
              <w:t>2</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1" w:type="dxa"/>
          </w:tcPr>
          <w:p w:rsidR="002841EA" w:rsidRPr="00893D82" w:rsidRDefault="002841EA" w:rsidP="000A7C58">
            <w:pPr>
              <w:spacing w:before="70" w:after="70"/>
              <w:jc w:val="right"/>
              <w:cnfStyle w:val="000000010000" w:firstRow="0" w:lastRow="0" w:firstColumn="0" w:lastColumn="0" w:oddVBand="0" w:evenVBand="0" w:oddHBand="0" w:evenHBand="1" w:firstRowFirstColumn="0" w:firstRowLastColumn="0" w:lastRowFirstColumn="0" w:lastRowLastColumn="0"/>
            </w:pPr>
            <w:r>
              <w:t>-</w:t>
            </w:r>
          </w:p>
        </w:tc>
        <w:tc>
          <w:tcPr>
            <w:tcW w:w="972" w:type="dxa"/>
          </w:tcPr>
          <w:p w:rsidR="002841EA" w:rsidRPr="00ED6718" w:rsidRDefault="002841EA" w:rsidP="00FF3CEC">
            <w:pPr>
              <w:spacing w:before="70" w:after="70"/>
              <w:jc w:val="right"/>
              <w:cnfStyle w:val="000000010000" w:firstRow="0" w:lastRow="0" w:firstColumn="0" w:lastColumn="0" w:oddVBand="0" w:evenVBand="0" w:oddHBand="0" w:evenHBand="1" w:firstRowFirstColumn="0" w:firstRowLastColumn="0" w:lastRowFirstColumn="0" w:lastRowLastColumn="0"/>
              <w:rPr>
                <w:b/>
              </w:rPr>
            </w:pPr>
            <w:r w:rsidRPr="00ED6718">
              <w:rPr>
                <w:b/>
              </w:rPr>
              <w:t>6</w:t>
            </w:r>
          </w:p>
        </w:tc>
      </w:tr>
      <w:tr w:rsidR="00FF3CEC" w:rsidRPr="001015EF"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841EA" w:rsidRPr="001015EF" w:rsidRDefault="002841EA" w:rsidP="000A7C58">
            <w:pPr>
              <w:spacing w:before="70" w:after="70"/>
              <w:rPr>
                <w:bCs/>
                <w:color w:val="000000"/>
              </w:rPr>
            </w:pPr>
            <w:r w:rsidRPr="001015EF">
              <w:rPr>
                <w:bCs/>
                <w:color w:val="000000"/>
              </w:rPr>
              <w:t>Total</w:t>
            </w:r>
          </w:p>
        </w:tc>
        <w:tc>
          <w:tcPr>
            <w:tcW w:w="971" w:type="dxa"/>
          </w:tcPr>
          <w:p w:rsidR="002841EA" w:rsidRPr="00ED6718"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ED6718">
              <w:rPr>
                <w:b/>
              </w:rPr>
              <w:t>54</w:t>
            </w:r>
          </w:p>
        </w:tc>
        <w:tc>
          <w:tcPr>
            <w:tcW w:w="972"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1015EF">
              <w:rPr>
                <w:b/>
              </w:rPr>
              <w:t>153</w:t>
            </w:r>
          </w:p>
        </w:tc>
        <w:tc>
          <w:tcPr>
            <w:tcW w:w="971"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1015EF">
              <w:rPr>
                <w:b/>
              </w:rPr>
              <w:t>230</w:t>
            </w:r>
          </w:p>
        </w:tc>
        <w:tc>
          <w:tcPr>
            <w:tcW w:w="972"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1015EF">
              <w:rPr>
                <w:b/>
              </w:rPr>
              <w:t>130</w:t>
            </w:r>
          </w:p>
        </w:tc>
        <w:tc>
          <w:tcPr>
            <w:tcW w:w="971"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2"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1"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2"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1"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2"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1" w:type="dxa"/>
          </w:tcPr>
          <w:p w:rsidR="002841EA" w:rsidRPr="001015EF" w:rsidRDefault="002841EA" w:rsidP="000A7C58">
            <w:pPr>
              <w:spacing w:before="70" w:after="70"/>
              <w:jc w:val="right"/>
              <w:cnfStyle w:val="000000100000" w:firstRow="0" w:lastRow="0" w:firstColumn="0" w:lastColumn="0" w:oddVBand="0" w:evenVBand="0" w:oddHBand="1" w:evenHBand="0" w:firstRowFirstColumn="0" w:firstRowLastColumn="0" w:lastRowFirstColumn="0" w:lastRowLastColumn="0"/>
              <w:rPr>
                <w:b/>
              </w:rPr>
            </w:pPr>
            <w:r>
              <w:rPr>
                <w:b/>
              </w:rPr>
              <w:t>-</w:t>
            </w:r>
          </w:p>
        </w:tc>
        <w:tc>
          <w:tcPr>
            <w:tcW w:w="972" w:type="dxa"/>
          </w:tcPr>
          <w:p w:rsidR="002841EA" w:rsidRPr="00EC49D4" w:rsidRDefault="000A7C58" w:rsidP="00290579">
            <w:pPr>
              <w:pStyle w:val="PBOtext"/>
              <w:numPr>
                <w:ilvl w:val="0"/>
                <w:numId w:val="0"/>
              </w:numPr>
              <w:spacing w:before="70" w:after="70"/>
              <w:ind w:left="567" w:hanging="567"/>
              <w:jc w:val="right"/>
              <w:cnfStyle w:val="000000100000" w:firstRow="0" w:lastRow="0" w:firstColumn="0" w:lastColumn="0" w:oddVBand="0" w:evenVBand="0" w:oddHBand="1" w:evenHBand="0" w:firstRowFirstColumn="0" w:firstRowLastColumn="0" w:lastRowFirstColumn="0" w:lastRowLastColumn="0"/>
              <w:rPr>
                <w:b/>
                <w:sz w:val="18"/>
              </w:rPr>
            </w:pPr>
            <w:r>
              <w:rPr>
                <w:b/>
                <w:sz w:val="18"/>
              </w:rPr>
              <w:t>567</w:t>
            </w:r>
          </w:p>
        </w:tc>
      </w:tr>
    </w:tbl>
    <w:p w:rsidR="00EC49D4" w:rsidRDefault="002841EA" w:rsidP="00290579">
      <w:pPr>
        <w:keepLines/>
        <w:numPr>
          <w:ilvl w:val="0"/>
          <w:numId w:val="23"/>
        </w:numPr>
        <w:spacing w:before="60" w:after="0"/>
        <w:ind w:left="567" w:hanging="567"/>
        <w:rPr>
          <w:rFonts w:eastAsia="Times New Roman"/>
          <w:sz w:val="18"/>
          <w:szCs w:val="18"/>
        </w:rPr>
      </w:pPr>
      <w:r w:rsidRPr="001E62C6">
        <w:rPr>
          <w:rFonts w:eastAsia="Times New Roman"/>
          <w:sz w:val="18"/>
          <w:szCs w:val="18"/>
        </w:rPr>
        <w:t>The impact</w:t>
      </w:r>
      <w:r>
        <w:rPr>
          <w:rFonts w:eastAsia="Times New Roman"/>
          <w:sz w:val="18"/>
          <w:szCs w:val="18"/>
        </w:rPr>
        <w:t>s are</w:t>
      </w:r>
      <w:r w:rsidRPr="001E62C6">
        <w:rPr>
          <w:rFonts w:eastAsia="Times New Roman"/>
          <w:sz w:val="18"/>
          <w:szCs w:val="18"/>
        </w:rPr>
        <w:t xml:space="preserve"> on</w:t>
      </w:r>
      <w:r>
        <w:rPr>
          <w:rFonts w:eastAsia="Times New Roman"/>
          <w:sz w:val="18"/>
          <w:szCs w:val="18"/>
        </w:rPr>
        <w:t xml:space="preserve"> a</w:t>
      </w:r>
      <w:r w:rsidRPr="001E62C6">
        <w:rPr>
          <w:rFonts w:eastAsia="Times New Roman"/>
          <w:sz w:val="18"/>
          <w:szCs w:val="18"/>
        </w:rPr>
        <w:t xml:space="preserve"> </w:t>
      </w:r>
      <w:r>
        <w:rPr>
          <w:rFonts w:eastAsia="Times New Roman"/>
          <w:sz w:val="18"/>
          <w:szCs w:val="18"/>
        </w:rPr>
        <w:t>fiscal balance basis.</w:t>
      </w:r>
    </w:p>
    <w:p w:rsidR="0012793D" w:rsidRPr="0012793D" w:rsidRDefault="0012793D" w:rsidP="00290579">
      <w:pPr>
        <w:keepLines/>
        <w:numPr>
          <w:ilvl w:val="0"/>
          <w:numId w:val="23"/>
        </w:numPr>
        <w:spacing w:before="60" w:after="0"/>
        <w:ind w:left="567" w:hanging="567"/>
        <w:rPr>
          <w:rFonts w:eastAsia="Times New Roman"/>
          <w:sz w:val="18"/>
          <w:szCs w:val="18"/>
        </w:rPr>
      </w:pPr>
      <w:r w:rsidRPr="0012793D">
        <w:rPr>
          <w:rFonts w:eastAsia="Times New Roman"/>
          <w:sz w:val="18"/>
          <w:szCs w:val="18"/>
        </w:rPr>
        <w:t>Figures presented are based on economic and fiscal parameters as at the 2015</w:t>
      </w:r>
      <w:r w:rsidR="00FF3CEC">
        <w:rPr>
          <w:rFonts w:eastAsia="Times New Roman"/>
          <w:sz w:val="18"/>
          <w:szCs w:val="18"/>
        </w:rPr>
        <w:t>–</w:t>
      </w:r>
      <w:r w:rsidRPr="0012793D">
        <w:rPr>
          <w:rFonts w:eastAsia="Times New Roman"/>
          <w:sz w:val="18"/>
          <w:szCs w:val="18"/>
        </w:rPr>
        <w:t>16 MYEFO.</w:t>
      </w:r>
    </w:p>
    <w:p w:rsidR="002841EA" w:rsidRDefault="002841EA" w:rsidP="00290579">
      <w:pPr>
        <w:keepLines/>
        <w:numPr>
          <w:ilvl w:val="0"/>
          <w:numId w:val="23"/>
        </w:numPr>
        <w:spacing w:before="60" w:after="0"/>
        <w:ind w:left="567" w:hanging="567"/>
        <w:rPr>
          <w:rFonts w:eastAsia="Times New Roman"/>
          <w:sz w:val="18"/>
          <w:szCs w:val="18"/>
        </w:rPr>
      </w:pPr>
      <w:r>
        <w:rPr>
          <w:rFonts w:eastAsia="Times New Roman"/>
          <w:sz w:val="18"/>
          <w:szCs w:val="18"/>
        </w:rPr>
        <w:t>Amounts may not sum due to rounding.</w:t>
      </w:r>
    </w:p>
    <w:p w:rsidR="002841EA" w:rsidRPr="004C7EF0" w:rsidRDefault="0048532C" w:rsidP="004C7EF0">
      <w:pPr>
        <w:keepLines/>
        <w:numPr>
          <w:ilvl w:val="0"/>
          <w:numId w:val="23"/>
        </w:numPr>
        <w:spacing w:before="60" w:after="0"/>
        <w:ind w:left="567" w:hanging="567"/>
        <w:rPr>
          <w:rFonts w:eastAsia="Times New Roman"/>
          <w:sz w:val="18"/>
          <w:szCs w:val="18"/>
        </w:rPr>
      </w:pPr>
      <w:r w:rsidRPr="0048532C">
        <w:rPr>
          <w:rFonts w:eastAsia="Times New Roman"/>
          <w:sz w:val="18"/>
          <w:szCs w:val="18"/>
        </w:rPr>
        <w:t>The aggregate financial implications and state breakdowns are considered to be of</w:t>
      </w:r>
      <w:r w:rsidRPr="00290579">
        <w:rPr>
          <w:rFonts w:eastAsia="Times New Roman"/>
          <w:sz w:val="18"/>
          <w:szCs w:val="18"/>
        </w:rPr>
        <w:t xml:space="preserve"> high</w:t>
      </w:r>
      <w:r w:rsidRPr="0048532C">
        <w:rPr>
          <w:rFonts w:eastAsia="Times New Roman"/>
          <w:sz w:val="18"/>
          <w:szCs w:val="18"/>
        </w:rPr>
        <w:t xml:space="preserve"> reliability as the amounts are as presented in the 2014–15 Budget and the funding that would be provided under the relevant National Partnerships were fixed amounts and not dependent on population or price factors.</w:t>
      </w:r>
    </w:p>
    <w:p w:rsidR="002841EA" w:rsidRDefault="002841EA" w:rsidP="002B5835">
      <w:pPr>
        <w:pStyle w:val="PBOheading1"/>
        <w:sectPr w:rsidR="002841EA" w:rsidSect="002841EA">
          <w:footerReference w:type="default" r:id="rId17"/>
          <w:footerReference w:type="first" r:id="rId18"/>
          <w:pgSz w:w="16840" w:h="11900" w:orient="landscape"/>
          <w:pgMar w:top="1440" w:right="1440" w:bottom="1440" w:left="1440" w:header="709" w:footer="709" w:gutter="0"/>
          <w:cols w:space="708"/>
          <w:titlePg/>
          <w:docGrid w:linePitch="326"/>
        </w:sectPr>
      </w:pPr>
    </w:p>
    <w:p w:rsidR="003E341C" w:rsidRPr="0025670A" w:rsidRDefault="003E341C" w:rsidP="008F6734">
      <w:pPr>
        <w:pStyle w:val="PBOheading1"/>
        <w:spacing w:before="0"/>
      </w:pPr>
      <w:bookmarkStart w:id="8" w:name="_Toc442264436"/>
      <w:r w:rsidRPr="0025670A">
        <w:lastRenderedPageBreak/>
        <w:t>Data Sources</w:t>
      </w:r>
      <w:bookmarkEnd w:id="8"/>
    </w:p>
    <w:p w:rsidR="00F8013E" w:rsidRPr="007804DA" w:rsidRDefault="00F8013E" w:rsidP="00290579">
      <w:pPr>
        <w:pStyle w:val="PBOtext"/>
        <w:numPr>
          <w:ilvl w:val="0"/>
          <w:numId w:val="24"/>
        </w:numPr>
        <w:ind w:left="567" w:hanging="567"/>
      </w:pPr>
      <w:r w:rsidRPr="007804DA">
        <w:t>The Department of Finance and the Treasury provided 2015</w:t>
      </w:r>
      <w:r w:rsidR="00174E5B" w:rsidRPr="007804DA">
        <w:t>–</w:t>
      </w:r>
      <w:r w:rsidRPr="007804DA">
        <w:t>16 MYEFO parameter and population projections.</w:t>
      </w:r>
    </w:p>
    <w:p w:rsidR="001A54A2" w:rsidRPr="007804DA" w:rsidRDefault="00F8013E" w:rsidP="00F85192">
      <w:pPr>
        <w:pStyle w:val="PBOtext"/>
      </w:pPr>
      <w:r w:rsidRPr="007804DA">
        <w:t>Commonwealth Budget, MYEFO and Final Budget Outcome</w:t>
      </w:r>
      <w:r w:rsidR="001A54A2" w:rsidRPr="007804DA">
        <w:t xml:space="preserve"> documents.</w:t>
      </w:r>
    </w:p>
    <w:p w:rsidR="00484988" w:rsidRDefault="00484988" w:rsidP="00F85192">
      <w:pPr>
        <w:pStyle w:val="PBOtext"/>
      </w:pPr>
      <w:r w:rsidRPr="007804DA">
        <w:t>Council of Australian Governments National Health Reform Agreement, February 2011:</w:t>
      </w:r>
      <w:r>
        <w:t xml:space="preserve"> </w:t>
      </w:r>
      <w:hyperlink r:id="rId19" w:history="1">
        <w:r w:rsidRPr="00AB2BC2">
          <w:rPr>
            <w:rStyle w:val="Hyperlink"/>
          </w:rPr>
          <w:t>http://www.federalfinancialrelations.gov.au/content/npa/health_reform/national-agreement.pdf</w:t>
        </w:r>
      </w:hyperlink>
    </w:p>
    <w:p w:rsidR="00484988" w:rsidRDefault="00484988" w:rsidP="00F85192">
      <w:pPr>
        <w:pStyle w:val="PBOtext"/>
      </w:pPr>
      <w:r>
        <w:t xml:space="preserve">Intergovernmental Agreements on Federal Financial Relations, Schedule D, March 2009: </w:t>
      </w:r>
      <w:hyperlink r:id="rId20" w:history="1">
        <w:r w:rsidRPr="00AB2BC2">
          <w:rPr>
            <w:rStyle w:val="Hyperlink"/>
          </w:rPr>
          <w:t>http://www.federalfinancialrelations.gov.au/content/inter_agreement_and_schedules/superseded/Schedule_D_March_09.pdf</w:t>
        </w:r>
      </w:hyperlink>
    </w:p>
    <w:p w:rsidR="00D37CE4" w:rsidRPr="00FD363C" w:rsidRDefault="00484988" w:rsidP="00F85192">
      <w:pPr>
        <w:pStyle w:val="PBOtext"/>
      </w:pPr>
      <w:r w:rsidRPr="00585049">
        <w:t>Australian Institute of Health and Welfare</w:t>
      </w:r>
      <w:r w:rsidR="00CA4134">
        <w:t>—</w:t>
      </w:r>
      <w:r w:rsidRPr="00585049">
        <w:t xml:space="preserve">Health Expenditure Australia </w:t>
      </w:r>
      <w:r w:rsidR="00585049" w:rsidRPr="00585049">
        <w:t xml:space="preserve">annual </w:t>
      </w:r>
      <w:r w:rsidRPr="00585049">
        <w:t>publication</w:t>
      </w:r>
      <w:r w:rsidR="00585049" w:rsidRPr="00585049">
        <w:t>s.</w:t>
      </w:r>
    </w:p>
    <w:p w:rsidR="00D76E5A" w:rsidRPr="00B1442A" w:rsidRDefault="00D76E5A" w:rsidP="00290579">
      <w:pPr>
        <w:pStyle w:val="PBOtext"/>
        <w:rPr>
          <w:szCs w:val="22"/>
        </w:rPr>
        <w:sectPr w:rsidR="00D76E5A" w:rsidRPr="00B1442A" w:rsidSect="002841EA">
          <w:footerReference w:type="first" r:id="rId21"/>
          <w:pgSz w:w="11900" w:h="16840"/>
          <w:pgMar w:top="1440" w:right="1440" w:bottom="1440" w:left="1440" w:header="709" w:footer="709" w:gutter="0"/>
          <w:cols w:space="708"/>
          <w:titlePg/>
          <w:docGrid w:linePitch="326"/>
        </w:sectPr>
      </w:pPr>
    </w:p>
    <w:p w:rsidR="000643BA" w:rsidRPr="00F06E7D" w:rsidRDefault="00053250" w:rsidP="00F06E7D">
      <w:pPr>
        <w:pStyle w:val="PBOheading1"/>
        <w:spacing w:before="0"/>
      </w:pPr>
      <w:bookmarkStart w:id="9" w:name="_Toc442264437"/>
      <w:bookmarkStart w:id="10" w:name="AttachmentA"/>
      <w:r w:rsidRPr="00F06E7D">
        <w:lastRenderedPageBreak/>
        <w:t>Attachment A</w:t>
      </w:r>
      <w:bookmarkEnd w:id="9"/>
    </w:p>
    <w:p w:rsidR="00915072" w:rsidRDefault="00FF3A49" w:rsidP="00915072">
      <w:bookmarkStart w:id="11" w:name="_Toc440886686"/>
      <w:bookmarkStart w:id="12" w:name="_Toc440955928"/>
      <w:r w:rsidRPr="00D21ACB">
        <w:rPr>
          <w:noProof/>
          <w:color w:val="FFFFFF" w:themeColor="background1"/>
        </w:rPr>
        <w:drawing>
          <wp:anchor distT="0" distB="0" distL="114300" distR="114300" simplePos="0" relativeHeight="251658240" behindDoc="0" locked="0" layoutInCell="1" allowOverlap="1" wp14:anchorId="5F585D5C" wp14:editId="5C0281FD">
            <wp:simplePos x="0" y="0"/>
            <wp:positionH relativeFrom="column">
              <wp:posOffset>-977</wp:posOffset>
            </wp:positionH>
            <wp:positionV relativeFrom="paragraph">
              <wp:posOffset>19685</wp:posOffset>
            </wp:positionV>
            <wp:extent cx="5414645" cy="8229600"/>
            <wp:effectExtent l="0" t="0" r="0" b="0"/>
            <wp:wrapNone/>
            <wp:docPr id="4" name="Picture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14645" cy="822960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r w:rsidR="00915072" w:rsidRPr="00D21ACB">
        <w:rPr>
          <w:color w:val="FFFFFF" w:themeColor="background1"/>
        </w:rPr>
        <w:t>The Senate</w:t>
      </w:r>
    </w:p>
    <w:p w:rsidR="00915072" w:rsidRPr="00D21ACB" w:rsidRDefault="00915072" w:rsidP="00915072">
      <w:pPr>
        <w:rPr>
          <w:color w:val="FFFFFF" w:themeColor="background1"/>
        </w:rPr>
      </w:pPr>
      <w:r w:rsidRPr="00D21ACB">
        <w:rPr>
          <w:color w:val="FFFFFF" w:themeColor="background1"/>
        </w:rPr>
        <w:t>Select Committee on Health</w:t>
      </w:r>
    </w:p>
    <w:p w:rsidR="00915072" w:rsidRPr="00D21ACB" w:rsidRDefault="00915072" w:rsidP="00FD35D0">
      <w:pPr>
        <w:spacing w:before="240"/>
        <w:rPr>
          <w:color w:val="FFFFFF" w:themeColor="background1"/>
        </w:rPr>
      </w:pPr>
      <w:r w:rsidRPr="00D21ACB">
        <w:rPr>
          <w:color w:val="FFFFFF" w:themeColor="background1"/>
        </w:rPr>
        <w:t>16 December 2015</w:t>
      </w:r>
    </w:p>
    <w:p w:rsidR="00915072" w:rsidRPr="00D21ACB" w:rsidRDefault="00915072" w:rsidP="00FD35D0">
      <w:pPr>
        <w:spacing w:before="240" w:after="0"/>
        <w:rPr>
          <w:color w:val="FFFFFF" w:themeColor="background1"/>
        </w:rPr>
      </w:pPr>
      <w:r w:rsidRPr="00D21ACB">
        <w:rPr>
          <w:color w:val="FFFFFF" w:themeColor="background1"/>
        </w:rPr>
        <w:t>Mrs Phil Bowen PSM FCPA</w:t>
      </w:r>
    </w:p>
    <w:p w:rsidR="00915072" w:rsidRPr="00D21ACB" w:rsidRDefault="00915072" w:rsidP="00FD35D0">
      <w:pPr>
        <w:spacing w:before="0" w:after="0"/>
        <w:rPr>
          <w:color w:val="FFFFFF" w:themeColor="background1"/>
        </w:rPr>
      </w:pPr>
      <w:r w:rsidRPr="00D21ACB">
        <w:rPr>
          <w:color w:val="FFFFFF" w:themeColor="background1"/>
        </w:rPr>
        <w:t>Parliamentary Budget Officer</w:t>
      </w:r>
    </w:p>
    <w:p w:rsidR="00915072" w:rsidRPr="00D21ACB" w:rsidRDefault="00915072" w:rsidP="00FD35D0">
      <w:pPr>
        <w:spacing w:before="0" w:after="0"/>
        <w:rPr>
          <w:color w:val="FFFFFF" w:themeColor="background1"/>
        </w:rPr>
      </w:pPr>
      <w:r w:rsidRPr="00D21ACB">
        <w:rPr>
          <w:color w:val="FFFFFF" w:themeColor="background1"/>
        </w:rPr>
        <w:t>Parliamentary Budget Office</w:t>
      </w:r>
    </w:p>
    <w:p w:rsidR="00915072" w:rsidRPr="00D21ACB" w:rsidRDefault="00915072" w:rsidP="00FD35D0">
      <w:pPr>
        <w:spacing w:before="0"/>
        <w:rPr>
          <w:color w:val="FFFFFF" w:themeColor="background1"/>
        </w:rPr>
      </w:pPr>
      <w:r w:rsidRPr="00D21ACB">
        <w:rPr>
          <w:color w:val="FFFFFF" w:themeColor="background1"/>
        </w:rPr>
        <w:t xml:space="preserve">By email: </w:t>
      </w:r>
      <w:hyperlink r:id="rId23" w:history="1">
        <w:r w:rsidRPr="00D21ACB">
          <w:rPr>
            <w:rStyle w:val="Hyperlink"/>
            <w:color w:val="FFFFFF" w:themeColor="background1"/>
          </w:rPr>
          <w:t>pbo@pbo.gov.au</w:t>
        </w:r>
      </w:hyperlink>
    </w:p>
    <w:p w:rsidR="00915072" w:rsidRPr="00D21ACB" w:rsidRDefault="00915072" w:rsidP="00FD35D0">
      <w:pPr>
        <w:spacing w:before="240"/>
        <w:rPr>
          <w:color w:val="FFFFFF" w:themeColor="background1"/>
        </w:rPr>
      </w:pPr>
      <w:r w:rsidRPr="00D21ACB">
        <w:rPr>
          <w:color w:val="FFFFFF" w:themeColor="background1"/>
        </w:rPr>
        <w:t>Dear Mr Bowen</w:t>
      </w:r>
    </w:p>
    <w:p w:rsidR="00915072" w:rsidRPr="00D21ACB" w:rsidRDefault="00915072" w:rsidP="00915072">
      <w:pPr>
        <w:rPr>
          <w:color w:val="FFFFFF" w:themeColor="background1"/>
        </w:rPr>
      </w:pPr>
      <w:r w:rsidRPr="00D21ACB">
        <w:rPr>
          <w:color w:val="FFFFFF" w:themeColor="background1"/>
        </w:rPr>
        <w:t>Request for submission – Senate Select Committee on Health</w:t>
      </w:r>
    </w:p>
    <w:p w:rsidR="00915072" w:rsidRPr="00D21ACB" w:rsidRDefault="00915072" w:rsidP="00915072">
      <w:pPr>
        <w:rPr>
          <w:color w:val="FFFFFF" w:themeColor="background1"/>
        </w:rPr>
      </w:pPr>
      <w:r w:rsidRPr="00D21ACB">
        <w:rPr>
          <w:color w:val="FFFFFF" w:themeColor="background1"/>
        </w:rPr>
        <w:t>I am writing on behalf of the Senate Select Committee on Health. The committee has agreed to request from the Parliamentary Budget Office a submission in relation to Commonwealth funding of public hospitals.</w:t>
      </w:r>
    </w:p>
    <w:p w:rsidR="00915072" w:rsidRPr="00D21ACB" w:rsidRDefault="00915072" w:rsidP="00915072">
      <w:pPr>
        <w:rPr>
          <w:color w:val="FFFFFF" w:themeColor="background1"/>
        </w:rPr>
      </w:pPr>
      <w:r w:rsidRPr="00D21ACB">
        <w:rPr>
          <w:color w:val="FFFFFF" w:themeColor="background1"/>
        </w:rPr>
        <w:t>The committee has recently held public hearings on this topic in Melbourne, Cairns, Rockhampton, and Sydney.</w:t>
      </w:r>
      <w:r w:rsidR="00FD35D0" w:rsidRPr="00D21ACB">
        <w:rPr>
          <w:color w:val="FFFFFF" w:themeColor="background1"/>
          <w:vertAlign w:val="superscript"/>
        </w:rPr>
        <w:t>1</w:t>
      </w:r>
      <w:r w:rsidRPr="00D21ACB">
        <w:rPr>
          <w:color w:val="FFFFFF" w:themeColor="background1"/>
        </w:rPr>
        <w:t xml:space="preserve"> Further to the evidence received during these hearings, the secretariat has been researching funding figures for states and territories, particularly for the period 2017–18 to 2024–25 during which Commonwealth funding will change from activity-based funding to block funding indexed to CPI and population growth. There does not appear to be a single comprehensive source of this information. The secretariat’s broad findings are at Attachment A.</w:t>
      </w:r>
    </w:p>
    <w:p w:rsidR="00915072" w:rsidRPr="00D21ACB" w:rsidRDefault="00915072" w:rsidP="00915072">
      <w:pPr>
        <w:rPr>
          <w:color w:val="FFFFFF" w:themeColor="background1"/>
        </w:rPr>
      </w:pPr>
      <w:r w:rsidRPr="00D21ACB">
        <w:rPr>
          <w:color w:val="FFFFFF" w:themeColor="background1"/>
        </w:rPr>
        <w:t>Drawing information from different sources may create difficulties, including the possibility that groups may be calculating the change in Commonwealth funding differently. In order to obtain reliable information, the committee has agreed to request the following information from the Parliamentary Budget Office:</w:t>
      </w:r>
    </w:p>
    <w:p w:rsidR="00915072" w:rsidRPr="00D21ACB" w:rsidRDefault="00915072" w:rsidP="00EC49D4">
      <w:pPr>
        <w:pStyle w:val="ListParagraph"/>
        <w:numPr>
          <w:ilvl w:val="0"/>
          <w:numId w:val="14"/>
        </w:numPr>
        <w:spacing w:before="0" w:after="200" w:line="276" w:lineRule="auto"/>
        <w:ind w:left="284" w:hanging="284"/>
        <w:rPr>
          <w:color w:val="FFFFFF" w:themeColor="background1"/>
        </w:rPr>
      </w:pPr>
      <w:r w:rsidRPr="00D21ACB">
        <w:rPr>
          <w:color w:val="FFFFFF" w:themeColor="background1"/>
        </w:rPr>
        <w:t>The reductions in Commonwealth hospital funding for 2017–18 to 2024–25 as a result of funding changing to indexation by CPI and population growth (by state) as part of the cancellation of the National Health Reform Agreement (NHRA)</w:t>
      </w:r>
    </w:p>
    <w:p w:rsidR="00915072" w:rsidRPr="00D21ACB" w:rsidRDefault="00915072" w:rsidP="00EC49D4">
      <w:pPr>
        <w:pStyle w:val="ListParagraph"/>
        <w:numPr>
          <w:ilvl w:val="0"/>
          <w:numId w:val="14"/>
        </w:numPr>
        <w:spacing w:before="0" w:after="200" w:line="276" w:lineRule="auto"/>
        <w:ind w:left="284" w:hanging="284"/>
        <w:rPr>
          <w:color w:val="FFFFFF" w:themeColor="background1"/>
        </w:rPr>
      </w:pPr>
      <w:r w:rsidRPr="00D21ACB">
        <w:rPr>
          <w:color w:val="FFFFFF" w:themeColor="background1"/>
        </w:rPr>
        <w:t>The reductions in Commonwealth hospital funding from 2014–15 to 2017-18 caused by the removal of funding guarantees under the NHRA (by state)</w:t>
      </w:r>
    </w:p>
    <w:p w:rsidR="00915072" w:rsidRPr="00D21ACB" w:rsidRDefault="00915072" w:rsidP="00EC49D4">
      <w:pPr>
        <w:pStyle w:val="ListParagraph"/>
        <w:numPr>
          <w:ilvl w:val="0"/>
          <w:numId w:val="14"/>
        </w:numPr>
        <w:spacing w:before="0" w:after="200" w:line="276" w:lineRule="auto"/>
        <w:ind w:left="284" w:hanging="284"/>
        <w:rPr>
          <w:color w:val="FFFFFF" w:themeColor="background1"/>
        </w:rPr>
      </w:pPr>
      <w:r w:rsidRPr="00D21ACB">
        <w:rPr>
          <w:color w:val="FFFFFF" w:themeColor="background1"/>
        </w:rPr>
        <w:t>The reductions in overall Commonwealth health funding between 2014–15 and 2024–25 caused by the cancellation of health-related National Partnership Agreements (by state).</w:t>
      </w:r>
    </w:p>
    <w:p w:rsidR="00915072" w:rsidRPr="00D21ACB" w:rsidRDefault="00915072" w:rsidP="00915072">
      <w:pPr>
        <w:rPr>
          <w:color w:val="FFFFFF" w:themeColor="background1"/>
        </w:rPr>
      </w:pPr>
      <w:r w:rsidRPr="00D21ACB">
        <w:rPr>
          <w:color w:val="FFFFFF" w:themeColor="background1"/>
        </w:rPr>
        <w:t>Please contact me on 02 6277 3598 if you have any queries regarding this matter.</w:t>
      </w:r>
    </w:p>
    <w:p w:rsidR="00915072" w:rsidRPr="00D21ACB" w:rsidRDefault="00915072" w:rsidP="00915072">
      <w:pPr>
        <w:rPr>
          <w:color w:val="FFFFFF" w:themeColor="background1"/>
        </w:rPr>
      </w:pPr>
      <w:r w:rsidRPr="00D21ACB">
        <w:rPr>
          <w:color w:val="FFFFFF" w:themeColor="background1"/>
        </w:rPr>
        <w:t>Yours sincerely</w:t>
      </w:r>
    </w:p>
    <w:p w:rsidR="00915072" w:rsidRPr="00D21ACB" w:rsidRDefault="00915072" w:rsidP="00915072">
      <w:pPr>
        <w:spacing w:after="0"/>
        <w:rPr>
          <w:color w:val="FFFFFF" w:themeColor="background1"/>
        </w:rPr>
      </w:pPr>
      <w:r w:rsidRPr="00D21ACB">
        <w:rPr>
          <w:color w:val="FFFFFF" w:themeColor="background1"/>
        </w:rPr>
        <w:t xml:space="preserve">Stephen </w:t>
      </w:r>
      <w:proofErr w:type="spellStart"/>
      <w:r w:rsidRPr="00D21ACB">
        <w:rPr>
          <w:color w:val="FFFFFF" w:themeColor="background1"/>
        </w:rPr>
        <w:t>Palethorpe</w:t>
      </w:r>
      <w:proofErr w:type="spellEnd"/>
    </w:p>
    <w:p w:rsidR="00915072" w:rsidRPr="00D21ACB" w:rsidRDefault="00915072" w:rsidP="00FD35D0">
      <w:pPr>
        <w:spacing w:before="0" w:after="360"/>
        <w:rPr>
          <w:color w:val="FFFFFF" w:themeColor="background1"/>
        </w:rPr>
      </w:pPr>
      <w:r w:rsidRPr="00D21ACB">
        <w:rPr>
          <w:color w:val="FFFFFF" w:themeColor="background1"/>
        </w:rPr>
        <w:t>Committee Secretary</w:t>
      </w:r>
    </w:p>
    <w:p w:rsidR="00FD35D0" w:rsidRPr="00D21ACB" w:rsidRDefault="00FD35D0" w:rsidP="00D21ACB">
      <w:pPr>
        <w:pStyle w:val="FootnoteText"/>
        <w:ind w:left="284" w:hanging="284"/>
        <w:rPr>
          <w:color w:val="FFFFFF" w:themeColor="background1"/>
          <w:sz w:val="16"/>
          <w:szCs w:val="16"/>
          <w:lang w:eastAsia="en-US"/>
        </w:rPr>
      </w:pPr>
      <w:r w:rsidRPr="00D21ACB">
        <w:rPr>
          <w:color w:val="FFFFFF" w:themeColor="background1"/>
          <w:sz w:val="16"/>
          <w:szCs w:val="16"/>
          <w:vertAlign w:val="superscript"/>
        </w:rPr>
        <w:t>1</w:t>
      </w:r>
      <w:r w:rsidRPr="00D21ACB">
        <w:rPr>
          <w:color w:val="FFFFFF" w:themeColor="background1"/>
          <w:sz w:val="16"/>
          <w:szCs w:val="16"/>
        </w:rPr>
        <w:tab/>
        <w:t xml:space="preserve">For transcripts from the Committee’s </w:t>
      </w:r>
      <w:r w:rsidR="00D21ACB" w:rsidRPr="00D21ACB">
        <w:rPr>
          <w:color w:val="FFFFFF" w:themeColor="background1"/>
          <w:sz w:val="16"/>
          <w:szCs w:val="16"/>
        </w:rPr>
        <w:t>h</w:t>
      </w:r>
      <w:r w:rsidRPr="00D21ACB">
        <w:rPr>
          <w:color w:val="FFFFFF" w:themeColor="background1"/>
          <w:sz w:val="16"/>
          <w:szCs w:val="16"/>
        </w:rPr>
        <w:t xml:space="preserve">earings between 4 and 27 November, see the committee’s website: </w:t>
      </w:r>
      <w:hyperlink r:id="rId24" w:history="1">
        <w:r w:rsidR="00D21ACB" w:rsidRPr="00D21ACB">
          <w:rPr>
            <w:rStyle w:val="Hyperlink"/>
            <w:color w:val="FFFFFF" w:themeColor="background1"/>
            <w:sz w:val="16"/>
            <w:szCs w:val="16"/>
          </w:rPr>
          <w:t>www.aph.gov.au/Parliamentary_Business/Committees/Senate/Health/Health/Public_Hearings</w:t>
        </w:r>
      </w:hyperlink>
    </w:p>
    <w:p w:rsidR="00CF3CA7" w:rsidRPr="00D21ACB" w:rsidRDefault="00CF3CA7" w:rsidP="00D21ACB">
      <w:pPr>
        <w:spacing w:before="240" w:after="0"/>
        <w:rPr>
          <w:color w:val="FFFFFF" w:themeColor="background1"/>
          <w:sz w:val="16"/>
          <w:szCs w:val="16"/>
        </w:rPr>
      </w:pPr>
      <w:r w:rsidRPr="00D21ACB">
        <w:rPr>
          <w:color w:val="FFFFFF" w:themeColor="background1"/>
          <w:sz w:val="16"/>
          <w:szCs w:val="16"/>
        </w:rPr>
        <w:t xml:space="preserve">PO BOX 6100, Parliament House, Canberra ACT </w:t>
      </w:r>
      <w:proofErr w:type="gramStart"/>
      <w:r w:rsidRPr="00D21ACB">
        <w:rPr>
          <w:color w:val="FFFFFF" w:themeColor="background1"/>
          <w:sz w:val="16"/>
          <w:szCs w:val="16"/>
        </w:rPr>
        <w:t>2600  Tel</w:t>
      </w:r>
      <w:proofErr w:type="gramEnd"/>
      <w:r w:rsidRPr="00D21ACB">
        <w:rPr>
          <w:color w:val="FFFFFF" w:themeColor="background1"/>
          <w:sz w:val="16"/>
          <w:szCs w:val="16"/>
        </w:rPr>
        <w:t>: (02) 6277 3419  Fax: (02) 6277 5809</w:t>
      </w:r>
    </w:p>
    <w:p w:rsidR="00CF3CA7" w:rsidRPr="00D21ACB" w:rsidRDefault="00CF3CA7" w:rsidP="00CF3CA7">
      <w:pPr>
        <w:spacing w:before="0"/>
        <w:rPr>
          <w:color w:val="FFFFFF" w:themeColor="background1"/>
          <w:sz w:val="16"/>
          <w:szCs w:val="16"/>
          <w:lang w:val="fr-FR"/>
        </w:rPr>
      </w:pPr>
      <w:r w:rsidRPr="00D21ACB">
        <w:rPr>
          <w:color w:val="FFFFFF" w:themeColor="background1"/>
          <w:sz w:val="16"/>
          <w:szCs w:val="16"/>
          <w:lang w:val="fr-FR"/>
        </w:rPr>
        <w:t xml:space="preserve">Email: </w:t>
      </w:r>
      <w:hyperlink r:id="rId25" w:history="1">
        <w:r w:rsidRPr="00D21ACB">
          <w:rPr>
            <w:rStyle w:val="Hyperlink"/>
            <w:color w:val="FFFFFF" w:themeColor="background1"/>
            <w:sz w:val="16"/>
            <w:szCs w:val="16"/>
            <w:lang w:val="fr-FR"/>
          </w:rPr>
          <w:t>health.sen@aph.gov.au</w:t>
        </w:r>
      </w:hyperlink>
      <w:r w:rsidRPr="00D21ACB">
        <w:rPr>
          <w:color w:val="FFFFFF" w:themeColor="background1"/>
          <w:sz w:val="16"/>
          <w:szCs w:val="16"/>
          <w:lang w:val="fr-FR"/>
        </w:rPr>
        <w:t xml:space="preserve">  Internet: www.aph.gov.au/senate</w:t>
      </w:r>
    </w:p>
    <w:p w:rsidR="00A20D85" w:rsidRPr="00B1442A" w:rsidRDefault="000643BA" w:rsidP="00C15F8D">
      <w:pPr>
        <w:pStyle w:val="PBOtext"/>
        <w:numPr>
          <w:ilvl w:val="0"/>
          <w:numId w:val="0"/>
        </w:numPr>
        <w:sectPr w:rsidR="00A20D85" w:rsidRPr="00B1442A" w:rsidSect="002841EA">
          <w:footerReference w:type="default" r:id="rId26"/>
          <w:pgSz w:w="11900" w:h="16840"/>
          <w:pgMar w:top="1440" w:right="1440" w:bottom="1440" w:left="1440" w:header="709" w:footer="709" w:gutter="0"/>
          <w:cols w:space="708"/>
          <w:titlePg/>
          <w:docGrid w:linePitch="326"/>
        </w:sectPr>
      </w:pPr>
      <w:r>
        <w:rPr>
          <w:noProof/>
        </w:rPr>
        <w:lastRenderedPageBreak/>
        <w:drawing>
          <wp:inline distT="0" distB="0" distL="0" distR="0" wp14:anchorId="6741B281" wp14:editId="5E69F8C5">
            <wp:extent cx="5638800" cy="2209800"/>
            <wp:effectExtent l="0" t="0" r="0" b="0"/>
            <wp:docPr id="5" name="Picture 5"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38800" cy="2209800"/>
                    </a:xfrm>
                    <a:prstGeom prst="rect">
                      <a:avLst/>
                    </a:prstGeom>
                  </pic:spPr>
                </pic:pic>
              </a:graphicData>
            </a:graphic>
          </wp:inline>
        </w:drawing>
      </w:r>
    </w:p>
    <w:p w:rsidR="00FD35D0" w:rsidRPr="003351D0" w:rsidRDefault="00FD35D0" w:rsidP="00FF3A49">
      <w:pPr>
        <w:pStyle w:val="PBOheading2"/>
        <w:spacing w:before="120" w:after="114"/>
        <w:rPr>
          <w:rFonts w:ascii="Calibri" w:hAnsi="Calibri"/>
          <w:b/>
          <w:color w:val="FFFFFF" w:themeColor="background1"/>
          <w:sz w:val="20"/>
          <w:szCs w:val="20"/>
        </w:rPr>
      </w:pPr>
      <w:r w:rsidRPr="003351D0">
        <w:rPr>
          <w:rFonts w:ascii="Calibri" w:hAnsi="Calibri"/>
          <w:b/>
          <w:color w:val="FFFFFF" w:themeColor="background1"/>
          <w:sz w:val="20"/>
          <w:szCs w:val="20"/>
        </w:rPr>
        <w:lastRenderedPageBreak/>
        <w:t>Reduction in Commonwealth hospital funding</w:t>
      </w:r>
    </w:p>
    <w:p w:rsidR="00FD35D0" w:rsidRPr="003351D0" w:rsidRDefault="00FD35D0" w:rsidP="00FF3A49">
      <w:pPr>
        <w:pStyle w:val="PBOheading3"/>
        <w:spacing w:before="120" w:after="114"/>
        <w:rPr>
          <w:color w:val="FFFFFF" w:themeColor="background1"/>
          <w:sz w:val="20"/>
          <w:vertAlign w:val="superscript"/>
        </w:rPr>
      </w:pPr>
      <w:r w:rsidRPr="003351D0">
        <w:rPr>
          <w:color w:val="FFFFFF" w:themeColor="background1"/>
          <w:sz w:val="20"/>
        </w:rPr>
        <w:t>Estimates of reductions from 2017–18</w:t>
      </w:r>
      <w:r w:rsidRPr="003351D0">
        <w:rPr>
          <w:color w:val="FFFFFF" w:themeColor="background1"/>
          <w:sz w:val="20"/>
          <w:vertAlign w:val="superscript"/>
        </w:rPr>
        <w:t>1</w:t>
      </w:r>
    </w:p>
    <w:p w:rsidR="00FD35D0" w:rsidRPr="003351D0" w:rsidRDefault="00FD35D0" w:rsidP="00FD35D0">
      <w:pPr>
        <w:rPr>
          <w:color w:val="FFFFFF" w:themeColor="background1"/>
        </w:rPr>
      </w:pPr>
      <w:r w:rsidRPr="003351D0">
        <w:rPr>
          <w:color w:val="FFFFFF" w:themeColor="background1"/>
        </w:rPr>
        <w:t>Queensland: Funding cuts of up to $11.8 billion. In Far North Queensland means losing 42 doctors, 149 nurses, and 42 allied health professionals.</w:t>
      </w:r>
    </w:p>
    <w:p w:rsidR="00FD35D0" w:rsidRPr="003351D0" w:rsidRDefault="00FD35D0" w:rsidP="00FD35D0">
      <w:pPr>
        <w:rPr>
          <w:color w:val="FFFFFF" w:themeColor="background1"/>
        </w:rPr>
      </w:pPr>
      <w:r w:rsidRPr="003351D0">
        <w:rPr>
          <w:color w:val="FFFFFF" w:themeColor="background1"/>
        </w:rPr>
        <w:t>New South Wales: Funding cuts of up to $17.7 billion AMA NSW notes that the cuts are equivalent to the loss of ‘five and a half Westmead hospitals’.</w:t>
      </w:r>
    </w:p>
    <w:p w:rsidR="00FD35D0" w:rsidRPr="003351D0" w:rsidRDefault="00FD35D0" w:rsidP="00FD35D0">
      <w:pPr>
        <w:rPr>
          <w:color w:val="FFFFFF" w:themeColor="background1"/>
        </w:rPr>
      </w:pPr>
      <w:r w:rsidRPr="003351D0">
        <w:rPr>
          <w:color w:val="FFFFFF" w:themeColor="background1"/>
        </w:rPr>
        <w:t>Australian Capital Territory: Funding cuts of around $1.0 billion.</w:t>
      </w:r>
    </w:p>
    <w:p w:rsidR="00FD35D0" w:rsidRPr="003351D0" w:rsidRDefault="00FD35D0" w:rsidP="00FD35D0">
      <w:pPr>
        <w:rPr>
          <w:color w:val="FFFFFF" w:themeColor="background1"/>
        </w:rPr>
      </w:pPr>
      <w:r w:rsidRPr="003351D0">
        <w:rPr>
          <w:color w:val="FFFFFF" w:themeColor="background1"/>
        </w:rPr>
        <w:t>Tasmania: Funding cuts of around $1.0 billion.</w:t>
      </w:r>
    </w:p>
    <w:p w:rsidR="00FD35D0" w:rsidRPr="003351D0" w:rsidRDefault="00FD35D0" w:rsidP="00FD35D0">
      <w:pPr>
        <w:rPr>
          <w:color w:val="FFFFFF" w:themeColor="background1"/>
        </w:rPr>
      </w:pPr>
      <w:r w:rsidRPr="003351D0">
        <w:rPr>
          <w:color w:val="FFFFFF" w:themeColor="background1"/>
        </w:rPr>
        <w:t>Victoria: Funding cuts of up to $17.7 billion. These cuts are equivalent to losing two tertiary hospitals.</w:t>
      </w:r>
    </w:p>
    <w:p w:rsidR="00FD35D0" w:rsidRPr="003351D0" w:rsidRDefault="00FD35D0" w:rsidP="00FD35D0">
      <w:pPr>
        <w:rPr>
          <w:color w:val="FFFFFF" w:themeColor="background1"/>
        </w:rPr>
      </w:pPr>
      <w:r w:rsidRPr="003351D0">
        <w:rPr>
          <w:color w:val="FFFFFF" w:themeColor="background1"/>
        </w:rPr>
        <w:t>South Australia: Funding cuts of up to $3.5 billion. These cuts are equivalent to closing 600 hospital beds.</w:t>
      </w:r>
    </w:p>
    <w:p w:rsidR="00FD35D0" w:rsidRPr="003351D0" w:rsidRDefault="00FD35D0" w:rsidP="00FD35D0">
      <w:pPr>
        <w:rPr>
          <w:color w:val="FFFFFF" w:themeColor="background1"/>
        </w:rPr>
      </w:pPr>
      <w:r w:rsidRPr="003351D0">
        <w:rPr>
          <w:color w:val="FFFFFF" w:themeColor="background1"/>
        </w:rPr>
        <w:t>Western Australia: Funding cuts of up to $5.7 billion.</w:t>
      </w:r>
    </w:p>
    <w:p w:rsidR="00FD35D0" w:rsidRPr="003351D0" w:rsidRDefault="00FD35D0" w:rsidP="00FD35D0">
      <w:pPr>
        <w:rPr>
          <w:color w:val="FFFFFF" w:themeColor="background1"/>
        </w:rPr>
      </w:pPr>
      <w:r w:rsidRPr="003351D0">
        <w:rPr>
          <w:color w:val="FFFFFF" w:themeColor="background1"/>
        </w:rPr>
        <w:t xml:space="preserve">Northern Territory: Funding cuts of around $0.6 billion. </w:t>
      </w:r>
      <w:proofErr w:type="gramStart"/>
      <w:r w:rsidRPr="003351D0">
        <w:rPr>
          <w:color w:val="FFFFFF" w:themeColor="background1"/>
        </w:rPr>
        <w:t>Equivalent to 60 hospital beds or one Palmerston Hospital.</w:t>
      </w:r>
      <w:proofErr w:type="gramEnd"/>
    </w:p>
    <w:p w:rsidR="00FD35D0" w:rsidRPr="003351D0" w:rsidRDefault="00FF3A49" w:rsidP="003351D0">
      <w:pPr>
        <w:ind w:left="284" w:hanging="284"/>
        <w:rPr>
          <w:color w:val="FFFFFF" w:themeColor="background1"/>
        </w:rPr>
      </w:pPr>
      <w:r w:rsidRPr="003351D0">
        <w:rPr>
          <w:color w:val="FFFFFF" w:themeColor="background1"/>
          <w:vertAlign w:val="superscript"/>
        </w:rPr>
        <w:t>1</w:t>
      </w:r>
      <w:r w:rsidRPr="003351D0">
        <w:rPr>
          <w:color w:val="FFFFFF" w:themeColor="background1"/>
          <w:vertAlign w:val="superscript"/>
        </w:rPr>
        <w:tab/>
      </w:r>
      <w:r w:rsidRPr="003351D0">
        <w:rPr>
          <w:color w:val="FFFFFF" w:themeColor="background1"/>
        </w:rPr>
        <w:t xml:space="preserve">Information has been taken from a range of sources including evidence presented to the Senate Select Committee on Health, </w:t>
      </w:r>
      <w:r w:rsidRPr="003351D0">
        <w:rPr>
          <w:i/>
          <w:color w:val="FFFFFF" w:themeColor="background1"/>
        </w:rPr>
        <w:t>2015 Intergenerational Report</w:t>
      </w:r>
      <w:r w:rsidRPr="003351D0">
        <w:rPr>
          <w:color w:val="FFFFFF" w:themeColor="background1"/>
        </w:rPr>
        <w:t>, reports by the AMA, and media reports.</w:t>
      </w:r>
    </w:p>
    <w:p w:rsidR="000707F3" w:rsidRDefault="000707F3" w:rsidP="000707F3">
      <w:pPr>
        <w:spacing w:before="0" w:after="0"/>
        <w:jc w:val="center"/>
        <w:rPr>
          <w:rFonts w:ascii="Georgia" w:eastAsia="Times New Roman" w:hAnsi="Georgia"/>
          <w:bCs/>
          <w:color w:val="2D3B5F"/>
          <w:kern w:val="32"/>
          <w:sz w:val="36"/>
          <w:szCs w:val="24"/>
          <w:lang w:eastAsia="en-US"/>
        </w:rPr>
      </w:pPr>
      <w:r>
        <w:rPr>
          <w:noProof/>
        </w:rPr>
        <w:drawing>
          <wp:anchor distT="0" distB="0" distL="114300" distR="114300" simplePos="0" relativeHeight="251659264" behindDoc="0" locked="0" layoutInCell="1" allowOverlap="1" wp14:anchorId="22798BB7" wp14:editId="2BF19F68">
            <wp:simplePos x="0" y="0"/>
            <wp:positionH relativeFrom="column">
              <wp:posOffset>545566</wp:posOffset>
            </wp:positionH>
            <wp:positionV relativeFrom="paragraph">
              <wp:posOffset>-2698750</wp:posOffset>
            </wp:positionV>
            <wp:extent cx="7772400" cy="5476387"/>
            <wp:effectExtent l="0" t="0" r="0" b="0"/>
            <wp:wrapNone/>
            <wp:docPr id="9" name="Picture 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772400" cy="5476387"/>
                    </a:xfrm>
                    <a:prstGeom prst="rect">
                      <a:avLst/>
                    </a:prstGeom>
                  </pic:spPr>
                </pic:pic>
              </a:graphicData>
            </a:graphic>
            <wp14:sizeRelH relativeFrom="page">
              <wp14:pctWidth>0</wp14:pctWidth>
            </wp14:sizeRelH>
            <wp14:sizeRelV relativeFrom="page">
              <wp14:pctHeight>0</wp14:pctHeight>
            </wp14:sizeRelV>
          </wp:anchor>
        </w:drawing>
      </w:r>
      <w:r>
        <w:br w:type="page"/>
      </w:r>
    </w:p>
    <w:p w:rsidR="00613CB5" w:rsidRPr="005A5508" w:rsidRDefault="004009AD" w:rsidP="00613CB5">
      <w:pPr>
        <w:pStyle w:val="PBOheading2"/>
        <w:spacing w:before="120" w:after="114"/>
        <w:rPr>
          <w:rFonts w:ascii="Calibri" w:hAnsi="Calibri"/>
          <w:b/>
          <w:color w:val="FFFFFF" w:themeColor="background1"/>
          <w:sz w:val="20"/>
          <w:szCs w:val="20"/>
        </w:rPr>
      </w:pPr>
      <w:r w:rsidRPr="005A5508">
        <w:rPr>
          <w:noProof/>
          <w:color w:val="FFFFFF" w:themeColor="background1"/>
        </w:rPr>
        <w:lastRenderedPageBreak/>
        <w:drawing>
          <wp:anchor distT="0" distB="0" distL="114300" distR="114300" simplePos="0" relativeHeight="251660288" behindDoc="0" locked="0" layoutInCell="1" allowOverlap="1" wp14:anchorId="6F7D2DE6" wp14:editId="3056B795">
            <wp:simplePos x="0" y="0"/>
            <wp:positionH relativeFrom="column">
              <wp:posOffset>-85090</wp:posOffset>
            </wp:positionH>
            <wp:positionV relativeFrom="paragraph">
              <wp:posOffset>28380</wp:posOffset>
            </wp:positionV>
            <wp:extent cx="9115425" cy="4265930"/>
            <wp:effectExtent l="0" t="0" r="9525" b="1270"/>
            <wp:wrapNone/>
            <wp:docPr id="12" name="Picture 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15425" cy="4265930"/>
                    </a:xfrm>
                    <a:prstGeom prst="rect">
                      <a:avLst/>
                    </a:prstGeom>
                  </pic:spPr>
                </pic:pic>
              </a:graphicData>
            </a:graphic>
            <wp14:sizeRelH relativeFrom="page">
              <wp14:pctWidth>0</wp14:pctWidth>
            </wp14:sizeRelH>
            <wp14:sizeRelV relativeFrom="page">
              <wp14:pctHeight>0</wp14:pctHeight>
            </wp14:sizeRelV>
          </wp:anchor>
        </w:drawing>
      </w:r>
      <w:r w:rsidR="00613CB5" w:rsidRPr="005A5508">
        <w:rPr>
          <w:rFonts w:ascii="Calibri" w:hAnsi="Calibri"/>
          <w:b/>
          <w:color w:val="FFFFFF" w:themeColor="background1"/>
          <w:sz w:val="20"/>
          <w:szCs w:val="20"/>
        </w:rPr>
        <w:t>Sources</w:t>
      </w:r>
    </w:p>
    <w:p w:rsidR="00613CB5" w:rsidRPr="005A5508" w:rsidRDefault="00613CB5" w:rsidP="004009AD">
      <w:pPr>
        <w:pStyle w:val="PBOtext"/>
        <w:numPr>
          <w:ilvl w:val="0"/>
          <w:numId w:val="0"/>
        </w:numPr>
        <w:rPr>
          <w:color w:val="FFFFFF" w:themeColor="background1"/>
        </w:rPr>
      </w:pPr>
      <w:r w:rsidRPr="005A5508">
        <w:rPr>
          <w:color w:val="FFFFFF" w:themeColor="background1"/>
        </w:rPr>
        <w:t>Queensland:</w:t>
      </w:r>
    </w:p>
    <w:p w:rsidR="00613CB5" w:rsidRPr="005A5508" w:rsidRDefault="00613CB5" w:rsidP="00613CB5">
      <w:pPr>
        <w:pStyle w:val="PBObullet1"/>
        <w:ind w:left="284"/>
        <w:rPr>
          <w:color w:val="FFFFFF" w:themeColor="background1"/>
        </w:rPr>
      </w:pPr>
      <w:r w:rsidRPr="005A5508">
        <w:rPr>
          <w:color w:val="FFFFFF" w:themeColor="background1"/>
        </w:rPr>
        <w:t>Evidence from representatives from the Cairns and Hinterland Hospital and Health Service (pp 1-12) and representatives from the Queensland Department of Health (pp 13-24), Committee Hansard, 16 November 2015.</w:t>
      </w:r>
    </w:p>
    <w:p w:rsidR="00613CB5" w:rsidRPr="005A5508" w:rsidRDefault="00613CB5" w:rsidP="004009AD">
      <w:pPr>
        <w:pStyle w:val="PBOtext"/>
        <w:numPr>
          <w:ilvl w:val="0"/>
          <w:numId w:val="0"/>
        </w:numPr>
        <w:rPr>
          <w:color w:val="FFFFFF" w:themeColor="background1"/>
        </w:rPr>
      </w:pPr>
      <w:r w:rsidRPr="005A5508">
        <w:rPr>
          <w:color w:val="FFFFFF" w:themeColor="background1"/>
        </w:rPr>
        <w:t>South Australia:</w:t>
      </w:r>
    </w:p>
    <w:p w:rsidR="00613CB5" w:rsidRPr="005A5508" w:rsidRDefault="00613CB5" w:rsidP="00613CB5">
      <w:pPr>
        <w:pStyle w:val="PBObullet1"/>
        <w:ind w:left="284"/>
        <w:rPr>
          <w:color w:val="FFFFFF" w:themeColor="background1"/>
        </w:rPr>
      </w:pPr>
      <w:r w:rsidRPr="005A5508">
        <w:rPr>
          <w:color w:val="FFFFFF" w:themeColor="background1"/>
        </w:rPr>
        <w:t>‘South Australia’s Response to the 2014–15 Commonwealth Budget Cuts’, South Australian Government, May 2014. See also evidence from representatives of the South Australian Department of Health and Ageing, Committee Hansard, 11 June 2015 (pp 20-28).</w:t>
      </w:r>
    </w:p>
    <w:p w:rsidR="00613CB5" w:rsidRPr="005A5508" w:rsidRDefault="00613CB5" w:rsidP="004009AD">
      <w:pPr>
        <w:pStyle w:val="PBOtext"/>
        <w:numPr>
          <w:ilvl w:val="0"/>
          <w:numId w:val="0"/>
        </w:numPr>
        <w:rPr>
          <w:color w:val="FFFFFF" w:themeColor="background1"/>
        </w:rPr>
      </w:pPr>
      <w:r w:rsidRPr="005A5508">
        <w:rPr>
          <w:color w:val="FFFFFF" w:themeColor="background1"/>
        </w:rPr>
        <w:t>Victoria:</w:t>
      </w:r>
    </w:p>
    <w:p w:rsidR="00613CB5" w:rsidRPr="005A5508" w:rsidRDefault="00613CB5" w:rsidP="00613CB5">
      <w:pPr>
        <w:pStyle w:val="PBObullet1"/>
        <w:ind w:left="284"/>
        <w:rPr>
          <w:color w:val="FFFFFF" w:themeColor="background1"/>
        </w:rPr>
      </w:pPr>
      <w:r w:rsidRPr="005A5508">
        <w:rPr>
          <w:color w:val="FFFFFF" w:themeColor="background1"/>
        </w:rPr>
        <w:t>Evidence from representatives from the Victorian Department of Health and Human Services (pp38-48), Committee Hansard, 4 November 2015.</w:t>
      </w:r>
    </w:p>
    <w:p w:rsidR="00613CB5" w:rsidRPr="005A5508" w:rsidRDefault="00613CB5" w:rsidP="004009AD">
      <w:pPr>
        <w:pStyle w:val="PBOtext"/>
        <w:numPr>
          <w:ilvl w:val="0"/>
          <w:numId w:val="0"/>
        </w:numPr>
        <w:rPr>
          <w:color w:val="FFFFFF" w:themeColor="background1"/>
        </w:rPr>
      </w:pPr>
      <w:r w:rsidRPr="005A5508">
        <w:rPr>
          <w:color w:val="FFFFFF" w:themeColor="background1"/>
        </w:rPr>
        <w:t>New South Wales:</w:t>
      </w:r>
    </w:p>
    <w:p w:rsidR="00613CB5" w:rsidRPr="005A5508" w:rsidRDefault="00613CB5" w:rsidP="00613CB5">
      <w:pPr>
        <w:pStyle w:val="PBObullet1"/>
        <w:ind w:left="284"/>
        <w:rPr>
          <w:color w:val="FFFFFF" w:themeColor="background1"/>
        </w:rPr>
      </w:pPr>
      <w:r w:rsidRPr="005A5508">
        <w:rPr>
          <w:color w:val="FFFFFF" w:themeColor="background1"/>
        </w:rPr>
        <w:t>AMA NSW, media release, ‘Commonwealth cuts will see NSW lose five-and-a-half Westmead Hospitals’, 23 June 2015.</w:t>
      </w:r>
    </w:p>
    <w:p w:rsidR="00613CB5" w:rsidRPr="005A5508" w:rsidRDefault="00613CB5" w:rsidP="00613CB5">
      <w:pPr>
        <w:pStyle w:val="PBObullet1"/>
        <w:ind w:left="284"/>
        <w:rPr>
          <w:color w:val="FFFFFF" w:themeColor="background1"/>
        </w:rPr>
      </w:pPr>
      <w:r w:rsidRPr="005A5508">
        <w:rPr>
          <w:color w:val="FFFFFF" w:themeColor="background1"/>
        </w:rPr>
        <w:t>AMA NSW, ‘Pre-Budget Briefing NSW State Budget June 2015’, 9. 5.</w:t>
      </w:r>
    </w:p>
    <w:p w:rsidR="00613CB5" w:rsidRPr="005A5508" w:rsidRDefault="00613CB5" w:rsidP="004009AD">
      <w:pPr>
        <w:pStyle w:val="PBOtext"/>
        <w:numPr>
          <w:ilvl w:val="0"/>
          <w:numId w:val="0"/>
        </w:numPr>
        <w:rPr>
          <w:color w:val="FFFFFF" w:themeColor="background1"/>
        </w:rPr>
      </w:pPr>
      <w:r w:rsidRPr="005A5508">
        <w:rPr>
          <w:color w:val="FFFFFF" w:themeColor="background1"/>
        </w:rPr>
        <w:t>Northern Territory</w:t>
      </w:r>
    </w:p>
    <w:p w:rsidR="00613CB5" w:rsidRPr="005A5508" w:rsidRDefault="00613CB5" w:rsidP="00613CB5">
      <w:pPr>
        <w:pStyle w:val="PBObullet1"/>
        <w:ind w:left="284"/>
        <w:rPr>
          <w:color w:val="FFFFFF" w:themeColor="background1"/>
        </w:rPr>
      </w:pPr>
      <w:r w:rsidRPr="005A5508">
        <w:rPr>
          <w:color w:val="FFFFFF" w:themeColor="background1"/>
        </w:rPr>
        <w:t xml:space="preserve">Chief Minister of the Northern Territory, the Hon Adam Giles MLA, </w:t>
      </w:r>
      <w:proofErr w:type="gramStart"/>
      <w:r w:rsidRPr="005A5508">
        <w:rPr>
          <w:color w:val="FFFFFF" w:themeColor="background1"/>
        </w:rPr>
        <w:t>media</w:t>
      </w:r>
      <w:proofErr w:type="gramEnd"/>
      <w:r w:rsidRPr="005A5508">
        <w:rPr>
          <w:color w:val="FFFFFF" w:themeColor="background1"/>
        </w:rPr>
        <w:t xml:space="preserve"> release, ‘Territory Health and Education Funding Under Threat’, 18 May 2014. </w:t>
      </w:r>
      <w:hyperlink r:id="rId30" w:history="1">
        <w:r w:rsidRPr="005A5508">
          <w:rPr>
            <w:rStyle w:val="Hyperlink"/>
            <w:color w:val="FFFFFF" w:themeColor="background1"/>
          </w:rPr>
          <w:t>http://www.chiefminister.nt.gov.au/media-releases/territory-health-and-education-funding-under-threat</w:t>
        </w:r>
      </w:hyperlink>
    </w:p>
    <w:p w:rsidR="00613CB5" w:rsidRPr="005A5508" w:rsidRDefault="00613CB5" w:rsidP="004009AD">
      <w:pPr>
        <w:pStyle w:val="PBOtext"/>
        <w:numPr>
          <w:ilvl w:val="0"/>
          <w:numId w:val="0"/>
        </w:numPr>
        <w:rPr>
          <w:color w:val="FFFFFF" w:themeColor="background1"/>
        </w:rPr>
      </w:pPr>
      <w:r w:rsidRPr="005A5508">
        <w:rPr>
          <w:color w:val="FFFFFF" w:themeColor="background1"/>
        </w:rPr>
        <w:t>Western Australia, Tasmania, Australian Capital Territory</w:t>
      </w:r>
    </w:p>
    <w:p w:rsidR="000707F3" w:rsidRPr="005A5508" w:rsidRDefault="00613CB5" w:rsidP="00613CB5">
      <w:pPr>
        <w:pStyle w:val="PBObullet1"/>
        <w:ind w:left="284"/>
        <w:rPr>
          <w:i/>
          <w:color w:val="FFFFFF" w:themeColor="background1"/>
        </w:rPr>
      </w:pPr>
      <w:r w:rsidRPr="005A5508">
        <w:rPr>
          <w:i/>
          <w:color w:val="FFFFFF" w:themeColor="background1"/>
        </w:rPr>
        <w:t>2015 Intergenerational Report</w:t>
      </w:r>
      <w:r w:rsidRPr="005A5508">
        <w:rPr>
          <w:color w:val="FFFFFF" w:themeColor="background1"/>
        </w:rPr>
        <w:t xml:space="preserve">, Department of Treasury, 5 March 2015, as quoted by Lenore Taylor, ‘Doctors’ group predicts health funding crisis unless federal cuts are reversed’, </w:t>
      </w:r>
      <w:r w:rsidRPr="005A5508">
        <w:rPr>
          <w:i/>
          <w:color w:val="FFFFFF" w:themeColor="background1"/>
        </w:rPr>
        <w:t>The Guardian</w:t>
      </w:r>
      <w:r w:rsidRPr="005A5508">
        <w:rPr>
          <w:color w:val="FFFFFF" w:themeColor="background1"/>
        </w:rPr>
        <w:t>, 16 April 2015</w:t>
      </w:r>
    </w:p>
    <w:p w:rsidR="00613CB5" w:rsidRPr="005A5508" w:rsidRDefault="000707F3">
      <w:pPr>
        <w:spacing w:before="0" w:after="0"/>
        <w:rPr>
          <w:color w:val="FFFFFF" w:themeColor="background1"/>
        </w:rPr>
      </w:pPr>
      <w:r w:rsidRPr="005A5508">
        <w:rPr>
          <w:color w:val="FFFFFF" w:themeColor="background1"/>
        </w:rPr>
        <w:br w:type="page"/>
      </w:r>
    </w:p>
    <w:p w:rsidR="00613CB5" w:rsidRPr="00C93A88" w:rsidRDefault="004009AD" w:rsidP="00613CB5">
      <w:pPr>
        <w:pStyle w:val="PBOheading2"/>
        <w:spacing w:before="120" w:after="114"/>
        <w:rPr>
          <w:rFonts w:ascii="Calibri" w:hAnsi="Calibri"/>
          <w:color w:val="FFFFFF" w:themeColor="background1"/>
          <w:sz w:val="20"/>
          <w:szCs w:val="20"/>
        </w:rPr>
      </w:pPr>
      <w:r w:rsidRPr="00C93A88">
        <w:rPr>
          <w:noProof/>
          <w:color w:val="FFFFFF" w:themeColor="background1"/>
        </w:rPr>
        <w:lastRenderedPageBreak/>
        <w:drawing>
          <wp:anchor distT="0" distB="0" distL="114300" distR="114300" simplePos="0" relativeHeight="251661312" behindDoc="0" locked="0" layoutInCell="1" allowOverlap="1" wp14:anchorId="09CD9FAE" wp14:editId="307393CE">
            <wp:simplePos x="0" y="0"/>
            <wp:positionH relativeFrom="column">
              <wp:posOffset>-86995</wp:posOffset>
            </wp:positionH>
            <wp:positionV relativeFrom="paragraph">
              <wp:posOffset>20125</wp:posOffset>
            </wp:positionV>
            <wp:extent cx="9218930" cy="2428875"/>
            <wp:effectExtent l="0" t="0" r="1270" b="9525"/>
            <wp:wrapNone/>
            <wp:docPr id="11" name="Picture 1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218930" cy="2428875"/>
                    </a:xfrm>
                    <a:prstGeom prst="rect">
                      <a:avLst/>
                    </a:prstGeom>
                  </pic:spPr>
                </pic:pic>
              </a:graphicData>
            </a:graphic>
            <wp14:sizeRelH relativeFrom="page">
              <wp14:pctWidth>0</wp14:pctWidth>
            </wp14:sizeRelH>
            <wp14:sizeRelV relativeFrom="page">
              <wp14:pctHeight>0</wp14:pctHeight>
            </wp14:sizeRelV>
          </wp:anchor>
        </w:drawing>
      </w:r>
      <w:proofErr w:type="gramStart"/>
      <w:r w:rsidR="00613CB5" w:rsidRPr="00C93A88">
        <w:rPr>
          <w:rFonts w:ascii="Calibri" w:hAnsi="Calibri"/>
          <w:b/>
          <w:color w:val="FFFFFF" w:themeColor="background1"/>
          <w:sz w:val="20"/>
          <w:szCs w:val="20"/>
        </w:rPr>
        <w:t>Supporting information</w:t>
      </w:r>
      <w:r w:rsidR="00613CB5" w:rsidRPr="00C93A88">
        <w:rPr>
          <w:rFonts w:ascii="Calibri" w:hAnsi="Calibri"/>
          <w:color w:val="FFFFFF" w:themeColor="background1"/>
          <w:sz w:val="20"/>
          <w:szCs w:val="20"/>
        </w:rPr>
        <w:t xml:space="preserve"> from the </w:t>
      </w:r>
      <w:r w:rsidR="00613CB5" w:rsidRPr="00C93A88">
        <w:rPr>
          <w:rFonts w:ascii="Calibri" w:hAnsi="Calibri"/>
          <w:i/>
          <w:color w:val="FFFFFF" w:themeColor="background1"/>
          <w:sz w:val="20"/>
          <w:szCs w:val="20"/>
        </w:rPr>
        <w:t>2015 Public Hospital Report Card – An AMA analysis of Australia’s public hospital system</w:t>
      </w:r>
      <w:r w:rsidR="00613CB5" w:rsidRPr="00C93A88">
        <w:rPr>
          <w:rFonts w:ascii="Calibri" w:hAnsi="Calibri"/>
          <w:color w:val="FFFFFF" w:themeColor="background1"/>
          <w:sz w:val="20"/>
          <w:szCs w:val="20"/>
        </w:rPr>
        <w:t>, AMA, March 2015.</w:t>
      </w:r>
      <w:proofErr w:type="gramEnd"/>
    </w:p>
    <w:p w:rsidR="00613CB5" w:rsidRPr="00C93A88" w:rsidRDefault="00613CB5" w:rsidP="004009AD">
      <w:pPr>
        <w:pStyle w:val="PBOtext"/>
        <w:numPr>
          <w:ilvl w:val="0"/>
          <w:numId w:val="0"/>
        </w:numPr>
        <w:rPr>
          <w:color w:val="FFFFFF" w:themeColor="background1"/>
        </w:rPr>
      </w:pPr>
      <w:r w:rsidRPr="00C93A88">
        <w:rPr>
          <w:color w:val="FFFFFF" w:themeColor="background1"/>
        </w:rPr>
        <w:t xml:space="preserve">Some figures quoted in the above map are taken from Hansard evidence, while other figures are from the </w:t>
      </w:r>
      <w:r w:rsidRPr="00C93A88">
        <w:rPr>
          <w:i/>
          <w:color w:val="FFFFFF" w:themeColor="background1"/>
        </w:rPr>
        <w:t>2015 Intergenerational Report</w:t>
      </w:r>
      <w:r w:rsidRPr="00C93A88">
        <w:rPr>
          <w:color w:val="FFFFFF" w:themeColor="background1"/>
        </w:rPr>
        <w:t xml:space="preserve">, as quoted by Lenore Taylor writing in </w:t>
      </w:r>
      <w:r w:rsidRPr="00C93A88">
        <w:rPr>
          <w:i/>
          <w:color w:val="FFFFFF" w:themeColor="background1"/>
        </w:rPr>
        <w:t>The Guardian</w:t>
      </w:r>
      <w:r w:rsidRPr="00C93A88">
        <w:rPr>
          <w:color w:val="FFFFFF" w:themeColor="background1"/>
        </w:rPr>
        <w:t>. The complete set of figures from this source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gridCol w:w="1772"/>
        <w:gridCol w:w="1772"/>
        <w:gridCol w:w="1772"/>
        <w:gridCol w:w="1772"/>
      </w:tblGrid>
      <w:tr w:rsidR="00C93A88" w:rsidRPr="00C93A88" w:rsidTr="00C93A88">
        <w:tc>
          <w:tcPr>
            <w:tcW w:w="1772" w:type="dxa"/>
          </w:tcPr>
          <w:p w:rsidR="00613CB5" w:rsidRPr="00C93A88" w:rsidRDefault="00613CB5" w:rsidP="00613CB5">
            <w:pPr>
              <w:rPr>
                <w:color w:val="FFFFFF" w:themeColor="background1"/>
              </w:rPr>
            </w:pPr>
            <w:r w:rsidRPr="00C93A88">
              <w:rPr>
                <w:color w:val="FFFFFF" w:themeColor="background1"/>
              </w:rPr>
              <w:t>QLD</w:t>
            </w:r>
          </w:p>
        </w:tc>
        <w:tc>
          <w:tcPr>
            <w:tcW w:w="1772" w:type="dxa"/>
          </w:tcPr>
          <w:p w:rsidR="00613CB5" w:rsidRPr="00C93A88" w:rsidRDefault="00613CB5" w:rsidP="00613CB5">
            <w:pPr>
              <w:rPr>
                <w:color w:val="FFFFFF" w:themeColor="background1"/>
              </w:rPr>
            </w:pPr>
            <w:r w:rsidRPr="00C93A88">
              <w:rPr>
                <w:color w:val="FFFFFF" w:themeColor="background1"/>
              </w:rPr>
              <w:t>NSW</w:t>
            </w:r>
          </w:p>
        </w:tc>
        <w:tc>
          <w:tcPr>
            <w:tcW w:w="1772" w:type="dxa"/>
          </w:tcPr>
          <w:p w:rsidR="00613CB5" w:rsidRPr="00C93A88" w:rsidRDefault="00613CB5" w:rsidP="00613CB5">
            <w:pPr>
              <w:rPr>
                <w:color w:val="FFFFFF" w:themeColor="background1"/>
              </w:rPr>
            </w:pPr>
            <w:r w:rsidRPr="00C93A88">
              <w:rPr>
                <w:color w:val="FFFFFF" w:themeColor="background1"/>
              </w:rPr>
              <w:t>VIC</w:t>
            </w:r>
          </w:p>
        </w:tc>
        <w:tc>
          <w:tcPr>
            <w:tcW w:w="1772" w:type="dxa"/>
          </w:tcPr>
          <w:p w:rsidR="00613CB5" w:rsidRPr="00C93A88" w:rsidRDefault="00613CB5" w:rsidP="00613CB5">
            <w:pPr>
              <w:rPr>
                <w:color w:val="FFFFFF" w:themeColor="background1"/>
              </w:rPr>
            </w:pPr>
            <w:r w:rsidRPr="00C93A88">
              <w:rPr>
                <w:color w:val="FFFFFF" w:themeColor="background1"/>
              </w:rPr>
              <w:t>SA</w:t>
            </w:r>
          </w:p>
        </w:tc>
        <w:tc>
          <w:tcPr>
            <w:tcW w:w="1772" w:type="dxa"/>
          </w:tcPr>
          <w:p w:rsidR="00613CB5" w:rsidRPr="00C93A88" w:rsidRDefault="00613CB5" w:rsidP="00613CB5">
            <w:pPr>
              <w:rPr>
                <w:color w:val="FFFFFF" w:themeColor="background1"/>
              </w:rPr>
            </w:pPr>
            <w:r w:rsidRPr="00C93A88">
              <w:rPr>
                <w:color w:val="FFFFFF" w:themeColor="background1"/>
              </w:rPr>
              <w:t>WA</w:t>
            </w:r>
          </w:p>
        </w:tc>
        <w:tc>
          <w:tcPr>
            <w:tcW w:w="1772" w:type="dxa"/>
          </w:tcPr>
          <w:p w:rsidR="00613CB5" w:rsidRPr="00C93A88" w:rsidRDefault="00613CB5" w:rsidP="00613CB5">
            <w:pPr>
              <w:rPr>
                <w:color w:val="FFFFFF" w:themeColor="background1"/>
              </w:rPr>
            </w:pPr>
            <w:r w:rsidRPr="00C93A88">
              <w:rPr>
                <w:color w:val="FFFFFF" w:themeColor="background1"/>
              </w:rPr>
              <w:t>TAS</w:t>
            </w:r>
          </w:p>
        </w:tc>
        <w:tc>
          <w:tcPr>
            <w:tcW w:w="1772" w:type="dxa"/>
          </w:tcPr>
          <w:p w:rsidR="00613CB5" w:rsidRPr="00C93A88" w:rsidRDefault="00613CB5" w:rsidP="00613CB5">
            <w:pPr>
              <w:rPr>
                <w:color w:val="FFFFFF" w:themeColor="background1"/>
              </w:rPr>
            </w:pPr>
            <w:r w:rsidRPr="00C93A88">
              <w:rPr>
                <w:color w:val="FFFFFF" w:themeColor="background1"/>
              </w:rPr>
              <w:t>NT</w:t>
            </w:r>
          </w:p>
        </w:tc>
        <w:tc>
          <w:tcPr>
            <w:tcW w:w="1772" w:type="dxa"/>
          </w:tcPr>
          <w:p w:rsidR="00613CB5" w:rsidRPr="00C93A88" w:rsidRDefault="00613CB5" w:rsidP="00613CB5">
            <w:pPr>
              <w:rPr>
                <w:color w:val="FFFFFF" w:themeColor="background1"/>
              </w:rPr>
            </w:pPr>
            <w:r w:rsidRPr="00C93A88">
              <w:rPr>
                <w:color w:val="FFFFFF" w:themeColor="background1"/>
              </w:rPr>
              <w:t>ACT</w:t>
            </w:r>
          </w:p>
        </w:tc>
      </w:tr>
      <w:tr w:rsidR="00C93A88" w:rsidRPr="00C93A88" w:rsidTr="00C93A88">
        <w:tc>
          <w:tcPr>
            <w:tcW w:w="1772" w:type="dxa"/>
          </w:tcPr>
          <w:p w:rsidR="00613CB5" w:rsidRPr="00C93A88" w:rsidRDefault="00613CB5" w:rsidP="00613CB5">
            <w:pPr>
              <w:rPr>
                <w:color w:val="FFFFFF" w:themeColor="background1"/>
              </w:rPr>
            </w:pPr>
            <w:r w:rsidRPr="00C93A88">
              <w:rPr>
                <w:color w:val="FFFFFF" w:themeColor="background1"/>
              </w:rPr>
              <w:t>$10 billion</w:t>
            </w:r>
          </w:p>
        </w:tc>
        <w:tc>
          <w:tcPr>
            <w:tcW w:w="1772" w:type="dxa"/>
          </w:tcPr>
          <w:p w:rsidR="00613CB5" w:rsidRPr="00C93A88" w:rsidRDefault="00613CB5" w:rsidP="00613CB5">
            <w:pPr>
              <w:rPr>
                <w:color w:val="FFFFFF" w:themeColor="background1"/>
              </w:rPr>
            </w:pPr>
            <w:r w:rsidRPr="00C93A88">
              <w:rPr>
                <w:color w:val="FFFFFF" w:themeColor="background1"/>
              </w:rPr>
              <w:t>$16 billion</w:t>
            </w:r>
          </w:p>
        </w:tc>
        <w:tc>
          <w:tcPr>
            <w:tcW w:w="1772" w:type="dxa"/>
          </w:tcPr>
          <w:p w:rsidR="00613CB5" w:rsidRPr="00C93A88" w:rsidRDefault="00613CB5" w:rsidP="00613CB5">
            <w:pPr>
              <w:rPr>
                <w:color w:val="FFFFFF" w:themeColor="background1"/>
              </w:rPr>
            </w:pPr>
            <w:r w:rsidRPr="00C93A88">
              <w:rPr>
                <w:color w:val="FFFFFF" w:themeColor="background1"/>
              </w:rPr>
              <w:t>$12 billion</w:t>
            </w:r>
          </w:p>
        </w:tc>
        <w:tc>
          <w:tcPr>
            <w:tcW w:w="1772" w:type="dxa"/>
          </w:tcPr>
          <w:p w:rsidR="00613CB5" w:rsidRPr="00C93A88" w:rsidRDefault="00613CB5" w:rsidP="00613CB5">
            <w:pPr>
              <w:rPr>
                <w:color w:val="FFFFFF" w:themeColor="background1"/>
              </w:rPr>
            </w:pPr>
            <w:r w:rsidRPr="00C93A88">
              <w:rPr>
                <w:color w:val="FFFFFF" w:themeColor="background1"/>
              </w:rPr>
              <w:t>$3.5 billion</w:t>
            </w:r>
          </w:p>
        </w:tc>
        <w:tc>
          <w:tcPr>
            <w:tcW w:w="1772" w:type="dxa"/>
          </w:tcPr>
          <w:p w:rsidR="00613CB5" w:rsidRPr="00C93A88" w:rsidRDefault="00613CB5" w:rsidP="00613CB5">
            <w:pPr>
              <w:rPr>
                <w:color w:val="FFFFFF" w:themeColor="background1"/>
              </w:rPr>
            </w:pPr>
            <w:r w:rsidRPr="00C93A88">
              <w:rPr>
                <w:color w:val="FFFFFF" w:themeColor="background1"/>
              </w:rPr>
              <w:t>$5.7 billion</w:t>
            </w:r>
          </w:p>
        </w:tc>
        <w:tc>
          <w:tcPr>
            <w:tcW w:w="1772" w:type="dxa"/>
          </w:tcPr>
          <w:p w:rsidR="00613CB5" w:rsidRPr="00C93A88" w:rsidRDefault="00613CB5" w:rsidP="00613CB5">
            <w:pPr>
              <w:rPr>
                <w:color w:val="FFFFFF" w:themeColor="background1"/>
              </w:rPr>
            </w:pPr>
            <w:r w:rsidRPr="00C93A88">
              <w:rPr>
                <w:color w:val="FFFFFF" w:themeColor="background1"/>
              </w:rPr>
              <w:t>$1.0 billion</w:t>
            </w:r>
          </w:p>
        </w:tc>
        <w:tc>
          <w:tcPr>
            <w:tcW w:w="1772" w:type="dxa"/>
          </w:tcPr>
          <w:p w:rsidR="00613CB5" w:rsidRPr="00C93A88" w:rsidRDefault="00613CB5" w:rsidP="00613CB5">
            <w:pPr>
              <w:rPr>
                <w:color w:val="FFFFFF" w:themeColor="background1"/>
              </w:rPr>
            </w:pPr>
            <w:r w:rsidRPr="00C93A88">
              <w:rPr>
                <w:color w:val="FFFFFF" w:themeColor="background1"/>
              </w:rPr>
              <w:t>$0.6 billion</w:t>
            </w:r>
          </w:p>
        </w:tc>
        <w:tc>
          <w:tcPr>
            <w:tcW w:w="1772" w:type="dxa"/>
          </w:tcPr>
          <w:p w:rsidR="00613CB5" w:rsidRPr="00C93A88" w:rsidRDefault="00613CB5" w:rsidP="00613CB5">
            <w:pPr>
              <w:rPr>
                <w:color w:val="FFFFFF" w:themeColor="background1"/>
              </w:rPr>
            </w:pPr>
            <w:r w:rsidRPr="00C93A88">
              <w:rPr>
                <w:color w:val="FFFFFF" w:themeColor="background1"/>
              </w:rPr>
              <w:t>$1.0 billion</w:t>
            </w:r>
          </w:p>
        </w:tc>
      </w:tr>
    </w:tbl>
    <w:p w:rsidR="00613CB5" w:rsidRPr="00C93A88" w:rsidRDefault="004009AD" w:rsidP="004009AD">
      <w:pPr>
        <w:pStyle w:val="PBOtext"/>
        <w:numPr>
          <w:ilvl w:val="0"/>
          <w:numId w:val="0"/>
        </w:numPr>
        <w:rPr>
          <w:color w:val="FFFFFF" w:themeColor="background1"/>
        </w:rPr>
      </w:pPr>
      <w:r w:rsidRPr="00C93A88">
        <w:rPr>
          <w:color w:val="FFFFFF" w:themeColor="background1"/>
        </w:rPr>
        <w:t>Figures from other sources, including evidence from public hearings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gridCol w:w="1772"/>
        <w:gridCol w:w="1772"/>
        <w:gridCol w:w="1772"/>
        <w:gridCol w:w="1772"/>
      </w:tblGrid>
      <w:tr w:rsidR="00C93A88" w:rsidRPr="00C93A88" w:rsidTr="00C93A88">
        <w:tc>
          <w:tcPr>
            <w:tcW w:w="1772" w:type="dxa"/>
          </w:tcPr>
          <w:p w:rsidR="004009AD" w:rsidRPr="00C93A88" w:rsidRDefault="004009AD" w:rsidP="0082110B">
            <w:pPr>
              <w:rPr>
                <w:color w:val="FFFFFF" w:themeColor="background1"/>
              </w:rPr>
            </w:pPr>
            <w:r w:rsidRPr="00C93A88">
              <w:rPr>
                <w:color w:val="FFFFFF" w:themeColor="background1"/>
              </w:rPr>
              <w:t>QLD</w:t>
            </w:r>
          </w:p>
        </w:tc>
        <w:tc>
          <w:tcPr>
            <w:tcW w:w="1772" w:type="dxa"/>
          </w:tcPr>
          <w:p w:rsidR="004009AD" w:rsidRPr="00C93A88" w:rsidRDefault="004009AD" w:rsidP="0082110B">
            <w:pPr>
              <w:rPr>
                <w:color w:val="FFFFFF" w:themeColor="background1"/>
              </w:rPr>
            </w:pPr>
            <w:r w:rsidRPr="00C93A88">
              <w:rPr>
                <w:color w:val="FFFFFF" w:themeColor="background1"/>
              </w:rPr>
              <w:t>NSW</w:t>
            </w:r>
          </w:p>
        </w:tc>
        <w:tc>
          <w:tcPr>
            <w:tcW w:w="1772" w:type="dxa"/>
          </w:tcPr>
          <w:p w:rsidR="004009AD" w:rsidRPr="00C93A88" w:rsidRDefault="004009AD" w:rsidP="0082110B">
            <w:pPr>
              <w:rPr>
                <w:color w:val="FFFFFF" w:themeColor="background1"/>
              </w:rPr>
            </w:pPr>
            <w:r w:rsidRPr="00C93A88">
              <w:rPr>
                <w:color w:val="FFFFFF" w:themeColor="background1"/>
              </w:rPr>
              <w:t>VIC</w:t>
            </w:r>
          </w:p>
        </w:tc>
        <w:tc>
          <w:tcPr>
            <w:tcW w:w="1772" w:type="dxa"/>
          </w:tcPr>
          <w:p w:rsidR="004009AD" w:rsidRPr="00C93A88" w:rsidRDefault="004009AD" w:rsidP="0082110B">
            <w:pPr>
              <w:rPr>
                <w:color w:val="FFFFFF" w:themeColor="background1"/>
              </w:rPr>
            </w:pPr>
            <w:r w:rsidRPr="00C93A88">
              <w:rPr>
                <w:color w:val="FFFFFF" w:themeColor="background1"/>
              </w:rPr>
              <w:t>SA</w:t>
            </w:r>
          </w:p>
        </w:tc>
        <w:tc>
          <w:tcPr>
            <w:tcW w:w="1772" w:type="dxa"/>
          </w:tcPr>
          <w:p w:rsidR="004009AD" w:rsidRPr="00C93A88" w:rsidRDefault="004009AD" w:rsidP="0082110B">
            <w:pPr>
              <w:rPr>
                <w:color w:val="FFFFFF" w:themeColor="background1"/>
              </w:rPr>
            </w:pPr>
            <w:r w:rsidRPr="00C93A88">
              <w:rPr>
                <w:color w:val="FFFFFF" w:themeColor="background1"/>
              </w:rPr>
              <w:t>WA</w:t>
            </w:r>
          </w:p>
        </w:tc>
        <w:tc>
          <w:tcPr>
            <w:tcW w:w="1772" w:type="dxa"/>
          </w:tcPr>
          <w:p w:rsidR="004009AD" w:rsidRPr="00C93A88" w:rsidRDefault="004009AD" w:rsidP="0082110B">
            <w:pPr>
              <w:rPr>
                <w:color w:val="FFFFFF" w:themeColor="background1"/>
              </w:rPr>
            </w:pPr>
            <w:r w:rsidRPr="00C93A88">
              <w:rPr>
                <w:color w:val="FFFFFF" w:themeColor="background1"/>
              </w:rPr>
              <w:t>TAS</w:t>
            </w:r>
          </w:p>
        </w:tc>
        <w:tc>
          <w:tcPr>
            <w:tcW w:w="1772" w:type="dxa"/>
          </w:tcPr>
          <w:p w:rsidR="004009AD" w:rsidRPr="00C93A88" w:rsidRDefault="004009AD" w:rsidP="0082110B">
            <w:pPr>
              <w:rPr>
                <w:color w:val="FFFFFF" w:themeColor="background1"/>
              </w:rPr>
            </w:pPr>
            <w:r w:rsidRPr="00C93A88">
              <w:rPr>
                <w:color w:val="FFFFFF" w:themeColor="background1"/>
              </w:rPr>
              <w:t>NT</w:t>
            </w:r>
          </w:p>
        </w:tc>
        <w:tc>
          <w:tcPr>
            <w:tcW w:w="1772" w:type="dxa"/>
          </w:tcPr>
          <w:p w:rsidR="004009AD" w:rsidRPr="00C93A88" w:rsidRDefault="004009AD" w:rsidP="0082110B">
            <w:pPr>
              <w:rPr>
                <w:color w:val="FFFFFF" w:themeColor="background1"/>
              </w:rPr>
            </w:pPr>
            <w:r w:rsidRPr="00C93A88">
              <w:rPr>
                <w:color w:val="FFFFFF" w:themeColor="background1"/>
              </w:rPr>
              <w:t>ACT</w:t>
            </w:r>
          </w:p>
        </w:tc>
      </w:tr>
      <w:tr w:rsidR="00C93A88" w:rsidRPr="00C93A88" w:rsidTr="00C93A88">
        <w:tc>
          <w:tcPr>
            <w:tcW w:w="1772" w:type="dxa"/>
          </w:tcPr>
          <w:p w:rsidR="004009AD" w:rsidRPr="00C93A88" w:rsidRDefault="004009AD" w:rsidP="0082110B">
            <w:pPr>
              <w:rPr>
                <w:color w:val="FFFFFF" w:themeColor="background1"/>
              </w:rPr>
            </w:pPr>
            <w:r w:rsidRPr="00C93A88">
              <w:rPr>
                <w:color w:val="FFFFFF" w:themeColor="background1"/>
              </w:rPr>
              <w:t>$11.8 billion</w:t>
            </w:r>
          </w:p>
        </w:tc>
        <w:tc>
          <w:tcPr>
            <w:tcW w:w="1772" w:type="dxa"/>
          </w:tcPr>
          <w:p w:rsidR="004009AD" w:rsidRPr="00C93A88" w:rsidRDefault="004009AD" w:rsidP="0082110B">
            <w:pPr>
              <w:rPr>
                <w:color w:val="FFFFFF" w:themeColor="background1"/>
              </w:rPr>
            </w:pPr>
            <w:r w:rsidRPr="00C93A88">
              <w:rPr>
                <w:color w:val="FFFFFF" w:themeColor="background1"/>
              </w:rPr>
              <w:t>$17.7 billion</w:t>
            </w:r>
          </w:p>
        </w:tc>
        <w:tc>
          <w:tcPr>
            <w:tcW w:w="1772" w:type="dxa"/>
          </w:tcPr>
          <w:p w:rsidR="004009AD" w:rsidRPr="00C93A88" w:rsidRDefault="004009AD" w:rsidP="0082110B">
            <w:pPr>
              <w:rPr>
                <w:color w:val="FFFFFF" w:themeColor="background1"/>
              </w:rPr>
            </w:pPr>
            <w:r w:rsidRPr="00C93A88">
              <w:rPr>
                <w:color w:val="FFFFFF" w:themeColor="background1"/>
              </w:rPr>
              <w:t>$17.7 billion</w:t>
            </w:r>
          </w:p>
        </w:tc>
        <w:tc>
          <w:tcPr>
            <w:tcW w:w="1772" w:type="dxa"/>
          </w:tcPr>
          <w:p w:rsidR="004009AD" w:rsidRPr="00C93A88" w:rsidRDefault="004009AD" w:rsidP="0082110B">
            <w:pPr>
              <w:rPr>
                <w:color w:val="FFFFFF" w:themeColor="background1"/>
              </w:rPr>
            </w:pPr>
            <w:r w:rsidRPr="00C93A88">
              <w:rPr>
                <w:color w:val="FFFFFF" w:themeColor="background1"/>
              </w:rPr>
              <w:t>$1.0 billion</w:t>
            </w:r>
          </w:p>
        </w:tc>
        <w:tc>
          <w:tcPr>
            <w:tcW w:w="1772" w:type="dxa"/>
          </w:tcPr>
          <w:p w:rsidR="004009AD" w:rsidRPr="00C93A88" w:rsidRDefault="004009AD" w:rsidP="0082110B">
            <w:pPr>
              <w:rPr>
                <w:color w:val="FFFFFF" w:themeColor="background1"/>
              </w:rPr>
            </w:pPr>
            <w:r w:rsidRPr="00C93A88">
              <w:rPr>
                <w:color w:val="FFFFFF" w:themeColor="background1"/>
              </w:rPr>
              <w:t>Not available</w:t>
            </w:r>
          </w:p>
        </w:tc>
        <w:tc>
          <w:tcPr>
            <w:tcW w:w="1772" w:type="dxa"/>
          </w:tcPr>
          <w:p w:rsidR="004009AD" w:rsidRPr="00C93A88" w:rsidRDefault="004009AD" w:rsidP="0082110B">
            <w:pPr>
              <w:rPr>
                <w:color w:val="FFFFFF" w:themeColor="background1"/>
              </w:rPr>
            </w:pPr>
            <w:r w:rsidRPr="00C93A88">
              <w:rPr>
                <w:color w:val="FFFFFF" w:themeColor="background1"/>
              </w:rPr>
              <w:t>Not available</w:t>
            </w:r>
          </w:p>
        </w:tc>
        <w:tc>
          <w:tcPr>
            <w:tcW w:w="1772" w:type="dxa"/>
          </w:tcPr>
          <w:p w:rsidR="004009AD" w:rsidRPr="00C93A88" w:rsidRDefault="004009AD" w:rsidP="0082110B">
            <w:pPr>
              <w:rPr>
                <w:color w:val="FFFFFF" w:themeColor="background1"/>
              </w:rPr>
            </w:pPr>
            <w:r w:rsidRPr="00C93A88">
              <w:rPr>
                <w:color w:val="FFFFFF" w:themeColor="background1"/>
              </w:rPr>
              <w:t>Not available</w:t>
            </w:r>
          </w:p>
        </w:tc>
        <w:tc>
          <w:tcPr>
            <w:tcW w:w="1772" w:type="dxa"/>
          </w:tcPr>
          <w:p w:rsidR="004009AD" w:rsidRPr="00C93A88" w:rsidRDefault="004009AD" w:rsidP="0082110B">
            <w:pPr>
              <w:rPr>
                <w:color w:val="FFFFFF" w:themeColor="background1"/>
              </w:rPr>
            </w:pPr>
            <w:r w:rsidRPr="00C93A88">
              <w:rPr>
                <w:color w:val="FFFFFF" w:themeColor="background1"/>
              </w:rPr>
              <w:t>Not available</w:t>
            </w:r>
          </w:p>
        </w:tc>
      </w:tr>
    </w:tbl>
    <w:p w:rsidR="00F06E7D" w:rsidRDefault="00F06E7D" w:rsidP="00F06E7D">
      <w:pPr>
        <w:pStyle w:val="PBOheading1"/>
        <w:spacing w:before="0"/>
        <w:sectPr w:rsidR="00F06E7D" w:rsidSect="008D60E0">
          <w:footerReference w:type="default" r:id="rId32"/>
          <w:footerReference w:type="first" r:id="rId33"/>
          <w:pgSz w:w="16840" w:h="11900" w:orient="landscape"/>
          <w:pgMar w:top="1440" w:right="1440" w:bottom="1440" w:left="1440" w:header="709" w:footer="709" w:gutter="0"/>
          <w:cols w:space="708"/>
          <w:titlePg/>
          <w:docGrid w:linePitch="326"/>
        </w:sectPr>
      </w:pPr>
    </w:p>
    <w:p w:rsidR="00EE0E29" w:rsidRPr="006B103A" w:rsidRDefault="00EE0E29" w:rsidP="00290579">
      <w:pPr>
        <w:pStyle w:val="PBOheading1"/>
      </w:pPr>
      <w:bookmarkStart w:id="13" w:name="_Toc442264438"/>
      <w:bookmarkStart w:id="14" w:name="AttachmentB"/>
      <w:r w:rsidRPr="006B103A">
        <w:lastRenderedPageBreak/>
        <w:t xml:space="preserve">Attachment </w:t>
      </w:r>
      <w:r w:rsidR="00E90070" w:rsidRPr="006B103A">
        <w:t>B</w:t>
      </w:r>
      <w:bookmarkEnd w:id="13"/>
    </w:p>
    <w:p w:rsidR="00EE0E29" w:rsidRPr="00290579" w:rsidRDefault="00EE0E29" w:rsidP="00290579">
      <w:pPr>
        <w:pStyle w:val="PBOfiguretableheading"/>
      </w:pPr>
      <w:bookmarkStart w:id="15" w:name="TableB1"/>
      <w:bookmarkEnd w:id="10"/>
      <w:bookmarkEnd w:id="14"/>
      <w:r w:rsidRPr="00CA4134">
        <w:t xml:space="preserve">Table </w:t>
      </w:r>
      <w:r w:rsidR="00053250" w:rsidRPr="00CA4134">
        <w:t>B1</w:t>
      </w:r>
      <w:bookmarkEnd w:id="15"/>
      <w:r w:rsidR="00630C9E" w:rsidRPr="00CA4134">
        <w:t>:</w:t>
      </w:r>
      <w:r w:rsidR="00CA4134">
        <w:t xml:space="preserve"> </w:t>
      </w:r>
      <w:r w:rsidR="00DB5A19" w:rsidRPr="00CA4134">
        <w:t>PBO projections of c</w:t>
      </w:r>
      <w:r w:rsidR="002B3ADF" w:rsidRPr="00CA4134">
        <w:t>ommonwealth hospital funding under current Government policy (indexation by Consumer Price In</w:t>
      </w:r>
      <w:r w:rsidR="00B038BA" w:rsidRPr="00CA4134">
        <w:t>dex (CPI) and population growth</w:t>
      </w:r>
      <w:r w:rsidR="00CA4134">
        <w:t>)</w:t>
      </w:r>
      <w:r w:rsidR="00B038BA" w:rsidRPr="00CA4134">
        <w:t xml:space="preserve">, </w:t>
      </w:r>
      <w:r w:rsidR="002B3ADF" w:rsidRPr="00CA4134">
        <w:t>at an aggregate and s</w:t>
      </w:r>
      <w:r w:rsidR="008F2C53" w:rsidRPr="00CA4134">
        <w:t>tate</w:t>
      </w:r>
      <w:r w:rsidR="002B3ADF" w:rsidRPr="00CA4134">
        <w:t xml:space="preserve"> and territory level</w:t>
      </w:r>
      <w:r w:rsidR="00BC5B52" w:rsidRPr="00CA4134">
        <w:t>, over 2014</w:t>
      </w:r>
      <w:r w:rsidR="00630C9E" w:rsidRPr="00CA4134">
        <w:t>–</w:t>
      </w:r>
      <w:r w:rsidR="00BC5B52" w:rsidRPr="00CA4134">
        <w:t>15 to 2024</w:t>
      </w:r>
      <w:r w:rsidR="00630C9E" w:rsidRPr="00CA4134">
        <w:t>–</w:t>
      </w:r>
      <w:r w:rsidR="00BC5B52" w:rsidRPr="00CA4134">
        <w:t>25</w:t>
      </w:r>
      <w:r w:rsidR="00BC5B52" w:rsidRPr="00CA4134">
        <w:rPr>
          <w:rStyle w:val="FootnoteReference"/>
        </w:rPr>
        <w:footnoteReference w:id="5"/>
      </w:r>
      <w:r w:rsidR="00CA4134">
        <w:t xml:space="preserve"> </w:t>
      </w:r>
      <w:r w:rsidR="001A54A2" w:rsidRPr="00290579">
        <w:t>(a</w:t>
      </w:r>
      <w:proofErr w:type="gramStart"/>
      <w:r w:rsidR="001A54A2" w:rsidRPr="00290579">
        <w:t>)(</w:t>
      </w:r>
      <w:proofErr w:type="gramEnd"/>
      <w:r w:rsidR="001A54A2" w:rsidRPr="00290579">
        <w:t>b)</w:t>
      </w:r>
      <w:r w:rsidR="002B3ADF" w:rsidRPr="00290579">
        <w:t>(c</w:t>
      </w:r>
      <w:r w:rsidR="00421A39" w:rsidRPr="00290579">
        <w:t>)</w:t>
      </w:r>
    </w:p>
    <w:tbl>
      <w:tblPr>
        <w:tblStyle w:val="PBOtable"/>
        <w:tblW w:w="13926" w:type="dxa"/>
        <w:tblInd w:w="108" w:type="dxa"/>
        <w:tblLook w:val="04A0" w:firstRow="1" w:lastRow="0" w:firstColumn="1" w:lastColumn="0" w:noHBand="0" w:noVBand="1"/>
      </w:tblPr>
      <w:tblGrid>
        <w:gridCol w:w="2268"/>
        <w:gridCol w:w="971"/>
        <w:gridCol w:w="972"/>
        <w:gridCol w:w="971"/>
        <w:gridCol w:w="972"/>
        <w:gridCol w:w="971"/>
        <w:gridCol w:w="972"/>
        <w:gridCol w:w="971"/>
        <w:gridCol w:w="972"/>
        <w:gridCol w:w="971"/>
        <w:gridCol w:w="972"/>
        <w:gridCol w:w="971"/>
        <w:gridCol w:w="972"/>
      </w:tblGrid>
      <w:tr w:rsidR="00290579" w:rsidRPr="00E51BFB" w:rsidTr="00CA413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68" w:type="dxa"/>
            <w:shd w:val="clear" w:color="auto" w:fill="2B3B5F"/>
          </w:tcPr>
          <w:p w:rsidR="00AC5AF8" w:rsidRPr="00E51BFB" w:rsidRDefault="00AC5AF8" w:rsidP="00290579">
            <w:pPr>
              <w:spacing w:before="70" w:after="70"/>
              <w:jc w:val="left"/>
            </w:pPr>
            <w:r w:rsidRPr="00E51BFB">
              <w:t>($m)</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2014–15</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2015–16</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2016–17</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2017–18</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2018–19</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2019–20</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2020–21</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2021–22</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2022–23</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2023–24</w:t>
            </w:r>
          </w:p>
        </w:tc>
        <w:tc>
          <w:tcPr>
            <w:tcW w:w="971"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2024–25</w:t>
            </w:r>
          </w:p>
        </w:tc>
        <w:tc>
          <w:tcPr>
            <w:tcW w:w="972" w:type="dxa"/>
            <w:shd w:val="clear" w:color="auto" w:fill="2B3B5F"/>
          </w:tcPr>
          <w:p w:rsidR="00AC5AF8" w:rsidRPr="00E51BFB" w:rsidRDefault="00AC5AF8"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Total</w:t>
            </w:r>
          </w:p>
        </w:tc>
      </w:tr>
      <w:tr w:rsidR="00290579" w:rsidRPr="00E51BFB" w:rsidTr="00CA4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New South Wales</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4,878</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5,243</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5,523</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5,755</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5,987</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6,236</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6,491</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6,755</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7,028</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7,312</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7,605</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68,813</w:t>
            </w:r>
          </w:p>
        </w:tc>
      </w:tr>
      <w:tr w:rsidR="00290579" w:rsidRPr="00E51BFB" w:rsidTr="00CA413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Victoria</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3,851</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4,134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4,331</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4,533</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4,734</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4,931</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5,132</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5,341</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5,557</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5,781</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6,013</w:t>
            </w:r>
          </w:p>
        </w:tc>
        <w:tc>
          <w:tcPr>
            <w:tcW w:w="972" w:type="dxa"/>
          </w:tcPr>
          <w:p w:rsidR="002B3ADF" w:rsidRPr="006870FA" w:rsidRDefault="002B3AD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54,338</w:t>
            </w:r>
          </w:p>
        </w:tc>
      </w:tr>
      <w:tr w:rsidR="00290579" w:rsidRPr="00E51BFB" w:rsidTr="00CA4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Queensland</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3,061</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3,284</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3,451</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3,629</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3,778</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3,935</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4,096</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4,263</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4,435</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4,614</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4,799</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43,345</w:t>
            </w:r>
          </w:p>
        </w:tc>
      </w:tr>
      <w:tr w:rsidR="00290579" w:rsidRPr="00E51BFB" w:rsidTr="00CA413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Western Australia</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1,755</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1,831</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1,956</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2,001</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2,095</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2,182</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2,271</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2,364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2,459</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2,559</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2,661</w:t>
            </w:r>
          </w:p>
        </w:tc>
        <w:tc>
          <w:tcPr>
            <w:tcW w:w="972" w:type="dxa"/>
          </w:tcPr>
          <w:p w:rsidR="002B3ADF" w:rsidRPr="006870FA" w:rsidRDefault="002B3AD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24,134</w:t>
            </w:r>
          </w:p>
        </w:tc>
      </w:tr>
      <w:tr w:rsidR="00290579" w:rsidRPr="00E51BFB" w:rsidTr="00CA4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South Australia</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1,125</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1,188</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1,238</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1,270</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1,315</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1,370</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1,426</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1,484</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1,544</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1,606</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1,670</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15,236</w:t>
            </w:r>
          </w:p>
        </w:tc>
      </w:tr>
      <w:tr w:rsidR="00290579" w:rsidRPr="00E51BFB" w:rsidTr="00CA413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Tasmania</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334</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349</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359</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378</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388</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404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421</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438</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455</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474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493</w:t>
            </w:r>
          </w:p>
        </w:tc>
        <w:tc>
          <w:tcPr>
            <w:tcW w:w="972" w:type="dxa"/>
          </w:tcPr>
          <w:p w:rsidR="002B3ADF" w:rsidRPr="006870FA" w:rsidRDefault="002B3AD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4,493</w:t>
            </w:r>
          </w:p>
        </w:tc>
      </w:tr>
      <w:tr w:rsidR="00290579" w:rsidRPr="00E51BFB" w:rsidTr="00CA4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color w:val="000000"/>
              </w:rPr>
            </w:pPr>
            <w:r w:rsidRPr="00E51BFB">
              <w:rPr>
                <w:b w:val="0"/>
                <w:color w:val="000000"/>
              </w:rPr>
              <w:t>Australian Capital Territory</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305</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321</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343</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296</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308</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321</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334</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347</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362</w:t>
            </w:r>
          </w:p>
        </w:tc>
        <w:tc>
          <w:tcPr>
            <w:tcW w:w="972"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376</w:t>
            </w:r>
          </w:p>
        </w:tc>
        <w:tc>
          <w:tcPr>
            <w:tcW w:w="971" w:type="dxa"/>
          </w:tcPr>
          <w:p w:rsidR="002B3ADF" w:rsidRPr="00D81E55" w:rsidRDefault="002B3ADF" w:rsidP="00290579">
            <w:pPr>
              <w:jc w:val="right"/>
              <w:cnfStyle w:val="000000100000" w:firstRow="0" w:lastRow="0" w:firstColumn="0" w:lastColumn="0" w:oddVBand="0" w:evenVBand="0" w:oddHBand="1" w:evenHBand="0" w:firstRowFirstColumn="0" w:firstRowLastColumn="0" w:lastRowFirstColumn="0" w:lastRowLastColumn="0"/>
            </w:pPr>
            <w:r w:rsidRPr="00D81E55">
              <w:t>391</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3,704</w:t>
            </w:r>
          </w:p>
        </w:tc>
      </w:tr>
      <w:tr w:rsidR="00290579" w:rsidRPr="00E51BFB" w:rsidTr="00CA413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 w:val="0"/>
                <w:bCs/>
                <w:color w:val="000000"/>
              </w:rPr>
            </w:pPr>
            <w:r w:rsidRPr="00E51BFB">
              <w:rPr>
                <w:b w:val="0"/>
                <w:bCs/>
                <w:color w:val="000000"/>
              </w:rPr>
              <w:t>Northern Territory</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158</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174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193</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184</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191</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199</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207</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215</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224</w:t>
            </w:r>
          </w:p>
        </w:tc>
        <w:tc>
          <w:tcPr>
            <w:tcW w:w="972"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233</w:t>
            </w:r>
          </w:p>
        </w:tc>
        <w:tc>
          <w:tcPr>
            <w:tcW w:w="971" w:type="dxa"/>
          </w:tcPr>
          <w:p w:rsidR="002B3ADF" w:rsidRPr="00D81E55" w:rsidRDefault="002B3ADF" w:rsidP="00290579">
            <w:pPr>
              <w:jc w:val="right"/>
              <w:cnfStyle w:val="000000010000" w:firstRow="0" w:lastRow="0" w:firstColumn="0" w:lastColumn="0" w:oddVBand="0" w:evenVBand="0" w:oddHBand="0" w:evenHBand="1" w:firstRowFirstColumn="0" w:firstRowLastColumn="0" w:lastRowFirstColumn="0" w:lastRowLastColumn="0"/>
            </w:pPr>
            <w:r w:rsidRPr="00D81E55">
              <w:t>243</w:t>
            </w:r>
          </w:p>
        </w:tc>
        <w:tc>
          <w:tcPr>
            <w:tcW w:w="972" w:type="dxa"/>
          </w:tcPr>
          <w:p w:rsidR="002B3ADF" w:rsidRPr="006870FA" w:rsidRDefault="002B3AD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2,221</w:t>
            </w:r>
          </w:p>
        </w:tc>
      </w:tr>
      <w:tr w:rsidR="00290579" w:rsidRPr="00E51BFB" w:rsidTr="00CA41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Pr>
          <w:p w:rsidR="002B3ADF" w:rsidRPr="00E51BFB" w:rsidRDefault="002B3ADF" w:rsidP="00CA4134">
            <w:pPr>
              <w:spacing w:before="70" w:after="70"/>
              <w:rPr>
                <w:bCs/>
                <w:color w:val="000000"/>
              </w:rPr>
            </w:pPr>
            <w:r w:rsidRPr="00E51BFB">
              <w:rPr>
                <w:bCs/>
                <w:color w:val="000000"/>
              </w:rPr>
              <w:t>Total</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15,466</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16,525</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17,394</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18,047</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18,796</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19,578</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20,378</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21,207</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22,065</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22,955</w:t>
            </w:r>
          </w:p>
        </w:tc>
        <w:tc>
          <w:tcPr>
            <w:tcW w:w="971"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23,875</w:t>
            </w:r>
          </w:p>
        </w:tc>
        <w:tc>
          <w:tcPr>
            <w:tcW w:w="972" w:type="dxa"/>
          </w:tcPr>
          <w:p w:rsidR="002B3ADF" w:rsidRPr="006870FA" w:rsidRDefault="002B3AD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216,286</w:t>
            </w:r>
          </w:p>
        </w:tc>
      </w:tr>
    </w:tbl>
    <w:p w:rsidR="001A54A2" w:rsidRDefault="00EE0E29" w:rsidP="00290579">
      <w:pPr>
        <w:keepLines/>
        <w:numPr>
          <w:ilvl w:val="0"/>
          <w:numId w:val="25"/>
        </w:numPr>
        <w:spacing w:before="60" w:after="0"/>
        <w:ind w:left="567" w:hanging="567"/>
        <w:rPr>
          <w:rFonts w:eastAsia="Times New Roman"/>
          <w:sz w:val="18"/>
          <w:szCs w:val="18"/>
        </w:rPr>
      </w:pPr>
      <w:r w:rsidRPr="001E62C6">
        <w:rPr>
          <w:rFonts w:eastAsia="Times New Roman"/>
          <w:sz w:val="18"/>
          <w:szCs w:val="18"/>
        </w:rPr>
        <w:t>The impact</w:t>
      </w:r>
      <w:r>
        <w:rPr>
          <w:rFonts w:eastAsia="Times New Roman"/>
          <w:sz w:val="18"/>
          <w:szCs w:val="18"/>
        </w:rPr>
        <w:t>s are</w:t>
      </w:r>
      <w:r w:rsidRPr="001E62C6">
        <w:rPr>
          <w:rFonts w:eastAsia="Times New Roman"/>
          <w:sz w:val="18"/>
          <w:szCs w:val="18"/>
        </w:rPr>
        <w:t xml:space="preserve"> on</w:t>
      </w:r>
      <w:r>
        <w:rPr>
          <w:rFonts w:eastAsia="Times New Roman"/>
          <w:sz w:val="18"/>
          <w:szCs w:val="18"/>
        </w:rPr>
        <w:t xml:space="preserve"> a</w:t>
      </w:r>
      <w:r w:rsidRPr="001E62C6">
        <w:rPr>
          <w:rFonts w:eastAsia="Times New Roman"/>
          <w:sz w:val="18"/>
          <w:szCs w:val="18"/>
        </w:rPr>
        <w:t xml:space="preserve"> </w:t>
      </w:r>
      <w:r>
        <w:rPr>
          <w:rFonts w:eastAsia="Times New Roman"/>
          <w:sz w:val="18"/>
          <w:szCs w:val="18"/>
        </w:rPr>
        <w:t>fiscal balance basis.</w:t>
      </w:r>
    </w:p>
    <w:p w:rsidR="0012793D" w:rsidRPr="0012793D" w:rsidRDefault="0012793D" w:rsidP="00290579">
      <w:pPr>
        <w:keepLines/>
        <w:numPr>
          <w:ilvl w:val="0"/>
          <w:numId w:val="25"/>
        </w:numPr>
        <w:spacing w:before="60" w:after="0"/>
        <w:ind w:left="567" w:hanging="567"/>
        <w:rPr>
          <w:rFonts w:eastAsia="Times New Roman"/>
          <w:sz w:val="18"/>
          <w:szCs w:val="18"/>
        </w:rPr>
      </w:pPr>
      <w:r w:rsidRPr="0012793D">
        <w:rPr>
          <w:rFonts w:eastAsia="Times New Roman"/>
          <w:sz w:val="18"/>
          <w:szCs w:val="18"/>
        </w:rPr>
        <w:t>Figures presented are based on economic and fiscal parameters as at the 2015</w:t>
      </w:r>
      <w:r w:rsidR="00CA4134">
        <w:rPr>
          <w:rFonts w:eastAsia="Times New Roman"/>
          <w:sz w:val="18"/>
          <w:szCs w:val="18"/>
        </w:rPr>
        <w:t>–</w:t>
      </w:r>
      <w:r w:rsidRPr="0012793D">
        <w:rPr>
          <w:rFonts w:eastAsia="Times New Roman"/>
          <w:sz w:val="18"/>
          <w:szCs w:val="18"/>
        </w:rPr>
        <w:t>16 MYEFO.</w:t>
      </w:r>
    </w:p>
    <w:p w:rsidR="001015EF" w:rsidRDefault="001A54A2" w:rsidP="00290579">
      <w:pPr>
        <w:keepLines/>
        <w:numPr>
          <w:ilvl w:val="0"/>
          <w:numId w:val="25"/>
        </w:numPr>
        <w:spacing w:before="60" w:after="0"/>
        <w:ind w:left="567" w:hanging="567"/>
        <w:rPr>
          <w:rFonts w:eastAsia="Times New Roman"/>
          <w:sz w:val="18"/>
          <w:szCs w:val="18"/>
        </w:rPr>
        <w:sectPr w:rsidR="001015EF" w:rsidSect="008D60E0">
          <w:pgSz w:w="16840" w:h="11900" w:orient="landscape"/>
          <w:pgMar w:top="1440" w:right="1440" w:bottom="1440" w:left="1440" w:header="709" w:footer="709" w:gutter="0"/>
          <w:cols w:space="708"/>
          <w:titlePg/>
          <w:docGrid w:linePitch="326"/>
        </w:sectPr>
      </w:pPr>
      <w:r w:rsidRPr="002C79A4">
        <w:rPr>
          <w:rFonts w:eastAsia="Times New Roman"/>
          <w:sz w:val="18"/>
          <w:szCs w:val="18"/>
        </w:rPr>
        <w:t>Amounts may not sum due to rounding.</w:t>
      </w:r>
    </w:p>
    <w:p w:rsidR="001A54A2" w:rsidRPr="00290579" w:rsidRDefault="001A54A2" w:rsidP="00290579">
      <w:pPr>
        <w:pStyle w:val="PBOfiguretableheading"/>
      </w:pPr>
      <w:bookmarkStart w:id="16" w:name="TableB2"/>
      <w:r w:rsidRPr="002877FA">
        <w:lastRenderedPageBreak/>
        <w:t xml:space="preserve">Table </w:t>
      </w:r>
      <w:r w:rsidR="00053250" w:rsidRPr="002877FA">
        <w:t>B2</w:t>
      </w:r>
      <w:bookmarkEnd w:id="16"/>
      <w:r w:rsidR="002276D6" w:rsidRPr="002877FA">
        <w:t>:</w:t>
      </w:r>
      <w:r w:rsidR="002877FA">
        <w:t xml:space="preserve"> </w:t>
      </w:r>
      <w:r w:rsidR="0012793D" w:rsidRPr="002877FA">
        <w:t>PBO projections of s</w:t>
      </w:r>
      <w:r w:rsidR="002B3ADF" w:rsidRPr="002877FA">
        <w:t>cenario where Commonwealth hospital funding was to be provided in accordance with the National Health Reform Agreement 2011, over 2014</w:t>
      </w:r>
      <w:r w:rsidR="002877FA">
        <w:t>–</w:t>
      </w:r>
      <w:r w:rsidR="002B3ADF" w:rsidRPr="002877FA">
        <w:t>15 to 2024</w:t>
      </w:r>
      <w:r w:rsidR="002877FA">
        <w:t>–</w:t>
      </w:r>
      <w:r w:rsidR="002B3ADF" w:rsidRPr="002877FA">
        <w:t>25</w:t>
      </w:r>
      <w:r w:rsidR="00BC5B52" w:rsidRPr="002877FA">
        <w:rPr>
          <w:rStyle w:val="FootnoteReference"/>
        </w:rPr>
        <w:footnoteReference w:id="6"/>
      </w:r>
      <w:r w:rsidR="004C7EF0">
        <w:t xml:space="preserve"> </w:t>
      </w:r>
      <w:r w:rsidRPr="00290579">
        <w:t>(a</w:t>
      </w:r>
      <w:proofErr w:type="gramStart"/>
      <w:r w:rsidRPr="00290579">
        <w:t>)(</w:t>
      </w:r>
      <w:proofErr w:type="gramEnd"/>
      <w:r w:rsidRPr="00290579">
        <w:t>b</w:t>
      </w:r>
      <w:r w:rsidR="002877FA">
        <w:t>)</w:t>
      </w:r>
      <w:r w:rsidR="002B3ADF" w:rsidRPr="00290579">
        <w:t>(c)</w:t>
      </w:r>
      <w:r w:rsidR="002877FA">
        <w:t>(d)</w:t>
      </w:r>
    </w:p>
    <w:tbl>
      <w:tblPr>
        <w:tblStyle w:val="PBOtable"/>
        <w:tblW w:w="14034" w:type="dxa"/>
        <w:tblLook w:val="04A0" w:firstRow="1" w:lastRow="0" w:firstColumn="1" w:lastColumn="0" w:noHBand="0" w:noVBand="1"/>
      </w:tblPr>
      <w:tblGrid>
        <w:gridCol w:w="2235"/>
        <w:gridCol w:w="983"/>
        <w:gridCol w:w="983"/>
        <w:gridCol w:w="983"/>
        <w:gridCol w:w="984"/>
        <w:gridCol w:w="983"/>
        <w:gridCol w:w="983"/>
        <w:gridCol w:w="983"/>
        <w:gridCol w:w="984"/>
        <w:gridCol w:w="983"/>
        <w:gridCol w:w="983"/>
        <w:gridCol w:w="983"/>
        <w:gridCol w:w="984"/>
      </w:tblGrid>
      <w:tr w:rsidR="00290579" w:rsidRPr="00E51BFB" w:rsidTr="002877F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35" w:type="dxa"/>
            <w:shd w:val="clear" w:color="auto" w:fill="2B3B5F"/>
          </w:tcPr>
          <w:p w:rsidR="002B3ADF" w:rsidRPr="00E51BFB" w:rsidRDefault="002B3ADF" w:rsidP="00290579">
            <w:pPr>
              <w:spacing w:before="70" w:after="70"/>
              <w:jc w:val="left"/>
            </w:pPr>
            <w:r w:rsidRPr="00E51BFB">
              <w:t>($m)</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2014–15</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2015–16</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2016–17</w:t>
            </w:r>
          </w:p>
        </w:tc>
        <w:tc>
          <w:tcPr>
            <w:tcW w:w="984"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2017–18</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2018–19</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2019–20</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2020–21</w:t>
            </w:r>
          </w:p>
        </w:tc>
        <w:tc>
          <w:tcPr>
            <w:tcW w:w="984"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2021–22</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2022–23</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2023–24</w:t>
            </w:r>
          </w:p>
        </w:tc>
        <w:tc>
          <w:tcPr>
            <w:tcW w:w="983" w:type="dxa"/>
            <w:shd w:val="clear" w:color="auto" w:fill="2B3B5F"/>
          </w:tcPr>
          <w:p w:rsidR="002B3ADF" w:rsidRPr="00E51BFB" w:rsidRDefault="002B3ADF" w:rsidP="002877FA">
            <w:pPr>
              <w:spacing w:before="70" w:after="70"/>
              <w:ind w:left="-57" w:right="-57"/>
              <w:jc w:val="right"/>
              <w:cnfStyle w:val="100000000000" w:firstRow="1" w:lastRow="0" w:firstColumn="0" w:lastColumn="0" w:oddVBand="0" w:evenVBand="0" w:oddHBand="0" w:evenHBand="0" w:firstRowFirstColumn="0" w:firstRowLastColumn="0" w:lastRowFirstColumn="0" w:lastRowLastColumn="0"/>
            </w:pPr>
            <w:r w:rsidRPr="00E51BFB">
              <w:t>2024–25</w:t>
            </w:r>
          </w:p>
        </w:tc>
        <w:tc>
          <w:tcPr>
            <w:tcW w:w="984" w:type="dxa"/>
            <w:shd w:val="clear" w:color="auto" w:fill="2B3B5F"/>
          </w:tcPr>
          <w:p w:rsidR="002B3ADF" w:rsidRPr="00E51BFB" w:rsidRDefault="002B3ADF" w:rsidP="00290579">
            <w:pPr>
              <w:spacing w:before="70" w:after="70"/>
              <w:ind w:left="-57"/>
              <w:jc w:val="right"/>
              <w:cnfStyle w:val="100000000000" w:firstRow="1" w:lastRow="0" w:firstColumn="0" w:lastColumn="0" w:oddVBand="0" w:evenVBand="0" w:oddHBand="0" w:evenHBand="0" w:firstRowFirstColumn="0" w:firstRowLastColumn="0" w:lastRowFirstColumn="0" w:lastRowLastColumn="0"/>
            </w:pPr>
            <w:r w:rsidRPr="00E51BFB">
              <w:t>Total</w:t>
            </w:r>
          </w:p>
        </w:tc>
      </w:tr>
      <w:tr w:rsidR="004168CF"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New South Wales</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4,878</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5,243</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5,523</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6,126</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6,788</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7,501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8,273</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9,114</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10,016</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10,991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12,041</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86,494</w:t>
            </w:r>
          </w:p>
        </w:tc>
      </w:tr>
      <w:tr w:rsidR="004168CF"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Victoria</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3,851</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4,134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4,331</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4,805</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5,323</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5,883</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6,488</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7,148</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7,855</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8,619</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9,443</w:t>
            </w:r>
          </w:p>
        </w:tc>
        <w:tc>
          <w:tcPr>
            <w:tcW w:w="984" w:type="dxa"/>
          </w:tcPr>
          <w:p w:rsidR="004168CF" w:rsidRPr="006870FA" w:rsidRDefault="004168C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67,880</w:t>
            </w:r>
          </w:p>
        </w:tc>
      </w:tr>
      <w:tr w:rsidR="004168CF"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Queensland</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3,061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3,284</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3,451</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3,828</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4,242</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4,687</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5,170</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5,695</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6,259</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6,868</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7,525</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54,070</w:t>
            </w:r>
          </w:p>
        </w:tc>
      </w:tr>
      <w:tr w:rsidR="004168CF"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Western Australia</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1,755</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1,831</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1,956</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2,169</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2,403</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2,656</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2,929</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3,227</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3,546</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3,891</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4,263</w:t>
            </w:r>
          </w:p>
        </w:tc>
        <w:tc>
          <w:tcPr>
            <w:tcW w:w="984" w:type="dxa"/>
          </w:tcPr>
          <w:p w:rsidR="004168CF" w:rsidRPr="006870FA" w:rsidRDefault="004168C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30,626</w:t>
            </w:r>
          </w:p>
        </w:tc>
      </w:tr>
      <w:tr w:rsidR="004168CF"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South Australia</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1,125</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1,188</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1,238</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1,373</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1,521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1,681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1,854</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2,043</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2,245</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2,464</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2,699</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19,431</w:t>
            </w:r>
          </w:p>
        </w:tc>
      </w:tr>
      <w:tr w:rsidR="004168CF"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Tasmania</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334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349</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359</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398</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441</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487</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538</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592</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651</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714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782</w:t>
            </w:r>
          </w:p>
        </w:tc>
        <w:tc>
          <w:tcPr>
            <w:tcW w:w="984" w:type="dxa"/>
          </w:tcPr>
          <w:p w:rsidR="004168CF" w:rsidRPr="006870FA" w:rsidRDefault="004168C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5,645</w:t>
            </w:r>
          </w:p>
        </w:tc>
      </w:tr>
      <w:tr w:rsidR="004168CF" w:rsidRPr="00E51BFB"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color w:val="000000"/>
              </w:rPr>
            </w:pPr>
            <w:r w:rsidRPr="00E51BFB">
              <w:rPr>
                <w:b w:val="0"/>
                <w:color w:val="000000"/>
              </w:rPr>
              <w:t>Australian Capital Territory</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305</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321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343</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380</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421</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466</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514</w:t>
            </w:r>
          </w:p>
        </w:tc>
        <w:tc>
          <w:tcPr>
            <w:tcW w:w="984"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566</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622</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682</w:t>
            </w:r>
          </w:p>
        </w:tc>
        <w:tc>
          <w:tcPr>
            <w:tcW w:w="983" w:type="dxa"/>
          </w:tcPr>
          <w:p w:rsidR="004168CF" w:rsidRPr="00F3147D" w:rsidRDefault="004168CF" w:rsidP="00290579">
            <w:pPr>
              <w:jc w:val="right"/>
              <w:cnfStyle w:val="000000100000" w:firstRow="0" w:lastRow="0" w:firstColumn="0" w:lastColumn="0" w:oddVBand="0" w:evenVBand="0" w:oddHBand="1" w:evenHBand="0" w:firstRowFirstColumn="0" w:firstRowLastColumn="0" w:lastRowFirstColumn="0" w:lastRowLastColumn="0"/>
            </w:pPr>
            <w:r w:rsidRPr="00F3147D">
              <w:t>748</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5,368</w:t>
            </w:r>
          </w:p>
        </w:tc>
      </w:tr>
      <w:tr w:rsidR="004168CF" w:rsidRPr="00E51BFB" w:rsidTr="002905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 w:val="0"/>
                <w:bCs/>
                <w:color w:val="000000"/>
              </w:rPr>
            </w:pPr>
            <w:r w:rsidRPr="00E51BFB">
              <w:rPr>
                <w:b w:val="0"/>
                <w:bCs/>
                <w:color w:val="000000"/>
              </w:rPr>
              <w:t>Northern Territory</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158</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174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193</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214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237</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262</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289</w:t>
            </w:r>
          </w:p>
        </w:tc>
        <w:tc>
          <w:tcPr>
            <w:tcW w:w="984"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318</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350</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384</w:t>
            </w:r>
          </w:p>
        </w:tc>
        <w:tc>
          <w:tcPr>
            <w:tcW w:w="983" w:type="dxa"/>
          </w:tcPr>
          <w:p w:rsidR="004168CF" w:rsidRPr="00F3147D" w:rsidRDefault="004168CF" w:rsidP="00290579">
            <w:pPr>
              <w:jc w:val="right"/>
              <w:cnfStyle w:val="000000010000" w:firstRow="0" w:lastRow="0" w:firstColumn="0" w:lastColumn="0" w:oddVBand="0" w:evenVBand="0" w:oddHBand="0" w:evenHBand="1" w:firstRowFirstColumn="0" w:firstRowLastColumn="0" w:lastRowFirstColumn="0" w:lastRowLastColumn="0"/>
            </w:pPr>
            <w:r w:rsidRPr="00F3147D">
              <w:t>420</w:t>
            </w:r>
          </w:p>
        </w:tc>
        <w:tc>
          <w:tcPr>
            <w:tcW w:w="984" w:type="dxa"/>
          </w:tcPr>
          <w:p w:rsidR="004168CF" w:rsidRPr="006870FA" w:rsidRDefault="004168CF" w:rsidP="00290579">
            <w:pPr>
              <w:jc w:val="right"/>
              <w:cnfStyle w:val="000000010000" w:firstRow="0" w:lastRow="0" w:firstColumn="0" w:lastColumn="0" w:oddVBand="0" w:evenVBand="0" w:oddHBand="0" w:evenHBand="1" w:firstRowFirstColumn="0" w:firstRowLastColumn="0" w:lastRowFirstColumn="0" w:lastRowLastColumn="0"/>
              <w:rPr>
                <w:b/>
              </w:rPr>
            </w:pPr>
            <w:r w:rsidRPr="006870FA">
              <w:rPr>
                <w:b/>
              </w:rPr>
              <w:t>2,999</w:t>
            </w:r>
          </w:p>
        </w:tc>
      </w:tr>
      <w:tr w:rsidR="004168CF" w:rsidRPr="006870FA" w:rsidTr="002905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35" w:type="dxa"/>
          </w:tcPr>
          <w:p w:rsidR="004168CF" w:rsidRPr="00E51BFB" w:rsidRDefault="004168CF" w:rsidP="002877FA">
            <w:pPr>
              <w:spacing w:before="70" w:after="70"/>
              <w:rPr>
                <w:bCs/>
                <w:color w:val="000000"/>
              </w:rPr>
            </w:pPr>
            <w:r w:rsidRPr="00E51BFB">
              <w:rPr>
                <w:bCs/>
                <w:color w:val="000000"/>
              </w:rPr>
              <w:t>Total</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15,466</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16,525</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17,394</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19,294</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21,377</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23,623</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26,055</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28,703</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31,545</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34,613</w:t>
            </w:r>
          </w:p>
        </w:tc>
        <w:tc>
          <w:tcPr>
            <w:tcW w:w="983"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37,922</w:t>
            </w:r>
          </w:p>
        </w:tc>
        <w:tc>
          <w:tcPr>
            <w:tcW w:w="984" w:type="dxa"/>
          </w:tcPr>
          <w:p w:rsidR="004168CF" w:rsidRPr="006870FA" w:rsidRDefault="004168CF" w:rsidP="00290579">
            <w:pPr>
              <w:jc w:val="right"/>
              <w:cnfStyle w:val="000000100000" w:firstRow="0" w:lastRow="0" w:firstColumn="0" w:lastColumn="0" w:oddVBand="0" w:evenVBand="0" w:oddHBand="1" w:evenHBand="0" w:firstRowFirstColumn="0" w:firstRowLastColumn="0" w:lastRowFirstColumn="0" w:lastRowLastColumn="0"/>
              <w:rPr>
                <w:b/>
              </w:rPr>
            </w:pPr>
            <w:r w:rsidRPr="006870FA">
              <w:rPr>
                <w:b/>
              </w:rPr>
              <w:t>272,517</w:t>
            </w:r>
          </w:p>
        </w:tc>
      </w:tr>
    </w:tbl>
    <w:p w:rsidR="001A54A2" w:rsidRDefault="001A54A2" w:rsidP="00290579">
      <w:pPr>
        <w:keepLines/>
        <w:numPr>
          <w:ilvl w:val="0"/>
          <w:numId w:val="26"/>
        </w:numPr>
        <w:spacing w:before="60" w:after="0"/>
        <w:ind w:left="567" w:hanging="567"/>
        <w:rPr>
          <w:rFonts w:eastAsia="Times New Roman"/>
          <w:sz w:val="18"/>
          <w:szCs w:val="18"/>
        </w:rPr>
      </w:pPr>
      <w:r w:rsidRPr="001E62C6">
        <w:rPr>
          <w:rFonts w:eastAsia="Times New Roman"/>
          <w:sz w:val="18"/>
          <w:szCs w:val="18"/>
        </w:rPr>
        <w:t>The impact</w:t>
      </w:r>
      <w:r>
        <w:rPr>
          <w:rFonts w:eastAsia="Times New Roman"/>
          <w:sz w:val="18"/>
          <w:szCs w:val="18"/>
        </w:rPr>
        <w:t>s are</w:t>
      </w:r>
      <w:r w:rsidRPr="001E62C6">
        <w:rPr>
          <w:rFonts w:eastAsia="Times New Roman"/>
          <w:sz w:val="18"/>
          <w:szCs w:val="18"/>
        </w:rPr>
        <w:t xml:space="preserve"> on</w:t>
      </w:r>
      <w:r>
        <w:rPr>
          <w:rFonts w:eastAsia="Times New Roman"/>
          <w:sz w:val="18"/>
          <w:szCs w:val="18"/>
        </w:rPr>
        <w:t xml:space="preserve"> a</w:t>
      </w:r>
      <w:r w:rsidRPr="001E62C6">
        <w:rPr>
          <w:rFonts w:eastAsia="Times New Roman"/>
          <w:sz w:val="18"/>
          <w:szCs w:val="18"/>
        </w:rPr>
        <w:t xml:space="preserve"> </w:t>
      </w:r>
      <w:r>
        <w:rPr>
          <w:rFonts w:eastAsia="Times New Roman"/>
          <w:sz w:val="18"/>
          <w:szCs w:val="18"/>
        </w:rPr>
        <w:t>fiscal balance basis.</w:t>
      </w:r>
    </w:p>
    <w:p w:rsidR="0012793D" w:rsidRPr="0012793D" w:rsidRDefault="0012793D" w:rsidP="00290579">
      <w:pPr>
        <w:keepLines/>
        <w:numPr>
          <w:ilvl w:val="0"/>
          <w:numId w:val="26"/>
        </w:numPr>
        <w:spacing w:before="60" w:after="0"/>
        <w:ind w:left="567" w:hanging="567"/>
        <w:rPr>
          <w:rFonts w:eastAsia="Times New Roman"/>
          <w:sz w:val="18"/>
          <w:szCs w:val="18"/>
        </w:rPr>
      </w:pPr>
      <w:r w:rsidRPr="0012793D">
        <w:rPr>
          <w:rFonts w:eastAsia="Times New Roman"/>
          <w:sz w:val="18"/>
          <w:szCs w:val="18"/>
        </w:rPr>
        <w:t>Figures presented are based on economic and fiscal parameters as at the 2015</w:t>
      </w:r>
      <w:r w:rsidR="002877FA">
        <w:rPr>
          <w:rFonts w:eastAsia="Times New Roman"/>
          <w:sz w:val="18"/>
          <w:szCs w:val="18"/>
        </w:rPr>
        <w:t>–</w:t>
      </w:r>
      <w:r w:rsidRPr="0012793D">
        <w:rPr>
          <w:rFonts w:eastAsia="Times New Roman"/>
          <w:sz w:val="18"/>
          <w:szCs w:val="18"/>
        </w:rPr>
        <w:t>16 MYEFO.</w:t>
      </w:r>
    </w:p>
    <w:p w:rsidR="002B3ADF" w:rsidRDefault="002B3ADF" w:rsidP="00290579">
      <w:pPr>
        <w:keepLines/>
        <w:numPr>
          <w:ilvl w:val="0"/>
          <w:numId w:val="26"/>
        </w:numPr>
        <w:spacing w:before="60" w:after="0"/>
        <w:ind w:left="567" w:hanging="567"/>
        <w:rPr>
          <w:rFonts w:eastAsia="Times New Roman"/>
          <w:sz w:val="18"/>
          <w:szCs w:val="18"/>
        </w:rPr>
      </w:pPr>
      <w:r w:rsidRPr="002C79A4">
        <w:rPr>
          <w:rFonts w:eastAsia="Times New Roman"/>
          <w:sz w:val="18"/>
          <w:szCs w:val="18"/>
        </w:rPr>
        <w:t>Amounts may not sum due to rounding</w:t>
      </w:r>
      <w:r w:rsidR="004C7EF0">
        <w:rPr>
          <w:rFonts w:eastAsia="Times New Roman"/>
          <w:sz w:val="18"/>
          <w:szCs w:val="18"/>
        </w:rPr>
        <w:t>.</w:t>
      </w:r>
    </w:p>
    <w:p w:rsidR="0012793D" w:rsidRPr="007804DA" w:rsidRDefault="0012793D" w:rsidP="00DC3B84">
      <w:pPr>
        <w:keepLines/>
        <w:numPr>
          <w:ilvl w:val="0"/>
          <w:numId w:val="26"/>
        </w:numPr>
        <w:spacing w:before="60" w:after="0"/>
        <w:ind w:left="567" w:hanging="567"/>
      </w:pPr>
      <w:r w:rsidRPr="0012793D">
        <w:rPr>
          <w:rFonts w:eastAsia="Times New Roman"/>
          <w:sz w:val="18"/>
          <w:szCs w:val="18"/>
        </w:rPr>
        <w:t>Note the</w:t>
      </w:r>
      <w:r w:rsidR="00DC3B84">
        <w:rPr>
          <w:rFonts w:eastAsia="Times New Roman"/>
          <w:sz w:val="18"/>
          <w:szCs w:val="18"/>
        </w:rPr>
        <w:t>se figures exclude ant state specific of national guarantee funding.</w:t>
      </w:r>
    </w:p>
    <w:sectPr w:rsidR="0012793D" w:rsidRPr="007804DA" w:rsidSect="00DC3B84">
      <w:footerReference w:type="first" r:id="rId34"/>
      <w:pgSz w:w="16840" w:h="11900" w:orient="landscape"/>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89F" w:rsidRDefault="000E189F">
      <w:pPr>
        <w:spacing w:before="0" w:after="0"/>
      </w:pPr>
      <w:r>
        <w:separator/>
      </w:r>
    </w:p>
  </w:endnote>
  <w:endnote w:type="continuationSeparator" w:id="0">
    <w:p w:rsidR="000E189F" w:rsidRDefault="000E18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1604C4" w:rsidRDefault="000E189F" w:rsidP="001604C4">
    <w:pPr>
      <w:pStyle w:val="Footer"/>
      <w:jc w:val="center"/>
    </w:pPr>
    <w:r>
      <w:t xml:space="preserve">Page </w:t>
    </w:r>
    <w:r>
      <w:rPr>
        <w:b w:val="0"/>
        <w:bCs/>
        <w:sz w:val="24"/>
        <w:szCs w:val="24"/>
      </w:rPr>
      <w:fldChar w:fldCharType="begin"/>
    </w:r>
    <w:r>
      <w:rPr>
        <w:bCs/>
      </w:rPr>
      <w:instrText xml:space="preserve"> PAGE </w:instrText>
    </w:r>
    <w:r>
      <w:rPr>
        <w:b w:val="0"/>
        <w:bCs/>
        <w:sz w:val="24"/>
        <w:szCs w:val="24"/>
      </w:rPr>
      <w:fldChar w:fldCharType="separate"/>
    </w:r>
    <w:r>
      <w:rPr>
        <w:bCs/>
        <w:noProof/>
      </w:rPr>
      <w:t>15</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Pr>
        <w:bCs/>
        <w:noProof/>
      </w:rPr>
      <w:t>15</w:t>
    </w:r>
    <w:r>
      <w:rPr>
        <w:b w:val="0"/>
        <w:bCs/>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3557C8">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708416" behindDoc="0" locked="0" layoutInCell="1" allowOverlap="1" wp14:anchorId="0FFA4BA3" wp14:editId="1034538E">
              <wp:simplePos x="0" y="0"/>
              <wp:positionH relativeFrom="column">
                <wp:posOffset>4520565</wp:posOffset>
              </wp:positionH>
              <wp:positionV relativeFrom="paragraph">
                <wp:posOffset>-42545</wp:posOffset>
              </wp:positionV>
              <wp:extent cx="1323975" cy="2952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3557C8">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38" type="#_x0000_t202" style="position:absolute;margin-left:355.95pt;margin-top:-3.35pt;width:104.25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" filled="f" stroked="f" strokeweight=".5pt">
              <v:textbox>
                <w:txbxContent>
                  <w:p w:rsidR="000E189F" w:rsidRPr="00273BB3" w:rsidRDefault="000E189F" w:rsidP="003557C8">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noProof/>
      </w:rPr>
      <mc:AlternateContent>
        <mc:Choice Requires="wps">
          <w:drawing>
            <wp:anchor distT="0" distB="0" distL="114300" distR="114300" simplePos="0" relativeHeight="251707392" behindDoc="0" locked="0" layoutInCell="1" allowOverlap="1" wp14:anchorId="42762FEC" wp14:editId="4B19598F">
              <wp:simplePos x="0" y="0"/>
              <wp:positionH relativeFrom="column">
                <wp:posOffset>7642860</wp:posOffset>
              </wp:positionH>
              <wp:positionV relativeFrom="paragraph">
                <wp:posOffset>-40640</wp:posOffset>
              </wp:positionV>
              <wp:extent cx="1329055" cy="295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290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3557C8">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9" type="#_x0000_t202" style="position:absolute;margin-left:601.8pt;margin-top:-3.2pt;width:104.65pt;height:23.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" filled="f" stroked="f" strokeweight=".5pt">
              <v:textbox>
                <w:txbxContent>
                  <w:p w:rsidR="000E189F" w:rsidRPr="00273BB3" w:rsidRDefault="000E189F" w:rsidP="003557C8">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FD6F82">
      <w:rPr>
        <w:b w:val="0"/>
      </w:rPr>
      <w:t>Senate Select Committee on Health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81792" behindDoc="0" locked="0" layoutInCell="1" allowOverlap="1" wp14:anchorId="1D128170" wp14:editId="69FC5F4E">
              <wp:simplePos x="0" y="0"/>
              <wp:positionH relativeFrom="column">
                <wp:posOffset>4490085</wp:posOffset>
              </wp:positionH>
              <wp:positionV relativeFrom="paragraph">
                <wp:posOffset>-42545</wp:posOffset>
              </wp:positionV>
              <wp:extent cx="1323975" cy="295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4</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53.55pt;margin-top:-3.35pt;width:104.2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4</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954989">
      <w:rPr>
        <w:b w:val="0"/>
      </w:rPr>
      <w:t>Senate Select Committee</w:t>
    </w:r>
    <w:r>
      <w:rPr>
        <w:b w:val="0"/>
      </w:rPr>
      <w:t xml:space="preserve"> on Health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FD6F82">
    <w:pPr>
      <w:pStyle w:val="Footer"/>
      <w:pBdr>
        <w:top w:val="single" w:sz="4" w:space="1" w:color="2B3B5F"/>
      </w:pBdr>
      <w:spacing w:before="0"/>
      <w:rPr>
        <w:b w:val="0"/>
      </w:rPr>
    </w:pPr>
    <w:r w:rsidRPr="00273BB3">
      <w:rPr>
        <w:noProof/>
      </w:rPr>
      <mc:AlternateContent>
        <mc:Choice Requires="wps">
          <w:drawing>
            <wp:anchor distT="0" distB="0" distL="114300" distR="114300" simplePos="0" relativeHeight="251679744" behindDoc="0" locked="0" layoutInCell="1" allowOverlap="1" wp14:anchorId="31CDE4B6" wp14:editId="42CBD6A9">
              <wp:simplePos x="0" y="0"/>
              <wp:positionH relativeFrom="column">
                <wp:posOffset>4511040</wp:posOffset>
              </wp:positionH>
              <wp:positionV relativeFrom="paragraph">
                <wp:posOffset>-32385</wp:posOffset>
              </wp:positionV>
              <wp:extent cx="132905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3290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55.2pt;margin-top:-2.55pt;width:104.65pt;height:2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FD6F82">
      <w:rPr>
        <w:b w:val="0"/>
      </w:rPr>
      <w:t>Senate Select Committee on Health</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86912" behindDoc="0" locked="0" layoutInCell="1" allowOverlap="1" wp14:anchorId="0787A378" wp14:editId="7996E625">
              <wp:simplePos x="0" y="0"/>
              <wp:positionH relativeFrom="column">
                <wp:posOffset>7635240</wp:posOffset>
              </wp:positionH>
              <wp:positionV relativeFrom="paragraph">
                <wp:posOffset>-35560</wp:posOffset>
              </wp:positionV>
              <wp:extent cx="1323975" cy="2952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601.2pt;margin-top:-2.8pt;width:104.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954989">
      <w:rPr>
        <w:b w:val="0"/>
      </w:rPr>
      <w:t>Senate Select Committee</w:t>
    </w:r>
    <w:r>
      <w:rPr>
        <w:b w:val="0"/>
      </w:rPr>
      <w:t xml:space="preserve"> on Health</w:t>
    </w:r>
    <w:r w:rsidRPr="00273BB3">
      <w:rPr>
        <w:b w:val="0"/>
        <w:noProof/>
      </w:rPr>
      <mc:AlternateContent>
        <mc:Choice Requires="wps">
          <w:drawing>
            <wp:anchor distT="0" distB="0" distL="114300" distR="114300" simplePos="0" relativeHeight="251693056" behindDoc="0" locked="0" layoutInCell="1" allowOverlap="1" wp14:anchorId="2D080914" wp14:editId="2851012F">
              <wp:simplePos x="0" y="0"/>
              <wp:positionH relativeFrom="column">
                <wp:posOffset>4642485</wp:posOffset>
              </wp:positionH>
              <wp:positionV relativeFrom="paragraph">
                <wp:posOffset>3246755</wp:posOffset>
              </wp:positionV>
              <wp:extent cx="1323975" cy="295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365.55pt;margin-top:255.65pt;width:104.2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FD6F82">
    <w:pPr>
      <w:pStyle w:val="Footer"/>
      <w:pBdr>
        <w:top w:val="single" w:sz="4" w:space="1" w:color="2B3B5F"/>
      </w:pBdr>
      <w:spacing w:before="0"/>
      <w:rPr>
        <w:b w:val="0"/>
      </w:rPr>
    </w:pPr>
    <w:r w:rsidRPr="00273BB3">
      <w:rPr>
        <w:noProof/>
      </w:rPr>
      <mc:AlternateContent>
        <mc:Choice Requires="wps">
          <w:drawing>
            <wp:anchor distT="0" distB="0" distL="114300" distR="114300" simplePos="0" relativeHeight="251683840" behindDoc="0" locked="0" layoutInCell="1" allowOverlap="1" wp14:anchorId="46A73566" wp14:editId="17B87548">
              <wp:simplePos x="0" y="0"/>
              <wp:positionH relativeFrom="column">
                <wp:posOffset>7642860</wp:posOffset>
              </wp:positionH>
              <wp:positionV relativeFrom="paragraph">
                <wp:posOffset>-40640</wp:posOffset>
              </wp:positionV>
              <wp:extent cx="1329055" cy="295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290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601.8pt;margin-top:-3.2pt;width:104.65pt;height:23.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nggAIAAGs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5</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FD6F82">
      <w:rPr>
        <w:b w:val="0"/>
      </w:rPr>
      <w:t>Senate Select Committee on Health</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FD6F82">
    <w:pPr>
      <w:pStyle w:val="Footer"/>
      <w:pBdr>
        <w:top w:val="single" w:sz="4" w:space="1" w:color="2B3B5F"/>
      </w:pBdr>
      <w:spacing w:before="0"/>
      <w:rPr>
        <w:b w:val="0"/>
      </w:rPr>
    </w:pPr>
    <w:r w:rsidRPr="00273BB3">
      <w:rPr>
        <w:noProof/>
      </w:rPr>
      <mc:AlternateContent>
        <mc:Choice Requires="wps">
          <w:drawing>
            <wp:anchor distT="0" distB="0" distL="114300" distR="114300" simplePos="0" relativeHeight="251691008" behindDoc="0" locked="0" layoutInCell="1" allowOverlap="1" wp14:anchorId="1A6E60E7" wp14:editId="17884960">
              <wp:simplePos x="0" y="0"/>
              <wp:positionH relativeFrom="column">
                <wp:posOffset>4520565</wp:posOffset>
              </wp:positionH>
              <wp:positionV relativeFrom="paragraph">
                <wp:posOffset>-42545</wp:posOffset>
              </wp:positionV>
              <wp:extent cx="13239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8</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355.95pt;margin-top:-3.35pt;width:104.25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8</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noProof/>
      </w:rPr>
      <mc:AlternateContent>
        <mc:Choice Requires="wps">
          <w:drawing>
            <wp:anchor distT="0" distB="0" distL="114300" distR="114300" simplePos="0" relativeHeight="251688960" behindDoc="0" locked="0" layoutInCell="1" allowOverlap="1" wp14:anchorId="627397FA" wp14:editId="079A4331">
              <wp:simplePos x="0" y="0"/>
              <wp:positionH relativeFrom="column">
                <wp:posOffset>7642860</wp:posOffset>
              </wp:positionH>
              <wp:positionV relativeFrom="paragraph">
                <wp:posOffset>-40640</wp:posOffset>
              </wp:positionV>
              <wp:extent cx="1329055" cy="2952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2905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8</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style="position:absolute;margin-left:601.8pt;margin-top:-3.2pt;width:104.65pt;height:23.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8</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FD6F82">
      <w:rPr>
        <w:b w:val="0"/>
      </w:rPr>
      <w:t>Senate Select Committee on Health</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99200" behindDoc="0" locked="0" layoutInCell="1" allowOverlap="1" wp14:anchorId="5189C528" wp14:editId="2D5D63E7">
              <wp:simplePos x="0" y="0"/>
              <wp:positionH relativeFrom="column">
                <wp:posOffset>4512945</wp:posOffset>
              </wp:positionH>
              <wp:positionV relativeFrom="paragraph">
                <wp:posOffset>-42545</wp:posOffset>
              </wp:positionV>
              <wp:extent cx="1323975" cy="295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355.35pt;margin-top:-3.35pt;width:104.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noProof/>
      </w:rPr>
      <mc:AlternateContent>
        <mc:Choice Requires="wps">
          <w:drawing>
            <wp:anchor distT="0" distB="0" distL="114300" distR="114300" simplePos="0" relativeHeight="251696128" behindDoc="0" locked="0" layoutInCell="1" allowOverlap="1" wp14:anchorId="1E7F2466" wp14:editId="0EA411A8">
              <wp:simplePos x="0" y="0"/>
              <wp:positionH relativeFrom="column">
                <wp:posOffset>7635240</wp:posOffset>
              </wp:positionH>
              <wp:positionV relativeFrom="paragraph">
                <wp:posOffset>-35560</wp:posOffset>
              </wp:positionV>
              <wp:extent cx="1323975" cy="295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4" type="#_x0000_t202" style="position:absolute;margin-left:601.2pt;margin-top:-2.8pt;width:104.2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" filled="f" stroked="f" strokeweight=".5pt">
              <v:textbox>
                <w:txbxContent>
                  <w:p w:rsidR="000E189F" w:rsidRPr="00273BB3" w:rsidRDefault="000E189F" w:rsidP="00FD6F82">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954989">
      <w:rPr>
        <w:b w:val="0"/>
      </w:rPr>
      <w:t>Senate Select Committee</w:t>
    </w:r>
    <w:r>
      <w:rPr>
        <w:b w:val="0"/>
      </w:rPr>
      <w:t xml:space="preserve"> on Health</w:t>
    </w:r>
    <w:r w:rsidRPr="00273BB3">
      <w:rPr>
        <w:b w:val="0"/>
        <w:noProof/>
      </w:rPr>
      <mc:AlternateContent>
        <mc:Choice Requires="wps">
          <w:drawing>
            <wp:anchor distT="0" distB="0" distL="114300" distR="114300" simplePos="0" relativeHeight="251697152" behindDoc="0" locked="0" layoutInCell="1" allowOverlap="1" wp14:anchorId="6E6161B5" wp14:editId="28EE52C5">
              <wp:simplePos x="0" y="0"/>
              <wp:positionH relativeFrom="column">
                <wp:posOffset>4642485</wp:posOffset>
              </wp:positionH>
              <wp:positionV relativeFrom="paragraph">
                <wp:posOffset>3246755</wp:posOffset>
              </wp:positionV>
              <wp:extent cx="1323975" cy="295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5" type="#_x0000_t202" style="position:absolute;margin-left:365.55pt;margin-top:255.65pt;width:104.2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703296" behindDoc="0" locked="0" layoutInCell="1" allowOverlap="1" wp14:anchorId="014EABBE" wp14:editId="421F52EB">
              <wp:simplePos x="0" y="0"/>
              <wp:positionH relativeFrom="column">
                <wp:posOffset>7637145</wp:posOffset>
              </wp:positionH>
              <wp:positionV relativeFrom="paragraph">
                <wp:posOffset>-43180</wp:posOffset>
              </wp:positionV>
              <wp:extent cx="13239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36" type="#_x0000_t202" style="position:absolute;margin-left:601.35pt;margin-top:-3.4pt;width:104.25pt;height:2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954989">
      <w:rPr>
        <w:b w:val="0"/>
      </w:rPr>
      <w:t>Senate Select Committee</w:t>
    </w:r>
    <w:r>
      <w:rPr>
        <w:b w:val="0"/>
      </w:rPr>
      <w:t xml:space="preserve"> on Health</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5242EB">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701248" behindDoc="0" locked="0" layoutInCell="1" allowOverlap="1" wp14:anchorId="3C8764E2" wp14:editId="31360DE4">
              <wp:simplePos x="0" y="0"/>
              <wp:positionH relativeFrom="column">
                <wp:posOffset>7658100</wp:posOffset>
              </wp:positionH>
              <wp:positionV relativeFrom="paragraph">
                <wp:posOffset>-43180</wp:posOffset>
              </wp:positionV>
              <wp:extent cx="1323975" cy="295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11</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37" type="#_x0000_t202" style="position:absolute;margin-left:603pt;margin-top:-3.4pt;width:104.25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" filled="f" stroked="f" strokeweight=".5pt">
              <v:textbox>
                <w:txbxContent>
                  <w:p w:rsidR="000E189F" w:rsidRPr="00273BB3" w:rsidRDefault="000E189F" w:rsidP="00654197">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AE7538">
                      <w:rPr>
                        <w:b w:val="0"/>
                        <w:bCs/>
                        <w:noProof/>
                      </w:rPr>
                      <w:t>11</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AE7538">
                      <w:rPr>
                        <w:b w:val="0"/>
                        <w:bCs/>
                        <w:noProof/>
                      </w:rPr>
                      <w:t>15</w:t>
                    </w:r>
                    <w:r w:rsidRPr="00273BB3">
                      <w:rPr>
                        <w:b w:val="0"/>
                        <w:bCs/>
                        <w:sz w:val="24"/>
                        <w:szCs w:val="24"/>
                      </w:rPr>
                      <w:fldChar w:fldCharType="end"/>
                    </w:r>
                  </w:p>
                </w:txbxContent>
              </v:textbox>
            </v:shape>
          </w:pict>
        </mc:Fallback>
      </mc:AlternateContent>
    </w:r>
    <w:r w:rsidRPr="00273BB3">
      <w:rPr>
        <w:b w:val="0"/>
      </w:rPr>
      <w:t xml:space="preserve">PBO submission to </w:t>
    </w:r>
    <w:r>
      <w:rPr>
        <w:b w:val="0"/>
      </w:rPr>
      <w:t xml:space="preserve">the </w:t>
    </w:r>
    <w:r w:rsidRPr="00954989">
      <w:rPr>
        <w:b w:val="0"/>
      </w:rPr>
      <w:t>Senate Select Committee</w:t>
    </w:r>
    <w:r>
      <w:rPr>
        <w:b w:val="0"/>
      </w:rPr>
      <w:t xml:space="preserve"> on 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89F" w:rsidRDefault="000E189F">
      <w:pPr>
        <w:spacing w:before="0" w:after="0"/>
      </w:pPr>
      <w:r>
        <w:separator/>
      </w:r>
    </w:p>
  </w:footnote>
  <w:footnote w:type="continuationSeparator" w:id="0">
    <w:p w:rsidR="000E189F" w:rsidRDefault="000E189F">
      <w:pPr>
        <w:spacing w:before="0" w:after="0"/>
      </w:pPr>
      <w:r>
        <w:continuationSeparator/>
      </w:r>
    </w:p>
  </w:footnote>
  <w:footnote w:id="1">
    <w:p w:rsidR="000E189F" w:rsidRPr="007804DA" w:rsidRDefault="000E189F" w:rsidP="00290579">
      <w:pPr>
        <w:pStyle w:val="Footnote"/>
        <w:rPr>
          <w:rFonts w:eastAsia="Times New Roman"/>
        </w:rPr>
      </w:pPr>
      <w:r w:rsidRPr="00FD6F82">
        <w:rPr>
          <w:rStyle w:val="FootnoteReference"/>
          <w:szCs w:val="18"/>
          <w:vertAlign w:val="baseline"/>
        </w:rPr>
        <w:footnoteRef/>
      </w:r>
      <w:r w:rsidRPr="007804DA">
        <w:rPr>
          <w:rFonts w:eastAsia="Times New Roman"/>
        </w:rPr>
        <w:tab/>
        <w:t>Note the 2011 Agreement profile used to derive these amounts did not include the funding guarantees.</w:t>
      </w:r>
    </w:p>
  </w:footnote>
  <w:footnote w:id="2">
    <w:p w:rsidR="000E189F" w:rsidRDefault="000E189F" w:rsidP="00290579">
      <w:pPr>
        <w:pStyle w:val="Footnote"/>
      </w:pPr>
      <w:r w:rsidRPr="007804DA">
        <w:rPr>
          <w:rStyle w:val="FootnoteReference"/>
          <w:vertAlign w:val="baseline"/>
        </w:rPr>
        <w:footnoteRef/>
      </w:r>
      <w:r>
        <w:tab/>
        <w:t>Timeframe as requested by the Committee.</w:t>
      </w:r>
    </w:p>
  </w:footnote>
  <w:footnote w:id="3">
    <w:p w:rsidR="000E189F" w:rsidRDefault="000E189F" w:rsidP="00290579">
      <w:pPr>
        <w:pStyle w:val="Footnote"/>
      </w:pPr>
      <w:r w:rsidRPr="007804DA">
        <w:rPr>
          <w:rStyle w:val="FootnoteReference"/>
          <w:vertAlign w:val="baseline"/>
        </w:rPr>
        <w:footnoteRef/>
      </w:r>
      <w:r>
        <w:tab/>
        <w:t>Timeframe as requested by the Committee.</w:t>
      </w:r>
    </w:p>
  </w:footnote>
  <w:footnote w:id="4">
    <w:p w:rsidR="000E189F" w:rsidRPr="00F14858" w:rsidRDefault="000E189F" w:rsidP="00290579">
      <w:pPr>
        <w:pStyle w:val="Footnote"/>
      </w:pPr>
      <w:r w:rsidRPr="00F14858">
        <w:rPr>
          <w:rStyle w:val="FootnoteReference"/>
          <w:vertAlign w:val="baseline"/>
        </w:rPr>
        <w:footnoteRef/>
      </w:r>
      <w:r>
        <w:tab/>
      </w:r>
      <w:r w:rsidRPr="00F14858">
        <w:t>Timeframe as requested by the Committee.</w:t>
      </w:r>
    </w:p>
  </w:footnote>
  <w:footnote w:id="5">
    <w:p w:rsidR="000E189F" w:rsidRDefault="000E189F" w:rsidP="00290579">
      <w:pPr>
        <w:pStyle w:val="Footnote"/>
      </w:pPr>
      <w:r w:rsidRPr="007804DA">
        <w:rPr>
          <w:rStyle w:val="FootnoteReference"/>
          <w:vertAlign w:val="baseline"/>
        </w:rPr>
        <w:footnoteRef/>
      </w:r>
      <w:r>
        <w:tab/>
        <w:t>Timeframe as requested by the Committee.</w:t>
      </w:r>
    </w:p>
  </w:footnote>
  <w:footnote w:id="6">
    <w:p w:rsidR="000E189F" w:rsidRDefault="000E189F" w:rsidP="00290579">
      <w:pPr>
        <w:pStyle w:val="Footnote"/>
      </w:pPr>
      <w:r w:rsidRPr="007804DA">
        <w:rPr>
          <w:rStyle w:val="FootnoteReference"/>
          <w:vertAlign w:val="baseline"/>
        </w:rPr>
        <w:footnoteRef/>
      </w:r>
      <w:r>
        <w:tab/>
        <w:t>Timeframe as requested by the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Default="000E189F">
    <w:pPr>
      <w:pStyle w:val="Header"/>
    </w:pPr>
    <w:r>
      <w:rPr>
        <w:noProof/>
      </w:rPr>
      <w:drawing>
        <wp:anchor distT="0" distB="0" distL="114300" distR="114300" simplePos="0" relativeHeight="251657728" behindDoc="1" locked="0" layoutInCell="1" allowOverlap="1" wp14:anchorId="24504508" wp14:editId="3674FF53">
          <wp:simplePos x="0" y="0"/>
          <wp:positionH relativeFrom="column">
            <wp:posOffset>-90170</wp:posOffset>
          </wp:positionH>
          <wp:positionV relativeFrom="page">
            <wp:posOffset>285115</wp:posOffset>
          </wp:positionV>
          <wp:extent cx="2827655" cy="643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7655" cy="643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Default="000E18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89F" w:rsidRPr="00273BB3" w:rsidRDefault="000E189F" w:rsidP="00273B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E881CAE"/>
    <w:lvl w:ilvl="0">
      <w:start w:val="1"/>
      <w:numFmt w:val="lowerLetter"/>
      <w:pStyle w:val="ListNumber2"/>
      <w:lvlText w:val="%1."/>
      <w:lvlJc w:val="left"/>
      <w:pPr>
        <w:ind w:left="643" w:hanging="360"/>
      </w:pPr>
    </w:lvl>
  </w:abstractNum>
  <w:abstractNum w:abstractNumId="1">
    <w:nsid w:val="FFFFFF83"/>
    <w:multiLevelType w:val="singleLevel"/>
    <w:tmpl w:val="7B9A280A"/>
    <w:lvl w:ilvl="0">
      <w:start w:val="1"/>
      <w:numFmt w:val="bullet"/>
      <w:pStyle w:val="ListBullet2"/>
      <w:lvlText w:val=""/>
      <w:lvlJc w:val="left"/>
      <w:pPr>
        <w:ind w:left="644" w:hanging="360"/>
      </w:pPr>
      <w:rPr>
        <w:rFonts w:ascii="Symbol" w:hAnsi="Symbol" w:hint="default"/>
        <w:color w:val="224A76"/>
      </w:rPr>
    </w:lvl>
  </w:abstractNum>
  <w:abstractNum w:abstractNumId="2">
    <w:nsid w:val="FFFFFF88"/>
    <w:multiLevelType w:val="singleLevel"/>
    <w:tmpl w:val="C3320BB0"/>
    <w:lvl w:ilvl="0">
      <w:start w:val="1"/>
      <w:numFmt w:val="decimal"/>
      <w:pStyle w:val="ListNumber"/>
      <w:lvlText w:val="%1."/>
      <w:lvlJc w:val="left"/>
      <w:pPr>
        <w:tabs>
          <w:tab w:val="num" w:pos="360"/>
        </w:tabs>
        <w:ind w:left="360" w:hanging="360"/>
      </w:pPr>
    </w:lvl>
  </w:abstractNum>
  <w:abstractNum w:abstractNumId="3">
    <w:nsid w:val="02CC7E20"/>
    <w:multiLevelType w:val="hybridMultilevel"/>
    <w:tmpl w:val="8EC0F5D0"/>
    <w:lvl w:ilvl="0" w:tplc="AD485204">
      <w:start w:val="1"/>
      <w:numFmt w:val="lowerLetter"/>
      <w:lvlText w:val="%1"/>
      <w:lvlJc w:val="left"/>
      <w:pPr>
        <w:ind w:left="720" w:hanging="360"/>
      </w:pPr>
      <w:rPr>
        <w:rFonts w:ascii="Calibri" w:hAnsi="Calibri"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7418B8"/>
    <w:multiLevelType w:val="hybridMultilevel"/>
    <w:tmpl w:val="2424F738"/>
    <w:lvl w:ilvl="0" w:tplc="C9626236">
      <w:start w:val="1"/>
      <w:numFmt w:val="bullet"/>
      <w:pStyle w:val="PBObullet1"/>
      <w:lvlText w:val=""/>
      <w:lvlJc w:val="left"/>
      <w:pPr>
        <w:ind w:left="720" w:hanging="360"/>
      </w:pPr>
      <w:rPr>
        <w:rFonts w:ascii="Symbol" w:hAnsi="Symbol" w:hint="default"/>
        <w:u w:color="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EF07F3"/>
    <w:multiLevelType w:val="hybridMultilevel"/>
    <w:tmpl w:val="8EC0F5D0"/>
    <w:lvl w:ilvl="0" w:tplc="AD485204">
      <w:start w:val="1"/>
      <w:numFmt w:val="lowerLetter"/>
      <w:lvlText w:val="%1"/>
      <w:lvlJc w:val="left"/>
      <w:pPr>
        <w:ind w:left="720" w:hanging="360"/>
      </w:pPr>
      <w:rPr>
        <w:rFonts w:ascii="Calibri" w:hAnsi="Calibri"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D15E4C"/>
    <w:multiLevelType w:val="hybridMultilevel"/>
    <w:tmpl w:val="28548164"/>
    <w:lvl w:ilvl="0" w:tplc="E2C078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80E0970"/>
    <w:multiLevelType w:val="hybridMultilevel"/>
    <w:tmpl w:val="8EC0F5D0"/>
    <w:lvl w:ilvl="0" w:tplc="AD485204">
      <w:start w:val="1"/>
      <w:numFmt w:val="lowerLetter"/>
      <w:lvlText w:val="%1"/>
      <w:lvlJc w:val="left"/>
      <w:pPr>
        <w:ind w:left="720" w:hanging="360"/>
      </w:pPr>
      <w:rPr>
        <w:rFonts w:ascii="Calibri" w:hAnsi="Calibri"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4443F7"/>
    <w:multiLevelType w:val="hybridMultilevel"/>
    <w:tmpl w:val="8EC0F5D0"/>
    <w:lvl w:ilvl="0" w:tplc="AD485204">
      <w:start w:val="1"/>
      <w:numFmt w:val="lowerLetter"/>
      <w:lvlText w:val="%1"/>
      <w:lvlJc w:val="left"/>
      <w:pPr>
        <w:ind w:left="720" w:hanging="360"/>
      </w:pPr>
      <w:rPr>
        <w:rFonts w:ascii="Calibri" w:hAnsi="Calibri"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F56686"/>
    <w:multiLevelType w:val="hybridMultilevel"/>
    <w:tmpl w:val="C0589314"/>
    <w:lvl w:ilvl="0" w:tplc="F4200B9C">
      <w:start w:val="1"/>
      <w:numFmt w:val="bullet"/>
      <w:pStyle w:val="ListBullet"/>
      <w:lvlText w:val=""/>
      <w:lvlJc w:val="left"/>
      <w:pPr>
        <w:ind w:left="360" w:hanging="360"/>
      </w:pPr>
      <w:rPr>
        <w:rFonts w:ascii="Symbol" w:hAnsi="Symbol" w:hint="default"/>
        <w:color w:val="2B3B5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48D4721"/>
    <w:multiLevelType w:val="hybridMultilevel"/>
    <w:tmpl w:val="E1620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4F258BC"/>
    <w:multiLevelType w:val="hybridMultilevel"/>
    <w:tmpl w:val="28548164"/>
    <w:lvl w:ilvl="0" w:tplc="E2C078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654757A"/>
    <w:multiLevelType w:val="hybridMultilevel"/>
    <w:tmpl w:val="8EC0F5D0"/>
    <w:lvl w:ilvl="0" w:tplc="AD485204">
      <w:start w:val="1"/>
      <w:numFmt w:val="lowerLetter"/>
      <w:lvlText w:val="%1"/>
      <w:lvlJc w:val="left"/>
      <w:pPr>
        <w:ind w:left="720" w:hanging="360"/>
      </w:pPr>
      <w:rPr>
        <w:rFonts w:ascii="Calibri" w:hAnsi="Calibri" w:hint="default"/>
        <w:b w:val="0"/>
        <w:i w:val="0"/>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A43242A"/>
    <w:multiLevelType w:val="hybridMultilevel"/>
    <w:tmpl w:val="4AD072A8"/>
    <w:lvl w:ilvl="0" w:tplc="4A80A1A8">
      <w:start w:val="1"/>
      <w:numFmt w:val="lowerRoman"/>
      <w:pStyle w:val="PBOlist2"/>
      <w:lvlText w:val="%1"/>
      <w:lvlJc w:val="left"/>
      <w:pPr>
        <w:ind w:left="126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nsid w:val="639511B2"/>
    <w:multiLevelType w:val="hybridMultilevel"/>
    <w:tmpl w:val="DD9E9CD0"/>
    <w:lvl w:ilvl="0" w:tplc="6DC0F1E2">
      <w:start w:val="1"/>
      <w:numFmt w:val="lowerLetter"/>
      <w:pStyle w:val="PBO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8DA3198"/>
    <w:multiLevelType w:val="hybridMultilevel"/>
    <w:tmpl w:val="E048B6C0"/>
    <w:lvl w:ilvl="0" w:tplc="437C4164">
      <w:start w:val="1"/>
      <w:numFmt w:val="decimal"/>
      <w:pStyle w:val="PBOtext"/>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91F1603"/>
    <w:multiLevelType w:val="hybridMultilevel"/>
    <w:tmpl w:val="28548164"/>
    <w:lvl w:ilvl="0" w:tplc="E2C078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9D26E1C"/>
    <w:multiLevelType w:val="multilevel"/>
    <w:tmpl w:val="C05C0D38"/>
    <w:styleLink w:val="Style1"/>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8">
    <w:nsid w:val="6A092B94"/>
    <w:multiLevelType w:val="hybridMultilevel"/>
    <w:tmpl w:val="0A90B6D6"/>
    <w:lvl w:ilvl="0" w:tplc="F304AA30">
      <w:start w:val="2014"/>
      <w:numFmt w:val="bullet"/>
      <w:pStyle w:val="PBObullet2"/>
      <w:lvlText w:val="-"/>
      <w:lvlJc w:val="left"/>
      <w:pPr>
        <w:ind w:left="1287" w:hanging="360"/>
      </w:pPr>
      <w:rPr>
        <w:rFonts w:ascii="Calibri" w:hAnsi="Calibri" w:cstheme="minorBidi" w:hint="default"/>
        <w:b/>
        <w:i w:val="0"/>
        <w:color w:val="auto"/>
      </w:rPr>
    </w:lvl>
    <w:lvl w:ilvl="1" w:tplc="B96AA5F0">
      <w:start w:val="1"/>
      <w:numFmt w:val="bullet"/>
      <w:pStyle w:val="PBObullet"/>
      <w:lvlText w:val=""/>
      <w:lvlJc w:val="left"/>
      <w:pPr>
        <w:ind w:left="2007" w:hanging="360"/>
      </w:pPr>
      <w:rPr>
        <w:rFonts w:ascii="Wingdings" w:hAnsi="Wingdings"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6FDF13FB"/>
    <w:multiLevelType w:val="hybridMultilevel"/>
    <w:tmpl w:val="28548164"/>
    <w:lvl w:ilvl="0" w:tplc="E2C078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9"/>
  </w:num>
  <w:num w:numId="5">
    <w:abstractNumId w:val="17"/>
  </w:num>
  <w:num w:numId="6">
    <w:abstractNumId w:val="18"/>
  </w:num>
  <w:num w:numId="7">
    <w:abstractNumId w:val="15"/>
  </w:num>
  <w:num w:numId="8">
    <w:abstractNumId w:val="14"/>
  </w:num>
  <w:num w:numId="9">
    <w:abstractNumId w:val="13"/>
  </w:num>
  <w:num w:numId="10">
    <w:abstractNumId w:val="8"/>
  </w:num>
  <w:num w:numId="11">
    <w:abstractNumId w:val="11"/>
  </w:num>
  <w:num w:numId="12">
    <w:abstractNumId w:val="16"/>
  </w:num>
  <w:num w:numId="13">
    <w:abstractNumId w:val="4"/>
  </w:num>
  <w:num w:numId="14">
    <w:abstractNumId w:val="10"/>
  </w:num>
  <w:num w:numId="15">
    <w:abstractNumId w:val="14"/>
    <w:lvlOverride w:ilvl="0">
      <w:startOverride w:val="1"/>
    </w:lvlOverride>
  </w:num>
  <w:num w:numId="16">
    <w:abstractNumId w:val="14"/>
    <w:lvlOverride w:ilvl="0">
      <w:startOverride w:val="1"/>
    </w:lvlOverride>
  </w:num>
  <w:num w:numId="17">
    <w:abstractNumId w:val="6"/>
  </w:num>
  <w:num w:numId="18">
    <w:abstractNumId w:val="19"/>
  </w:num>
  <w:num w:numId="19">
    <w:abstractNumId w:val="15"/>
  </w:num>
  <w:num w:numId="20">
    <w:abstractNumId w:val="15"/>
    <w:lvlOverride w:ilvl="0">
      <w:startOverride w:val="1"/>
    </w:lvlOverride>
  </w:num>
  <w:num w:numId="21">
    <w:abstractNumId w:val="15"/>
    <w:lvlOverride w:ilvl="0">
      <w:startOverride w:val="1"/>
    </w:lvlOverride>
  </w:num>
  <w:num w:numId="22">
    <w:abstractNumId w:val="12"/>
  </w:num>
  <w:num w:numId="23">
    <w:abstractNumId w:val="7"/>
  </w:num>
  <w:num w:numId="24">
    <w:abstractNumId w:val="15"/>
    <w:lvlOverride w:ilvl="0">
      <w:startOverride w:val="1"/>
    </w:lvlOverride>
  </w:num>
  <w:num w:numId="25">
    <w:abstractNumId w:val="5"/>
  </w:num>
  <w:num w:numId="2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o:colormru v:ext="edit" colors="#c6d3e3,#d7dce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E62"/>
    <w:rsid w:val="00001ADD"/>
    <w:rsid w:val="0001205D"/>
    <w:rsid w:val="00014048"/>
    <w:rsid w:val="00046342"/>
    <w:rsid w:val="00053250"/>
    <w:rsid w:val="000641D7"/>
    <w:rsid w:val="000643BA"/>
    <w:rsid w:val="000707F3"/>
    <w:rsid w:val="00077E20"/>
    <w:rsid w:val="00081A0F"/>
    <w:rsid w:val="00095C47"/>
    <w:rsid w:val="000A7C58"/>
    <w:rsid w:val="000B6DD6"/>
    <w:rsid w:val="000D026C"/>
    <w:rsid w:val="000D34FC"/>
    <w:rsid w:val="000E189F"/>
    <w:rsid w:val="000E7A44"/>
    <w:rsid w:val="000F1B3B"/>
    <w:rsid w:val="000F358D"/>
    <w:rsid w:val="000F6FD2"/>
    <w:rsid w:val="001015EF"/>
    <w:rsid w:val="00110A88"/>
    <w:rsid w:val="00120B88"/>
    <w:rsid w:val="0012793D"/>
    <w:rsid w:val="00127D85"/>
    <w:rsid w:val="00131DDC"/>
    <w:rsid w:val="00134AF5"/>
    <w:rsid w:val="00135256"/>
    <w:rsid w:val="00137136"/>
    <w:rsid w:val="00142603"/>
    <w:rsid w:val="00153FA2"/>
    <w:rsid w:val="001604C4"/>
    <w:rsid w:val="0016655C"/>
    <w:rsid w:val="00174E5B"/>
    <w:rsid w:val="00190858"/>
    <w:rsid w:val="001968AA"/>
    <w:rsid w:val="001A409F"/>
    <w:rsid w:val="001A522D"/>
    <w:rsid w:val="001A54A2"/>
    <w:rsid w:val="001B6346"/>
    <w:rsid w:val="001C106C"/>
    <w:rsid w:val="001C4536"/>
    <w:rsid w:val="001C6A37"/>
    <w:rsid w:val="001F161E"/>
    <w:rsid w:val="00211F3D"/>
    <w:rsid w:val="00221ADD"/>
    <w:rsid w:val="002276D6"/>
    <w:rsid w:val="0023299E"/>
    <w:rsid w:val="00233097"/>
    <w:rsid w:val="002358A7"/>
    <w:rsid w:val="0025670A"/>
    <w:rsid w:val="00263ECF"/>
    <w:rsid w:val="0026682F"/>
    <w:rsid w:val="00266988"/>
    <w:rsid w:val="00267540"/>
    <w:rsid w:val="0027164C"/>
    <w:rsid w:val="00271E62"/>
    <w:rsid w:val="00273BB3"/>
    <w:rsid w:val="002760D6"/>
    <w:rsid w:val="00281DE6"/>
    <w:rsid w:val="002841EA"/>
    <w:rsid w:val="002850D0"/>
    <w:rsid w:val="002877FA"/>
    <w:rsid w:val="00290579"/>
    <w:rsid w:val="00294E01"/>
    <w:rsid w:val="002A09FE"/>
    <w:rsid w:val="002A32B5"/>
    <w:rsid w:val="002B3ADF"/>
    <w:rsid w:val="002B5835"/>
    <w:rsid w:val="002B62E7"/>
    <w:rsid w:val="002C68CE"/>
    <w:rsid w:val="002C79A4"/>
    <w:rsid w:val="002D2904"/>
    <w:rsid w:val="002D4286"/>
    <w:rsid w:val="002D6899"/>
    <w:rsid w:val="003003A4"/>
    <w:rsid w:val="00307D79"/>
    <w:rsid w:val="0031037A"/>
    <w:rsid w:val="0031736F"/>
    <w:rsid w:val="00322493"/>
    <w:rsid w:val="00332BFB"/>
    <w:rsid w:val="003351D0"/>
    <w:rsid w:val="003557C8"/>
    <w:rsid w:val="00363378"/>
    <w:rsid w:val="0036609F"/>
    <w:rsid w:val="00371756"/>
    <w:rsid w:val="0037632A"/>
    <w:rsid w:val="00380924"/>
    <w:rsid w:val="00382474"/>
    <w:rsid w:val="003A01BB"/>
    <w:rsid w:val="003A2E1A"/>
    <w:rsid w:val="003C18B6"/>
    <w:rsid w:val="003C7095"/>
    <w:rsid w:val="003E341C"/>
    <w:rsid w:val="003F6D94"/>
    <w:rsid w:val="004009AD"/>
    <w:rsid w:val="004168CF"/>
    <w:rsid w:val="00421A39"/>
    <w:rsid w:val="004767F5"/>
    <w:rsid w:val="004779F2"/>
    <w:rsid w:val="0048131E"/>
    <w:rsid w:val="00484988"/>
    <w:rsid w:val="0048532C"/>
    <w:rsid w:val="004A3527"/>
    <w:rsid w:val="004C7EF0"/>
    <w:rsid w:val="004D402C"/>
    <w:rsid w:val="004D7043"/>
    <w:rsid w:val="005024D2"/>
    <w:rsid w:val="005242EB"/>
    <w:rsid w:val="00540F94"/>
    <w:rsid w:val="00542DE3"/>
    <w:rsid w:val="00552FE1"/>
    <w:rsid w:val="0055790C"/>
    <w:rsid w:val="005603E1"/>
    <w:rsid w:val="00570D34"/>
    <w:rsid w:val="0057578B"/>
    <w:rsid w:val="00580C99"/>
    <w:rsid w:val="0058425A"/>
    <w:rsid w:val="00585049"/>
    <w:rsid w:val="005A07B9"/>
    <w:rsid w:val="005A5508"/>
    <w:rsid w:val="005A5AE3"/>
    <w:rsid w:val="005A63EC"/>
    <w:rsid w:val="005D1173"/>
    <w:rsid w:val="005D663C"/>
    <w:rsid w:val="005E05D6"/>
    <w:rsid w:val="005E4053"/>
    <w:rsid w:val="005F4EA9"/>
    <w:rsid w:val="00603DB4"/>
    <w:rsid w:val="006129D0"/>
    <w:rsid w:val="00613CB5"/>
    <w:rsid w:val="00623387"/>
    <w:rsid w:val="00630C9E"/>
    <w:rsid w:val="00631210"/>
    <w:rsid w:val="006477FD"/>
    <w:rsid w:val="00654197"/>
    <w:rsid w:val="006716B9"/>
    <w:rsid w:val="00685182"/>
    <w:rsid w:val="006870FA"/>
    <w:rsid w:val="0069045C"/>
    <w:rsid w:val="00691552"/>
    <w:rsid w:val="00691FD2"/>
    <w:rsid w:val="006A0F04"/>
    <w:rsid w:val="006B103A"/>
    <w:rsid w:val="006C39D6"/>
    <w:rsid w:val="006D2E92"/>
    <w:rsid w:val="006D7FB4"/>
    <w:rsid w:val="006F212E"/>
    <w:rsid w:val="006F2F3B"/>
    <w:rsid w:val="00712236"/>
    <w:rsid w:val="007148F1"/>
    <w:rsid w:val="007169F2"/>
    <w:rsid w:val="00724AE9"/>
    <w:rsid w:val="00736DEC"/>
    <w:rsid w:val="00743904"/>
    <w:rsid w:val="00752E21"/>
    <w:rsid w:val="0075400C"/>
    <w:rsid w:val="00760408"/>
    <w:rsid w:val="00775377"/>
    <w:rsid w:val="007804DA"/>
    <w:rsid w:val="00785085"/>
    <w:rsid w:val="00785D72"/>
    <w:rsid w:val="00786862"/>
    <w:rsid w:val="00790172"/>
    <w:rsid w:val="00790A9A"/>
    <w:rsid w:val="007A02BA"/>
    <w:rsid w:val="007A65F1"/>
    <w:rsid w:val="007B23A6"/>
    <w:rsid w:val="007B4313"/>
    <w:rsid w:val="007B79C8"/>
    <w:rsid w:val="007B7BCC"/>
    <w:rsid w:val="008018B4"/>
    <w:rsid w:val="008116F6"/>
    <w:rsid w:val="0082110B"/>
    <w:rsid w:val="00843380"/>
    <w:rsid w:val="00854277"/>
    <w:rsid w:val="00856CA2"/>
    <w:rsid w:val="0086285C"/>
    <w:rsid w:val="00872117"/>
    <w:rsid w:val="00875314"/>
    <w:rsid w:val="008D1CE9"/>
    <w:rsid w:val="008D313A"/>
    <w:rsid w:val="008D60E0"/>
    <w:rsid w:val="008E74C2"/>
    <w:rsid w:val="008F2C53"/>
    <w:rsid w:val="008F6734"/>
    <w:rsid w:val="00913E28"/>
    <w:rsid w:val="00915072"/>
    <w:rsid w:val="00917B78"/>
    <w:rsid w:val="00921CBE"/>
    <w:rsid w:val="0093397E"/>
    <w:rsid w:val="00934577"/>
    <w:rsid w:val="00937A3C"/>
    <w:rsid w:val="00946972"/>
    <w:rsid w:val="009530F3"/>
    <w:rsid w:val="00954989"/>
    <w:rsid w:val="0097473C"/>
    <w:rsid w:val="009803CF"/>
    <w:rsid w:val="0098104C"/>
    <w:rsid w:val="009820B7"/>
    <w:rsid w:val="00983C0E"/>
    <w:rsid w:val="009B5221"/>
    <w:rsid w:val="009C4DAA"/>
    <w:rsid w:val="009C600F"/>
    <w:rsid w:val="009C708B"/>
    <w:rsid w:val="009D6D95"/>
    <w:rsid w:val="009E702A"/>
    <w:rsid w:val="00A0595D"/>
    <w:rsid w:val="00A1160F"/>
    <w:rsid w:val="00A138DA"/>
    <w:rsid w:val="00A20D85"/>
    <w:rsid w:val="00A359C8"/>
    <w:rsid w:val="00A5170C"/>
    <w:rsid w:val="00A6362B"/>
    <w:rsid w:val="00A72B61"/>
    <w:rsid w:val="00A86D1A"/>
    <w:rsid w:val="00AA087C"/>
    <w:rsid w:val="00AC5AF8"/>
    <w:rsid w:val="00AD116E"/>
    <w:rsid w:val="00AD187C"/>
    <w:rsid w:val="00AD596C"/>
    <w:rsid w:val="00AE5146"/>
    <w:rsid w:val="00AE7538"/>
    <w:rsid w:val="00AF3864"/>
    <w:rsid w:val="00B038BA"/>
    <w:rsid w:val="00B07429"/>
    <w:rsid w:val="00B1442A"/>
    <w:rsid w:val="00B30BD3"/>
    <w:rsid w:val="00B3679D"/>
    <w:rsid w:val="00B639C2"/>
    <w:rsid w:val="00B771B1"/>
    <w:rsid w:val="00B81959"/>
    <w:rsid w:val="00B8531C"/>
    <w:rsid w:val="00BA56B4"/>
    <w:rsid w:val="00BC5B52"/>
    <w:rsid w:val="00BD1BF0"/>
    <w:rsid w:val="00BE1BDC"/>
    <w:rsid w:val="00BE6021"/>
    <w:rsid w:val="00BF67C2"/>
    <w:rsid w:val="00C15F8D"/>
    <w:rsid w:val="00C27399"/>
    <w:rsid w:val="00C366C2"/>
    <w:rsid w:val="00C55108"/>
    <w:rsid w:val="00C66117"/>
    <w:rsid w:val="00C71F32"/>
    <w:rsid w:val="00C847A9"/>
    <w:rsid w:val="00C93A88"/>
    <w:rsid w:val="00C97C2E"/>
    <w:rsid w:val="00CA0DE9"/>
    <w:rsid w:val="00CA4134"/>
    <w:rsid w:val="00CA6E0B"/>
    <w:rsid w:val="00CD21A6"/>
    <w:rsid w:val="00CE6B96"/>
    <w:rsid w:val="00CF136D"/>
    <w:rsid w:val="00CF3CA7"/>
    <w:rsid w:val="00D07BC8"/>
    <w:rsid w:val="00D21ACB"/>
    <w:rsid w:val="00D37CE4"/>
    <w:rsid w:val="00D76E5A"/>
    <w:rsid w:val="00D934BB"/>
    <w:rsid w:val="00DA3313"/>
    <w:rsid w:val="00DA7F9B"/>
    <w:rsid w:val="00DB56C8"/>
    <w:rsid w:val="00DB5A19"/>
    <w:rsid w:val="00DC3B84"/>
    <w:rsid w:val="00DC6131"/>
    <w:rsid w:val="00DC74F9"/>
    <w:rsid w:val="00DE1D7D"/>
    <w:rsid w:val="00DE2273"/>
    <w:rsid w:val="00DE288B"/>
    <w:rsid w:val="00DF5193"/>
    <w:rsid w:val="00DF7452"/>
    <w:rsid w:val="00E17948"/>
    <w:rsid w:val="00E20123"/>
    <w:rsid w:val="00E34599"/>
    <w:rsid w:val="00E43B40"/>
    <w:rsid w:val="00E51BFB"/>
    <w:rsid w:val="00E57E41"/>
    <w:rsid w:val="00E61579"/>
    <w:rsid w:val="00E74B13"/>
    <w:rsid w:val="00E86E2C"/>
    <w:rsid w:val="00E90070"/>
    <w:rsid w:val="00E976A2"/>
    <w:rsid w:val="00EA7362"/>
    <w:rsid w:val="00EB3DD7"/>
    <w:rsid w:val="00EB6A77"/>
    <w:rsid w:val="00EC0892"/>
    <w:rsid w:val="00EC49D4"/>
    <w:rsid w:val="00ED6718"/>
    <w:rsid w:val="00EE0E29"/>
    <w:rsid w:val="00EF137F"/>
    <w:rsid w:val="00EF6B5B"/>
    <w:rsid w:val="00F00DCE"/>
    <w:rsid w:val="00F06E7D"/>
    <w:rsid w:val="00F07B0F"/>
    <w:rsid w:val="00F1407F"/>
    <w:rsid w:val="00F14858"/>
    <w:rsid w:val="00F35D3D"/>
    <w:rsid w:val="00F50FCE"/>
    <w:rsid w:val="00F5265B"/>
    <w:rsid w:val="00F8013E"/>
    <w:rsid w:val="00F85192"/>
    <w:rsid w:val="00FA4618"/>
    <w:rsid w:val="00FC4271"/>
    <w:rsid w:val="00FC5CB7"/>
    <w:rsid w:val="00FC6A25"/>
    <w:rsid w:val="00FD35D0"/>
    <w:rsid w:val="00FD363C"/>
    <w:rsid w:val="00FD6F82"/>
    <w:rsid w:val="00FF0B80"/>
    <w:rsid w:val="00FF3A49"/>
    <w:rsid w:val="00FF3CE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c6d3e3,#d7dce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nhideWhenUsed="1"/>
    <w:lsdException w:name="header" w:uiPriority="99"/>
    <w:lsdException w:name="footer" w:uiPriority="99" w:qFormat="1"/>
    <w:lsdException w:name="index heading" w:locked="1" w:semiHidden="1" w:unhideWhenUsed="1"/>
    <w:lsdException w:name="caption" w:semiHidden="1" w:unhideWhenUsed="1"/>
    <w:lsdException w:name="envelope address" w:locked="1" w:semiHidden="1" w:unhideWhenUsed="1"/>
    <w:lsdException w:name="envelope return" w:locked="1" w:semiHidden="1" w:unhideWhenUsed="1"/>
    <w:lsdException w:name="footnote reference" w:uiPriority="99"/>
    <w:lsdException w:name="annotation reference" w:semiHidden="1" w:unhideWhenUsed="1"/>
    <w:lsdException w:name="line number" w:uiPriority="3"/>
    <w:lsdException w:name="page number" w:locked="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6D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6D2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6D2E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Title"/>
    <w:rsid w:val="0097473C"/>
    <w:pPr>
      <w:spacing w:before="1080" w:after="1200"/>
    </w:pPr>
    <w:rPr>
      <w:rFonts w:ascii="Calibri" w:hAnsi="Calibri" w:cs="Calibri"/>
      <w:bCs w:val="0"/>
      <w:caps/>
      <w:color w:val="auto"/>
      <w:sz w:val="96"/>
      <w:szCs w:val="96"/>
    </w:rPr>
  </w:style>
  <w:style w:type="paragraph" w:customStyle="1" w:styleId="PBOtext">
    <w:name w:val="PBO text"/>
    <w:basedOn w:val="Normal"/>
    <w:qFormat/>
    <w:rsid w:val="00FD6F82"/>
    <w:pPr>
      <w:numPr>
        <w:numId w:val="19"/>
      </w:numPr>
      <w:spacing w:before="240" w:after="0"/>
      <w:ind w:left="567" w:hanging="567"/>
    </w:pPr>
    <w:rPr>
      <w:sz w:val="22"/>
    </w:rPr>
  </w:style>
  <w:style w:type="paragraph" w:customStyle="1" w:styleId="PBObullet1">
    <w:name w:val="PBO bullet 1"/>
    <w:basedOn w:val="PBOtext"/>
    <w:qFormat/>
    <w:rsid w:val="00F1407F"/>
    <w:pPr>
      <w:numPr>
        <w:numId w:val="13"/>
      </w:numPr>
      <w:tabs>
        <w:tab w:val="num" w:pos="360"/>
      </w:tabs>
      <w:spacing w:before="60" w:after="60"/>
      <w:ind w:left="851" w:hanging="284"/>
    </w:pPr>
  </w:style>
  <w:style w:type="paragraph" w:customStyle="1" w:styleId="PBOheading1">
    <w:name w:val="PBO heading 1"/>
    <w:basedOn w:val="Heading1"/>
    <w:next w:val="PBOheading2"/>
    <w:uiPriority w:val="1"/>
    <w:qFormat/>
    <w:rsid w:val="00273BB3"/>
    <w:pPr>
      <w:spacing w:before="680" w:after="480"/>
    </w:pPr>
    <w:rPr>
      <w:rFonts w:ascii="Georgia" w:hAnsi="Georgia"/>
      <w:b w:val="0"/>
      <w:color w:val="2D3B5F"/>
      <w:sz w:val="36"/>
      <w:szCs w:val="24"/>
      <w:lang w:eastAsia="en-US"/>
    </w:rPr>
  </w:style>
  <w:style w:type="paragraph" w:customStyle="1" w:styleId="PBOheading2">
    <w:name w:val="PBO heading 2"/>
    <w:basedOn w:val="Heading2"/>
    <w:next w:val="PBOheading3"/>
    <w:link w:val="PBOheading2Char"/>
    <w:uiPriority w:val="1"/>
    <w:qFormat/>
    <w:rsid w:val="00273BB3"/>
    <w:pPr>
      <w:spacing w:before="320" w:after="170"/>
    </w:pPr>
    <w:rPr>
      <w:rFonts w:ascii="Georgia" w:hAnsi="Georgia"/>
      <w:b w:val="0"/>
      <w:color w:val="2D3B5F"/>
      <w:sz w:val="30"/>
    </w:rPr>
  </w:style>
  <w:style w:type="paragraph" w:customStyle="1" w:styleId="PBOfiguretableheading">
    <w:name w:val="PBO figure/table heading"/>
    <w:uiPriority w:val="2"/>
    <w:qFormat/>
    <w:rsid w:val="002276D6"/>
    <w:pPr>
      <w:keepNext/>
      <w:spacing w:before="200" w:after="113" w:line="288" w:lineRule="auto"/>
    </w:pPr>
    <w:rPr>
      <w:b/>
      <w:i/>
      <w:color w:val="2D3B5F"/>
      <w:szCs w:val="24"/>
      <w:lang w:eastAsia="en-US"/>
    </w:rPr>
  </w:style>
  <w:style w:type="paragraph" w:customStyle="1" w:styleId="PBOheading3">
    <w:name w:val="PBO heading 3"/>
    <w:basedOn w:val="Heading3"/>
    <w:next w:val="PBOheading4"/>
    <w:uiPriority w:val="1"/>
    <w:qFormat/>
    <w:rsid w:val="00273BB3"/>
    <w:pPr>
      <w:spacing w:after="200"/>
    </w:pPr>
    <w:rPr>
      <w:rFonts w:ascii="Calibri" w:hAnsi="Calibri"/>
      <w:color w:val="2D3B5F"/>
      <w:sz w:val="26"/>
    </w:rPr>
  </w:style>
  <w:style w:type="paragraph" w:styleId="Title">
    <w:name w:val="Title"/>
    <w:aliases w:val="PBO Title"/>
    <w:basedOn w:val="Heading1"/>
    <w:next w:val="Subtitle"/>
    <w:link w:val="TitleChar"/>
    <w:qFormat/>
    <w:rsid w:val="00273BB3"/>
    <w:pPr>
      <w:spacing w:before="4300"/>
      <w:jc w:val="center"/>
    </w:pPr>
    <w:rPr>
      <w:rFonts w:ascii="Georgia" w:hAnsi="Georgia"/>
      <w:b w:val="0"/>
      <w:color w:val="2D3B5F"/>
      <w:sz w:val="50"/>
    </w:rPr>
  </w:style>
  <w:style w:type="character" w:customStyle="1" w:styleId="TitleChar">
    <w:name w:val="Title Char"/>
    <w:aliases w:val="PBO Title Char"/>
    <w:link w:val="Title"/>
    <w:rsid w:val="00273BB3"/>
    <w:rPr>
      <w:rFonts w:ascii="Georgia" w:eastAsia="Times New Roman" w:hAnsi="Georgia"/>
      <w:bCs/>
      <w:color w:val="2D3B5F"/>
      <w:kern w:val="32"/>
      <w:sz w:val="50"/>
      <w:szCs w:val="32"/>
    </w:rPr>
  </w:style>
  <w:style w:type="paragraph" w:styleId="Subtitle">
    <w:name w:val="Subtitle"/>
    <w:aliases w:val="PBO Subtitle"/>
    <w:basedOn w:val="Heading2"/>
    <w:next w:val="PBOheading1"/>
    <w:link w:val="SubtitleChar"/>
    <w:uiPriority w:val="2"/>
    <w:qFormat/>
    <w:rsid w:val="00273BB3"/>
    <w:pPr>
      <w:spacing w:before="480"/>
      <w:jc w:val="center"/>
    </w:pPr>
    <w:rPr>
      <w:rFonts w:ascii="Georgia" w:hAnsi="Georgia"/>
      <w:b w:val="0"/>
      <w:color w:val="2D3B5F"/>
      <w:sz w:val="28"/>
    </w:rPr>
  </w:style>
  <w:style w:type="character" w:customStyle="1" w:styleId="SubtitleChar">
    <w:name w:val="Subtitle Char"/>
    <w:aliases w:val="PBO Subtitle Char"/>
    <w:link w:val="Subtitle"/>
    <w:uiPriority w:val="2"/>
    <w:rsid w:val="00273BB3"/>
    <w:rPr>
      <w:rFonts w:ascii="Georgia" w:eastAsiaTheme="majorEastAsia" w:hAnsi="Georgia" w:cstheme="majorBidi"/>
      <w:bCs/>
      <w:color w:val="2D3B5F"/>
      <w:sz w:val="28"/>
      <w:szCs w:val="26"/>
    </w:rPr>
  </w:style>
  <w:style w:type="paragraph" w:styleId="Header">
    <w:name w:val="header"/>
    <w:basedOn w:val="Normal"/>
    <w:link w:val="HeaderChar"/>
    <w:uiPriority w:val="99"/>
    <w:rsid w:val="00CD21A6"/>
    <w:pPr>
      <w:tabs>
        <w:tab w:val="center" w:pos="4513"/>
        <w:tab w:val="right" w:pos="9026"/>
      </w:tabs>
    </w:pPr>
    <w:rPr>
      <w:color w:val="808080"/>
    </w:rPr>
  </w:style>
  <w:style w:type="character" w:customStyle="1" w:styleId="HeaderChar">
    <w:name w:val="Header Char"/>
    <w:link w:val="Header"/>
    <w:uiPriority w:val="99"/>
    <w:rsid w:val="00CD21A6"/>
    <w:rPr>
      <w:color w:val="808080"/>
    </w:rPr>
  </w:style>
  <w:style w:type="paragraph" w:styleId="Footer">
    <w:name w:val="footer"/>
    <w:aliases w:val="PBO HeaderFooter"/>
    <w:basedOn w:val="Normal"/>
    <w:link w:val="FooterChar"/>
    <w:uiPriority w:val="99"/>
    <w:qFormat/>
    <w:rsid w:val="00B30BD3"/>
    <w:rPr>
      <w:b/>
      <w:sz w:val="18"/>
    </w:rPr>
  </w:style>
  <w:style w:type="character" w:customStyle="1" w:styleId="FooterChar">
    <w:name w:val="Footer Char"/>
    <w:aliases w:val="PBO HeaderFooter Char"/>
    <w:link w:val="Footer"/>
    <w:uiPriority w:val="99"/>
    <w:rsid w:val="00B30BD3"/>
    <w:rPr>
      <w:b/>
      <w:sz w:val="18"/>
    </w:rPr>
  </w:style>
  <w:style w:type="character" w:styleId="PageNumber">
    <w:name w:val="page number"/>
    <w:uiPriority w:val="4"/>
    <w:unhideWhenUsed/>
    <w:locked/>
    <w:rsid w:val="00120B88"/>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273BB3"/>
    <w:pPr>
      <w:spacing w:after="200"/>
    </w:pPr>
    <w:rPr>
      <w:rFonts w:ascii="Calibri" w:hAnsi="Calibri"/>
      <w:b w:val="0"/>
      <w:color w:val="2D3B5F"/>
      <w:sz w:val="26"/>
    </w:rPr>
  </w:style>
  <w:style w:type="paragraph" w:styleId="Quote">
    <w:name w:val="Quote"/>
    <w:basedOn w:val="Normal"/>
    <w:next w:val="Normal"/>
    <w:link w:val="QuoteChar"/>
    <w:uiPriority w:val="5"/>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rPr>
      <w:sz w:val="22"/>
    </w:rPr>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rPr>
      <w:sz w:val="22"/>
    </w:rPr>
  </w:style>
  <w:style w:type="paragraph" w:styleId="BodyTextFirstIndent">
    <w:name w:val="Body Text First Indent"/>
    <w:basedOn w:val="BodyText"/>
    <w:link w:val="BodyTextFirstIndentChar"/>
    <w:autoRedefine/>
    <w:uiPriority w:val="2"/>
    <w:unhideWhenUsed/>
    <w:rsid w:val="00B771B1"/>
    <w:pPr>
      <w:spacing w:before="0"/>
      <w:ind w:firstLine="210"/>
    </w:pPr>
    <w:rPr>
      <w:rFonts w:ascii="Cambria" w:hAnsi="Cambria"/>
    </w:rPr>
  </w:style>
  <w:style w:type="character" w:customStyle="1" w:styleId="BodyTextFirstIndentChar">
    <w:name w:val="Body Text First Indent Char"/>
    <w:link w:val="BodyTextFirstIndent"/>
    <w:uiPriority w:val="2"/>
    <w:rsid w:val="00CD21A6"/>
    <w:rPr>
      <w:rFonts w:ascii="Cambria" w:hAnsi="Cambria"/>
      <w:sz w:val="22"/>
    </w:rPr>
  </w:style>
  <w:style w:type="paragraph" w:styleId="Caption">
    <w:name w:val="caption"/>
    <w:basedOn w:val="Normal"/>
    <w:next w:val="Normal"/>
    <w:uiPriority w:val="5"/>
    <w:rsid w:val="00120B88"/>
    <w:rPr>
      <w:rFonts w:ascii="Cambria" w:hAnsi="Cambria"/>
      <w:b/>
      <w:bCs/>
      <w:color w:val="2B3B5F"/>
    </w:rPr>
  </w:style>
  <w:style w:type="character" w:styleId="Emphasis">
    <w:name w:val="Emphasis"/>
    <w:uiPriority w:val="2"/>
    <w:rsid w:val="00B771B1"/>
    <w:rPr>
      <w:i/>
      <w:iCs/>
    </w:rPr>
  </w:style>
  <w:style w:type="character" w:styleId="SubtleEmphasis">
    <w:name w:val="Subtle Emphasis"/>
    <w:uiPriority w:val="2"/>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1"/>
    <w:uiPriority w:val="3"/>
    <w:rsid w:val="009C4DAA"/>
    <w:pPr>
      <w:numPr>
        <w:numId w:val="4"/>
      </w:numPr>
      <w:contextualSpacing/>
    </w:pPr>
  </w:style>
  <w:style w:type="paragraph" w:styleId="ListBullet2">
    <w:name w:val="List Bullet 2"/>
    <w:basedOn w:val="ListBullet"/>
    <w:uiPriority w:val="3"/>
    <w:rsid w:val="009C4DAA"/>
    <w:pPr>
      <w:numPr>
        <w:numId w:val="1"/>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2"/>
      </w:numPr>
      <w:contextualSpacing/>
    </w:pPr>
  </w:style>
  <w:style w:type="paragraph" w:styleId="ListNumber2">
    <w:name w:val="List Number 2"/>
    <w:basedOn w:val="PBOtext"/>
    <w:uiPriority w:val="3"/>
    <w:rsid w:val="009C4DAA"/>
    <w:pPr>
      <w:numPr>
        <w:numId w:val="3"/>
      </w:numPr>
      <w:contextualSpacing/>
    </w:pPr>
  </w:style>
  <w:style w:type="character" w:styleId="IntenseEmphasis">
    <w:name w:val="Intense Emphasis"/>
    <w:uiPriority w:val="5"/>
    <w:rsid w:val="00CD21A6"/>
    <w:rPr>
      <w:b/>
      <w:bCs/>
      <w:i/>
      <w:iCs/>
      <w:color w:val="auto"/>
    </w:rPr>
  </w:style>
  <w:style w:type="paragraph" w:styleId="IntenseQuote">
    <w:name w:val="Intense Quote"/>
    <w:basedOn w:val="Normal"/>
    <w:next w:val="Normal"/>
    <w:link w:val="IntenseQuoteChar"/>
    <w:uiPriority w:val="5"/>
    <w:rsid w:val="00120B88"/>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120B88"/>
    <w:rPr>
      <w:rFonts w:ascii="Cambria" w:hAnsi="Cambria"/>
      <w:b/>
      <w:bCs/>
      <w:i/>
      <w:iCs/>
      <w:color w:val="2B3B5F"/>
      <w:sz w:val="22"/>
    </w:rPr>
  </w:style>
  <w:style w:type="table" w:customStyle="1" w:styleId="PBOtable">
    <w:name w:val="PBO table"/>
    <w:basedOn w:val="TableNormal"/>
    <w:qFormat/>
    <w:rsid w:val="00752E21"/>
    <w:rPr>
      <w:sz w:val="18"/>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styleId="BalloonText">
    <w:name w:val="Balloon Text"/>
    <w:basedOn w:val="Normal"/>
    <w:link w:val="BalloonTextChar"/>
    <w:semiHidden/>
    <w:unhideWhenUsed/>
    <w:rsid w:val="0013713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137136"/>
    <w:rPr>
      <w:rFonts w:ascii="Tahoma" w:hAnsi="Tahoma" w:cs="Tahoma"/>
      <w:sz w:val="16"/>
      <w:szCs w:val="16"/>
    </w:rPr>
  </w:style>
  <w:style w:type="character" w:styleId="PlaceholderText">
    <w:name w:val="Placeholder Text"/>
    <w:basedOn w:val="DefaultParagraphFont"/>
    <w:unhideWhenUsed/>
    <w:locked/>
    <w:rsid w:val="00363378"/>
    <w:rPr>
      <w:color w:val="808080"/>
    </w:rPr>
  </w:style>
  <w:style w:type="numbering" w:customStyle="1" w:styleId="Style1">
    <w:name w:val="Style1"/>
    <w:uiPriority w:val="99"/>
    <w:rsid w:val="00127D85"/>
    <w:pPr>
      <w:numPr>
        <w:numId w:val="5"/>
      </w:numPr>
    </w:pPr>
  </w:style>
  <w:style w:type="paragraph" w:customStyle="1" w:styleId="PBObullet2">
    <w:name w:val="PBO bullet 2"/>
    <w:basedOn w:val="PBObullet1"/>
    <w:qFormat/>
    <w:rsid w:val="007B4313"/>
    <w:pPr>
      <w:numPr>
        <w:numId w:val="6"/>
      </w:numPr>
      <w:ind w:left="1135" w:hanging="284"/>
    </w:pPr>
  </w:style>
  <w:style w:type="table" w:customStyle="1" w:styleId="PBOtable2">
    <w:name w:val="PBO table 2"/>
    <w:basedOn w:val="TableNormal"/>
    <w:uiPriority w:val="99"/>
    <w:rsid w:val="00785085"/>
    <w:tblPr/>
  </w:style>
  <w:style w:type="table" w:customStyle="1" w:styleId="PBOdialoguebox">
    <w:name w:val="PBO dialogue box"/>
    <w:basedOn w:val="PBOtable2"/>
    <w:uiPriority w:val="99"/>
    <w:rsid w:val="00752E21"/>
    <w:tblPr/>
    <w:tcPr>
      <w:shd w:val="clear" w:color="auto" w:fill="D8DCE5"/>
    </w:tcPr>
  </w:style>
  <w:style w:type="paragraph" w:styleId="ListParagraph">
    <w:name w:val="List Paragraph"/>
    <w:basedOn w:val="PBObullet"/>
    <w:uiPriority w:val="34"/>
    <w:qFormat/>
    <w:rsid w:val="007B4313"/>
    <w:pPr>
      <w:spacing w:before="60" w:after="60"/>
      <w:ind w:left="1418" w:hanging="284"/>
    </w:pPr>
    <w:rPr>
      <w:sz w:val="22"/>
    </w:rPr>
  </w:style>
  <w:style w:type="paragraph" w:customStyle="1" w:styleId="PBOlist1">
    <w:name w:val="PBO list 1"/>
    <w:basedOn w:val="PBOtext"/>
    <w:qFormat/>
    <w:rsid w:val="00CA0DE9"/>
    <w:pPr>
      <w:numPr>
        <w:numId w:val="8"/>
      </w:numPr>
      <w:tabs>
        <w:tab w:val="num" w:pos="360"/>
      </w:tabs>
      <w:spacing w:before="60" w:after="60"/>
      <w:ind w:left="851" w:hanging="284"/>
    </w:pPr>
  </w:style>
  <w:style w:type="paragraph" w:customStyle="1" w:styleId="PBOlist2">
    <w:name w:val="PBO list 2"/>
    <w:basedOn w:val="PBOlist1"/>
    <w:qFormat/>
    <w:rsid w:val="00221ADD"/>
    <w:pPr>
      <w:numPr>
        <w:numId w:val="9"/>
      </w:numPr>
      <w:ind w:left="1208" w:hanging="357"/>
    </w:pPr>
  </w:style>
  <w:style w:type="character" w:customStyle="1" w:styleId="Heading2Char">
    <w:name w:val="Heading 2 Char"/>
    <w:basedOn w:val="DefaultParagraphFont"/>
    <w:link w:val="Heading2"/>
    <w:semiHidden/>
    <w:rsid w:val="006D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6D2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6D2E92"/>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23299E"/>
    <w:pPr>
      <w:tabs>
        <w:tab w:val="right" w:leader="underscore" w:pos="9010"/>
      </w:tabs>
      <w:spacing w:after="100"/>
    </w:pPr>
    <w:rPr>
      <w:b/>
      <w:noProof/>
    </w:rPr>
  </w:style>
  <w:style w:type="paragraph" w:styleId="TOC2">
    <w:name w:val="toc 2"/>
    <w:basedOn w:val="Normal"/>
    <w:next w:val="Normal"/>
    <w:autoRedefine/>
    <w:uiPriority w:val="39"/>
    <w:rsid w:val="0023299E"/>
    <w:pPr>
      <w:tabs>
        <w:tab w:val="right" w:leader="underscore" w:pos="9010"/>
      </w:tabs>
      <w:spacing w:after="100" w:line="360" w:lineRule="auto"/>
      <w:ind w:left="198"/>
    </w:pPr>
  </w:style>
  <w:style w:type="paragraph" w:styleId="TOC3">
    <w:name w:val="toc 3"/>
    <w:basedOn w:val="Normal"/>
    <w:next w:val="Normal"/>
    <w:autoRedefine/>
    <w:uiPriority w:val="39"/>
    <w:unhideWhenUsed/>
    <w:rsid w:val="00552FE1"/>
    <w:pPr>
      <w:spacing w:after="100"/>
      <w:ind w:left="400"/>
    </w:pPr>
  </w:style>
  <w:style w:type="character" w:styleId="Hyperlink">
    <w:name w:val="Hyperlink"/>
    <w:basedOn w:val="DefaultParagraphFont"/>
    <w:uiPriority w:val="99"/>
    <w:unhideWhenUsed/>
    <w:rsid w:val="00552FE1"/>
    <w:rPr>
      <w:color w:val="0000FF" w:themeColor="hyperlink"/>
      <w:u w:val="single"/>
    </w:rPr>
  </w:style>
  <w:style w:type="paragraph" w:customStyle="1" w:styleId="PBObullet">
    <w:name w:val="PBO bullet"/>
    <w:basedOn w:val="Normal"/>
    <w:rsid w:val="007B4313"/>
    <w:pPr>
      <w:numPr>
        <w:ilvl w:val="1"/>
        <w:numId w:val="6"/>
      </w:numPr>
    </w:pPr>
  </w:style>
  <w:style w:type="paragraph" w:customStyle="1" w:styleId="Executivesummary">
    <w:name w:val="Executive summary"/>
    <w:basedOn w:val="PBOtext"/>
    <w:qFormat/>
    <w:rsid w:val="00EB6A77"/>
    <w:pPr>
      <w:numPr>
        <w:numId w:val="0"/>
      </w:numPr>
    </w:pPr>
  </w:style>
  <w:style w:type="paragraph" w:styleId="FootnoteText">
    <w:name w:val="footnote text"/>
    <w:basedOn w:val="Normal"/>
    <w:link w:val="FootnoteTextChar"/>
    <w:uiPriority w:val="99"/>
    <w:rsid w:val="00EB6A77"/>
    <w:pPr>
      <w:spacing w:before="0" w:after="0"/>
    </w:pPr>
  </w:style>
  <w:style w:type="character" w:customStyle="1" w:styleId="FootnoteTextChar">
    <w:name w:val="Footnote Text Char"/>
    <w:basedOn w:val="DefaultParagraphFont"/>
    <w:link w:val="FootnoteText"/>
    <w:uiPriority w:val="99"/>
    <w:rsid w:val="00EB6A77"/>
  </w:style>
  <w:style w:type="character" w:styleId="FootnoteReference">
    <w:name w:val="footnote reference"/>
    <w:basedOn w:val="DefaultParagraphFont"/>
    <w:uiPriority w:val="99"/>
    <w:rsid w:val="00EB6A77"/>
    <w:rPr>
      <w:vertAlign w:val="superscript"/>
    </w:rPr>
  </w:style>
  <w:style w:type="paragraph" w:customStyle="1" w:styleId="Footnote">
    <w:name w:val="Footnote"/>
    <w:basedOn w:val="FootnoteText"/>
    <w:qFormat/>
    <w:rsid w:val="00FD6F82"/>
    <w:pPr>
      <w:ind w:left="567" w:hanging="567"/>
    </w:pPr>
    <w:rPr>
      <w:sz w:val="18"/>
    </w:rPr>
  </w:style>
  <w:style w:type="table" w:customStyle="1" w:styleId="TableGrid1">
    <w:name w:val="Table Grid1"/>
    <w:basedOn w:val="TableNormal"/>
    <w:next w:val="TableGrid"/>
    <w:uiPriority w:val="59"/>
    <w:rsid w:val="00EE0E29"/>
    <w:pPr>
      <w:keepNext/>
      <w:keepLines/>
      <w:spacing w:before="60" w:after="6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5"/>
    <w:rsid w:val="0027164C"/>
    <w:rPr>
      <w:color w:val="800080" w:themeColor="followedHyperlink"/>
      <w:u w:val="single"/>
    </w:rPr>
  </w:style>
  <w:style w:type="paragraph" w:customStyle="1" w:styleId="Default">
    <w:name w:val="Default"/>
    <w:rsid w:val="0027164C"/>
    <w:pPr>
      <w:autoSpaceDE w:val="0"/>
      <w:autoSpaceDN w:val="0"/>
      <w:adjustRightInd w:val="0"/>
    </w:pPr>
    <w:rPr>
      <w:rFonts w:cs="Calibri"/>
      <w:color w:val="000000"/>
      <w:sz w:val="24"/>
      <w:szCs w:val="24"/>
    </w:rPr>
  </w:style>
  <w:style w:type="character" w:styleId="CommentReference">
    <w:name w:val="annotation reference"/>
    <w:basedOn w:val="DefaultParagraphFont"/>
    <w:semiHidden/>
    <w:unhideWhenUsed/>
    <w:rsid w:val="003A01BB"/>
    <w:rPr>
      <w:sz w:val="16"/>
      <w:szCs w:val="16"/>
    </w:rPr>
  </w:style>
  <w:style w:type="paragraph" w:styleId="CommentText">
    <w:name w:val="annotation text"/>
    <w:basedOn w:val="Normal"/>
    <w:link w:val="CommentTextChar"/>
    <w:semiHidden/>
    <w:unhideWhenUsed/>
    <w:rsid w:val="003A01BB"/>
  </w:style>
  <w:style w:type="character" w:customStyle="1" w:styleId="CommentTextChar">
    <w:name w:val="Comment Text Char"/>
    <w:basedOn w:val="DefaultParagraphFont"/>
    <w:link w:val="CommentText"/>
    <w:semiHidden/>
    <w:rsid w:val="003A01BB"/>
  </w:style>
  <w:style w:type="paragraph" w:styleId="CommentSubject">
    <w:name w:val="annotation subject"/>
    <w:basedOn w:val="CommentText"/>
    <w:next w:val="CommentText"/>
    <w:link w:val="CommentSubjectChar"/>
    <w:semiHidden/>
    <w:unhideWhenUsed/>
    <w:rsid w:val="003A01BB"/>
    <w:rPr>
      <w:b/>
      <w:bCs/>
    </w:rPr>
  </w:style>
  <w:style w:type="character" w:customStyle="1" w:styleId="CommentSubjectChar">
    <w:name w:val="Comment Subject Char"/>
    <w:basedOn w:val="CommentTextChar"/>
    <w:link w:val="CommentSubject"/>
    <w:semiHidden/>
    <w:rsid w:val="003A01BB"/>
    <w:rPr>
      <w:b/>
      <w:bCs/>
    </w:rPr>
  </w:style>
  <w:style w:type="paragraph" w:customStyle="1" w:styleId="PBOattachmentheading">
    <w:name w:val="PBO attachment heading"/>
    <w:basedOn w:val="Heading1"/>
    <w:next w:val="PBOheading2"/>
    <w:link w:val="PBOattachmentheadingChar"/>
    <w:qFormat/>
    <w:rsid w:val="00E86E2C"/>
    <w:pPr>
      <w:spacing w:before="320" w:after="170"/>
      <w:jc w:val="right"/>
    </w:pPr>
    <w:rPr>
      <w:rFonts w:ascii="Georgia" w:hAnsi="Georgia"/>
      <w:b w:val="0"/>
      <w:color w:val="2B3B5F"/>
      <w:sz w:val="30"/>
    </w:rPr>
  </w:style>
  <w:style w:type="character" w:customStyle="1" w:styleId="PBOheading2Char">
    <w:name w:val="PBO heading 2 Char"/>
    <w:basedOn w:val="Heading2Char"/>
    <w:link w:val="PBOheading2"/>
    <w:uiPriority w:val="1"/>
    <w:rsid w:val="00E86E2C"/>
    <w:rPr>
      <w:rFonts w:ascii="Georgia" w:eastAsiaTheme="majorEastAsia" w:hAnsi="Georgia" w:cstheme="majorBidi"/>
      <w:b w:val="0"/>
      <w:bCs/>
      <w:color w:val="2D3B5F"/>
      <w:sz w:val="30"/>
      <w:szCs w:val="26"/>
    </w:rPr>
  </w:style>
  <w:style w:type="character" w:customStyle="1" w:styleId="PBOattachmentheadingChar">
    <w:name w:val="PBO attachment heading Char"/>
    <w:basedOn w:val="PBOheading2Char"/>
    <w:link w:val="PBOattachmentheading"/>
    <w:rsid w:val="00E86E2C"/>
    <w:rPr>
      <w:rFonts w:ascii="Georgia" w:eastAsia="Times New Roman" w:hAnsi="Georgia" w:cstheme="majorBidi"/>
      <w:b w:val="0"/>
      <w:bCs/>
      <w:color w:val="2B3B5F"/>
      <w:kern w:val="32"/>
      <w:sz w:val="30"/>
      <w:szCs w:val="32"/>
    </w:rPr>
  </w:style>
  <w:style w:type="paragraph" w:styleId="EndnoteText">
    <w:name w:val="endnote text"/>
    <w:basedOn w:val="Normal"/>
    <w:link w:val="EndnoteTextChar"/>
    <w:semiHidden/>
    <w:unhideWhenUsed/>
    <w:rsid w:val="006477FD"/>
    <w:pPr>
      <w:spacing w:before="0" w:after="0"/>
    </w:pPr>
  </w:style>
  <w:style w:type="character" w:customStyle="1" w:styleId="EndnoteTextChar">
    <w:name w:val="Endnote Text Char"/>
    <w:basedOn w:val="DefaultParagraphFont"/>
    <w:link w:val="EndnoteText"/>
    <w:semiHidden/>
    <w:rsid w:val="006477FD"/>
  </w:style>
  <w:style w:type="character" w:styleId="EndnoteReference">
    <w:name w:val="endnote reference"/>
    <w:basedOn w:val="DefaultParagraphFont"/>
    <w:semiHidden/>
    <w:unhideWhenUsed/>
    <w:rsid w:val="006477FD"/>
    <w:rPr>
      <w:vertAlign w:val="superscript"/>
    </w:rPr>
  </w:style>
  <w:style w:type="paragraph" w:customStyle="1" w:styleId="Source">
    <w:name w:val="Source"/>
    <w:basedOn w:val="Normal"/>
    <w:qFormat/>
    <w:rsid w:val="006F212E"/>
    <w:pPr>
      <w:tabs>
        <w:tab w:val="left" w:pos="1281"/>
      </w:tabs>
      <w:spacing w:before="180"/>
    </w:pPr>
    <w:rPr>
      <w:color w:val="808080" w:themeColor="background1" w:themeShade="80"/>
      <w:sz w:val="18"/>
      <w:szCs w:val="18"/>
    </w:rPr>
  </w:style>
  <w:style w:type="paragraph" w:styleId="Revision">
    <w:name w:val="Revision"/>
    <w:hidden/>
    <w:rsid w:val="007804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nhideWhenUsed="1"/>
    <w:lsdException w:name="header" w:uiPriority="99"/>
    <w:lsdException w:name="footer" w:uiPriority="99" w:qFormat="1"/>
    <w:lsdException w:name="index heading" w:locked="1" w:semiHidden="1" w:unhideWhenUsed="1"/>
    <w:lsdException w:name="caption" w:semiHidden="1" w:unhideWhenUsed="1"/>
    <w:lsdException w:name="envelope address" w:locked="1" w:semiHidden="1" w:unhideWhenUsed="1"/>
    <w:lsdException w:name="envelope return" w:locked="1" w:semiHidden="1" w:unhideWhenUsed="1"/>
    <w:lsdException w:name="footnote reference" w:uiPriority="99"/>
    <w:lsdException w:name="annotation reference" w:semiHidden="1" w:unhideWhenUsed="1"/>
    <w:lsdException w:name="line number" w:uiPriority="3"/>
    <w:lsdException w:name="page number" w:locked="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6D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6D2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6D2E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Title"/>
    <w:rsid w:val="0097473C"/>
    <w:pPr>
      <w:spacing w:before="1080" w:after="1200"/>
    </w:pPr>
    <w:rPr>
      <w:rFonts w:ascii="Calibri" w:hAnsi="Calibri" w:cs="Calibri"/>
      <w:bCs w:val="0"/>
      <w:caps/>
      <w:color w:val="auto"/>
      <w:sz w:val="96"/>
      <w:szCs w:val="96"/>
    </w:rPr>
  </w:style>
  <w:style w:type="paragraph" w:customStyle="1" w:styleId="PBOtext">
    <w:name w:val="PBO text"/>
    <w:basedOn w:val="Normal"/>
    <w:qFormat/>
    <w:rsid w:val="00FD6F82"/>
    <w:pPr>
      <w:numPr>
        <w:numId w:val="19"/>
      </w:numPr>
      <w:spacing w:before="240" w:after="0"/>
      <w:ind w:left="567" w:hanging="567"/>
    </w:pPr>
    <w:rPr>
      <w:sz w:val="22"/>
    </w:rPr>
  </w:style>
  <w:style w:type="paragraph" w:customStyle="1" w:styleId="PBObullet1">
    <w:name w:val="PBO bullet 1"/>
    <w:basedOn w:val="PBOtext"/>
    <w:qFormat/>
    <w:rsid w:val="00F1407F"/>
    <w:pPr>
      <w:numPr>
        <w:numId w:val="13"/>
      </w:numPr>
      <w:tabs>
        <w:tab w:val="num" w:pos="360"/>
      </w:tabs>
      <w:spacing w:before="60" w:after="60"/>
      <w:ind w:left="851" w:hanging="284"/>
    </w:pPr>
  </w:style>
  <w:style w:type="paragraph" w:customStyle="1" w:styleId="PBOheading1">
    <w:name w:val="PBO heading 1"/>
    <w:basedOn w:val="Heading1"/>
    <w:next w:val="PBOheading2"/>
    <w:uiPriority w:val="1"/>
    <w:qFormat/>
    <w:rsid w:val="00273BB3"/>
    <w:pPr>
      <w:spacing w:before="680" w:after="480"/>
    </w:pPr>
    <w:rPr>
      <w:rFonts w:ascii="Georgia" w:hAnsi="Georgia"/>
      <w:b w:val="0"/>
      <w:color w:val="2D3B5F"/>
      <w:sz w:val="36"/>
      <w:szCs w:val="24"/>
      <w:lang w:eastAsia="en-US"/>
    </w:rPr>
  </w:style>
  <w:style w:type="paragraph" w:customStyle="1" w:styleId="PBOheading2">
    <w:name w:val="PBO heading 2"/>
    <w:basedOn w:val="Heading2"/>
    <w:next w:val="PBOheading3"/>
    <w:link w:val="PBOheading2Char"/>
    <w:uiPriority w:val="1"/>
    <w:qFormat/>
    <w:rsid w:val="00273BB3"/>
    <w:pPr>
      <w:spacing w:before="320" w:after="170"/>
    </w:pPr>
    <w:rPr>
      <w:rFonts w:ascii="Georgia" w:hAnsi="Georgia"/>
      <w:b w:val="0"/>
      <w:color w:val="2D3B5F"/>
      <w:sz w:val="30"/>
    </w:rPr>
  </w:style>
  <w:style w:type="paragraph" w:customStyle="1" w:styleId="PBOfiguretableheading">
    <w:name w:val="PBO figure/table heading"/>
    <w:uiPriority w:val="2"/>
    <w:qFormat/>
    <w:rsid w:val="002276D6"/>
    <w:pPr>
      <w:keepNext/>
      <w:spacing w:before="200" w:after="113" w:line="288" w:lineRule="auto"/>
    </w:pPr>
    <w:rPr>
      <w:b/>
      <w:i/>
      <w:color w:val="2D3B5F"/>
      <w:szCs w:val="24"/>
      <w:lang w:eastAsia="en-US"/>
    </w:rPr>
  </w:style>
  <w:style w:type="paragraph" w:customStyle="1" w:styleId="PBOheading3">
    <w:name w:val="PBO heading 3"/>
    <w:basedOn w:val="Heading3"/>
    <w:next w:val="PBOheading4"/>
    <w:uiPriority w:val="1"/>
    <w:qFormat/>
    <w:rsid w:val="00273BB3"/>
    <w:pPr>
      <w:spacing w:after="200"/>
    </w:pPr>
    <w:rPr>
      <w:rFonts w:ascii="Calibri" w:hAnsi="Calibri"/>
      <w:color w:val="2D3B5F"/>
      <w:sz w:val="26"/>
    </w:rPr>
  </w:style>
  <w:style w:type="paragraph" w:styleId="Title">
    <w:name w:val="Title"/>
    <w:aliases w:val="PBO Title"/>
    <w:basedOn w:val="Heading1"/>
    <w:next w:val="Subtitle"/>
    <w:link w:val="TitleChar"/>
    <w:qFormat/>
    <w:rsid w:val="00273BB3"/>
    <w:pPr>
      <w:spacing w:before="4300"/>
      <w:jc w:val="center"/>
    </w:pPr>
    <w:rPr>
      <w:rFonts w:ascii="Georgia" w:hAnsi="Georgia"/>
      <w:b w:val="0"/>
      <w:color w:val="2D3B5F"/>
      <w:sz w:val="50"/>
    </w:rPr>
  </w:style>
  <w:style w:type="character" w:customStyle="1" w:styleId="TitleChar">
    <w:name w:val="Title Char"/>
    <w:aliases w:val="PBO Title Char"/>
    <w:link w:val="Title"/>
    <w:rsid w:val="00273BB3"/>
    <w:rPr>
      <w:rFonts w:ascii="Georgia" w:eastAsia="Times New Roman" w:hAnsi="Georgia"/>
      <w:bCs/>
      <w:color w:val="2D3B5F"/>
      <w:kern w:val="32"/>
      <w:sz w:val="50"/>
      <w:szCs w:val="32"/>
    </w:rPr>
  </w:style>
  <w:style w:type="paragraph" w:styleId="Subtitle">
    <w:name w:val="Subtitle"/>
    <w:aliases w:val="PBO Subtitle"/>
    <w:basedOn w:val="Heading2"/>
    <w:next w:val="PBOheading1"/>
    <w:link w:val="SubtitleChar"/>
    <w:uiPriority w:val="2"/>
    <w:qFormat/>
    <w:rsid w:val="00273BB3"/>
    <w:pPr>
      <w:spacing w:before="480"/>
      <w:jc w:val="center"/>
    </w:pPr>
    <w:rPr>
      <w:rFonts w:ascii="Georgia" w:hAnsi="Georgia"/>
      <w:b w:val="0"/>
      <w:color w:val="2D3B5F"/>
      <w:sz w:val="28"/>
    </w:rPr>
  </w:style>
  <w:style w:type="character" w:customStyle="1" w:styleId="SubtitleChar">
    <w:name w:val="Subtitle Char"/>
    <w:aliases w:val="PBO Subtitle Char"/>
    <w:link w:val="Subtitle"/>
    <w:uiPriority w:val="2"/>
    <w:rsid w:val="00273BB3"/>
    <w:rPr>
      <w:rFonts w:ascii="Georgia" w:eastAsiaTheme="majorEastAsia" w:hAnsi="Georgia" w:cstheme="majorBidi"/>
      <w:bCs/>
      <w:color w:val="2D3B5F"/>
      <w:sz w:val="28"/>
      <w:szCs w:val="26"/>
    </w:rPr>
  </w:style>
  <w:style w:type="paragraph" w:styleId="Header">
    <w:name w:val="header"/>
    <w:basedOn w:val="Normal"/>
    <w:link w:val="HeaderChar"/>
    <w:uiPriority w:val="99"/>
    <w:rsid w:val="00CD21A6"/>
    <w:pPr>
      <w:tabs>
        <w:tab w:val="center" w:pos="4513"/>
        <w:tab w:val="right" w:pos="9026"/>
      </w:tabs>
    </w:pPr>
    <w:rPr>
      <w:color w:val="808080"/>
    </w:rPr>
  </w:style>
  <w:style w:type="character" w:customStyle="1" w:styleId="HeaderChar">
    <w:name w:val="Header Char"/>
    <w:link w:val="Header"/>
    <w:uiPriority w:val="99"/>
    <w:rsid w:val="00CD21A6"/>
    <w:rPr>
      <w:color w:val="808080"/>
    </w:rPr>
  </w:style>
  <w:style w:type="paragraph" w:styleId="Footer">
    <w:name w:val="footer"/>
    <w:aliases w:val="PBO HeaderFooter"/>
    <w:basedOn w:val="Normal"/>
    <w:link w:val="FooterChar"/>
    <w:uiPriority w:val="99"/>
    <w:qFormat/>
    <w:rsid w:val="00B30BD3"/>
    <w:rPr>
      <w:b/>
      <w:sz w:val="18"/>
    </w:rPr>
  </w:style>
  <w:style w:type="character" w:customStyle="1" w:styleId="FooterChar">
    <w:name w:val="Footer Char"/>
    <w:aliases w:val="PBO HeaderFooter Char"/>
    <w:link w:val="Footer"/>
    <w:uiPriority w:val="99"/>
    <w:rsid w:val="00B30BD3"/>
    <w:rPr>
      <w:b/>
      <w:sz w:val="18"/>
    </w:rPr>
  </w:style>
  <w:style w:type="character" w:styleId="PageNumber">
    <w:name w:val="page number"/>
    <w:uiPriority w:val="4"/>
    <w:unhideWhenUsed/>
    <w:locked/>
    <w:rsid w:val="00120B88"/>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273BB3"/>
    <w:pPr>
      <w:spacing w:after="200"/>
    </w:pPr>
    <w:rPr>
      <w:rFonts w:ascii="Calibri" w:hAnsi="Calibri"/>
      <w:b w:val="0"/>
      <w:color w:val="2D3B5F"/>
      <w:sz w:val="26"/>
    </w:rPr>
  </w:style>
  <w:style w:type="paragraph" w:styleId="Quote">
    <w:name w:val="Quote"/>
    <w:basedOn w:val="Normal"/>
    <w:next w:val="Normal"/>
    <w:link w:val="QuoteChar"/>
    <w:uiPriority w:val="5"/>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rPr>
      <w:sz w:val="22"/>
    </w:rPr>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rPr>
      <w:sz w:val="22"/>
    </w:rPr>
  </w:style>
  <w:style w:type="paragraph" w:styleId="BodyTextFirstIndent">
    <w:name w:val="Body Text First Indent"/>
    <w:basedOn w:val="BodyText"/>
    <w:link w:val="BodyTextFirstIndentChar"/>
    <w:autoRedefine/>
    <w:uiPriority w:val="2"/>
    <w:unhideWhenUsed/>
    <w:rsid w:val="00B771B1"/>
    <w:pPr>
      <w:spacing w:before="0"/>
      <w:ind w:firstLine="210"/>
    </w:pPr>
    <w:rPr>
      <w:rFonts w:ascii="Cambria" w:hAnsi="Cambria"/>
    </w:rPr>
  </w:style>
  <w:style w:type="character" w:customStyle="1" w:styleId="BodyTextFirstIndentChar">
    <w:name w:val="Body Text First Indent Char"/>
    <w:link w:val="BodyTextFirstIndent"/>
    <w:uiPriority w:val="2"/>
    <w:rsid w:val="00CD21A6"/>
    <w:rPr>
      <w:rFonts w:ascii="Cambria" w:hAnsi="Cambria"/>
      <w:sz w:val="22"/>
    </w:rPr>
  </w:style>
  <w:style w:type="paragraph" w:styleId="Caption">
    <w:name w:val="caption"/>
    <w:basedOn w:val="Normal"/>
    <w:next w:val="Normal"/>
    <w:uiPriority w:val="5"/>
    <w:rsid w:val="00120B88"/>
    <w:rPr>
      <w:rFonts w:ascii="Cambria" w:hAnsi="Cambria"/>
      <w:b/>
      <w:bCs/>
      <w:color w:val="2B3B5F"/>
    </w:rPr>
  </w:style>
  <w:style w:type="character" w:styleId="Emphasis">
    <w:name w:val="Emphasis"/>
    <w:uiPriority w:val="2"/>
    <w:rsid w:val="00B771B1"/>
    <w:rPr>
      <w:i/>
      <w:iCs/>
    </w:rPr>
  </w:style>
  <w:style w:type="character" w:styleId="SubtleEmphasis">
    <w:name w:val="Subtle Emphasis"/>
    <w:uiPriority w:val="2"/>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1"/>
    <w:uiPriority w:val="3"/>
    <w:rsid w:val="009C4DAA"/>
    <w:pPr>
      <w:numPr>
        <w:numId w:val="4"/>
      </w:numPr>
      <w:contextualSpacing/>
    </w:pPr>
  </w:style>
  <w:style w:type="paragraph" w:styleId="ListBullet2">
    <w:name w:val="List Bullet 2"/>
    <w:basedOn w:val="ListBullet"/>
    <w:uiPriority w:val="3"/>
    <w:rsid w:val="009C4DAA"/>
    <w:pPr>
      <w:numPr>
        <w:numId w:val="1"/>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2"/>
      </w:numPr>
      <w:contextualSpacing/>
    </w:pPr>
  </w:style>
  <w:style w:type="paragraph" w:styleId="ListNumber2">
    <w:name w:val="List Number 2"/>
    <w:basedOn w:val="PBOtext"/>
    <w:uiPriority w:val="3"/>
    <w:rsid w:val="009C4DAA"/>
    <w:pPr>
      <w:numPr>
        <w:numId w:val="3"/>
      </w:numPr>
      <w:contextualSpacing/>
    </w:pPr>
  </w:style>
  <w:style w:type="character" w:styleId="IntenseEmphasis">
    <w:name w:val="Intense Emphasis"/>
    <w:uiPriority w:val="5"/>
    <w:rsid w:val="00CD21A6"/>
    <w:rPr>
      <w:b/>
      <w:bCs/>
      <w:i/>
      <w:iCs/>
      <w:color w:val="auto"/>
    </w:rPr>
  </w:style>
  <w:style w:type="paragraph" w:styleId="IntenseQuote">
    <w:name w:val="Intense Quote"/>
    <w:basedOn w:val="Normal"/>
    <w:next w:val="Normal"/>
    <w:link w:val="IntenseQuoteChar"/>
    <w:uiPriority w:val="5"/>
    <w:rsid w:val="00120B88"/>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120B88"/>
    <w:rPr>
      <w:rFonts w:ascii="Cambria" w:hAnsi="Cambria"/>
      <w:b/>
      <w:bCs/>
      <w:i/>
      <w:iCs/>
      <w:color w:val="2B3B5F"/>
      <w:sz w:val="22"/>
    </w:rPr>
  </w:style>
  <w:style w:type="table" w:customStyle="1" w:styleId="PBOtable">
    <w:name w:val="PBO table"/>
    <w:basedOn w:val="TableNormal"/>
    <w:qFormat/>
    <w:rsid w:val="00752E21"/>
    <w:rPr>
      <w:sz w:val="18"/>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styleId="BalloonText">
    <w:name w:val="Balloon Text"/>
    <w:basedOn w:val="Normal"/>
    <w:link w:val="BalloonTextChar"/>
    <w:semiHidden/>
    <w:unhideWhenUsed/>
    <w:rsid w:val="0013713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137136"/>
    <w:rPr>
      <w:rFonts w:ascii="Tahoma" w:hAnsi="Tahoma" w:cs="Tahoma"/>
      <w:sz w:val="16"/>
      <w:szCs w:val="16"/>
    </w:rPr>
  </w:style>
  <w:style w:type="character" w:styleId="PlaceholderText">
    <w:name w:val="Placeholder Text"/>
    <w:basedOn w:val="DefaultParagraphFont"/>
    <w:unhideWhenUsed/>
    <w:locked/>
    <w:rsid w:val="00363378"/>
    <w:rPr>
      <w:color w:val="808080"/>
    </w:rPr>
  </w:style>
  <w:style w:type="numbering" w:customStyle="1" w:styleId="Style1">
    <w:name w:val="Style1"/>
    <w:uiPriority w:val="99"/>
    <w:rsid w:val="00127D85"/>
    <w:pPr>
      <w:numPr>
        <w:numId w:val="5"/>
      </w:numPr>
    </w:pPr>
  </w:style>
  <w:style w:type="paragraph" w:customStyle="1" w:styleId="PBObullet2">
    <w:name w:val="PBO bullet 2"/>
    <w:basedOn w:val="PBObullet1"/>
    <w:qFormat/>
    <w:rsid w:val="007B4313"/>
    <w:pPr>
      <w:numPr>
        <w:numId w:val="6"/>
      </w:numPr>
      <w:ind w:left="1135" w:hanging="284"/>
    </w:pPr>
  </w:style>
  <w:style w:type="table" w:customStyle="1" w:styleId="PBOtable2">
    <w:name w:val="PBO table 2"/>
    <w:basedOn w:val="TableNormal"/>
    <w:uiPriority w:val="99"/>
    <w:rsid w:val="00785085"/>
    <w:tblPr/>
  </w:style>
  <w:style w:type="table" w:customStyle="1" w:styleId="PBOdialoguebox">
    <w:name w:val="PBO dialogue box"/>
    <w:basedOn w:val="PBOtable2"/>
    <w:uiPriority w:val="99"/>
    <w:rsid w:val="00752E21"/>
    <w:tblPr/>
    <w:tcPr>
      <w:shd w:val="clear" w:color="auto" w:fill="D8DCE5"/>
    </w:tcPr>
  </w:style>
  <w:style w:type="paragraph" w:styleId="ListParagraph">
    <w:name w:val="List Paragraph"/>
    <w:basedOn w:val="PBObullet"/>
    <w:uiPriority w:val="34"/>
    <w:qFormat/>
    <w:rsid w:val="007B4313"/>
    <w:pPr>
      <w:spacing w:before="60" w:after="60"/>
      <w:ind w:left="1418" w:hanging="284"/>
    </w:pPr>
    <w:rPr>
      <w:sz w:val="22"/>
    </w:rPr>
  </w:style>
  <w:style w:type="paragraph" w:customStyle="1" w:styleId="PBOlist1">
    <w:name w:val="PBO list 1"/>
    <w:basedOn w:val="PBOtext"/>
    <w:qFormat/>
    <w:rsid w:val="00CA0DE9"/>
    <w:pPr>
      <w:numPr>
        <w:numId w:val="8"/>
      </w:numPr>
      <w:tabs>
        <w:tab w:val="num" w:pos="360"/>
      </w:tabs>
      <w:spacing w:before="60" w:after="60"/>
      <w:ind w:left="851" w:hanging="284"/>
    </w:pPr>
  </w:style>
  <w:style w:type="paragraph" w:customStyle="1" w:styleId="PBOlist2">
    <w:name w:val="PBO list 2"/>
    <w:basedOn w:val="PBOlist1"/>
    <w:qFormat/>
    <w:rsid w:val="00221ADD"/>
    <w:pPr>
      <w:numPr>
        <w:numId w:val="9"/>
      </w:numPr>
      <w:ind w:left="1208" w:hanging="357"/>
    </w:pPr>
  </w:style>
  <w:style w:type="character" w:customStyle="1" w:styleId="Heading2Char">
    <w:name w:val="Heading 2 Char"/>
    <w:basedOn w:val="DefaultParagraphFont"/>
    <w:link w:val="Heading2"/>
    <w:semiHidden/>
    <w:rsid w:val="006D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6D2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6D2E92"/>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23299E"/>
    <w:pPr>
      <w:tabs>
        <w:tab w:val="right" w:leader="underscore" w:pos="9010"/>
      </w:tabs>
      <w:spacing w:after="100"/>
    </w:pPr>
    <w:rPr>
      <w:b/>
      <w:noProof/>
    </w:rPr>
  </w:style>
  <w:style w:type="paragraph" w:styleId="TOC2">
    <w:name w:val="toc 2"/>
    <w:basedOn w:val="Normal"/>
    <w:next w:val="Normal"/>
    <w:autoRedefine/>
    <w:uiPriority w:val="39"/>
    <w:rsid w:val="0023299E"/>
    <w:pPr>
      <w:tabs>
        <w:tab w:val="right" w:leader="underscore" w:pos="9010"/>
      </w:tabs>
      <w:spacing w:after="100" w:line="360" w:lineRule="auto"/>
      <w:ind w:left="198"/>
    </w:pPr>
  </w:style>
  <w:style w:type="paragraph" w:styleId="TOC3">
    <w:name w:val="toc 3"/>
    <w:basedOn w:val="Normal"/>
    <w:next w:val="Normal"/>
    <w:autoRedefine/>
    <w:uiPriority w:val="39"/>
    <w:unhideWhenUsed/>
    <w:rsid w:val="00552FE1"/>
    <w:pPr>
      <w:spacing w:after="100"/>
      <w:ind w:left="400"/>
    </w:pPr>
  </w:style>
  <w:style w:type="character" w:styleId="Hyperlink">
    <w:name w:val="Hyperlink"/>
    <w:basedOn w:val="DefaultParagraphFont"/>
    <w:uiPriority w:val="99"/>
    <w:unhideWhenUsed/>
    <w:rsid w:val="00552FE1"/>
    <w:rPr>
      <w:color w:val="0000FF" w:themeColor="hyperlink"/>
      <w:u w:val="single"/>
    </w:rPr>
  </w:style>
  <w:style w:type="paragraph" w:customStyle="1" w:styleId="PBObullet">
    <w:name w:val="PBO bullet"/>
    <w:basedOn w:val="Normal"/>
    <w:rsid w:val="007B4313"/>
    <w:pPr>
      <w:numPr>
        <w:ilvl w:val="1"/>
        <w:numId w:val="6"/>
      </w:numPr>
    </w:pPr>
  </w:style>
  <w:style w:type="paragraph" w:customStyle="1" w:styleId="Executivesummary">
    <w:name w:val="Executive summary"/>
    <w:basedOn w:val="PBOtext"/>
    <w:qFormat/>
    <w:rsid w:val="00EB6A77"/>
    <w:pPr>
      <w:numPr>
        <w:numId w:val="0"/>
      </w:numPr>
    </w:pPr>
  </w:style>
  <w:style w:type="paragraph" w:styleId="FootnoteText">
    <w:name w:val="footnote text"/>
    <w:basedOn w:val="Normal"/>
    <w:link w:val="FootnoteTextChar"/>
    <w:uiPriority w:val="99"/>
    <w:rsid w:val="00EB6A77"/>
    <w:pPr>
      <w:spacing w:before="0" w:after="0"/>
    </w:pPr>
  </w:style>
  <w:style w:type="character" w:customStyle="1" w:styleId="FootnoteTextChar">
    <w:name w:val="Footnote Text Char"/>
    <w:basedOn w:val="DefaultParagraphFont"/>
    <w:link w:val="FootnoteText"/>
    <w:uiPriority w:val="99"/>
    <w:rsid w:val="00EB6A77"/>
  </w:style>
  <w:style w:type="character" w:styleId="FootnoteReference">
    <w:name w:val="footnote reference"/>
    <w:basedOn w:val="DefaultParagraphFont"/>
    <w:uiPriority w:val="99"/>
    <w:rsid w:val="00EB6A77"/>
    <w:rPr>
      <w:vertAlign w:val="superscript"/>
    </w:rPr>
  </w:style>
  <w:style w:type="paragraph" w:customStyle="1" w:styleId="Footnote">
    <w:name w:val="Footnote"/>
    <w:basedOn w:val="FootnoteText"/>
    <w:qFormat/>
    <w:rsid w:val="00FD6F82"/>
    <w:pPr>
      <w:ind w:left="567" w:hanging="567"/>
    </w:pPr>
    <w:rPr>
      <w:sz w:val="18"/>
    </w:rPr>
  </w:style>
  <w:style w:type="table" w:customStyle="1" w:styleId="TableGrid1">
    <w:name w:val="Table Grid1"/>
    <w:basedOn w:val="TableNormal"/>
    <w:next w:val="TableGrid"/>
    <w:uiPriority w:val="59"/>
    <w:rsid w:val="00EE0E29"/>
    <w:pPr>
      <w:keepNext/>
      <w:keepLines/>
      <w:spacing w:before="60" w:after="6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5"/>
    <w:rsid w:val="0027164C"/>
    <w:rPr>
      <w:color w:val="800080" w:themeColor="followedHyperlink"/>
      <w:u w:val="single"/>
    </w:rPr>
  </w:style>
  <w:style w:type="paragraph" w:customStyle="1" w:styleId="Default">
    <w:name w:val="Default"/>
    <w:rsid w:val="0027164C"/>
    <w:pPr>
      <w:autoSpaceDE w:val="0"/>
      <w:autoSpaceDN w:val="0"/>
      <w:adjustRightInd w:val="0"/>
    </w:pPr>
    <w:rPr>
      <w:rFonts w:cs="Calibri"/>
      <w:color w:val="000000"/>
      <w:sz w:val="24"/>
      <w:szCs w:val="24"/>
    </w:rPr>
  </w:style>
  <w:style w:type="character" w:styleId="CommentReference">
    <w:name w:val="annotation reference"/>
    <w:basedOn w:val="DefaultParagraphFont"/>
    <w:semiHidden/>
    <w:unhideWhenUsed/>
    <w:rsid w:val="003A01BB"/>
    <w:rPr>
      <w:sz w:val="16"/>
      <w:szCs w:val="16"/>
    </w:rPr>
  </w:style>
  <w:style w:type="paragraph" w:styleId="CommentText">
    <w:name w:val="annotation text"/>
    <w:basedOn w:val="Normal"/>
    <w:link w:val="CommentTextChar"/>
    <w:semiHidden/>
    <w:unhideWhenUsed/>
    <w:rsid w:val="003A01BB"/>
  </w:style>
  <w:style w:type="character" w:customStyle="1" w:styleId="CommentTextChar">
    <w:name w:val="Comment Text Char"/>
    <w:basedOn w:val="DefaultParagraphFont"/>
    <w:link w:val="CommentText"/>
    <w:semiHidden/>
    <w:rsid w:val="003A01BB"/>
  </w:style>
  <w:style w:type="paragraph" w:styleId="CommentSubject">
    <w:name w:val="annotation subject"/>
    <w:basedOn w:val="CommentText"/>
    <w:next w:val="CommentText"/>
    <w:link w:val="CommentSubjectChar"/>
    <w:semiHidden/>
    <w:unhideWhenUsed/>
    <w:rsid w:val="003A01BB"/>
    <w:rPr>
      <w:b/>
      <w:bCs/>
    </w:rPr>
  </w:style>
  <w:style w:type="character" w:customStyle="1" w:styleId="CommentSubjectChar">
    <w:name w:val="Comment Subject Char"/>
    <w:basedOn w:val="CommentTextChar"/>
    <w:link w:val="CommentSubject"/>
    <w:semiHidden/>
    <w:rsid w:val="003A01BB"/>
    <w:rPr>
      <w:b/>
      <w:bCs/>
    </w:rPr>
  </w:style>
  <w:style w:type="paragraph" w:customStyle="1" w:styleId="PBOattachmentheading">
    <w:name w:val="PBO attachment heading"/>
    <w:basedOn w:val="Heading1"/>
    <w:next w:val="PBOheading2"/>
    <w:link w:val="PBOattachmentheadingChar"/>
    <w:qFormat/>
    <w:rsid w:val="00E86E2C"/>
    <w:pPr>
      <w:spacing w:before="320" w:after="170"/>
      <w:jc w:val="right"/>
    </w:pPr>
    <w:rPr>
      <w:rFonts w:ascii="Georgia" w:hAnsi="Georgia"/>
      <w:b w:val="0"/>
      <w:color w:val="2B3B5F"/>
      <w:sz w:val="30"/>
    </w:rPr>
  </w:style>
  <w:style w:type="character" w:customStyle="1" w:styleId="PBOheading2Char">
    <w:name w:val="PBO heading 2 Char"/>
    <w:basedOn w:val="Heading2Char"/>
    <w:link w:val="PBOheading2"/>
    <w:uiPriority w:val="1"/>
    <w:rsid w:val="00E86E2C"/>
    <w:rPr>
      <w:rFonts w:ascii="Georgia" w:eastAsiaTheme="majorEastAsia" w:hAnsi="Georgia" w:cstheme="majorBidi"/>
      <w:b w:val="0"/>
      <w:bCs/>
      <w:color w:val="2D3B5F"/>
      <w:sz w:val="30"/>
      <w:szCs w:val="26"/>
    </w:rPr>
  </w:style>
  <w:style w:type="character" w:customStyle="1" w:styleId="PBOattachmentheadingChar">
    <w:name w:val="PBO attachment heading Char"/>
    <w:basedOn w:val="PBOheading2Char"/>
    <w:link w:val="PBOattachmentheading"/>
    <w:rsid w:val="00E86E2C"/>
    <w:rPr>
      <w:rFonts w:ascii="Georgia" w:eastAsia="Times New Roman" w:hAnsi="Georgia" w:cstheme="majorBidi"/>
      <w:b w:val="0"/>
      <w:bCs/>
      <w:color w:val="2B3B5F"/>
      <w:kern w:val="32"/>
      <w:sz w:val="30"/>
      <w:szCs w:val="32"/>
    </w:rPr>
  </w:style>
  <w:style w:type="paragraph" w:styleId="EndnoteText">
    <w:name w:val="endnote text"/>
    <w:basedOn w:val="Normal"/>
    <w:link w:val="EndnoteTextChar"/>
    <w:semiHidden/>
    <w:unhideWhenUsed/>
    <w:rsid w:val="006477FD"/>
    <w:pPr>
      <w:spacing w:before="0" w:after="0"/>
    </w:pPr>
  </w:style>
  <w:style w:type="character" w:customStyle="1" w:styleId="EndnoteTextChar">
    <w:name w:val="Endnote Text Char"/>
    <w:basedOn w:val="DefaultParagraphFont"/>
    <w:link w:val="EndnoteText"/>
    <w:semiHidden/>
    <w:rsid w:val="006477FD"/>
  </w:style>
  <w:style w:type="character" w:styleId="EndnoteReference">
    <w:name w:val="endnote reference"/>
    <w:basedOn w:val="DefaultParagraphFont"/>
    <w:semiHidden/>
    <w:unhideWhenUsed/>
    <w:rsid w:val="006477FD"/>
    <w:rPr>
      <w:vertAlign w:val="superscript"/>
    </w:rPr>
  </w:style>
  <w:style w:type="paragraph" w:customStyle="1" w:styleId="Source">
    <w:name w:val="Source"/>
    <w:basedOn w:val="Normal"/>
    <w:qFormat/>
    <w:rsid w:val="006F212E"/>
    <w:pPr>
      <w:tabs>
        <w:tab w:val="left" w:pos="1281"/>
      </w:tabs>
      <w:spacing w:before="180"/>
    </w:pPr>
    <w:rPr>
      <w:color w:val="808080" w:themeColor="background1" w:themeShade="80"/>
      <w:sz w:val="18"/>
      <w:szCs w:val="18"/>
    </w:rPr>
  </w:style>
  <w:style w:type="paragraph" w:styleId="Revision">
    <w:name w:val="Revision"/>
    <w:hidden/>
    <w:rsid w:val="00780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3051">
      <w:bodyDiv w:val="1"/>
      <w:marLeft w:val="0"/>
      <w:marRight w:val="0"/>
      <w:marTop w:val="0"/>
      <w:marBottom w:val="0"/>
      <w:divBdr>
        <w:top w:val="none" w:sz="0" w:space="0" w:color="auto"/>
        <w:left w:val="none" w:sz="0" w:space="0" w:color="auto"/>
        <w:bottom w:val="none" w:sz="0" w:space="0" w:color="auto"/>
        <w:right w:val="none" w:sz="0" w:space="0" w:color="auto"/>
      </w:divBdr>
    </w:div>
    <w:div w:id="365183731">
      <w:bodyDiv w:val="1"/>
      <w:marLeft w:val="0"/>
      <w:marRight w:val="0"/>
      <w:marTop w:val="0"/>
      <w:marBottom w:val="0"/>
      <w:divBdr>
        <w:top w:val="none" w:sz="0" w:space="0" w:color="auto"/>
        <w:left w:val="none" w:sz="0" w:space="0" w:color="auto"/>
        <w:bottom w:val="none" w:sz="0" w:space="0" w:color="auto"/>
        <w:right w:val="none" w:sz="0" w:space="0" w:color="auto"/>
      </w:divBdr>
    </w:div>
    <w:div w:id="554395481">
      <w:bodyDiv w:val="1"/>
      <w:marLeft w:val="0"/>
      <w:marRight w:val="0"/>
      <w:marTop w:val="0"/>
      <w:marBottom w:val="0"/>
      <w:divBdr>
        <w:top w:val="none" w:sz="0" w:space="0" w:color="auto"/>
        <w:left w:val="none" w:sz="0" w:space="0" w:color="auto"/>
        <w:bottom w:val="none" w:sz="0" w:space="0" w:color="auto"/>
        <w:right w:val="none" w:sz="0" w:space="0" w:color="auto"/>
      </w:divBdr>
    </w:div>
    <w:div w:id="1545092557">
      <w:bodyDiv w:val="1"/>
      <w:marLeft w:val="0"/>
      <w:marRight w:val="0"/>
      <w:marTop w:val="0"/>
      <w:marBottom w:val="0"/>
      <w:divBdr>
        <w:top w:val="none" w:sz="0" w:space="0" w:color="auto"/>
        <w:left w:val="none" w:sz="0" w:space="0" w:color="auto"/>
        <w:bottom w:val="none" w:sz="0" w:space="0" w:color="auto"/>
        <w:right w:val="none" w:sz="0" w:space="0" w:color="auto"/>
      </w:divBdr>
    </w:div>
    <w:div w:id="1545680250">
      <w:bodyDiv w:val="1"/>
      <w:marLeft w:val="0"/>
      <w:marRight w:val="0"/>
      <w:marTop w:val="0"/>
      <w:marBottom w:val="0"/>
      <w:divBdr>
        <w:top w:val="none" w:sz="0" w:space="0" w:color="auto"/>
        <w:left w:val="none" w:sz="0" w:space="0" w:color="auto"/>
        <w:bottom w:val="none" w:sz="0" w:space="0" w:color="auto"/>
        <w:right w:val="none" w:sz="0" w:space="0" w:color="auto"/>
      </w:divBdr>
    </w:div>
    <w:div w:id="1712067609">
      <w:bodyDiv w:val="1"/>
      <w:marLeft w:val="0"/>
      <w:marRight w:val="0"/>
      <w:marTop w:val="0"/>
      <w:marBottom w:val="0"/>
      <w:divBdr>
        <w:top w:val="none" w:sz="0" w:space="0" w:color="auto"/>
        <w:left w:val="none" w:sz="0" w:space="0" w:color="auto"/>
        <w:bottom w:val="none" w:sz="0" w:space="0" w:color="auto"/>
        <w:right w:val="none" w:sz="0" w:space="0" w:color="auto"/>
      </w:divBdr>
    </w:div>
    <w:div w:id="1812599935">
      <w:bodyDiv w:val="1"/>
      <w:marLeft w:val="0"/>
      <w:marRight w:val="0"/>
      <w:marTop w:val="0"/>
      <w:marBottom w:val="0"/>
      <w:divBdr>
        <w:top w:val="none" w:sz="0" w:space="0" w:color="auto"/>
        <w:left w:val="none" w:sz="0" w:space="0" w:color="auto"/>
        <w:bottom w:val="none" w:sz="0" w:space="0" w:color="auto"/>
        <w:right w:val="none" w:sz="0" w:space="0" w:color="auto"/>
      </w:divBdr>
    </w:div>
    <w:div w:id="1835217255">
      <w:bodyDiv w:val="1"/>
      <w:marLeft w:val="0"/>
      <w:marRight w:val="0"/>
      <w:marTop w:val="0"/>
      <w:marBottom w:val="0"/>
      <w:divBdr>
        <w:top w:val="none" w:sz="0" w:space="0" w:color="auto"/>
        <w:left w:val="none" w:sz="0" w:space="0" w:color="auto"/>
        <w:bottom w:val="none" w:sz="0" w:space="0" w:color="auto"/>
        <w:right w:val="none" w:sz="0" w:space="0" w:color="auto"/>
      </w:divBdr>
    </w:div>
    <w:div w:id="1851723977">
      <w:bodyDiv w:val="1"/>
      <w:marLeft w:val="0"/>
      <w:marRight w:val="0"/>
      <w:marTop w:val="0"/>
      <w:marBottom w:val="0"/>
      <w:divBdr>
        <w:top w:val="none" w:sz="0" w:space="0" w:color="auto"/>
        <w:left w:val="none" w:sz="0" w:space="0" w:color="auto"/>
        <w:bottom w:val="none" w:sz="0" w:space="0" w:color="auto"/>
        <w:right w:val="none" w:sz="0" w:space="0" w:color="auto"/>
      </w:divBdr>
    </w:div>
    <w:div w:id="19695843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health.sen@aph.gov.au"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federalfinancialrelations.gov.au/content/inter_agreement_and_schedules/superseded/Schedule_D_March_09.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ph.gov.au/Parliamentary_Business/Committees/Senate/Health/Health/Public_Hearings" TargetMode="Externa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pbo@pbo.gov.au"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ederalfinancialrelations.gov.au/content/npa/health_reform/national-agreement.pdf"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www.chiefminister.nt.gov.au/media-releases/territory-health-and-education-funding-under-threat"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D484-A3DD-4A74-9F35-55B335744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15</Pages>
  <Words>2878</Words>
  <Characters>16488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PBO policy template</vt:lpstr>
    </vt:vector>
  </TitlesOfParts>
  <Company>Kylie Smith Design</Company>
  <LinksUpToDate>false</LinksUpToDate>
  <CharactersWithSpaces>19328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Senate Select Committee on Health regarding Commonwealth funding of public hospitals</dc:title>
  <dc:creator>PBO@pbo.gov.au</dc:creator>
  <cp:lastModifiedBy>Moorhouse, Helen (PBO)</cp:lastModifiedBy>
  <cp:revision>150</cp:revision>
  <cp:lastPrinted>2016-02-03T02:56:00Z</cp:lastPrinted>
  <dcterms:created xsi:type="dcterms:W3CDTF">2015-12-23T03:38:00Z</dcterms:created>
  <dcterms:modified xsi:type="dcterms:W3CDTF">2016-02-05T02:54:00Z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