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82" w:rsidRDefault="0050190A" w:rsidP="00A55569">
      <w:pPr>
        <w:pStyle w:val="Title"/>
        <w:jc w:val="left"/>
        <w:rPr>
          <w:noProof/>
        </w:rPr>
      </w:pPr>
      <w:r>
        <w:rPr>
          <w:noProof/>
        </w:rPr>
        <w:t>R</w:t>
      </w:r>
      <w:r w:rsidR="00A55569">
        <w:rPr>
          <w:noProof/>
        </w:rPr>
        <w:t>eport to the Senate Finance and Public Administration Legislation Committee on PBO</w:t>
      </w:r>
      <w:r w:rsidR="00262C82">
        <w:rPr>
          <w:noProof/>
        </w:rPr>
        <w:t xml:space="preserve"> </w:t>
      </w:r>
      <w:r w:rsidR="00F16011">
        <w:rPr>
          <w:noProof/>
        </w:rPr>
        <w:t>Activity</w:t>
      </w:r>
      <w:r w:rsidR="00262C82">
        <w:rPr>
          <w:noProof/>
        </w:rPr>
        <w:t xml:space="preserve"> </w:t>
      </w:r>
      <w:r w:rsidR="00A55569">
        <w:rPr>
          <w:noProof/>
        </w:rPr>
        <w:t>and Staffing</w:t>
      </w:r>
    </w:p>
    <w:p w:rsidR="00E03431" w:rsidRPr="00A55569" w:rsidRDefault="00FC7534" w:rsidP="00A55569">
      <w:pPr>
        <w:pStyle w:val="Subtitle"/>
        <w:keepNext/>
        <w:keepLines/>
        <w:numPr>
          <w:ilvl w:val="0"/>
          <w:numId w:val="0"/>
        </w:numPr>
        <w:spacing w:before="480"/>
        <w:jc w:val="left"/>
        <w:outlineLvl w:val="1"/>
        <w:rPr>
          <w:rFonts w:ascii="Georgia" w:hAnsi="Georgia"/>
          <w:bCs/>
          <w:iCs w:val="0"/>
          <w:noProof/>
          <w:color w:val="264A76"/>
          <w:sz w:val="36"/>
          <w:szCs w:val="26"/>
          <w:lang w:eastAsia="en-AU"/>
        </w:rPr>
      </w:pPr>
      <w:r>
        <w:rPr>
          <w:rFonts w:ascii="Georgia" w:hAnsi="Georgia"/>
          <w:bCs/>
          <w:iCs w:val="0"/>
          <w:noProof/>
          <w:color w:val="264A76"/>
          <w:sz w:val="36"/>
          <w:szCs w:val="26"/>
          <w:lang w:eastAsia="en-AU"/>
        </w:rPr>
        <w:t xml:space="preserve">18 February </w:t>
      </w:r>
      <w:r w:rsidR="00903042">
        <w:rPr>
          <w:rFonts w:ascii="Georgia" w:hAnsi="Georgia"/>
          <w:bCs/>
          <w:iCs w:val="0"/>
          <w:noProof/>
          <w:color w:val="264A76"/>
          <w:sz w:val="36"/>
          <w:szCs w:val="26"/>
          <w:lang w:eastAsia="en-AU"/>
        </w:rPr>
        <w:t>2015</w:t>
      </w:r>
    </w:p>
    <w:p w:rsidR="00F36BEB" w:rsidRDefault="00F36BEB">
      <w:pPr>
        <w:rPr>
          <w:lang w:eastAsia="en-AU"/>
        </w:rPr>
        <w:sectPr w:rsidR="00F36BEB" w:rsidSect="00CC3BB8">
          <w:footerReference w:type="default" r:id="rId9"/>
          <w:headerReference w:type="first" r:id="rId10"/>
          <w:footerReference w:type="first" r:id="rId11"/>
          <w:type w:val="continuous"/>
          <w:pgSz w:w="11906" w:h="16838"/>
          <w:pgMar w:top="851" w:right="1134" w:bottom="964" w:left="1134" w:header="709" w:footer="709" w:gutter="0"/>
          <w:pgNumType w:start="1"/>
          <w:cols w:space="708"/>
          <w:titlePg/>
          <w:docGrid w:linePitch="360"/>
        </w:sectPr>
      </w:pPr>
    </w:p>
    <w:p w:rsidR="007D65A5" w:rsidRPr="00A55569" w:rsidRDefault="007D65A5" w:rsidP="007D65A5">
      <w:pPr>
        <w:pStyle w:val="PBOheading1"/>
      </w:pPr>
      <w:r w:rsidRPr="00A55569">
        <w:lastRenderedPageBreak/>
        <w:t xml:space="preserve">Overview </w:t>
      </w:r>
    </w:p>
    <w:p w:rsidR="007D65A5" w:rsidRDefault="007D65A5" w:rsidP="007D65A5">
      <w:pPr>
        <w:pStyle w:val="PBOheading2"/>
      </w:pPr>
      <w:r w:rsidRPr="00A55569">
        <w:t xml:space="preserve">Requests from </w:t>
      </w:r>
      <w:r w:rsidR="00B23802">
        <w:t>p</w:t>
      </w:r>
      <w:r w:rsidRPr="00A55569">
        <w:t>arliamentarians</w:t>
      </w:r>
      <w:r w:rsidR="00B23802">
        <w:t xml:space="preserve"> and parliamentary parties</w:t>
      </w:r>
    </w:p>
    <w:p w:rsidR="007D65A5" w:rsidRDefault="008842C2" w:rsidP="007D65A5">
      <w:pPr>
        <w:pStyle w:val="PBOtext"/>
      </w:pPr>
      <w:r>
        <w:t>The PBO continues to face a steady demand for costings and budget analyses.</w:t>
      </w:r>
      <w:r w:rsidR="007D65A5">
        <w:t xml:space="preserve"> </w:t>
      </w:r>
      <w:r w:rsidR="00383C33">
        <w:t xml:space="preserve"> </w:t>
      </w:r>
      <w:r w:rsidR="007E6158">
        <w:t xml:space="preserve">During the period 1 July to </w:t>
      </w:r>
      <w:r w:rsidR="00FC7534">
        <w:t>31 December 2014</w:t>
      </w:r>
      <w:r w:rsidR="007E6158">
        <w:t>, the PBO completed</w:t>
      </w:r>
      <w:r w:rsidR="00CE526D">
        <w:t xml:space="preserve"> 4</w:t>
      </w:r>
      <w:r w:rsidR="007E6158">
        <w:t>05 requests from parliamentarians and parliamentary parties at an average turn</w:t>
      </w:r>
      <w:r w:rsidR="00B23802">
        <w:t>-</w:t>
      </w:r>
      <w:r w:rsidR="007E6158">
        <w:t xml:space="preserve">around time of </w:t>
      </w:r>
      <w:r w:rsidR="007C5437">
        <w:t>16.8</w:t>
      </w:r>
      <w:r w:rsidR="007E6158">
        <w:t xml:space="preserve"> business days (refer to Table 1).</w:t>
      </w:r>
    </w:p>
    <w:p w:rsidR="007D65A5" w:rsidRDefault="007D65A5" w:rsidP="007D65A5">
      <w:pPr>
        <w:pStyle w:val="PBOtext"/>
      </w:pPr>
      <w:r>
        <w:t xml:space="preserve">The PBO has continued to request information from </w:t>
      </w:r>
      <w:r w:rsidR="00BB0ADB">
        <w:t>agencies</w:t>
      </w:r>
      <w:r>
        <w:t xml:space="preserve"> in order to respond to requests fro</w:t>
      </w:r>
      <w:r w:rsidR="00473EE2">
        <w:t>m parliamentarians</w:t>
      </w:r>
      <w:r w:rsidR="007E6158">
        <w:t xml:space="preserve"> and parliamentary parties</w:t>
      </w:r>
      <w:r w:rsidR="00473EE2">
        <w:t>, progress our</w:t>
      </w:r>
      <w:r>
        <w:t xml:space="preserve"> self-initiated work prog</w:t>
      </w:r>
      <w:r w:rsidR="00473EE2">
        <w:t>ram and maintain and improve</w:t>
      </w:r>
      <w:r>
        <w:t xml:space="preserve"> core data holdings. </w:t>
      </w:r>
      <w:r w:rsidR="00383C33">
        <w:t xml:space="preserve"> </w:t>
      </w:r>
      <w:r w:rsidR="007E6158">
        <w:t xml:space="preserve">During the period 1 July to </w:t>
      </w:r>
      <w:r w:rsidR="00FC7534">
        <w:t>31 December 2014</w:t>
      </w:r>
      <w:r w:rsidR="007E6158">
        <w:t xml:space="preserve">, the PBO received </w:t>
      </w:r>
      <w:r w:rsidR="00D05078">
        <w:t xml:space="preserve">89 </w:t>
      </w:r>
      <w:r w:rsidR="007E6158">
        <w:t xml:space="preserve">responses to information requests at an average turnaround time of </w:t>
      </w:r>
      <w:r w:rsidR="00D05078">
        <w:t>20.5</w:t>
      </w:r>
      <w:r w:rsidR="007E6158">
        <w:t xml:space="preserve"> business days (refer to Table 2).</w:t>
      </w:r>
    </w:p>
    <w:p w:rsidR="007D65A5" w:rsidRDefault="007D65A5" w:rsidP="00D82372">
      <w:pPr>
        <w:pStyle w:val="PBOheading2"/>
      </w:pPr>
      <w:r w:rsidRPr="00A55569">
        <w:t>Self-initiated work program</w:t>
      </w:r>
    </w:p>
    <w:p w:rsidR="001B6FDF" w:rsidRDefault="007D65A5" w:rsidP="009A6E7B">
      <w:pPr>
        <w:pStyle w:val="Default"/>
        <w:spacing w:before="120" w:after="114"/>
        <w:rPr>
          <w:rFonts w:ascii="Calibri" w:eastAsia="Cambria" w:hAnsi="Calibri" w:cs="Times New Roman"/>
          <w:color w:val="auto"/>
          <w:sz w:val="22"/>
          <w:szCs w:val="20"/>
          <w:lang w:eastAsia="en-AU"/>
        </w:rPr>
      </w:pPr>
      <w:r w:rsidRPr="004F1A32">
        <w:rPr>
          <w:rFonts w:ascii="Calibri" w:eastAsia="Cambria" w:hAnsi="Calibri" w:cs="Times New Roman"/>
          <w:color w:val="auto"/>
          <w:sz w:val="22"/>
          <w:szCs w:val="20"/>
          <w:lang w:eastAsia="en-AU"/>
        </w:rPr>
        <w:t xml:space="preserve">On </w:t>
      </w:r>
      <w:r w:rsidR="001B6FDF">
        <w:rPr>
          <w:rFonts w:ascii="Calibri" w:eastAsia="Cambria" w:hAnsi="Calibri" w:cs="Times New Roman"/>
          <w:color w:val="auto"/>
          <w:sz w:val="22"/>
          <w:szCs w:val="20"/>
          <w:lang w:eastAsia="en-AU"/>
        </w:rPr>
        <w:t>26 Nov</w:t>
      </w:r>
      <w:r w:rsidR="00923904">
        <w:rPr>
          <w:rFonts w:ascii="Calibri" w:eastAsia="Cambria" w:hAnsi="Calibri" w:cs="Times New Roman"/>
          <w:color w:val="auto"/>
          <w:sz w:val="22"/>
          <w:szCs w:val="20"/>
          <w:lang w:eastAsia="en-AU"/>
        </w:rPr>
        <w:t>e</w:t>
      </w:r>
      <w:r w:rsidR="001B6FDF">
        <w:rPr>
          <w:rFonts w:ascii="Calibri" w:eastAsia="Cambria" w:hAnsi="Calibri" w:cs="Times New Roman"/>
          <w:color w:val="auto"/>
          <w:sz w:val="22"/>
          <w:szCs w:val="20"/>
          <w:lang w:eastAsia="en-AU"/>
        </w:rPr>
        <w:t>mber 2014</w:t>
      </w:r>
      <w:r w:rsidR="00923904">
        <w:rPr>
          <w:rFonts w:ascii="Calibri" w:eastAsia="Cambria" w:hAnsi="Calibri" w:cs="Times New Roman"/>
          <w:color w:val="auto"/>
          <w:sz w:val="22"/>
          <w:szCs w:val="20"/>
          <w:lang w:eastAsia="en-AU"/>
        </w:rPr>
        <w:t>,</w:t>
      </w:r>
      <w:r w:rsidRPr="004F1A32">
        <w:rPr>
          <w:rFonts w:ascii="Calibri" w:eastAsia="Cambria" w:hAnsi="Calibri" w:cs="Times New Roman"/>
          <w:color w:val="auto"/>
          <w:sz w:val="22"/>
          <w:szCs w:val="20"/>
          <w:lang w:eastAsia="en-AU"/>
        </w:rPr>
        <w:t xml:space="preserve"> the PBO </w:t>
      </w:r>
      <w:r w:rsidR="00B23802">
        <w:rPr>
          <w:rFonts w:ascii="Calibri" w:eastAsia="Cambria" w:hAnsi="Calibri" w:cs="Times New Roman"/>
          <w:color w:val="auto"/>
          <w:sz w:val="22"/>
          <w:szCs w:val="20"/>
          <w:lang w:eastAsia="en-AU"/>
        </w:rPr>
        <w:t xml:space="preserve">released </w:t>
      </w:r>
      <w:r w:rsidR="001B6FDF">
        <w:rPr>
          <w:rFonts w:ascii="Calibri" w:eastAsia="Cambria" w:hAnsi="Calibri" w:cs="Times New Roman"/>
          <w:color w:val="auto"/>
          <w:sz w:val="22"/>
          <w:szCs w:val="20"/>
          <w:lang w:eastAsia="en-AU"/>
        </w:rPr>
        <w:t xml:space="preserve">a report on the </w:t>
      </w:r>
      <w:r w:rsidR="001B6FDF" w:rsidRPr="003672D5">
        <w:rPr>
          <w:rFonts w:ascii="Calibri" w:eastAsia="Cambria" w:hAnsi="Calibri" w:cs="Times New Roman"/>
          <w:i/>
          <w:color w:val="auto"/>
          <w:sz w:val="22"/>
          <w:szCs w:val="20"/>
          <w:lang w:eastAsia="en-AU"/>
        </w:rPr>
        <w:t>Sensitivity of budget projections to changes in economic parameters</w:t>
      </w:r>
      <w:r w:rsidR="001B6FDF">
        <w:rPr>
          <w:rFonts w:ascii="Calibri" w:eastAsia="Cambria" w:hAnsi="Calibri" w:cs="Times New Roman"/>
          <w:color w:val="auto"/>
          <w:sz w:val="22"/>
          <w:szCs w:val="20"/>
          <w:lang w:eastAsia="en-AU"/>
        </w:rPr>
        <w:t xml:space="preserve">.  This report analysed the sensitivity of the 2014-15 Budget medium-term projections to variations in labour productivity growth, the labour force participation rate and the terms of trade.  The report highlighted the importance of labour </w:t>
      </w:r>
      <w:r w:rsidR="002A615C">
        <w:rPr>
          <w:rFonts w:ascii="Calibri" w:eastAsia="Cambria" w:hAnsi="Calibri" w:cs="Times New Roman"/>
          <w:color w:val="auto"/>
          <w:sz w:val="22"/>
          <w:szCs w:val="20"/>
          <w:lang w:eastAsia="en-AU"/>
        </w:rPr>
        <w:t>productivity</w:t>
      </w:r>
      <w:r w:rsidR="001B6FDF">
        <w:rPr>
          <w:rFonts w:ascii="Calibri" w:eastAsia="Cambria" w:hAnsi="Calibri" w:cs="Times New Roman"/>
          <w:color w:val="auto"/>
          <w:sz w:val="22"/>
          <w:szCs w:val="20"/>
          <w:lang w:eastAsia="en-AU"/>
        </w:rPr>
        <w:t xml:space="preserve"> growth </w:t>
      </w:r>
      <w:r w:rsidR="00BF593B">
        <w:rPr>
          <w:rFonts w:ascii="Calibri" w:eastAsia="Cambria" w:hAnsi="Calibri" w:cs="Times New Roman"/>
          <w:color w:val="auto"/>
          <w:sz w:val="22"/>
          <w:szCs w:val="20"/>
          <w:lang w:eastAsia="en-AU"/>
        </w:rPr>
        <w:t xml:space="preserve">in particular </w:t>
      </w:r>
      <w:r w:rsidR="001B6FDF">
        <w:rPr>
          <w:rFonts w:ascii="Calibri" w:eastAsia="Cambria" w:hAnsi="Calibri" w:cs="Times New Roman"/>
          <w:color w:val="auto"/>
          <w:sz w:val="22"/>
          <w:szCs w:val="20"/>
          <w:lang w:eastAsia="en-AU"/>
        </w:rPr>
        <w:t>a</w:t>
      </w:r>
      <w:r w:rsidR="00923904">
        <w:rPr>
          <w:rFonts w:ascii="Calibri" w:eastAsia="Cambria" w:hAnsi="Calibri" w:cs="Times New Roman"/>
          <w:color w:val="auto"/>
          <w:sz w:val="22"/>
          <w:szCs w:val="20"/>
          <w:lang w:eastAsia="en-AU"/>
        </w:rPr>
        <w:t>s</w:t>
      </w:r>
      <w:r w:rsidR="001B6FDF">
        <w:rPr>
          <w:rFonts w:ascii="Calibri" w:eastAsia="Cambria" w:hAnsi="Calibri" w:cs="Times New Roman"/>
          <w:color w:val="auto"/>
          <w:sz w:val="22"/>
          <w:szCs w:val="20"/>
          <w:lang w:eastAsia="en-AU"/>
        </w:rPr>
        <w:t xml:space="preserve"> a dr</w:t>
      </w:r>
      <w:r w:rsidR="002A615C">
        <w:rPr>
          <w:rFonts w:ascii="Calibri" w:eastAsia="Cambria" w:hAnsi="Calibri" w:cs="Times New Roman"/>
          <w:color w:val="auto"/>
          <w:sz w:val="22"/>
          <w:szCs w:val="20"/>
          <w:lang w:eastAsia="en-AU"/>
        </w:rPr>
        <w:t>i</w:t>
      </w:r>
      <w:r w:rsidR="001B6FDF">
        <w:rPr>
          <w:rFonts w:ascii="Calibri" w:eastAsia="Cambria" w:hAnsi="Calibri" w:cs="Times New Roman"/>
          <w:color w:val="auto"/>
          <w:sz w:val="22"/>
          <w:szCs w:val="20"/>
          <w:lang w:eastAsia="en-AU"/>
        </w:rPr>
        <w:t>ver of economic growth and fiscal sustainability.</w:t>
      </w:r>
    </w:p>
    <w:p w:rsidR="007D65A5" w:rsidRPr="004F1A32" w:rsidRDefault="002A615C" w:rsidP="009A6E7B">
      <w:pPr>
        <w:pStyle w:val="Default"/>
        <w:spacing w:before="120" w:after="114"/>
      </w:pPr>
      <w:r>
        <w:rPr>
          <w:rFonts w:ascii="Calibri" w:eastAsia="Cambria" w:hAnsi="Calibri" w:cs="Times New Roman"/>
          <w:color w:val="auto"/>
          <w:sz w:val="22"/>
          <w:szCs w:val="20"/>
          <w:lang w:eastAsia="en-AU"/>
        </w:rPr>
        <w:t xml:space="preserve">On </w:t>
      </w:r>
      <w:r w:rsidR="00695C4D">
        <w:rPr>
          <w:rFonts w:ascii="Calibri" w:eastAsia="Cambria" w:hAnsi="Calibri" w:cs="Times New Roman"/>
          <w:color w:val="auto"/>
          <w:sz w:val="22"/>
          <w:szCs w:val="20"/>
          <w:lang w:eastAsia="en-AU"/>
        </w:rPr>
        <w:t xml:space="preserve">9 </w:t>
      </w:r>
      <w:r w:rsidR="00923904">
        <w:rPr>
          <w:rFonts w:ascii="Calibri" w:eastAsia="Cambria" w:hAnsi="Calibri" w:cs="Times New Roman"/>
          <w:color w:val="auto"/>
          <w:sz w:val="22"/>
          <w:szCs w:val="20"/>
          <w:lang w:eastAsia="en-AU"/>
        </w:rPr>
        <w:t>January</w:t>
      </w:r>
      <w:r w:rsidR="00695C4D">
        <w:rPr>
          <w:rFonts w:ascii="Calibri" w:eastAsia="Cambria" w:hAnsi="Calibri" w:cs="Times New Roman"/>
          <w:color w:val="auto"/>
          <w:sz w:val="22"/>
          <w:szCs w:val="20"/>
          <w:lang w:eastAsia="en-AU"/>
        </w:rPr>
        <w:t xml:space="preserve"> 2015, the PBO released </w:t>
      </w:r>
      <w:r w:rsidR="007D65A5">
        <w:rPr>
          <w:rFonts w:ascii="Calibri" w:eastAsia="Cambria" w:hAnsi="Calibri" w:cs="Times New Roman"/>
          <w:color w:val="auto"/>
          <w:sz w:val="22"/>
          <w:szCs w:val="20"/>
          <w:lang w:eastAsia="en-AU"/>
        </w:rPr>
        <w:t xml:space="preserve">the </w:t>
      </w:r>
      <w:r w:rsidR="007D65A5">
        <w:rPr>
          <w:rFonts w:ascii="Calibri" w:eastAsia="Cambria" w:hAnsi="Calibri" w:cs="Times New Roman"/>
          <w:i/>
          <w:color w:val="auto"/>
          <w:sz w:val="22"/>
          <w:szCs w:val="20"/>
          <w:lang w:eastAsia="en-AU"/>
        </w:rPr>
        <w:t>2014</w:t>
      </w:r>
      <w:r w:rsidR="00383C33">
        <w:rPr>
          <w:rFonts w:ascii="Calibri" w:eastAsia="Cambria" w:hAnsi="Calibri" w:cs="Times New Roman"/>
          <w:i/>
          <w:color w:val="auto"/>
          <w:sz w:val="22"/>
          <w:szCs w:val="20"/>
          <w:lang w:eastAsia="en-AU"/>
        </w:rPr>
        <w:t>–</w:t>
      </w:r>
      <w:r w:rsidR="007D65A5">
        <w:rPr>
          <w:rFonts w:ascii="Calibri" w:eastAsia="Cambria" w:hAnsi="Calibri" w:cs="Times New Roman"/>
          <w:i/>
          <w:color w:val="auto"/>
          <w:sz w:val="22"/>
          <w:szCs w:val="20"/>
          <w:lang w:eastAsia="en-AU"/>
        </w:rPr>
        <w:t xml:space="preserve">15 </w:t>
      </w:r>
      <w:r w:rsidR="00695C4D">
        <w:rPr>
          <w:rFonts w:ascii="Calibri" w:eastAsia="Cambria" w:hAnsi="Calibri" w:cs="Times New Roman"/>
          <w:i/>
          <w:color w:val="auto"/>
          <w:sz w:val="22"/>
          <w:szCs w:val="20"/>
          <w:lang w:eastAsia="en-AU"/>
        </w:rPr>
        <w:t xml:space="preserve">Mid-Year </w:t>
      </w:r>
      <w:r w:rsidR="00923904">
        <w:rPr>
          <w:rFonts w:ascii="Calibri" w:eastAsia="Cambria" w:hAnsi="Calibri" w:cs="Times New Roman"/>
          <w:i/>
          <w:color w:val="auto"/>
          <w:sz w:val="22"/>
          <w:szCs w:val="20"/>
          <w:lang w:eastAsia="en-AU"/>
        </w:rPr>
        <w:t>Economic</w:t>
      </w:r>
      <w:r w:rsidR="00695C4D">
        <w:rPr>
          <w:rFonts w:ascii="Calibri" w:eastAsia="Cambria" w:hAnsi="Calibri" w:cs="Times New Roman"/>
          <w:i/>
          <w:color w:val="auto"/>
          <w:sz w:val="22"/>
          <w:szCs w:val="20"/>
          <w:lang w:eastAsia="en-AU"/>
        </w:rPr>
        <w:t xml:space="preserve"> and Fiscal Outlook </w:t>
      </w:r>
      <w:r w:rsidR="00923904">
        <w:rPr>
          <w:rFonts w:ascii="Calibri" w:eastAsia="Cambria" w:hAnsi="Calibri" w:cs="Times New Roman"/>
          <w:i/>
          <w:color w:val="auto"/>
          <w:sz w:val="22"/>
          <w:szCs w:val="20"/>
          <w:lang w:eastAsia="en-AU"/>
        </w:rPr>
        <w:t>–</w:t>
      </w:r>
      <w:r w:rsidR="00695C4D">
        <w:rPr>
          <w:rFonts w:ascii="Calibri" w:eastAsia="Cambria" w:hAnsi="Calibri" w:cs="Times New Roman"/>
          <w:i/>
          <w:color w:val="auto"/>
          <w:sz w:val="22"/>
          <w:szCs w:val="20"/>
          <w:lang w:eastAsia="en-AU"/>
        </w:rPr>
        <w:t xml:space="preserve"> </w:t>
      </w:r>
      <w:r w:rsidR="00923904">
        <w:rPr>
          <w:rFonts w:ascii="Calibri" w:eastAsia="Cambria" w:hAnsi="Calibri" w:cs="Times New Roman"/>
          <w:i/>
          <w:color w:val="auto"/>
          <w:sz w:val="22"/>
          <w:szCs w:val="20"/>
          <w:lang w:eastAsia="en-AU"/>
        </w:rPr>
        <w:t xml:space="preserve">Charts </w:t>
      </w:r>
      <w:r w:rsidR="007D65A5" w:rsidRPr="004F1A32">
        <w:rPr>
          <w:rFonts w:ascii="Calibri" w:eastAsia="Cambria" w:hAnsi="Calibri" w:cs="Times New Roman"/>
          <w:color w:val="auto"/>
          <w:sz w:val="22"/>
          <w:szCs w:val="20"/>
          <w:lang w:eastAsia="en-AU"/>
        </w:rPr>
        <w:t>which provided a</w:t>
      </w:r>
      <w:r w:rsidR="007D65A5" w:rsidRPr="00141305">
        <w:rPr>
          <w:rFonts w:ascii="Calibri" w:eastAsia="Cambria" w:hAnsi="Calibri" w:cs="Times New Roman"/>
          <w:color w:val="auto"/>
          <w:sz w:val="22"/>
          <w:szCs w:val="20"/>
          <w:lang w:eastAsia="en-AU"/>
        </w:rPr>
        <w:t xml:space="preserve"> graphical summary of the 2014</w:t>
      </w:r>
      <w:r w:rsidR="00383C33">
        <w:rPr>
          <w:rFonts w:ascii="Calibri" w:eastAsia="Cambria" w:hAnsi="Calibri" w:cs="Times New Roman"/>
          <w:color w:val="auto"/>
          <w:sz w:val="22"/>
          <w:szCs w:val="20"/>
          <w:lang w:eastAsia="en-AU"/>
        </w:rPr>
        <w:t>–</w:t>
      </w:r>
      <w:r w:rsidR="007D65A5" w:rsidRPr="00141305">
        <w:rPr>
          <w:rFonts w:ascii="Calibri" w:eastAsia="Cambria" w:hAnsi="Calibri" w:cs="Times New Roman"/>
          <w:color w:val="auto"/>
          <w:sz w:val="22"/>
          <w:szCs w:val="20"/>
          <w:lang w:eastAsia="en-AU"/>
        </w:rPr>
        <w:t xml:space="preserve">15 </w:t>
      </w:r>
      <w:r w:rsidR="00695C4D">
        <w:rPr>
          <w:rFonts w:ascii="Calibri" w:eastAsia="Cambria" w:hAnsi="Calibri" w:cs="Times New Roman"/>
          <w:color w:val="auto"/>
          <w:sz w:val="22"/>
          <w:szCs w:val="20"/>
          <w:lang w:eastAsia="en-AU"/>
        </w:rPr>
        <w:t xml:space="preserve">MYEFO </w:t>
      </w:r>
      <w:r w:rsidR="007D65A5" w:rsidRPr="00141305">
        <w:rPr>
          <w:rFonts w:ascii="Calibri" w:eastAsia="Cambria" w:hAnsi="Calibri" w:cs="Times New Roman"/>
          <w:color w:val="auto"/>
          <w:sz w:val="22"/>
          <w:szCs w:val="20"/>
          <w:lang w:eastAsia="en-AU"/>
        </w:rPr>
        <w:t>relative to the 201</w:t>
      </w:r>
      <w:r w:rsidR="00695C4D">
        <w:rPr>
          <w:rFonts w:ascii="Calibri" w:eastAsia="Cambria" w:hAnsi="Calibri" w:cs="Times New Roman"/>
          <w:color w:val="auto"/>
          <w:sz w:val="22"/>
          <w:szCs w:val="20"/>
          <w:lang w:eastAsia="en-AU"/>
        </w:rPr>
        <w:t>4-15 Budget</w:t>
      </w:r>
      <w:r w:rsidR="00923904">
        <w:rPr>
          <w:rFonts w:ascii="Calibri" w:eastAsia="Cambria" w:hAnsi="Calibri" w:cs="Times New Roman"/>
          <w:color w:val="auto"/>
          <w:sz w:val="22"/>
          <w:szCs w:val="20"/>
          <w:lang w:eastAsia="en-AU"/>
        </w:rPr>
        <w:t>,</w:t>
      </w:r>
      <w:r w:rsidR="00B23802">
        <w:rPr>
          <w:rFonts w:ascii="Calibri" w:eastAsia="Cambria" w:hAnsi="Calibri" w:cs="Times New Roman"/>
          <w:color w:val="auto"/>
          <w:sz w:val="22"/>
          <w:szCs w:val="20"/>
          <w:lang w:eastAsia="en-AU"/>
        </w:rPr>
        <w:t xml:space="preserve"> showing the impacts of policy decisions and other factors</w:t>
      </w:r>
      <w:r w:rsidR="0038557B">
        <w:rPr>
          <w:rFonts w:ascii="Calibri" w:eastAsia="Cambria" w:hAnsi="Calibri" w:cs="Times New Roman"/>
          <w:color w:val="auto"/>
          <w:sz w:val="22"/>
          <w:szCs w:val="20"/>
          <w:lang w:eastAsia="en-AU"/>
        </w:rPr>
        <w:t xml:space="preserve">. </w:t>
      </w:r>
      <w:r w:rsidR="00383C33">
        <w:rPr>
          <w:rFonts w:ascii="Calibri" w:eastAsia="Cambria" w:hAnsi="Calibri" w:cs="Times New Roman"/>
          <w:color w:val="auto"/>
          <w:sz w:val="22"/>
          <w:szCs w:val="20"/>
          <w:lang w:eastAsia="en-AU"/>
        </w:rPr>
        <w:t xml:space="preserve"> </w:t>
      </w:r>
      <w:r w:rsidR="007D65A5" w:rsidRPr="006370B2">
        <w:rPr>
          <w:rFonts w:ascii="Calibri" w:eastAsia="Cambria" w:hAnsi="Calibri"/>
          <w:sz w:val="22"/>
          <w:szCs w:val="20"/>
          <w:lang w:eastAsia="en-AU"/>
        </w:rPr>
        <w:t>The</w:t>
      </w:r>
      <w:r w:rsidR="00695C4D">
        <w:rPr>
          <w:rFonts w:ascii="Calibri" w:eastAsia="Cambria" w:hAnsi="Calibri"/>
          <w:sz w:val="22"/>
          <w:szCs w:val="20"/>
          <w:lang w:eastAsia="en-AU"/>
        </w:rPr>
        <w:t>se charts continued the PBO’s practice of</w:t>
      </w:r>
      <w:r w:rsidR="009A4DB4">
        <w:rPr>
          <w:rFonts w:ascii="Calibri" w:eastAsia="Cambria" w:hAnsi="Calibri"/>
          <w:sz w:val="22"/>
          <w:szCs w:val="20"/>
          <w:lang w:eastAsia="en-AU"/>
        </w:rPr>
        <w:t xml:space="preserve"> add</w:t>
      </w:r>
      <w:r w:rsidR="00695C4D">
        <w:rPr>
          <w:rFonts w:ascii="Calibri" w:eastAsia="Cambria" w:hAnsi="Calibri"/>
          <w:sz w:val="22"/>
          <w:szCs w:val="20"/>
          <w:lang w:eastAsia="en-AU"/>
        </w:rPr>
        <w:t xml:space="preserve">ing </w:t>
      </w:r>
      <w:r w:rsidR="009A4DB4">
        <w:rPr>
          <w:rFonts w:ascii="Calibri" w:eastAsia="Cambria" w:hAnsi="Calibri"/>
          <w:sz w:val="22"/>
          <w:szCs w:val="20"/>
          <w:lang w:eastAsia="en-AU"/>
        </w:rPr>
        <w:t xml:space="preserve">to the transparency of the </w:t>
      </w:r>
      <w:r w:rsidR="00695C4D">
        <w:rPr>
          <w:rFonts w:ascii="Calibri" w:eastAsia="Cambria" w:hAnsi="Calibri"/>
          <w:sz w:val="22"/>
          <w:szCs w:val="20"/>
          <w:lang w:eastAsia="en-AU"/>
        </w:rPr>
        <w:t>b</w:t>
      </w:r>
      <w:r w:rsidR="009A4DB4">
        <w:rPr>
          <w:rFonts w:ascii="Calibri" w:eastAsia="Cambria" w:hAnsi="Calibri"/>
          <w:sz w:val="22"/>
          <w:szCs w:val="20"/>
          <w:lang w:eastAsia="en-AU"/>
        </w:rPr>
        <w:t xml:space="preserve">udget by presenting key budget information in a </w:t>
      </w:r>
      <w:r w:rsidR="005A3D26">
        <w:rPr>
          <w:rFonts w:ascii="Calibri" w:eastAsia="Cambria" w:hAnsi="Calibri"/>
          <w:sz w:val="22"/>
          <w:szCs w:val="20"/>
          <w:lang w:eastAsia="en-AU"/>
        </w:rPr>
        <w:t xml:space="preserve">more </w:t>
      </w:r>
      <w:r w:rsidR="009A4DB4">
        <w:rPr>
          <w:rFonts w:ascii="Calibri" w:eastAsia="Cambria" w:hAnsi="Calibri"/>
          <w:sz w:val="22"/>
          <w:szCs w:val="20"/>
          <w:lang w:eastAsia="en-AU"/>
        </w:rPr>
        <w:t>readily accessible form.</w:t>
      </w:r>
    </w:p>
    <w:p w:rsidR="007D65A5" w:rsidRDefault="007D65A5" w:rsidP="009A6E7B">
      <w:pPr>
        <w:pStyle w:val="PBOtext"/>
        <w:spacing w:after="114"/>
      </w:pPr>
      <w:r w:rsidRPr="006370B2">
        <w:t xml:space="preserve">Current work in progress includes analyses of: </w:t>
      </w:r>
      <w:r w:rsidR="00923904">
        <w:t xml:space="preserve"> </w:t>
      </w:r>
      <w:r w:rsidRPr="006370B2">
        <w:t xml:space="preserve">national fiscal trends at the Commonwealth, State and Territory levels, expected to be published </w:t>
      </w:r>
      <w:r w:rsidR="00016253">
        <w:t>in the first quarter of 2015</w:t>
      </w:r>
      <w:r w:rsidRPr="006370B2">
        <w:t xml:space="preserve">; </w:t>
      </w:r>
      <w:r w:rsidR="00710DDB">
        <w:t>medium term budget projections</w:t>
      </w:r>
      <w:r w:rsidR="00DD70D6">
        <w:t xml:space="preserve">, expected to be published </w:t>
      </w:r>
      <w:r w:rsidR="00BF593B">
        <w:t xml:space="preserve">around </w:t>
      </w:r>
      <w:r w:rsidR="00DD70D6">
        <w:t xml:space="preserve">the </w:t>
      </w:r>
      <w:r w:rsidR="00710DDB">
        <w:t>middle of 2015;</w:t>
      </w:r>
      <w:r w:rsidR="00DD70D6">
        <w:t xml:space="preserve"> </w:t>
      </w:r>
      <w:r w:rsidRPr="006370B2">
        <w:t>and</w:t>
      </w:r>
      <w:r>
        <w:t xml:space="preserve"> trends in and drivers of health programs other than Medicare, the Pharmaceutical Benefits Scheme and public hospitals</w:t>
      </w:r>
      <w:r w:rsidR="00B23802">
        <w:t>,</w:t>
      </w:r>
      <w:r w:rsidR="0038557B">
        <w:t xml:space="preserve"> expected to be published in the </w:t>
      </w:r>
      <w:r w:rsidR="005A3D26">
        <w:t xml:space="preserve">first </w:t>
      </w:r>
      <w:r w:rsidR="0038557B">
        <w:t xml:space="preserve">half of </w:t>
      </w:r>
      <w:r w:rsidR="00016253">
        <w:t>2015</w:t>
      </w:r>
      <w:r>
        <w:t>.</w:t>
      </w:r>
    </w:p>
    <w:p w:rsidR="007D65A5" w:rsidRPr="007B542B" w:rsidRDefault="007D65A5" w:rsidP="00D82372">
      <w:pPr>
        <w:pStyle w:val="PBOheading2"/>
      </w:pPr>
      <w:r>
        <w:t xml:space="preserve">Capacity </w:t>
      </w:r>
      <w:r w:rsidR="00036023">
        <w:t>b</w:t>
      </w:r>
      <w:r>
        <w:t>uilding</w:t>
      </w:r>
    </w:p>
    <w:p w:rsidR="007D65A5" w:rsidRDefault="00EB3405" w:rsidP="007D65A5">
      <w:pPr>
        <w:pStyle w:val="PBOtext"/>
      </w:pPr>
      <w:r>
        <w:t>We</w:t>
      </w:r>
      <w:r w:rsidR="006D6C53">
        <w:t xml:space="preserve"> are</w:t>
      </w:r>
      <w:r>
        <w:t xml:space="preserve"> </w:t>
      </w:r>
      <w:r w:rsidR="006C0EB2">
        <w:t>continuing to dedicate</w:t>
      </w:r>
      <w:r w:rsidR="007D65A5">
        <w:t xml:space="preserve"> resources to enhancing </w:t>
      </w:r>
      <w:r>
        <w:t>the PBO’s</w:t>
      </w:r>
      <w:r w:rsidR="007D65A5">
        <w:t xml:space="preserve"> capacity to more effectively fulfil its mandate to the Australian Parliament.</w:t>
      </w:r>
      <w:r w:rsidR="00383C33">
        <w:t xml:space="preserve"> </w:t>
      </w:r>
      <w:r w:rsidR="007D65A5">
        <w:t xml:space="preserve"> In practice this will see </w:t>
      </w:r>
      <w:r w:rsidR="00797307">
        <w:t>a</w:t>
      </w:r>
      <w:r w:rsidR="005A1A88">
        <w:t>n increased</w:t>
      </w:r>
      <w:r w:rsidR="007D65A5">
        <w:t xml:space="preserve"> focus on acquiring and using detailed datasets, the in-house development and maintenance of models covering major demand driven expenditure programs and elements of the tax and transfer system, and more in-depth analyses of data and modelling results. </w:t>
      </w:r>
      <w:r w:rsidR="00383C33">
        <w:t xml:space="preserve"> </w:t>
      </w:r>
      <w:r w:rsidR="007D65A5">
        <w:t xml:space="preserve">Focusing on these areas will </w:t>
      </w:r>
      <w:r w:rsidR="005A1A88">
        <w:t xml:space="preserve">further </w:t>
      </w:r>
      <w:r w:rsidR="007D65A5">
        <w:t xml:space="preserve">improve the </w:t>
      </w:r>
      <w:r w:rsidR="005A1A88">
        <w:t xml:space="preserve">PBO’s responsiveness and the </w:t>
      </w:r>
      <w:r w:rsidR="007D65A5">
        <w:t xml:space="preserve">quality and reliability of </w:t>
      </w:r>
      <w:r w:rsidR="005A1A88">
        <w:t xml:space="preserve">its </w:t>
      </w:r>
      <w:r w:rsidR="007D65A5">
        <w:t>costings and budget analyses</w:t>
      </w:r>
      <w:r w:rsidR="005A1A88">
        <w:t>.</w:t>
      </w:r>
    </w:p>
    <w:p w:rsidR="007D65A5" w:rsidRDefault="0058651A" w:rsidP="007D65A5">
      <w:pPr>
        <w:pStyle w:val="PBOheading2"/>
      </w:pPr>
      <w:r>
        <w:t>External reviews</w:t>
      </w:r>
      <w:r w:rsidR="007D65A5" w:rsidRPr="00A55569">
        <w:t xml:space="preserve"> of PBO’s </w:t>
      </w:r>
      <w:r>
        <w:t>operations</w:t>
      </w:r>
    </w:p>
    <w:p w:rsidR="007D65A5" w:rsidRPr="009A4DB4" w:rsidRDefault="00BF593B" w:rsidP="007E6158">
      <w:pPr>
        <w:autoSpaceDE w:val="0"/>
        <w:autoSpaceDN w:val="0"/>
        <w:adjustRightInd w:val="0"/>
        <w:spacing w:before="120" w:after="114"/>
        <w:rPr>
          <w:rFonts w:ascii="Calibri" w:eastAsia="Cambria" w:hAnsi="Calibri"/>
          <w:sz w:val="22"/>
          <w:szCs w:val="20"/>
          <w:lang w:eastAsia="en-AU"/>
        </w:rPr>
      </w:pPr>
      <w:r>
        <w:rPr>
          <w:rFonts w:ascii="Calibri" w:eastAsia="Cambria" w:hAnsi="Calibri"/>
          <w:sz w:val="22"/>
          <w:szCs w:val="20"/>
          <w:lang w:eastAsia="en-AU"/>
        </w:rPr>
        <w:t xml:space="preserve">Following the </w:t>
      </w:r>
      <w:r w:rsidR="006730FE">
        <w:rPr>
          <w:rFonts w:ascii="Calibri" w:eastAsia="Cambria" w:hAnsi="Calibri"/>
          <w:sz w:val="22"/>
          <w:szCs w:val="20"/>
          <w:lang w:eastAsia="en-AU"/>
        </w:rPr>
        <w:t>performance audit of the a</w:t>
      </w:r>
      <w:r w:rsidR="007D65A5" w:rsidRPr="007F7B83">
        <w:rPr>
          <w:rFonts w:ascii="Calibri" w:eastAsia="Cambria" w:hAnsi="Calibri"/>
          <w:sz w:val="22"/>
          <w:szCs w:val="20"/>
          <w:lang w:eastAsia="en-AU"/>
        </w:rPr>
        <w:t>dministration of the P</w:t>
      </w:r>
      <w:r w:rsidR="0058651A">
        <w:rPr>
          <w:rFonts w:ascii="Calibri" w:eastAsia="Cambria" w:hAnsi="Calibri"/>
          <w:sz w:val="22"/>
          <w:szCs w:val="20"/>
          <w:lang w:eastAsia="en-AU"/>
        </w:rPr>
        <w:t>BO</w:t>
      </w:r>
      <w:r w:rsidR="007D65A5" w:rsidRPr="007F7B83">
        <w:rPr>
          <w:rFonts w:ascii="Calibri" w:eastAsia="Cambria" w:hAnsi="Calibri"/>
          <w:sz w:val="22"/>
          <w:szCs w:val="20"/>
          <w:lang w:eastAsia="en-AU"/>
        </w:rPr>
        <w:t xml:space="preserve"> </w:t>
      </w:r>
      <w:r>
        <w:rPr>
          <w:rFonts w:ascii="Calibri" w:eastAsia="Cambria" w:hAnsi="Calibri"/>
          <w:sz w:val="22"/>
          <w:szCs w:val="20"/>
          <w:lang w:eastAsia="en-AU"/>
        </w:rPr>
        <w:t xml:space="preserve">that </w:t>
      </w:r>
      <w:r w:rsidR="007D65A5" w:rsidRPr="007F7B83">
        <w:rPr>
          <w:rFonts w:ascii="Calibri" w:eastAsia="Cambria" w:hAnsi="Calibri"/>
          <w:sz w:val="22"/>
          <w:szCs w:val="20"/>
          <w:lang w:eastAsia="en-AU"/>
        </w:rPr>
        <w:t xml:space="preserve">was undertaken by the </w:t>
      </w:r>
      <w:r w:rsidR="007D65A5" w:rsidRPr="009A4DB4">
        <w:rPr>
          <w:rFonts w:ascii="Calibri" w:eastAsia="Cambria" w:hAnsi="Calibri"/>
          <w:sz w:val="22"/>
          <w:szCs w:val="20"/>
          <w:lang w:eastAsia="en-AU"/>
        </w:rPr>
        <w:t>Australian National Audit office</w:t>
      </w:r>
      <w:r w:rsidR="00473EE2">
        <w:rPr>
          <w:rFonts w:ascii="Calibri" w:eastAsia="Cambria" w:hAnsi="Calibri"/>
          <w:sz w:val="22"/>
          <w:szCs w:val="20"/>
          <w:lang w:eastAsia="en-AU"/>
        </w:rPr>
        <w:t xml:space="preserve"> (ANAO)</w:t>
      </w:r>
      <w:r>
        <w:rPr>
          <w:rFonts w:ascii="Calibri" w:eastAsia="Cambria" w:hAnsi="Calibri"/>
          <w:sz w:val="22"/>
          <w:szCs w:val="20"/>
          <w:lang w:eastAsia="en-AU"/>
        </w:rPr>
        <w:t xml:space="preserve"> last year, the JCPAA has held an inquiry into certain aspects of the PBO’s operations, specifically: the PBO’s</w:t>
      </w:r>
      <w:r w:rsidR="007D65A5" w:rsidRPr="009A4DB4">
        <w:rPr>
          <w:rFonts w:ascii="Calibri" w:eastAsia="Cambria" w:hAnsi="Calibri"/>
          <w:sz w:val="22"/>
          <w:szCs w:val="20"/>
          <w:lang w:eastAsia="en-AU"/>
        </w:rPr>
        <w:t xml:space="preserve"> information gathering powers</w:t>
      </w:r>
      <w:r w:rsidR="00EB3405">
        <w:rPr>
          <w:rFonts w:ascii="Calibri" w:eastAsia="Cambria" w:hAnsi="Calibri"/>
          <w:sz w:val="22"/>
          <w:szCs w:val="20"/>
          <w:lang w:eastAsia="en-AU"/>
        </w:rPr>
        <w:t>;</w:t>
      </w:r>
      <w:r w:rsidR="007D65A5" w:rsidRPr="009A4DB4">
        <w:rPr>
          <w:rFonts w:ascii="Calibri" w:eastAsia="Cambria" w:hAnsi="Calibri"/>
          <w:sz w:val="22"/>
          <w:szCs w:val="20"/>
          <w:lang w:eastAsia="en-AU"/>
        </w:rPr>
        <w:t xml:space="preserve"> PBO reporting of Government progress against fiscal rules</w:t>
      </w:r>
      <w:r w:rsidR="00EB3405">
        <w:rPr>
          <w:rFonts w:ascii="Calibri" w:eastAsia="Cambria" w:hAnsi="Calibri"/>
          <w:sz w:val="22"/>
          <w:szCs w:val="20"/>
          <w:lang w:eastAsia="en-AU"/>
        </w:rPr>
        <w:t>;</w:t>
      </w:r>
      <w:r w:rsidR="007D65A5" w:rsidRPr="009A4DB4">
        <w:rPr>
          <w:rFonts w:ascii="Calibri" w:eastAsia="Cambria" w:hAnsi="Calibri"/>
          <w:sz w:val="22"/>
          <w:szCs w:val="20"/>
          <w:lang w:eastAsia="en-AU"/>
        </w:rPr>
        <w:t xml:space="preserve"> PBO reporting against medium term projections</w:t>
      </w:r>
      <w:r w:rsidR="00EB3405">
        <w:rPr>
          <w:rFonts w:ascii="Calibri" w:eastAsia="Cambria" w:hAnsi="Calibri"/>
          <w:sz w:val="22"/>
          <w:szCs w:val="20"/>
          <w:lang w:eastAsia="en-AU"/>
        </w:rPr>
        <w:t>;</w:t>
      </w:r>
      <w:r w:rsidR="007D65A5" w:rsidRPr="009A4DB4">
        <w:rPr>
          <w:rFonts w:ascii="Calibri" w:eastAsia="Cambria" w:hAnsi="Calibri"/>
          <w:sz w:val="22"/>
          <w:szCs w:val="20"/>
          <w:lang w:eastAsia="en-AU"/>
        </w:rPr>
        <w:t xml:space="preserve"> best practice for independent fiscal institutions</w:t>
      </w:r>
      <w:r w:rsidR="00EB3405">
        <w:rPr>
          <w:rFonts w:ascii="Calibri" w:eastAsia="Cambria" w:hAnsi="Calibri"/>
          <w:sz w:val="22"/>
          <w:szCs w:val="20"/>
          <w:lang w:eastAsia="en-AU"/>
        </w:rPr>
        <w:t>;</w:t>
      </w:r>
      <w:r w:rsidR="007D65A5" w:rsidRPr="009A4DB4">
        <w:rPr>
          <w:rFonts w:ascii="Calibri" w:eastAsia="Cambria" w:hAnsi="Calibri"/>
          <w:sz w:val="22"/>
          <w:szCs w:val="20"/>
          <w:lang w:eastAsia="en-AU"/>
        </w:rPr>
        <w:t xml:space="preserve"> PBO implementation of the ANAO recommendation regarding administrative costs</w:t>
      </w:r>
      <w:r w:rsidR="00EB3405">
        <w:rPr>
          <w:rFonts w:ascii="Calibri" w:eastAsia="Cambria" w:hAnsi="Calibri"/>
          <w:sz w:val="22"/>
          <w:szCs w:val="20"/>
          <w:lang w:eastAsia="en-AU"/>
        </w:rPr>
        <w:t>;</w:t>
      </w:r>
      <w:r w:rsidR="007D65A5" w:rsidRPr="009A4DB4">
        <w:rPr>
          <w:rFonts w:ascii="Calibri" w:eastAsia="Cambria" w:hAnsi="Calibri"/>
          <w:sz w:val="22"/>
          <w:szCs w:val="20"/>
          <w:lang w:eastAsia="en-AU"/>
        </w:rPr>
        <w:t xml:space="preserve"> and the need for any legislative change.</w:t>
      </w:r>
    </w:p>
    <w:p w:rsidR="003660A2" w:rsidRPr="009A4DB4" w:rsidRDefault="003660A2" w:rsidP="007E6158">
      <w:pPr>
        <w:autoSpaceDE w:val="0"/>
        <w:autoSpaceDN w:val="0"/>
        <w:adjustRightInd w:val="0"/>
        <w:spacing w:before="120" w:after="114"/>
        <w:rPr>
          <w:rFonts w:ascii="Calibri" w:eastAsia="Cambria" w:hAnsi="Calibri"/>
          <w:sz w:val="22"/>
          <w:szCs w:val="20"/>
          <w:lang w:eastAsia="en-AU"/>
        </w:rPr>
      </w:pPr>
      <w:r>
        <w:rPr>
          <w:rFonts w:ascii="Calibri" w:eastAsia="Cambria" w:hAnsi="Calibri"/>
          <w:sz w:val="22"/>
          <w:szCs w:val="20"/>
          <w:lang w:eastAsia="en-AU"/>
        </w:rPr>
        <w:t xml:space="preserve">The JCPAA </w:t>
      </w:r>
      <w:r w:rsidR="00201E63">
        <w:rPr>
          <w:rFonts w:ascii="Calibri" w:eastAsia="Cambria" w:hAnsi="Calibri"/>
          <w:sz w:val="22"/>
          <w:szCs w:val="20"/>
          <w:lang w:eastAsia="en-AU"/>
        </w:rPr>
        <w:t xml:space="preserve">tabled its </w:t>
      </w:r>
      <w:r>
        <w:rPr>
          <w:rFonts w:ascii="Calibri" w:eastAsia="Cambria" w:hAnsi="Calibri"/>
          <w:sz w:val="22"/>
          <w:szCs w:val="20"/>
          <w:lang w:eastAsia="en-AU"/>
        </w:rPr>
        <w:t xml:space="preserve">report on 28 November 2014 and made eight recommendations </w:t>
      </w:r>
      <w:r w:rsidR="00201E63">
        <w:rPr>
          <w:rFonts w:ascii="Calibri" w:eastAsia="Cambria" w:hAnsi="Calibri"/>
          <w:sz w:val="22"/>
          <w:szCs w:val="20"/>
          <w:lang w:eastAsia="en-AU"/>
        </w:rPr>
        <w:t>for consideration by the Government.</w:t>
      </w:r>
    </w:p>
    <w:p w:rsidR="007D65A5" w:rsidRDefault="007D65A5" w:rsidP="00D82372">
      <w:pPr>
        <w:pStyle w:val="PBOheading2"/>
      </w:pPr>
      <w:r w:rsidRPr="00A55569">
        <w:lastRenderedPageBreak/>
        <w:t>Engagement with other organisations</w:t>
      </w:r>
    </w:p>
    <w:p w:rsidR="007D65A5" w:rsidRDefault="007D65A5" w:rsidP="007D65A5">
      <w:pPr>
        <w:pStyle w:val="PBOtext"/>
      </w:pPr>
      <w:r>
        <w:t xml:space="preserve">The PBO continues to engage with </w:t>
      </w:r>
      <w:r w:rsidR="00346A3F">
        <w:t>g</w:t>
      </w:r>
      <w:r w:rsidR="00CF656D">
        <w:t xml:space="preserve">overnment </w:t>
      </w:r>
      <w:r w:rsidR="00346A3F">
        <w:t>agencies</w:t>
      </w:r>
      <w:r w:rsidR="00CF656D">
        <w:t>, peer organisations</w:t>
      </w:r>
      <w:r w:rsidR="00473EE2">
        <w:t>,</w:t>
      </w:r>
      <w:r w:rsidR="00CF656D">
        <w:t xml:space="preserve"> and international </w:t>
      </w:r>
      <w:r>
        <w:t>institutions and bodies as part of its ongoing operations.</w:t>
      </w:r>
      <w:r w:rsidR="00597592">
        <w:t xml:space="preserve"> </w:t>
      </w:r>
      <w:r w:rsidR="00383C33">
        <w:t xml:space="preserve"> </w:t>
      </w:r>
      <w:r w:rsidR="00597592">
        <w:t xml:space="preserve">These engagements support the ongoing co-operative approach to the provision of information from </w:t>
      </w:r>
      <w:r w:rsidR="00BB0ADB">
        <w:t>agencies</w:t>
      </w:r>
      <w:r w:rsidR="00597592">
        <w:t xml:space="preserve">, provide the PBO with opportunities for PBO reports to be peer reviewed prior to their release and allow for the PBO to maintain its awareness of relevant emerging issues on both the domestic and </w:t>
      </w:r>
      <w:r w:rsidR="00D01DC1">
        <w:t>international fronts.</w:t>
      </w:r>
    </w:p>
    <w:p w:rsidR="007D65A5" w:rsidRDefault="007D65A5" w:rsidP="007D65A5">
      <w:pPr>
        <w:pStyle w:val="PBOtext"/>
      </w:pPr>
      <w:r>
        <w:t>The First Assistant Parliamentary Budget Officer, Budget Analysis Division chairs the OECD Committee of Fiscal Affairs Working Party No. 2 on Taxation Policy and Statistics</w:t>
      </w:r>
      <w:r w:rsidR="007C6FC5">
        <w:t>.</w:t>
      </w:r>
      <w:r>
        <w:t xml:space="preserve">  </w:t>
      </w:r>
      <w:r w:rsidR="003B25B9">
        <w:t xml:space="preserve">The </w:t>
      </w:r>
      <w:r>
        <w:t xml:space="preserve">major focus of the working party </w:t>
      </w:r>
      <w:r w:rsidR="003B25B9">
        <w:t xml:space="preserve">continues to be </w:t>
      </w:r>
      <w:r>
        <w:t>the measurement of the impact of corporate tax base erosion and profit shifting</w:t>
      </w:r>
      <w:r w:rsidR="00AD5836">
        <w:t>.</w:t>
      </w:r>
    </w:p>
    <w:p w:rsidR="00204FC3" w:rsidRDefault="007D65A5" w:rsidP="007E6158">
      <w:pPr>
        <w:pStyle w:val="PBOtext"/>
        <w:spacing w:after="100"/>
      </w:pPr>
      <w:r>
        <w:t xml:space="preserve">The PBO </w:t>
      </w:r>
      <w:r w:rsidR="00E401D9">
        <w:t>continues to</w:t>
      </w:r>
      <w:r>
        <w:t xml:space="preserve"> engage with the Tax and Transfer Policy Institute </w:t>
      </w:r>
      <w:r w:rsidR="00204FC3">
        <w:t xml:space="preserve">(TTPI) </w:t>
      </w:r>
      <w:r>
        <w:t xml:space="preserve">at the Australian National University as a member of the Government stakeholders group.  This </w:t>
      </w:r>
      <w:r w:rsidR="00473EE2">
        <w:t xml:space="preserve">allows the PBO to provide </w:t>
      </w:r>
      <w:r>
        <w:t xml:space="preserve">input in relation to the Institute’s research priorities and identification of areas for cooperation between </w:t>
      </w:r>
      <w:r w:rsidR="00383C33">
        <w:t xml:space="preserve">the </w:t>
      </w:r>
      <w:r>
        <w:t>PBO and TTPI.</w:t>
      </w:r>
    </w:p>
    <w:p w:rsidR="00C503E9" w:rsidRDefault="007C6FC5" w:rsidP="007E6158">
      <w:pPr>
        <w:pStyle w:val="PBOtext"/>
        <w:spacing w:after="100"/>
      </w:pPr>
      <w:r>
        <w:t xml:space="preserve">The PBO also participates in </w:t>
      </w:r>
      <w:r w:rsidR="00CB580C">
        <w:t>the</w:t>
      </w:r>
      <w:r w:rsidR="00C503E9">
        <w:t xml:space="preserve"> Interdepartmental Household Modelling </w:t>
      </w:r>
      <w:r w:rsidR="00CB580C">
        <w:t>G</w:t>
      </w:r>
      <w:r w:rsidR="00C503E9">
        <w:t xml:space="preserve">roup which </w:t>
      </w:r>
      <w:r w:rsidR="00CB580C">
        <w:t>foster</w:t>
      </w:r>
      <w:r>
        <w:t>s</w:t>
      </w:r>
      <w:r w:rsidR="00CB580C">
        <w:t xml:space="preserve"> technical cooperation and the coordination of training </w:t>
      </w:r>
      <w:r w:rsidR="002A70A4">
        <w:t xml:space="preserve">between </w:t>
      </w:r>
      <w:r w:rsidR="007F59BF">
        <w:t xml:space="preserve">Commonwealth </w:t>
      </w:r>
      <w:r w:rsidR="00C503E9">
        <w:t>departments.</w:t>
      </w:r>
    </w:p>
    <w:p w:rsidR="00C503E9" w:rsidRPr="00204FC3" w:rsidRDefault="00C503E9" w:rsidP="007E6158">
      <w:pPr>
        <w:pStyle w:val="PBOtext"/>
        <w:spacing w:after="100"/>
        <w:rPr>
          <w:lang w:eastAsia="en-US"/>
        </w:rPr>
      </w:pPr>
      <w:r>
        <w:t>The PBO has also participated in ABS consultations on future data collection</w:t>
      </w:r>
      <w:r w:rsidR="002A70A4">
        <w:t>s</w:t>
      </w:r>
      <w:r w:rsidR="00D01DC1">
        <w:t xml:space="preserve"> and statistical products.</w:t>
      </w:r>
    </w:p>
    <w:p w:rsidR="00742FB7" w:rsidRPr="00A55569" w:rsidRDefault="00742FB7" w:rsidP="00742FB7">
      <w:pPr>
        <w:pStyle w:val="PBOheading2"/>
        <w:spacing w:after="120"/>
      </w:pPr>
      <w:r>
        <w:t>PBO corporate services</w:t>
      </w:r>
    </w:p>
    <w:p w:rsidR="003D37D2" w:rsidRDefault="003D37D2" w:rsidP="00742FB7">
      <w:pPr>
        <w:pStyle w:val="PBOtext"/>
      </w:pPr>
      <w:r>
        <w:t xml:space="preserve">On 24 November 2014 the Parliamentary Budget Officer and the Clerk of the Senate signed a Memorandum of Understanding for the provision of </w:t>
      </w:r>
      <w:r w:rsidR="006D6C53">
        <w:t xml:space="preserve">non-ICT </w:t>
      </w:r>
      <w:r>
        <w:t>corporate services</w:t>
      </w:r>
      <w:r w:rsidR="006D6C53">
        <w:t xml:space="preserve"> by the Department of the Senate to the PBO</w:t>
      </w:r>
      <w:r>
        <w:t xml:space="preserve">.  </w:t>
      </w:r>
      <w:r w:rsidR="006D6C53">
        <w:t xml:space="preserve">The provision of these services </w:t>
      </w:r>
      <w:r w:rsidR="00D01DC1">
        <w:t>commenced on 1 December 2014.</w:t>
      </w:r>
    </w:p>
    <w:p w:rsidR="007D65A5" w:rsidRPr="00A55569" w:rsidRDefault="007D65A5" w:rsidP="007E6158">
      <w:pPr>
        <w:pStyle w:val="PBOheading2"/>
        <w:spacing w:after="120"/>
      </w:pPr>
      <w:r w:rsidRPr="00A55569">
        <w:t xml:space="preserve">PBO </w:t>
      </w:r>
      <w:r w:rsidR="00742FB7">
        <w:t>s</w:t>
      </w:r>
      <w:r w:rsidRPr="00A55569">
        <w:t>taffing</w:t>
      </w:r>
    </w:p>
    <w:p w:rsidR="007D65A5" w:rsidRPr="00D01DC1" w:rsidRDefault="007D65A5" w:rsidP="00597592">
      <w:pPr>
        <w:pStyle w:val="PBOtext"/>
      </w:pPr>
      <w:r>
        <w:t xml:space="preserve">The PBO is funded for </w:t>
      </w:r>
      <w:r w:rsidR="00E401D9">
        <w:t xml:space="preserve">approximately 40 </w:t>
      </w:r>
      <w:r>
        <w:t xml:space="preserve">positions and </w:t>
      </w:r>
      <w:r w:rsidR="006D6C53">
        <w:t>at 31 December 2014 had</w:t>
      </w:r>
      <w:r>
        <w:t xml:space="preserve"> 3</w:t>
      </w:r>
      <w:r w:rsidR="006D6C53">
        <w:t>8</w:t>
      </w:r>
      <w:r>
        <w:t xml:space="preserve"> full time equivalent staff (refer to Table 3).  </w:t>
      </w:r>
      <w:r w:rsidR="007A131A">
        <w:t>Recruitment is in train to fill vacant positions.</w:t>
      </w:r>
      <w:r>
        <w:br w:type="page"/>
      </w:r>
    </w:p>
    <w:p w:rsidR="00EE10A1" w:rsidRPr="008C72D3" w:rsidRDefault="005D002A" w:rsidP="008C72D3">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150BBB" w:rsidRPr="00D82372" w:rsidRDefault="00150BBB" w:rsidP="00D543A7">
      <w:pPr>
        <w:pStyle w:val="Caption"/>
        <w:keepLines w:val="0"/>
        <w:spacing w:before="340" w:after="114" w:line="250" w:lineRule="atLeast"/>
        <w:jc w:val="left"/>
        <w:rPr>
          <w:rFonts w:eastAsiaTheme="minorHAnsi"/>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5F6B98">
        <w:rPr>
          <w:rFonts w:asciiTheme="minorHAnsi" w:eastAsiaTheme="minorHAnsi" w:hAnsiTheme="minorHAnsi" w:cstheme="minorBidi"/>
          <w:color w:val="1F497D" w:themeColor="text2"/>
          <w:spacing w:val="-4"/>
          <w:sz w:val="20"/>
          <w:lang w:eastAsia="en-US"/>
        </w:rPr>
        <w:t xml:space="preserve">31 </w:t>
      </w:r>
      <w:r w:rsidR="00FC7534">
        <w:rPr>
          <w:rFonts w:asciiTheme="minorHAnsi" w:eastAsiaTheme="minorHAnsi" w:hAnsiTheme="minorHAnsi" w:cstheme="minorBidi"/>
          <w:color w:val="1F497D" w:themeColor="text2"/>
          <w:spacing w:val="-4"/>
          <w:sz w:val="20"/>
          <w:lang w:eastAsia="en-US"/>
        </w:rPr>
        <w:t>December 2014</w:t>
      </w:r>
    </w:p>
    <w:tbl>
      <w:tblPr>
        <w:tblStyle w:val="TableGrid11"/>
        <w:tblpPr w:leftFromText="180" w:rightFromText="180" w:bottomFromText="155" w:vertAnchor="text"/>
        <w:tblW w:w="5000" w:type="pct"/>
        <w:tblLayout w:type="fixed"/>
        <w:tblLook w:val="04A0" w:firstRow="1" w:lastRow="0" w:firstColumn="1" w:lastColumn="0" w:noHBand="0" w:noVBand="1"/>
      </w:tblPr>
      <w:tblGrid>
        <w:gridCol w:w="3492"/>
        <w:gridCol w:w="1228"/>
        <w:gridCol w:w="1230"/>
        <w:gridCol w:w="1228"/>
        <w:gridCol w:w="1230"/>
        <w:gridCol w:w="1230"/>
      </w:tblGrid>
      <w:tr w:rsidR="00FC7534" w:rsidRPr="00764FC5" w:rsidTr="00FC753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12" w:type="pct"/>
            <w:noWrap/>
          </w:tcPr>
          <w:p w:rsidR="00FC7534" w:rsidRPr="00764FC5" w:rsidRDefault="00FC7534" w:rsidP="00764FC5">
            <w:pPr>
              <w:keepNext/>
              <w:keepLines/>
              <w:spacing w:before="0" w:after="200" w:line="240" w:lineRule="auto"/>
              <w:ind w:left="0" w:right="0"/>
              <w:rPr>
                <w:rFonts w:ascii="Calibri" w:eastAsia="Calibri" w:hAnsi="Calibri"/>
                <w:b/>
                <w:color w:val="auto"/>
                <w:sz w:val="18"/>
                <w:szCs w:val="18"/>
                <w:lang w:eastAsia="en-US"/>
              </w:rPr>
            </w:pPr>
            <w:bookmarkStart w:id="0" w:name="Title_1"/>
            <w:bookmarkEnd w:id="0"/>
          </w:p>
        </w:tc>
        <w:tc>
          <w:tcPr>
            <w:tcW w:w="637" w:type="pct"/>
          </w:tcPr>
          <w:p w:rsidR="00FC7534" w:rsidRPr="001244FE"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FC7534" w:rsidRPr="00764FC5"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Calibri" w:eastAsia="Calibri" w:hAnsi="Calibri"/>
                <w:b/>
                <w:color w:val="auto"/>
                <w:sz w:val="18"/>
                <w:szCs w:val="18"/>
                <w:lang w:eastAsia="en-US"/>
              </w:rPr>
            </w:pPr>
            <w:r w:rsidRPr="001244FE">
              <w:rPr>
                <w:rFonts w:asciiTheme="minorHAnsi" w:hAnsiTheme="minorHAnsi"/>
                <w:b/>
                <w:sz w:val="18"/>
                <w:szCs w:val="18"/>
              </w:rPr>
              <w:t>Total</w:t>
            </w:r>
          </w:p>
        </w:tc>
        <w:tc>
          <w:tcPr>
            <w:tcW w:w="638" w:type="pct"/>
          </w:tcPr>
          <w:p w:rsidR="00FC7534" w:rsidRPr="001244FE"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FC7534" w:rsidRPr="00764FC5"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Calibri" w:eastAsia="Calibri" w:hAnsi="Calibri"/>
                <w:b/>
                <w:color w:val="auto"/>
                <w:sz w:val="18"/>
                <w:szCs w:val="18"/>
                <w:lang w:eastAsia="en-US"/>
              </w:rPr>
            </w:pPr>
            <w:r w:rsidRPr="001244FE">
              <w:rPr>
                <w:rFonts w:asciiTheme="minorHAnsi" w:hAnsiTheme="minorHAnsi"/>
                <w:b/>
                <w:sz w:val="18"/>
                <w:szCs w:val="18"/>
              </w:rPr>
              <w:t>Total</w:t>
            </w:r>
          </w:p>
        </w:tc>
        <w:tc>
          <w:tcPr>
            <w:tcW w:w="637" w:type="pct"/>
          </w:tcPr>
          <w:p w:rsidR="00FC7534" w:rsidRPr="001244FE"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FC7534" w:rsidRPr="001244FE"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sz w:val="18"/>
                <w:szCs w:val="18"/>
              </w:rPr>
              <w:t>Q1</w:t>
            </w:r>
          </w:p>
        </w:tc>
        <w:tc>
          <w:tcPr>
            <w:tcW w:w="638" w:type="pct"/>
          </w:tcPr>
          <w:p w:rsidR="00FC7534" w:rsidRPr="00FC7534"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C7534">
              <w:rPr>
                <w:rFonts w:asciiTheme="minorHAnsi" w:hAnsiTheme="minorHAnsi"/>
                <w:sz w:val="18"/>
                <w:szCs w:val="18"/>
              </w:rPr>
              <w:t>2014-15</w:t>
            </w:r>
          </w:p>
          <w:p w:rsidR="00FC7534" w:rsidRPr="001244FE"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FC7534">
              <w:rPr>
                <w:rFonts w:asciiTheme="minorHAnsi" w:hAnsiTheme="minorHAnsi"/>
                <w:sz w:val="18"/>
                <w:szCs w:val="18"/>
              </w:rPr>
              <w:t>Q2</w:t>
            </w:r>
          </w:p>
        </w:tc>
        <w:tc>
          <w:tcPr>
            <w:tcW w:w="638" w:type="pct"/>
          </w:tcPr>
          <w:p w:rsidR="00FC7534" w:rsidRPr="001244FE"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2014–15</w:t>
            </w:r>
          </w:p>
          <w:p w:rsidR="00FC7534" w:rsidRPr="001244FE" w:rsidRDefault="00FC7534" w:rsidP="001244FE">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Total</w:t>
            </w:r>
          </w:p>
        </w:tc>
      </w:tr>
      <w:tr w:rsidR="00FC7534" w:rsidRPr="00764FC5" w:rsidTr="00FC75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2" w:type="pct"/>
            <w:noWrap/>
            <w:hideMark/>
          </w:tcPr>
          <w:p w:rsidR="00FC7534" w:rsidRPr="00764FC5" w:rsidRDefault="00FC7534"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outstanding at start of period</w:t>
            </w:r>
          </w:p>
        </w:tc>
        <w:tc>
          <w:tcPr>
            <w:tcW w:w="637" w:type="pct"/>
          </w:tcPr>
          <w:p w:rsidR="00FC7534" w:rsidRPr="00764FC5" w:rsidRDefault="00FC7534"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w:t>
            </w:r>
          </w:p>
        </w:tc>
        <w:tc>
          <w:tcPr>
            <w:tcW w:w="638" w:type="pct"/>
            <w:noWrap/>
          </w:tcPr>
          <w:p w:rsidR="00FC7534" w:rsidRPr="00764FC5" w:rsidRDefault="00FC7534"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Calibri" w:hAnsi="Calibri"/>
                <w:b/>
                <w:bCs/>
                <w:sz w:val="18"/>
                <w:szCs w:val="18"/>
                <w:lang w:eastAsia="en-US"/>
              </w:rPr>
              <w:t>463</w:t>
            </w:r>
          </w:p>
        </w:tc>
        <w:tc>
          <w:tcPr>
            <w:tcW w:w="637" w:type="pct"/>
          </w:tcPr>
          <w:p w:rsidR="00FC7534" w:rsidRPr="008C7B9F" w:rsidRDefault="00FC7534" w:rsidP="00CE526D">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lang w:eastAsia="en-US"/>
              </w:rPr>
            </w:pPr>
            <w:r w:rsidRPr="008C7B9F">
              <w:rPr>
                <w:rFonts w:ascii="Calibri" w:eastAsia="Calibri" w:hAnsi="Calibri"/>
                <w:bCs/>
                <w:sz w:val="18"/>
                <w:szCs w:val="18"/>
              </w:rPr>
              <w:t>7</w:t>
            </w:r>
            <w:r w:rsidR="00CE526D">
              <w:rPr>
                <w:rFonts w:ascii="Calibri" w:eastAsia="Calibri" w:hAnsi="Calibri"/>
                <w:bCs/>
                <w:sz w:val="18"/>
                <w:szCs w:val="18"/>
              </w:rPr>
              <w:t>6</w:t>
            </w:r>
          </w:p>
        </w:tc>
        <w:tc>
          <w:tcPr>
            <w:tcW w:w="638" w:type="pct"/>
          </w:tcPr>
          <w:p w:rsidR="00FC7534" w:rsidRPr="0007220A" w:rsidRDefault="00555133" w:rsidP="0007220A">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1</w:t>
            </w:r>
            <w:r w:rsidR="00CE526D" w:rsidRPr="0007220A">
              <w:rPr>
                <w:rFonts w:ascii="Calibri" w:eastAsia="Calibri" w:hAnsi="Calibri"/>
                <w:bCs/>
                <w:sz w:val="18"/>
                <w:szCs w:val="18"/>
              </w:rPr>
              <w:t>24</w:t>
            </w:r>
          </w:p>
        </w:tc>
        <w:tc>
          <w:tcPr>
            <w:tcW w:w="638" w:type="pct"/>
          </w:tcPr>
          <w:p w:rsidR="00FC7534" w:rsidRPr="00764FC5" w:rsidRDefault="00555133" w:rsidP="00CE526D">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Pr>
                <w:rFonts w:ascii="Calibri" w:eastAsia="Calibri" w:hAnsi="Calibri"/>
                <w:b/>
                <w:bCs/>
                <w:sz w:val="18"/>
                <w:szCs w:val="18"/>
                <w:lang w:eastAsia="en-US"/>
              </w:rPr>
              <w:t>7</w:t>
            </w:r>
            <w:r w:rsidR="00CE526D">
              <w:rPr>
                <w:rFonts w:ascii="Calibri" w:eastAsia="Calibri" w:hAnsi="Calibri"/>
                <w:b/>
                <w:bCs/>
                <w:sz w:val="18"/>
                <w:szCs w:val="18"/>
                <w:lang w:eastAsia="en-US"/>
              </w:rPr>
              <w:t>6</w:t>
            </w:r>
          </w:p>
        </w:tc>
      </w:tr>
      <w:tr w:rsidR="00FC7534" w:rsidRPr="00764FC5" w:rsidTr="00FC7534">
        <w:trPr>
          <w:trHeight w:val="454"/>
        </w:trPr>
        <w:tc>
          <w:tcPr>
            <w:cnfStyle w:val="001000000000" w:firstRow="0" w:lastRow="0" w:firstColumn="1" w:lastColumn="0" w:oddVBand="0" w:evenVBand="0" w:oddHBand="0" w:evenHBand="0" w:firstRowFirstColumn="0" w:firstRowLastColumn="0" w:lastRowFirstColumn="0" w:lastRowLastColumn="0"/>
            <w:tcW w:w="1812" w:type="pct"/>
            <w:noWrap/>
            <w:hideMark/>
          </w:tcPr>
          <w:p w:rsidR="00FC7534" w:rsidRPr="00764FC5" w:rsidRDefault="00FC7534"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received in period</w:t>
            </w:r>
          </w:p>
        </w:tc>
        <w:tc>
          <w:tcPr>
            <w:tcW w:w="637" w:type="pct"/>
          </w:tcPr>
          <w:p w:rsidR="00FC7534" w:rsidRPr="00764FC5" w:rsidRDefault="00FC7534"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1</w:t>
            </w:r>
            <w:r w:rsidRPr="00764FC5">
              <w:rPr>
                <w:rFonts w:ascii="Calibri" w:hAnsi="Calibri"/>
                <w:b/>
                <w:sz w:val="18"/>
                <w:szCs w:val="18"/>
              </w:rPr>
              <w:t>,146</w:t>
            </w:r>
          </w:p>
        </w:tc>
        <w:tc>
          <w:tcPr>
            <w:tcW w:w="638" w:type="pct"/>
            <w:noWrap/>
            <w:hideMark/>
          </w:tcPr>
          <w:p w:rsidR="00FC7534" w:rsidRPr="00764FC5" w:rsidRDefault="00FC7534"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1,29</w:t>
            </w:r>
            <w:r w:rsidR="0007220A">
              <w:rPr>
                <w:rFonts w:ascii="Calibri" w:eastAsiaTheme="minorHAnsi" w:hAnsi="Calibri"/>
                <w:b/>
                <w:bCs/>
                <w:sz w:val="18"/>
                <w:szCs w:val="18"/>
                <w:lang w:eastAsia="en-US"/>
              </w:rPr>
              <w:t>7</w:t>
            </w:r>
          </w:p>
        </w:tc>
        <w:tc>
          <w:tcPr>
            <w:tcW w:w="637" w:type="pct"/>
          </w:tcPr>
          <w:p w:rsidR="00FC7534" w:rsidRPr="008C7B9F" w:rsidRDefault="00FC7534" w:rsidP="00B0014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w:t>
            </w:r>
            <w:r>
              <w:rPr>
                <w:rFonts w:ascii="Calibri" w:hAnsi="Calibri"/>
                <w:bCs/>
                <w:sz w:val="18"/>
                <w:szCs w:val="18"/>
              </w:rPr>
              <w:t>5</w:t>
            </w:r>
            <w:r w:rsidR="00CE526D">
              <w:rPr>
                <w:rFonts w:ascii="Calibri" w:hAnsi="Calibri"/>
                <w:bCs/>
                <w:sz w:val="18"/>
                <w:szCs w:val="18"/>
              </w:rPr>
              <w:t>7</w:t>
            </w:r>
          </w:p>
        </w:tc>
        <w:tc>
          <w:tcPr>
            <w:tcW w:w="638" w:type="pct"/>
          </w:tcPr>
          <w:p w:rsidR="00FC7534" w:rsidRPr="0007220A" w:rsidRDefault="00555133"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129</w:t>
            </w:r>
          </w:p>
        </w:tc>
        <w:tc>
          <w:tcPr>
            <w:tcW w:w="638" w:type="pct"/>
          </w:tcPr>
          <w:p w:rsidR="00FC7534" w:rsidRPr="00764FC5" w:rsidRDefault="00CE526D" w:rsidP="001F4A5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386</w:t>
            </w:r>
          </w:p>
        </w:tc>
      </w:tr>
      <w:tr w:rsidR="00FC7534" w:rsidRPr="00764FC5" w:rsidTr="00FC75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2" w:type="pct"/>
            <w:noWrap/>
            <w:hideMark/>
          </w:tcPr>
          <w:p w:rsidR="00FC7534" w:rsidRPr="00764FC5" w:rsidRDefault="00FC7534"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withdrawn in period</w:t>
            </w:r>
          </w:p>
        </w:tc>
        <w:tc>
          <w:tcPr>
            <w:tcW w:w="637" w:type="pct"/>
          </w:tcPr>
          <w:p w:rsidR="00FC7534" w:rsidRPr="00764FC5" w:rsidRDefault="00FC7534"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19</w:t>
            </w:r>
          </w:p>
        </w:tc>
        <w:tc>
          <w:tcPr>
            <w:tcW w:w="638" w:type="pct"/>
            <w:noWrap/>
            <w:hideMark/>
          </w:tcPr>
          <w:p w:rsidR="00FC7534" w:rsidRPr="00764FC5" w:rsidRDefault="00FC7534"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162</w:t>
            </w:r>
          </w:p>
        </w:tc>
        <w:tc>
          <w:tcPr>
            <w:tcW w:w="637" w:type="pct"/>
          </w:tcPr>
          <w:p w:rsidR="00FC7534" w:rsidRPr="008C7B9F" w:rsidRDefault="00FC7534"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4</w:t>
            </w:r>
          </w:p>
        </w:tc>
        <w:tc>
          <w:tcPr>
            <w:tcW w:w="638" w:type="pct"/>
          </w:tcPr>
          <w:p w:rsidR="00FC7534" w:rsidRPr="0007220A" w:rsidRDefault="00555133" w:rsidP="0007220A">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2</w:t>
            </w:r>
          </w:p>
        </w:tc>
        <w:tc>
          <w:tcPr>
            <w:tcW w:w="638" w:type="pct"/>
          </w:tcPr>
          <w:p w:rsidR="00FC7534" w:rsidRPr="00764FC5" w:rsidRDefault="00555133"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6</w:t>
            </w:r>
          </w:p>
        </w:tc>
      </w:tr>
      <w:tr w:rsidR="00FC7534" w:rsidRPr="00764FC5" w:rsidTr="00FC7534">
        <w:trPr>
          <w:trHeight w:val="454"/>
        </w:trPr>
        <w:tc>
          <w:tcPr>
            <w:cnfStyle w:val="001000000000" w:firstRow="0" w:lastRow="0" w:firstColumn="1" w:lastColumn="0" w:oddVBand="0" w:evenVBand="0" w:oddHBand="0" w:evenHBand="0" w:firstRowFirstColumn="0" w:firstRowLastColumn="0" w:lastRowFirstColumn="0" w:lastRowLastColumn="0"/>
            <w:tcW w:w="1812" w:type="pct"/>
            <w:noWrap/>
            <w:hideMark/>
          </w:tcPr>
          <w:p w:rsidR="00FC7534" w:rsidRPr="00764FC5" w:rsidRDefault="00FC7534"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completed in period</w:t>
            </w:r>
          </w:p>
        </w:tc>
        <w:tc>
          <w:tcPr>
            <w:tcW w:w="637" w:type="pct"/>
          </w:tcPr>
          <w:p w:rsidR="00FC7534" w:rsidRPr="00764FC5" w:rsidRDefault="00FC7534"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664</w:t>
            </w:r>
          </w:p>
        </w:tc>
        <w:tc>
          <w:tcPr>
            <w:tcW w:w="638" w:type="pct"/>
            <w:noWrap/>
            <w:hideMark/>
          </w:tcPr>
          <w:p w:rsidR="00FC7534" w:rsidRPr="00764FC5" w:rsidRDefault="00FC7534"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1,52</w:t>
            </w:r>
            <w:r w:rsidR="0007220A">
              <w:rPr>
                <w:rFonts w:ascii="Calibri" w:eastAsiaTheme="minorHAnsi" w:hAnsi="Calibri"/>
                <w:b/>
                <w:bCs/>
                <w:sz w:val="18"/>
                <w:szCs w:val="18"/>
                <w:lang w:eastAsia="en-US"/>
              </w:rPr>
              <w:t>2</w:t>
            </w:r>
          </w:p>
        </w:tc>
        <w:tc>
          <w:tcPr>
            <w:tcW w:w="637" w:type="pct"/>
          </w:tcPr>
          <w:p w:rsidR="00FC7534" w:rsidRPr="008C7B9F" w:rsidRDefault="00FC7534"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205</w:t>
            </w:r>
          </w:p>
        </w:tc>
        <w:tc>
          <w:tcPr>
            <w:tcW w:w="638" w:type="pct"/>
          </w:tcPr>
          <w:p w:rsidR="00FC7534" w:rsidRPr="0007220A" w:rsidRDefault="00555133"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200</w:t>
            </w:r>
          </w:p>
        </w:tc>
        <w:tc>
          <w:tcPr>
            <w:tcW w:w="638" w:type="pct"/>
          </w:tcPr>
          <w:p w:rsidR="00FC7534" w:rsidRPr="00764FC5" w:rsidRDefault="00555133" w:rsidP="00555133">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405</w:t>
            </w:r>
          </w:p>
        </w:tc>
      </w:tr>
      <w:tr w:rsidR="00FC7534" w:rsidRPr="00764FC5" w:rsidTr="00FC75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2" w:type="pct"/>
            <w:noWrap/>
            <w:hideMark/>
          </w:tcPr>
          <w:p w:rsidR="00FC7534" w:rsidRPr="00764FC5" w:rsidRDefault="00FC7534"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Average time to completion (business days)</w:t>
            </w:r>
          </w:p>
        </w:tc>
        <w:tc>
          <w:tcPr>
            <w:tcW w:w="637" w:type="pct"/>
          </w:tcPr>
          <w:p w:rsidR="00FC7534" w:rsidRPr="00764FC5" w:rsidRDefault="00FC7534"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33.9</w:t>
            </w:r>
          </w:p>
        </w:tc>
        <w:tc>
          <w:tcPr>
            <w:tcW w:w="638" w:type="pct"/>
            <w:noWrap/>
            <w:hideMark/>
          </w:tcPr>
          <w:p w:rsidR="00FC7534" w:rsidRPr="00764FC5" w:rsidRDefault="00FC7534" w:rsidP="008C7B9F">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13.8</w:t>
            </w:r>
          </w:p>
        </w:tc>
        <w:tc>
          <w:tcPr>
            <w:tcW w:w="637" w:type="pct"/>
          </w:tcPr>
          <w:p w:rsidR="00FC7534" w:rsidRPr="008C7B9F" w:rsidRDefault="00FC7534" w:rsidP="00CE526D">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Cs/>
                <w:sz w:val="18"/>
                <w:szCs w:val="18"/>
                <w:lang w:eastAsia="en-US"/>
              </w:rPr>
            </w:pPr>
            <w:r w:rsidRPr="008C7B9F">
              <w:rPr>
                <w:rFonts w:ascii="Calibri" w:hAnsi="Calibri"/>
                <w:bCs/>
                <w:sz w:val="18"/>
                <w:szCs w:val="18"/>
              </w:rPr>
              <w:t>22.</w:t>
            </w:r>
            <w:r w:rsidR="00CE526D">
              <w:rPr>
                <w:rFonts w:ascii="Calibri" w:hAnsi="Calibri"/>
                <w:bCs/>
                <w:sz w:val="18"/>
                <w:szCs w:val="18"/>
              </w:rPr>
              <w:t>6</w:t>
            </w:r>
          </w:p>
        </w:tc>
        <w:tc>
          <w:tcPr>
            <w:tcW w:w="638" w:type="pct"/>
          </w:tcPr>
          <w:p w:rsidR="00FC7534" w:rsidRPr="0007220A" w:rsidRDefault="00555133" w:rsidP="0007220A">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11.0</w:t>
            </w:r>
          </w:p>
        </w:tc>
        <w:tc>
          <w:tcPr>
            <w:tcW w:w="638" w:type="pct"/>
          </w:tcPr>
          <w:p w:rsidR="00FC7534" w:rsidRPr="00764FC5" w:rsidRDefault="00555133" w:rsidP="00555133">
            <w:pPr>
              <w:spacing w:before="0" w:after="0"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16.8</w:t>
            </w:r>
          </w:p>
        </w:tc>
      </w:tr>
      <w:tr w:rsidR="00FC7534" w:rsidRPr="00764FC5" w:rsidTr="00FC7534">
        <w:trPr>
          <w:trHeight w:val="454"/>
        </w:trPr>
        <w:tc>
          <w:tcPr>
            <w:cnfStyle w:val="001000000000" w:firstRow="0" w:lastRow="0" w:firstColumn="1" w:lastColumn="0" w:oddVBand="0" w:evenVBand="0" w:oddHBand="0" w:evenHBand="0" w:firstRowFirstColumn="0" w:firstRowLastColumn="0" w:lastRowFirstColumn="0" w:lastRowLastColumn="0"/>
            <w:tcW w:w="1812" w:type="pct"/>
            <w:noWrap/>
            <w:hideMark/>
          </w:tcPr>
          <w:p w:rsidR="00FC7534" w:rsidRPr="00764FC5" w:rsidRDefault="00FC7534" w:rsidP="008C7B9F">
            <w:pPr>
              <w:spacing w:before="0" w:after="0" w:line="240" w:lineRule="auto"/>
              <w:ind w:left="0" w:right="0"/>
              <w:rPr>
                <w:rFonts w:ascii="Calibri" w:eastAsia="Calibri" w:hAnsi="Calibri"/>
                <w:sz w:val="18"/>
                <w:szCs w:val="18"/>
                <w:lang w:eastAsia="en-US"/>
              </w:rPr>
            </w:pPr>
            <w:r w:rsidRPr="00764FC5">
              <w:rPr>
                <w:rFonts w:ascii="Calibri" w:eastAsia="Calibri" w:hAnsi="Calibri"/>
                <w:sz w:val="18"/>
                <w:szCs w:val="18"/>
                <w:lang w:eastAsia="en-US"/>
              </w:rPr>
              <w:t>Requests outstanding at end of period</w:t>
            </w:r>
          </w:p>
        </w:tc>
        <w:tc>
          <w:tcPr>
            <w:tcW w:w="637" w:type="pct"/>
          </w:tcPr>
          <w:p w:rsidR="00FC7534" w:rsidRPr="00764FC5" w:rsidRDefault="00FC7534" w:rsidP="008C7B9F">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sz w:val="18"/>
                <w:szCs w:val="18"/>
                <w:lang w:eastAsia="en-US"/>
              </w:rPr>
            </w:pPr>
            <w:r w:rsidRPr="007C1745">
              <w:rPr>
                <w:rFonts w:ascii="Calibri" w:eastAsiaTheme="minorHAnsi" w:hAnsi="Calibri"/>
                <w:b/>
                <w:sz w:val="18"/>
                <w:szCs w:val="18"/>
                <w:lang w:eastAsia="en-US"/>
              </w:rPr>
              <w:t>463</w:t>
            </w:r>
          </w:p>
        </w:tc>
        <w:tc>
          <w:tcPr>
            <w:tcW w:w="638" w:type="pct"/>
            <w:noWrap/>
            <w:hideMark/>
          </w:tcPr>
          <w:p w:rsidR="00FC7534" w:rsidRPr="00764FC5" w:rsidRDefault="00FC7534" w:rsidP="00877B1D">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18"/>
                <w:szCs w:val="18"/>
                <w:lang w:eastAsia="en-US"/>
              </w:rPr>
            </w:pPr>
            <w:r w:rsidRPr="00764FC5">
              <w:rPr>
                <w:rFonts w:ascii="Calibri" w:eastAsiaTheme="minorHAnsi" w:hAnsi="Calibri"/>
                <w:b/>
                <w:bCs/>
                <w:sz w:val="18"/>
                <w:szCs w:val="18"/>
                <w:lang w:eastAsia="en-US"/>
              </w:rPr>
              <w:t>7</w:t>
            </w:r>
            <w:r w:rsidR="0007220A">
              <w:rPr>
                <w:rFonts w:ascii="Calibri" w:eastAsiaTheme="minorHAnsi" w:hAnsi="Calibri"/>
                <w:b/>
                <w:bCs/>
                <w:sz w:val="18"/>
                <w:szCs w:val="18"/>
                <w:lang w:eastAsia="en-US"/>
              </w:rPr>
              <w:t>6</w:t>
            </w:r>
            <w:r w:rsidR="00877B1D">
              <w:rPr>
                <w:rFonts w:ascii="Calibri" w:eastAsiaTheme="minorHAnsi" w:hAnsi="Calibri"/>
                <w:b/>
                <w:bCs/>
                <w:sz w:val="18"/>
                <w:szCs w:val="18"/>
                <w:lang w:eastAsia="en-US"/>
              </w:rPr>
              <w:t xml:space="preserve"> </w:t>
            </w:r>
            <w:r w:rsidR="00877B1D">
              <w:rPr>
                <w:rFonts w:ascii="Calibri" w:hAnsi="Calibri"/>
                <w:b/>
                <w:bCs/>
                <w:sz w:val="18"/>
                <w:szCs w:val="18"/>
                <w:vertAlign w:val="superscript"/>
              </w:rPr>
              <w:t>1</w:t>
            </w:r>
          </w:p>
        </w:tc>
        <w:tc>
          <w:tcPr>
            <w:tcW w:w="637" w:type="pct"/>
          </w:tcPr>
          <w:p w:rsidR="00FC7534" w:rsidRPr="008C7B9F" w:rsidRDefault="00FC7534" w:rsidP="00DA328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Cs/>
                <w:sz w:val="18"/>
                <w:szCs w:val="18"/>
                <w:lang w:eastAsia="en-US"/>
              </w:rPr>
            </w:pPr>
            <w:r>
              <w:rPr>
                <w:rFonts w:ascii="Calibri" w:hAnsi="Calibri"/>
                <w:bCs/>
                <w:sz w:val="18"/>
                <w:szCs w:val="18"/>
              </w:rPr>
              <w:t>1</w:t>
            </w:r>
            <w:r w:rsidR="00CE526D">
              <w:rPr>
                <w:rFonts w:ascii="Calibri" w:hAnsi="Calibri"/>
                <w:bCs/>
                <w:sz w:val="18"/>
                <w:szCs w:val="18"/>
              </w:rPr>
              <w:t>24</w:t>
            </w:r>
          </w:p>
        </w:tc>
        <w:tc>
          <w:tcPr>
            <w:tcW w:w="638" w:type="pct"/>
          </w:tcPr>
          <w:p w:rsidR="00FC7534" w:rsidRPr="0007220A" w:rsidRDefault="00CE526D" w:rsidP="0007220A">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bCs/>
                <w:sz w:val="18"/>
                <w:szCs w:val="18"/>
              </w:rPr>
            </w:pPr>
            <w:r w:rsidRPr="0007220A">
              <w:rPr>
                <w:rFonts w:ascii="Calibri" w:eastAsia="Calibri" w:hAnsi="Calibri"/>
                <w:bCs/>
                <w:sz w:val="18"/>
                <w:szCs w:val="18"/>
              </w:rPr>
              <w:t>51</w:t>
            </w:r>
          </w:p>
        </w:tc>
        <w:tc>
          <w:tcPr>
            <w:tcW w:w="638" w:type="pct"/>
          </w:tcPr>
          <w:p w:rsidR="00FC7534" w:rsidRPr="00764FC5" w:rsidRDefault="005A417A" w:rsidP="001F4A57">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b/>
                <w:bCs/>
                <w:sz w:val="18"/>
                <w:szCs w:val="18"/>
                <w:lang w:eastAsia="en-US"/>
              </w:rPr>
            </w:pPr>
            <w:r>
              <w:rPr>
                <w:rFonts w:ascii="Calibri" w:eastAsiaTheme="minorHAnsi" w:hAnsi="Calibri"/>
                <w:b/>
                <w:bCs/>
                <w:sz w:val="18"/>
                <w:szCs w:val="18"/>
                <w:lang w:eastAsia="en-US"/>
              </w:rPr>
              <w:t>51</w:t>
            </w:r>
          </w:p>
        </w:tc>
      </w:tr>
    </w:tbl>
    <w:p w:rsidR="00877B1D" w:rsidRDefault="00877B1D" w:rsidP="006454D7">
      <w:pPr>
        <w:pStyle w:val="TableText"/>
        <w:spacing w:after="240" w:line="240" w:lineRule="auto"/>
        <w:ind w:left="0"/>
      </w:pPr>
      <w:r w:rsidRPr="00DE0A52">
        <w:rPr>
          <w:sz w:val="16"/>
          <w:szCs w:val="16"/>
          <w:vertAlign w:val="superscript"/>
        </w:rPr>
        <w:t>1</w:t>
      </w:r>
      <w:r w:rsidRPr="00543268">
        <w:rPr>
          <w:sz w:val="16"/>
          <w:szCs w:val="16"/>
        </w:rPr>
        <w:t xml:space="preserve"> </w:t>
      </w:r>
      <w:r>
        <w:rPr>
          <w:sz w:val="16"/>
          <w:szCs w:val="16"/>
        </w:rPr>
        <w:t xml:space="preserve">The number of requests outstanding at the end of 2013-14 has increased by 5 from requests shown as outstanding in the previous report, </w:t>
      </w:r>
      <w:r w:rsidR="005E7470">
        <w:rPr>
          <w:sz w:val="16"/>
          <w:szCs w:val="16"/>
        </w:rPr>
        <w:t xml:space="preserve">primarily </w:t>
      </w:r>
      <w:r>
        <w:rPr>
          <w:sz w:val="16"/>
          <w:szCs w:val="16"/>
        </w:rPr>
        <w:t xml:space="preserve">due to additional options being </w:t>
      </w:r>
      <w:r w:rsidR="006454D7">
        <w:rPr>
          <w:sz w:val="16"/>
          <w:szCs w:val="16"/>
        </w:rPr>
        <w:t>identified in a single request.</w:t>
      </w:r>
    </w:p>
    <w:p w:rsidR="00150BBB" w:rsidRPr="00543268" w:rsidRDefault="00150BBB" w:rsidP="00597592">
      <w:pPr>
        <w:pStyle w:val="PBOtext"/>
      </w:pPr>
      <w:r w:rsidRPr="00543268">
        <w:t>The table above reflects the number of ‘options’ received by the PBO, noting that a single request can contain multiple options.</w:t>
      </w:r>
    </w:p>
    <w:p w:rsidR="00F36BEB" w:rsidRDefault="00D908AD" w:rsidP="00D908AD">
      <w:pPr>
        <w:pStyle w:val="Caption"/>
        <w:keepLines w:val="0"/>
        <w:spacing w:before="340" w:after="480" w:line="250" w:lineRule="atLeast"/>
        <w:jc w:val="left"/>
        <w:rPr>
          <w:rFonts w:asciiTheme="minorHAnsi" w:eastAsiaTheme="minorHAnsi" w:hAnsiTheme="minorHAnsi" w:cstheme="minorBidi"/>
          <w:color w:val="1F497D" w:themeColor="text2"/>
          <w:spacing w:val="-4"/>
          <w:sz w:val="20"/>
          <w:lang w:eastAsia="en-US"/>
        </w:rPr>
      </w:pPr>
      <w:r>
        <w:rPr>
          <w:noProof/>
        </w:rPr>
        <w:drawing>
          <wp:anchor distT="0" distB="0" distL="114300" distR="114300" simplePos="0" relativeHeight="251662336" behindDoc="0" locked="0" layoutInCell="1" allowOverlap="1" wp14:anchorId="65627246" wp14:editId="0CC6E516">
            <wp:simplePos x="0" y="0"/>
            <wp:positionH relativeFrom="column">
              <wp:posOffset>-3810</wp:posOffset>
            </wp:positionH>
            <wp:positionV relativeFrom="paragraph">
              <wp:posOffset>427355</wp:posOffset>
            </wp:positionV>
            <wp:extent cx="5596890" cy="3072765"/>
            <wp:effectExtent l="0" t="0" r="3810" b="0"/>
            <wp:wrapNone/>
            <wp:docPr id="7" name="Picture 7" descr="Decorativ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6890" cy="3072765"/>
                    </a:xfrm>
                    <a:prstGeom prst="rect">
                      <a:avLst/>
                    </a:prstGeom>
                    <a:noFill/>
                  </pic:spPr>
                </pic:pic>
              </a:graphicData>
            </a:graphic>
            <wp14:sizeRelH relativeFrom="page">
              <wp14:pctWidth>0</wp14:pctWidth>
            </wp14:sizeRelH>
            <wp14:sizeRelV relativeFrom="page">
              <wp14:pctHeight>0</wp14:pctHeight>
            </wp14:sizeRelV>
          </wp:anchor>
        </w:drawing>
      </w:r>
      <w:r w:rsidR="00F36BEB"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00F36BEB"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00F36BEB"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00F36BEB"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 xml:space="preserve">in 2014–15 to </w:t>
      </w:r>
      <w:r w:rsidR="00FC7534">
        <w:rPr>
          <w:rFonts w:asciiTheme="minorHAnsi" w:eastAsiaTheme="minorHAnsi" w:hAnsiTheme="minorHAnsi" w:cstheme="minorBidi"/>
          <w:color w:val="1F497D" w:themeColor="text2"/>
          <w:spacing w:val="-4"/>
          <w:sz w:val="20"/>
          <w:lang w:eastAsia="en-US"/>
        </w:rPr>
        <w:t>31 December 2014</w:t>
      </w: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1200"/>
      </w:tblGrid>
      <w:tr w:rsidR="00D908AD" w:rsidRPr="00D908AD" w:rsidTr="00122326">
        <w:trPr>
          <w:tblHeader/>
        </w:trPr>
        <w:tc>
          <w:tcPr>
            <w:tcW w:w="1983" w:type="dxa"/>
          </w:tcPr>
          <w:p w:rsidR="002D42C6" w:rsidRPr="00D908AD" w:rsidRDefault="002D42C6" w:rsidP="002D42C6">
            <w:pPr>
              <w:pStyle w:val="PBOtext"/>
              <w:spacing w:before="0" w:after="0"/>
              <w:jc w:val="center"/>
              <w:rPr>
                <w:color w:val="FFFFFF" w:themeColor="background1"/>
              </w:rPr>
            </w:pPr>
            <w:bookmarkStart w:id="1" w:name="RowTitle_1"/>
            <w:bookmarkEnd w:id="1"/>
            <w:r w:rsidRPr="00D908AD">
              <w:rPr>
                <w:color w:val="FFFFFF" w:themeColor="background1"/>
              </w:rPr>
              <w:t>Response time (business days)</w:t>
            </w:r>
          </w:p>
        </w:tc>
        <w:tc>
          <w:tcPr>
            <w:tcW w:w="1200" w:type="dxa"/>
          </w:tcPr>
          <w:p w:rsidR="002D42C6" w:rsidRPr="00D908AD" w:rsidRDefault="00122326" w:rsidP="002D42C6">
            <w:pPr>
              <w:pStyle w:val="PBOtext"/>
              <w:spacing w:before="0" w:after="0"/>
              <w:jc w:val="center"/>
              <w:rPr>
                <w:color w:val="FFFFFF" w:themeColor="background1"/>
              </w:rPr>
            </w:pPr>
            <w:r w:rsidRPr="00D908AD">
              <w:rPr>
                <w:noProof/>
                <w:color w:val="FFFFFF" w:themeColor="background1"/>
              </w:rPr>
              <mc:AlternateContent>
                <mc:Choice Requires="wps">
                  <w:drawing>
                    <wp:anchor distT="0" distB="0" distL="114300" distR="114300" simplePos="0" relativeHeight="251663360" behindDoc="0" locked="0" layoutInCell="1" allowOverlap="1" wp14:anchorId="1E57DC67" wp14:editId="2BAF18A3">
                      <wp:simplePos x="0" y="0"/>
                      <wp:positionH relativeFrom="column">
                        <wp:posOffset>575945</wp:posOffset>
                      </wp:positionH>
                      <wp:positionV relativeFrom="paragraph">
                        <wp:posOffset>241300</wp:posOffset>
                      </wp:positionV>
                      <wp:extent cx="1539240" cy="417830"/>
                      <wp:effectExtent l="0" t="0" r="22860" b="20320"/>
                      <wp:wrapNone/>
                      <wp:docPr id="2" name="TextBox 2" descr="Decorative"/>
                      <wp:cNvGraphicFramePr/>
                      <a:graphic xmlns:a="http://schemas.openxmlformats.org/drawingml/2006/main">
                        <a:graphicData uri="http://schemas.microsoft.com/office/word/2010/wordprocessingShape">
                          <wps:wsp>
                            <wps:cNvSpPr txBox="1"/>
                            <wps:spPr>
                              <a:xfrm>
                                <a:off x="0" y="0"/>
                                <a:ext cx="1539240" cy="417830"/>
                              </a:xfrm>
                              <a:prstGeom prst="rect">
                                <a:avLst/>
                              </a:prstGeom>
                              <a:solidFill>
                                <a:schemeClr val="bg1"/>
                              </a:solidFill>
                              <a:ln w="25400" cmpd="sng">
                                <a:solidFill>
                                  <a:srgbClr val="2B3B5F"/>
                                </a:solidFill>
                              </a:ln>
                            </wps:spPr>
                            <wps:txbx>
                              <w:txbxContent>
                                <w:p w:rsidR="00E73D58" w:rsidRDefault="00E73D58" w:rsidP="00E73D58">
                                  <w:pPr>
                                    <w:pStyle w:val="NormalWeb"/>
                                    <w:spacing w:after="0"/>
                                  </w:pPr>
                                  <w:r>
                                    <w:rPr>
                                      <w:rFonts w:asciiTheme="minorHAnsi" w:hAnsi="Calibri" w:cstheme="minorBidi"/>
                                      <w:b/>
                                      <w:bCs/>
                                      <w:sz w:val="21"/>
                                      <w:szCs w:val="21"/>
                                    </w:rPr>
                                    <w:t xml:space="preserve">Average response time = </w:t>
                                  </w:r>
                                  <w:r w:rsidR="00D967AB">
                                    <w:rPr>
                                      <w:rFonts w:asciiTheme="minorHAnsi" w:hAnsi="Calibri" w:cstheme="minorBidi"/>
                                      <w:b/>
                                      <w:bCs/>
                                      <w:sz w:val="21"/>
                                      <w:szCs w:val="21"/>
                                    </w:rPr>
                                    <w:t>16.8</w:t>
                                  </w:r>
                                  <w:r>
                                    <w:rPr>
                                      <w:rFonts w:asciiTheme="minorHAnsi" w:hAnsi="Calibri" w:cstheme="minorBidi"/>
                                      <w:b/>
                                      <w:bCs/>
                                      <w:sz w:val="21"/>
                                      <w:szCs w:val="21"/>
                                    </w:rPr>
                                    <w:t xml:space="preserve"> business days</w:t>
                                  </w:r>
                                </w:p>
                              </w:txbxContent>
                            </wps:txbx>
                            <wps:bodyPr vertOverflow="clip" wrap="square" rtlCol="0"/>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alt="Decorative" style="position:absolute;left:0;text-align:left;margin-left:45.35pt;margin-top:19pt;width:121.2pt;height:32.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" fillcolor="white [3212]" strokecolor="#2b3b5f" strokeweight="2pt">
                      <v:textbox>
                        <w:txbxContent>
                          <w:p w:rsidR="00E73D58" w:rsidRDefault="00E73D58" w:rsidP="00E73D58">
                            <w:pPr>
                              <w:pStyle w:val="NormalWeb"/>
                              <w:spacing w:after="0"/>
                            </w:pPr>
                            <w:r>
                              <w:rPr>
                                <w:rFonts w:asciiTheme="minorHAnsi" w:hAnsi="Calibri" w:cstheme="minorBidi"/>
                                <w:b/>
                                <w:bCs/>
                                <w:sz w:val="21"/>
                                <w:szCs w:val="21"/>
                              </w:rPr>
                              <w:t xml:space="preserve">Average response time = </w:t>
                            </w:r>
                            <w:r w:rsidR="00D967AB">
                              <w:rPr>
                                <w:rFonts w:asciiTheme="minorHAnsi" w:hAnsi="Calibri" w:cstheme="minorBidi"/>
                                <w:b/>
                                <w:bCs/>
                                <w:sz w:val="21"/>
                                <w:szCs w:val="21"/>
                              </w:rPr>
                              <w:t>16.8</w:t>
                            </w:r>
                            <w:r>
                              <w:rPr>
                                <w:rFonts w:asciiTheme="minorHAnsi" w:hAnsi="Calibri" w:cstheme="minorBidi"/>
                                <w:b/>
                                <w:bCs/>
                                <w:sz w:val="21"/>
                                <w:szCs w:val="21"/>
                              </w:rPr>
                              <w:t xml:space="preserve"> business days</w:t>
                            </w:r>
                          </w:p>
                        </w:txbxContent>
                      </v:textbox>
                    </v:shape>
                  </w:pict>
                </mc:Fallback>
              </mc:AlternateContent>
            </w:r>
            <w:r w:rsidR="002D42C6" w:rsidRPr="00D908AD">
              <w:rPr>
                <w:color w:val="FFFFFF" w:themeColor="background1"/>
              </w:rPr>
              <w:t>Completed requests</w:t>
            </w:r>
          </w:p>
        </w:tc>
      </w:tr>
      <w:tr w:rsidR="00D908AD" w:rsidRPr="00D908AD" w:rsidTr="002D42C6">
        <w:tc>
          <w:tcPr>
            <w:tcW w:w="1983"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1 – 10</w:t>
            </w:r>
          </w:p>
        </w:tc>
        <w:tc>
          <w:tcPr>
            <w:tcW w:w="1200"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234</w:t>
            </w:r>
          </w:p>
        </w:tc>
      </w:tr>
      <w:tr w:rsidR="00D908AD" w:rsidRPr="00D908AD" w:rsidTr="002D42C6">
        <w:tc>
          <w:tcPr>
            <w:tcW w:w="1983"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11 – 20</w:t>
            </w:r>
          </w:p>
        </w:tc>
        <w:tc>
          <w:tcPr>
            <w:tcW w:w="1200"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71</w:t>
            </w:r>
          </w:p>
        </w:tc>
      </w:tr>
      <w:tr w:rsidR="00D908AD" w:rsidRPr="00D908AD" w:rsidTr="002D42C6">
        <w:tc>
          <w:tcPr>
            <w:tcW w:w="1983"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21 – 30</w:t>
            </w:r>
          </w:p>
        </w:tc>
        <w:tc>
          <w:tcPr>
            <w:tcW w:w="1200"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37</w:t>
            </w:r>
          </w:p>
        </w:tc>
      </w:tr>
      <w:tr w:rsidR="00D908AD" w:rsidRPr="00D908AD" w:rsidTr="002D42C6">
        <w:tc>
          <w:tcPr>
            <w:tcW w:w="1983"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31 – 40</w:t>
            </w:r>
          </w:p>
        </w:tc>
        <w:tc>
          <w:tcPr>
            <w:tcW w:w="1200"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21</w:t>
            </w:r>
          </w:p>
        </w:tc>
      </w:tr>
      <w:tr w:rsidR="00D908AD" w:rsidRPr="00D908AD" w:rsidTr="002D42C6">
        <w:tc>
          <w:tcPr>
            <w:tcW w:w="1983"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41 – 50</w:t>
            </w:r>
          </w:p>
        </w:tc>
        <w:tc>
          <w:tcPr>
            <w:tcW w:w="1200"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10</w:t>
            </w:r>
          </w:p>
        </w:tc>
      </w:tr>
      <w:tr w:rsidR="00D908AD" w:rsidRPr="00D908AD" w:rsidTr="002D42C6">
        <w:tc>
          <w:tcPr>
            <w:tcW w:w="1983"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51+</w:t>
            </w:r>
          </w:p>
        </w:tc>
        <w:tc>
          <w:tcPr>
            <w:tcW w:w="1200" w:type="dxa"/>
          </w:tcPr>
          <w:p w:rsidR="002D42C6" w:rsidRPr="00D908AD" w:rsidRDefault="002D42C6" w:rsidP="002D42C6">
            <w:pPr>
              <w:pStyle w:val="PBOtext"/>
              <w:spacing w:before="0" w:after="0"/>
              <w:jc w:val="center"/>
              <w:rPr>
                <w:color w:val="FFFFFF" w:themeColor="background1"/>
              </w:rPr>
            </w:pPr>
            <w:r w:rsidRPr="00D908AD">
              <w:rPr>
                <w:color w:val="FFFFFF" w:themeColor="background1"/>
              </w:rPr>
              <w:t>32</w:t>
            </w:r>
          </w:p>
        </w:tc>
      </w:tr>
    </w:tbl>
    <w:p w:rsidR="00E76371" w:rsidRPr="001062D2" w:rsidRDefault="00E76371" w:rsidP="00A9651F">
      <w:pPr>
        <w:ind w:left="-284"/>
        <w:jc w:val="center"/>
      </w:pPr>
      <w:r>
        <w:br w:type="page"/>
      </w:r>
    </w:p>
    <w:p w:rsidR="00FF6827" w:rsidRDefault="00FF6827" w:rsidP="00A55569">
      <w:pPr>
        <w:pStyle w:val="PBOheading1"/>
      </w:pPr>
      <w:r w:rsidRPr="00344B8D">
        <w:lastRenderedPageBreak/>
        <w:t xml:space="preserve">Requests </w:t>
      </w:r>
      <w:r w:rsidR="00584E69" w:rsidRPr="00344B8D">
        <w:t xml:space="preserve">by </w:t>
      </w:r>
      <w:r w:rsidR="00BB0ADB" w:rsidRPr="00BB0ADB">
        <w:t>the</w:t>
      </w:r>
      <w:r w:rsidR="00BB0ADB">
        <w:t xml:space="preserve"> </w:t>
      </w:r>
      <w:r w:rsidR="00584E69" w:rsidRPr="00344B8D">
        <w:t xml:space="preserve">PBO </w:t>
      </w:r>
      <w:r w:rsidRPr="00344B8D">
        <w:t xml:space="preserve">for </w:t>
      </w:r>
      <w:r w:rsidR="00FF0728" w:rsidRPr="00344B8D">
        <w:t>i</w:t>
      </w:r>
      <w:r w:rsidRPr="00344B8D">
        <w:t xml:space="preserve">nformation from </w:t>
      </w:r>
      <w:r w:rsidR="00BB0ADB">
        <w:t>agencies</w:t>
      </w:r>
    </w:p>
    <w:p w:rsidR="00E76371" w:rsidRDefault="00E76371"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sidR="00024E08">
        <w:rPr>
          <w:rFonts w:asciiTheme="minorHAnsi" w:eastAsiaTheme="minorHAnsi" w:hAnsiTheme="minorHAnsi" w:cstheme="minorBidi"/>
          <w:color w:val="1F497D" w:themeColor="text2"/>
          <w:spacing w:val="-4"/>
          <w:sz w:val="20"/>
          <w:lang w:eastAsia="en-US"/>
        </w:rPr>
        <w:t xml:space="preserve"> </w:t>
      </w:r>
      <w:r w:rsidR="005D002A">
        <w:rPr>
          <w:rFonts w:asciiTheme="minorHAnsi" w:eastAsiaTheme="minorHAnsi" w:hAnsiTheme="minorHAnsi" w:cstheme="minorBidi"/>
          <w:color w:val="1F497D" w:themeColor="text2"/>
          <w:spacing w:val="-4"/>
          <w:sz w:val="20"/>
          <w:lang w:eastAsia="en-US"/>
        </w:rPr>
        <w:t>2</w:t>
      </w:r>
      <w:r w:rsidRPr="005D002A">
        <w:rPr>
          <w:rFonts w:asciiTheme="minorHAnsi" w:eastAsiaTheme="minorHAnsi" w:hAnsiTheme="minorHAnsi" w:cstheme="minorBidi"/>
          <w:color w:val="1F497D" w:themeColor="text2"/>
          <w:spacing w:val="-4"/>
          <w:sz w:val="20"/>
          <w:lang w:eastAsia="en-US"/>
        </w:rPr>
        <w:t xml:space="preserve">: Information requests to agencies </w:t>
      </w:r>
      <w:r w:rsidR="008C7B9F">
        <w:rPr>
          <w:rFonts w:asciiTheme="minorHAnsi" w:eastAsiaTheme="minorHAnsi" w:hAnsiTheme="minorHAnsi" w:cstheme="minorBidi"/>
          <w:color w:val="1F497D" w:themeColor="text2"/>
          <w:spacing w:val="-4"/>
          <w:sz w:val="20"/>
          <w:lang w:eastAsia="en-US"/>
        </w:rPr>
        <w:t xml:space="preserve">to </w:t>
      </w:r>
      <w:r w:rsidR="005F6B98">
        <w:rPr>
          <w:rFonts w:asciiTheme="minorHAnsi" w:eastAsiaTheme="minorHAnsi" w:hAnsiTheme="minorHAnsi" w:cstheme="minorBidi"/>
          <w:color w:val="1F497D" w:themeColor="text2"/>
          <w:spacing w:val="-4"/>
          <w:sz w:val="20"/>
          <w:lang w:eastAsia="en-US"/>
        </w:rPr>
        <w:t xml:space="preserve">31 </w:t>
      </w:r>
      <w:r w:rsidR="00FC7534">
        <w:rPr>
          <w:rFonts w:asciiTheme="minorHAnsi" w:eastAsiaTheme="minorHAnsi" w:hAnsiTheme="minorHAnsi" w:cstheme="minorBidi"/>
          <w:color w:val="1F497D" w:themeColor="text2"/>
          <w:spacing w:val="-4"/>
          <w:sz w:val="20"/>
          <w:lang w:eastAsia="en-US"/>
        </w:rPr>
        <w:t>December 2014</w:t>
      </w:r>
    </w:p>
    <w:tbl>
      <w:tblPr>
        <w:tblStyle w:val="TableGrid2"/>
        <w:tblW w:w="5001" w:type="pct"/>
        <w:tblLayout w:type="fixed"/>
        <w:tblLook w:val="04A0" w:firstRow="1" w:lastRow="0" w:firstColumn="1" w:lastColumn="0" w:noHBand="0" w:noVBand="1"/>
      </w:tblPr>
      <w:tblGrid>
        <w:gridCol w:w="3825"/>
        <w:gridCol w:w="1163"/>
        <w:gridCol w:w="1163"/>
        <w:gridCol w:w="1163"/>
        <w:gridCol w:w="1163"/>
        <w:gridCol w:w="1163"/>
      </w:tblGrid>
      <w:tr w:rsidR="00FC7534" w:rsidRPr="0023734D" w:rsidTr="008025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4" w:type="pct"/>
            <w:noWrap/>
            <w:hideMark/>
          </w:tcPr>
          <w:p w:rsidR="00FC7534" w:rsidRPr="001244FE" w:rsidRDefault="00FC7534" w:rsidP="00417734">
            <w:pPr>
              <w:keepNext/>
              <w:keepLines/>
              <w:rPr>
                <w:rFonts w:asciiTheme="minorHAnsi" w:hAnsiTheme="minorHAnsi"/>
                <w:b/>
                <w:sz w:val="18"/>
                <w:szCs w:val="18"/>
              </w:rPr>
            </w:pPr>
            <w:bookmarkStart w:id="2" w:name="Title_2"/>
            <w:bookmarkEnd w:id="2"/>
          </w:p>
        </w:tc>
        <w:tc>
          <w:tcPr>
            <w:tcW w:w="603" w:type="pct"/>
            <w:noWrap/>
            <w:hideMark/>
          </w:tcPr>
          <w:p w:rsidR="00FC7534"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2012–13</w:t>
            </w:r>
          </w:p>
          <w:p w:rsidR="00FC7534" w:rsidRPr="001244FE"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603" w:type="pct"/>
            <w:noWrap/>
            <w:hideMark/>
          </w:tcPr>
          <w:p w:rsidR="00FC7534"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2013–14</w:t>
            </w:r>
          </w:p>
          <w:p w:rsidR="00FC7534" w:rsidRPr="001244FE"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c>
          <w:tcPr>
            <w:tcW w:w="603" w:type="pct"/>
          </w:tcPr>
          <w:p w:rsidR="00FC7534" w:rsidRPr="001244FE"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FC7534" w:rsidRPr="001244FE"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sz w:val="18"/>
                <w:szCs w:val="18"/>
              </w:rPr>
              <w:t>Q1</w:t>
            </w:r>
          </w:p>
        </w:tc>
        <w:tc>
          <w:tcPr>
            <w:tcW w:w="603" w:type="pct"/>
          </w:tcPr>
          <w:p w:rsidR="00FC7534" w:rsidRPr="001244FE" w:rsidRDefault="00FC7534" w:rsidP="00FC75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sz w:val="18"/>
                <w:szCs w:val="18"/>
              </w:rPr>
              <w:t>2014–15</w:t>
            </w:r>
          </w:p>
          <w:p w:rsidR="00FC7534" w:rsidRPr="001244FE" w:rsidRDefault="00FC7534" w:rsidP="00FC75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sz w:val="18"/>
                <w:szCs w:val="18"/>
              </w:rPr>
              <w:t>Q2</w:t>
            </w:r>
          </w:p>
        </w:tc>
        <w:tc>
          <w:tcPr>
            <w:tcW w:w="603" w:type="pct"/>
          </w:tcPr>
          <w:p w:rsidR="00FC7534"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2014–15</w:t>
            </w:r>
          </w:p>
          <w:p w:rsidR="00FC7534" w:rsidRPr="001244FE" w:rsidRDefault="00FC7534" w:rsidP="00417734">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80253F" w:rsidRPr="0023734D" w:rsidTr="0080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noWrap/>
            <w:hideMark/>
          </w:tcPr>
          <w:p w:rsidR="0080253F" w:rsidRPr="001244FE" w:rsidRDefault="0080253F" w:rsidP="00417734">
            <w:pPr>
              <w:rPr>
                <w:rFonts w:asciiTheme="minorHAnsi" w:hAnsiTheme="minorHAnsi"/>
                <w:sz w:val="18"/>
                <w:szCs w:val="18"/>
              </w:rPr>
            </w:pPr>
            <w:r w:rsidRPr="001244FE">
              <w:rPr>
                <w:rFonts w:asciiTheme="minorHAnsi" w:hAnsiTheme="minorHAnsi"/>
                <w:sz w:val="18"/>
                <w:szCs w:val="18"/>
              </w:rPr>
              <w:t>Requests outstanding at the start of the period</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29</w:t>
            </w:r>
          </w:p>
        </w:tc>
        <w:tc>
          <w:tcPr>
            <w:tcW w:w="603" w:type="pct"/>
          </w:tcPr>
          <w:p w:rsidR="0080253F" w:rsidRPr="00CC5947"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Calibri" w:hAnsi="Calibri"/>
                <w:color w:val="000000"/>
                <w:sz w:val="18"/>
                <w:szCs w:val="18"/>
              </w:rPr>
              <w:t>20</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color w:val="000000"/>
                <w:sz w:val="18"/>
                <w:szCs w:val="18"/>
              </w:rPr>
              <w:t>3</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20</w:t>
            </w:r>
          </w:p>
        </w:tc>
      </w:tr>
      <w:tr w:rsidR="0080253F" w:rsidRPr="0023734D" w:rsidTr="0080253F">
        <w:tc>
          <w:tcPr>
            <w:cnfStyle w:val="001000000000" w:firstRow="0" w:lastRow="0" w:firstColumn="1" w:lastColumn="0" w:oddVBand="0" w:evenVBand="0" w:oddHBand="0" w:evenHBand="0" w:firstRowFirstColumn="0" w:firstRowLastColumn="0" w:lastRowFirstColumn="0" w:lastRowLastColumn="0"/>
            <w:tcW w:w="1984" w:type="pct"/>
            <w:shd w:val="clear" w:color="auto" w:fill="auto"/>
            <w:noWrap/>
            <w:hideMark/>
          </w:tcPr>
          <w:p w:rsidR="0080253F" w:rsidRPr="001244FE" w:rsidRDefault="0080253F" w:rsidP="00417734">
            <w:pPr>
              <w:rPr>
                <w:rFonts w:asciiTheme="minorHAnsi" w:hAnsiTheme="minorHAnsi"/>
                <w:sz w:val="18"/>
                <w:szCs w:val="18"/>
              </w:rPr>
            </w:pPr>
            <w:r w:rsidRPr="001244FE">
              <w:rPr>
                <w:rFonts w:asciiTheme="minorHAnsi" w:hAnsiTheme="minorHAnsi"/>
                <w:sz w:val="18"/>
                <w:szCs w:val="18"/>
              </w:rPr>
              <w:t>Requests sent in period</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360</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388</w:t>
            </w:r>
          </w:p>
        </w:tc>
        <w:tc>
          <w:tcPr>
            <w:tcW w:w="603" w:type="pct"/>
            <w:shd w:val="clear" w:color="auto" w:fill="auto"/>
          </w:tcPr>
          <w:p w:rsidR="0080253F" w:rsidRPr="00CC5947"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Calibri" w:hAnsi="Calibri"/>
                <w:color w:val="000000"/>
                <w:sz w:val="18"/>
                <w:szCs w:val="18"/>
              </w:rPr>
              <w:t>48</w:t>
            </w:r>
          </w:p>
        </w:tc>
        <w:tc>
          <w:tcPr>
            <w:tcW w:w="603" w:type="pct"/>
            <w:shd w:val="clear" w:color="auto" w:fill="auto"/>
          </w:tcPr>
          <w:p w:rsidR="0080253F" w:rsidRPr="00CC5947" w:rsidRDefault="0080253F"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color w:val="000000"/>
                <w:sz w:val="18"/>
                <w:szCs w:val="18"/>
              </w:rPr>
              <w:t>26</w:t>
            </w:r>
          </w:p>
        </w:tc>
        <w:tc>
          <w:tcPr>
            <w:tcW w:w="603" w:type="pct"/>
            <w:shd w:val="clear" w:color="auto" w:fill="auto"/>
          </w:tcPr>
          <w:p w:rsidR="0080253F" w:rsidRPr="00CC5947" w:rsidRDefault="0080253F" w:rsidP="001B26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7</w:t>
            </w:r>
            <w:r w:rsidR="001B266A">
              <w:rPr>
                <w:rFonts w:ascii="Calibri" w:hAnsi="Calibri"/>
                <w:b/>
                <w:bCs/>
                <w:color w:val="000000"/>
                <w:sz w:val="18"/>
                <w:szCs w:val="18"/>
              </w:rPr>
              <w:t>4</w:t>
            </w:r>
          </w:p>
        </w:tc>
      </w:tr>
      <w:tr w:rsidR="0080253F" w:rsidRPr="0023734D" w:rsidTr="0080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noWrap/>
            <w:hideMark/>
          </w:tcPr>
          <w:p w:rsidR="0080253F" w:rsidRPr="001244FE" w:rsidRDefault="0080253F" w:rsidP="00417734">
            <w:pPr>
              <w:rPr>
                <w:rFonts w:asciiTheme="minorHAnsi" w:hAnsiTheme="minorHAnsi"/>
                <w:sz w:val="18"/>
                <w:szCs w:val="18"/>
              </w:rPr>
            </w:pPr>
            <w:r w:rsidRPr="001244FE">
              <w:rPr>
                <w:rFonts w:asciiTheme="minorHAnsi" w:hAnsiTheme="minorHAnsi"/>
                <w:sz w:val="18"/>
                <w:szCs w:val="18"/>
              </w:rPr>
              <w:t>Requests received in period</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331</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397</w:t>
            </w:r>
          </w:p>
        </w:tc>
        <w:tc>
          <w:tcPr>
            <w:tcW w:w="603" w:type="pct"/>
          </w:tcPr>
          <w:p w:rsidR="0080253F" w:rsidRPr="00CC5947"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Calibri" w:hAnsi="Calibri"/>
                <w:color w:val="000000"/>
                <w:sz w:val="18"/>
                <w:szCs w:val="18"/>
              </w:rPr>
              <w:t>65</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color w:val="000000"/>
                <w:sz w:val="18"/>
                <w:szCs w:val="18"/>
              </w:rPr>
              <w:t>24</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89</w:t>
            </w:r>
          </w:p>
        </w:tc>
      </w:tr>
      <w:tr w:rsidR="0080253F" w:rsidRPr="0023734D" w:rsidTr="0080253F">
        <w:tc>
          <w:tcPr>
            <w:cnfStyle w:val="001000000000" w:firstRow="0" w:lastRow="0" w:firstColumn="1" w:lastColumn="0" w:oddVBand="0" w:evenVBand="0" w:oddHBand="0" w:evenHBand="0" w:firstRowFirstColumn="0" w:firstRowLastColumn="0" w:lastRowFirstColumn="0" w:lastRowLastColumn="0"/>
            <w:tcW w:w="1984" w:type="pct"/>
            <w:shd w:val="clear" w:color="auto" w:fill="auto"/>
            <w:noWrap/>
            <w:hideMark/>
          </w:tcPr>
          <w:p w:rsidR="0080253F" w:rsidRPr="001244FE" w:rsidRDefault="0080253F" w:rsidP="00417734">
            <w:pPr>
              <w:ind w:left="426"/>
              <w:rPr>
                <w:rFonts w:asciiTheme="minorHAnsi" w:hAnsiTheme="minorHAnsi"/>
                <w:i/>
                <w:sz w:val="18"/>
                <w:szCs w:val="18"/>
              </w:rPr>
            </w:pPr>
            <w:r w:rsidRPr="001244FE">
              <w:rPr>
                <w:rFonts w:asciiTheme="minorHAnsi" w:hAnsiTheme="minorHAnsi"/>
                <w:i/>
                <w:sz w:val="18"/>
                <w:szCs w:val="18"/>
              </w:rPr>
              <w:t>Requests received by due date</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Pr>
                <w:rFonts w:ascii="Calibri" w:hAnsi="Calibri"/>
                <w:b/>
                <w:bCs/>
                <w:i/>
                <w:iCs/>
                <w:color w:val="000000"/>
                <w:sz w:val="18"/>
                <w:szCs w:val="18"/>
              </w:rPr>
              <w:t>149</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Pr>
                <w:rFonts w:ascii="Calibri" w:hAnsi="Calibri"/>
                <w:b/>
                <w:bCs/>
                <w:i/>
                <w:iCs/>
                <w:color w:val="000000"/>
                <w:sz w:val="18"/>
                <w:szCs w:val="18"/>
              </w:rPr>
              <w:t>206</w:t>
            </w:r>
          </w:p>
        </w:tc>
        <w:tc>
          <w:tcPr>
            <w:tcW w:w="603" w:type="pct"/>
            <w:shd w:val="clear" w:color="auto" w:fill="auto"/>
          </w:tcPr>
          <w:p w:rsidR="0080253F" w:rsidRPr="00A9651F"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
                <w:sz w:val="18"/>
                <w:szCs w:val="18"/>
              </w:rPr>
            </w:pPr>
            <w:r>
              <w:rPr>
                <w:rFonts w:ascii="Calibri" w:hAnsi="Calibri"/>
                <w:i/>
                <w:iCs/>
                <w:color w:val="000000"/>
                <w:sz w:val="18"/>
                <w:szCs w:val="18"/>
              </w:rPr>
              <w:t>28</w:t>
            </w:r>
          </w:p>
        </w:tc>
        <w:tc>
          <w:tcPr>
            <w:tcW w:w="603" w:type="pct"/>
            <w:shd w:val="clear" w:color="auto" w:fill="auto"/>
          </w:tcPr>
          <w:p w:rsidR="0080253F" w:rsidRPr="00A9651F" w:rsidRDefault="0080253F" w:rsidP="00E8088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Pr>
                <w:rFonts w:ascii="Calibri" w:hAnsi="Calibri"/>
                <w:i/>
                <w:iCs/>
                <w:color w:val="000000"/>
                <w:sz w:val="18"/>
                <w:szCs w:val="18"/>
              </w:rPr>
              <w:t>1</w:t>
            </w:r>
            <w:r w:rsidR="00E80883">
              <w:rPr>
                <w:rFonts w:ascii="Calibri" w:hAnsi="Calibri"/>
                <w:i/>
                <w:iCs/>
                <w:color w:val="000000"/>
                <w:sz w:val="18"/>
                <w:szCs w:val="18"/>
              </w:rPr>
              <w:t>2</w:t>
            </w:r>
          </w:p>
        </w:tc>
        <w:tc>
          <w:tcPr>
            <w:tcW w:w="603" w:type="pct"/>
            <w:shd w:val="clear" w:color="auto" w:fill="auto"/>
          </w:tcPr>
          <w:p w:rsidR="0080253F" w:rsidRPr="00A9651F" w:rsidRDefault="001B266A" w:rsidP="001B26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sz w:val="18"/>
                <w:szCs w:val="18"/>
              </w:rPr>
            </w:pPr>
            <w:r>
              <w:rPr>
                <w:rFonts w:ascii="Calibri" w:hAnsi="Calibri"/>
                <w:b/>
                <w:bCs/>
                <w:i/>
                <w:iCs/>
                <w:color w:val="000000"/>
                <w:sz w:val="18"/>
                <w:szCs w:val="18"/>
              </w:rPr>
              <w:t>40</w:t>
            </w:r>
          </w:p>
        </w:tc>
      </w:tr>
      <w:tr w:rsidR="0080253F" w:rsidRPr="0023734D" w:rsidTr="0080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noWrap/>
            <w:hideMark/>
          </w:tcPr>
          <w:p w:rsidR="0080253F" w:rsidRPr="001244FE" w:rsidRDefault="0080253F" w:rsidP="00417734">
            <w:pPr>
              <w:ind w:left="426"/>
              <w:rPr>
                <w:rFonts w:asciiTheme="minorHAnsi" w:hAnsiTheme="minorHAnsi"/>
                <w:i/>
                <w:sz w:val="18"/>
                <w:szCs w:val="18"/>
              </w:rPr>
            </w:pPr>
            <w:r w:rsidRPr="001244FE">
              <w:rPr>
                <w:rFonts w:asciiTheme="minorHAnsi" w:hAnsiTheme="minorHAnsi"/>
                <w:i/>
                <w:sz w:val="18"/>
                <w:szCs w:val="18"/>
              </w:rPr>
              <w:t>Requests received after due date</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Pr>
                <w:rFonts w:ascii="Calibri" w:hAnsi="Calibri"/>
                <w:b/>
                <w:bCs/>
                <w:i/>
                <w:iCs/>
                <w:color w:val="000000"/>
                <w:sz w:val="18"/>
                <w:szCs w:val="18"/>
              </w:rPr>
              <w:t>182</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Pr>
                <w:rFonts w:ascii="Calibri" w:hAnsi="Calibri"/>
                <w:b/>
                <w:bCs/>
                <w:i/>
                <w:iCs/>
                <w:color w:val="000000"/>
                <w:sz w:val="18"/>
                <w:szCs w:val="18"/>
              </w:rPr>
              <w:t>191</w:t>
            </w:r>
          </w:p>
        </w:tc>
        <w:tc>
          <w:tcPr>
            <w:tcW w:w="603" w:type="pct"/>
          </w:tcPr>
          <w:p w:rsidR="0080253F" w:rsidRPr="00A9651F"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
                <w:sz w:val="18"/>
                <w:szCs w:val="18"/>
              </w:rPr>
            </w:pPr>
            <w:r>
              <w:rPr>
                <w:rFonts w:ascii="Calibri" w:hAnsi="Calibri"/>
                <w:i/>
                <w:iCs/>
                <w:color w:val="000000"/>
                <w:sz w:val="18"/>
                <w:szCs w:val="18"/>
              </w:rPr>
              <w:t>37</w:t>
            </w:r>
          </w:p>
        </w:tc>
        <w:tc>
          <w:tcPr>
            <w:tcW w:w="603" w:type="pct"/>
          </w:tcPr>
          <w:p w:rsidR="0080253F" w:rsidRPr="00A9651F" w:rsidRDefault="0080253F" w:rsidP="00E8088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Pr>
                <w:rFonts w:ascii="Calibri" w:hAnsi="Calibri"/>
                <w:i/>
                <w:iCs/>
                <w:color w:val="000000"/>
                <w:sz w:val="18"/>
                <w:szCs w:val="18"/>
              </w:rPr>
              <w:t>1</w:t>
            </w:r>
            <w:r w:rsidR="00E80883">
              <w:rPr>
                <w:rFonts w:ascii="Calibri" w:hAnsi="Calibri"/>
                <w:i/>
                <w:iCs/>
                <w:color w:val="000000"/>
                <w:sz w:val="18"/>
                <w:szCs w:val="18"/>
              </w:rPr>
              <w:t>2</w:t>
            </w:r>
          </w:p>
        </w:tc>
        <w:tc>
          <w:tcPr>
            <w:tcW w:w="603" w:type="pct"/>
          </w:tcPr>
          <w:p w:rsidR="0080253F" w:rsidRPr="00A9651F" w:rsidRDefault="001B266A" w:rsidP="001B26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sz w:val="18"/>
                <w:szCs w:val="18"/>
              </w:rPr>
            </w:pPr>
            <w:r>
              <w:rPr>
                <w:rFonts w:ascii="Calibri" w:hAnsi="Calibri"/>
                <w:b/>
                <w:bCs/>
                <w:i/>
                <w:iCs/>
                <w:color w:val="000000"/>
                <w:sz w:val="18"/>
                <w:szCs w:val="18"/>
              </w:rPr>
              <w:t>49</w:t>
            </w:r>
          </w:p>
        </w:tc>
      </w:tr>
      <w:tr w:rsidR="0080253F" w:rsidRPr="0023734D" w:rsidTr="0080253F">
        <w:tc>
          <w:tcPr>
            <w:cnfStyle w:val="001000000000" w:firstRow="0" w:lastRow="0" w:firstColumn="1" w:lastColumn="0" w:oddVBand="0" w:evenVBand="0" w:oddHBand="0" w:evenHBand="0" w:firstRowFirstColumn="0" w:firstRowLastColumn="0" w:lastRowFirstColumn="0" w:lastRowLastColumn="0"/>
            <w:tcW w:w="1984" w:type="pct"/>
            <w:shd w:val="clear" w:color="auto" w:fill="auto"/>
            <w:noWrap/>
            <w:hideMark/>
          </w:tcPr>
          <w:p w:rsidR="0080253F" w:rsidRPr="001244FE" w:rsidRDefault="0080253F" w:rsidP="00417734">
            <w:pPr>
              <w:rPr>
                <w:rFonts w:asciiTheme="minorHAnsi" w:hAnsiTheme="minorHAnsi"/>
                <w:sz w:val="18"/>
                <w:szCs w:val="18"/>
              </w:rPr>
            </w:pPr>
            <w:r w:rsidRPr="001244FE">
              <w:rPr>
                <w:rFonts w:asciiTheme="minorHAnsi" w:hAnsiTheme="minorHAnsi"/>
                <w:sz w:val="18"/>
                <w:szCs w:val="18"/>
              </w:rPr>
              <w:t>Average time taken to respond (business days)</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12.0</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12.2</w:t>
            </w:r>
          </w:p>
        </w:tc>
        <w:tc>
          <w:tcPr>
            <w:tcW w:w="603" w:type="pct"/>
            <w:shd w:val="clear" w:color="auto" w:fill="auto"/>
          </w:tcPr>
          <w:p w:rsidR="0080253F" w:rsidRPr="00CC5947"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Calibri" w:hAnsi="Calibri"/>
                <w:color w:val="000000"/>
                <w:sz w:val="18"/>
                <w:szCs w:val="18"/>
              </w:rPr>
              <w:t>21.0</w:t>
            </w:r>
          </w:p>
        </w:tc>
        <w:tc>
          <w:tcPr>
            <w:tcW w:w="603" w:type="pct"/>
            <w:shd w:val="clear" w:color="auto" w:fill="auto"/>
          </w:tcPr>
          <w:p w:rsidR="0080253F" w:rsidRPr="00CC5947" w:rsidRDefault="0080253F"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color w:val="000000"/>
                <w:sz w:val="18"/>
                <w:szCs w:val="18"/>
              </w:rPr>
              <w:t>19.2</w:t>
            </w:r>
          </w:p>
        </w:tc>
        <w:tc>
          <w:tcPr>
            <w:tcW w:w="603" w:type="pct"/>
            <w:shd w:val="clear" w:color="auto" w:fill="auto"/>
          </w:tcPr>
          <w:p w:rsidR="0080253F" w:rsidRPr="00CC5947" w:rsidRDefault="0080253F"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20.5</w:t>
            </w:r>
          </w:p>
        </w:tc>
      </w:tr>
      <w:tr w:rsidR="0080253F" w:rsidRPr="0023734D" w:rsidTr="0080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noWrap/>
            <w:hideMark/>
          </w:tcPr>
          <w:p w:rsidR="0080253F" w:rsidRPr="001244FE" w:rsidRDefault="0080253F" w:rsidP="00417734">
            <w:pPr>
              <w:rPr>
                <w:rFonts w:asciiTheme="minorHAnsi" w:hAnsiTheme="minorHAnsi"/>
                <w:sz w:val="18"/>
                <w:szCs w:val="18"/>
              </w:rPr>
            </w:pPr>
            <w:r w:rsidRPr="001244FE">
              <w:rPr>
                <w:rFonts w:asciiTheme="minorHAnsi" w:hAnsiTheme="minorHAnsi"/>
                <w:sz w:val="18"/>
                <w:szCs w:val="18"/>
              </w:rPr>
              <w:t>Average punctuality (business days late)</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3.0</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5.3</w:t>
            </w:r>
          </w:p>
        </w:tc>
        <w:tc>
          <w:tcPr>
            <w:tcW w:w="603" w:type="pct"/>
          </w:tcPr>
          <w:p w:rsidR="0080253F" w:rsidRPr="00CC5947"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Calibri" w:hAnsi="Calibri"/>
                <w:color w:val="000000"/>
                <w:sz w:val="18"/>
                <w:szCs w:val="18"/>
              </w:rPr>
              <w:t>12.3</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color w:val="000000"/>
                <w:sz w:val="18"/>
                <w:szCs w:val="18"/>
              </w:rPr>
              <w:t>7.1</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10.9</w:t>
            </w:r>
          </w:p>
        </w:tc>
      </w:tr>
      <w:tr w:rsidR="0080253F" w:rsidRPr="0023734D" w:rsidTr="0080253F">
        <w:tc>
          <w:tcPr>
            <w:cnfStyle w:val="001000000000" w:firstRow="0" w:lastRow="0" w:firstColumn="1" w:lastColumn="0" w:oddVBand="0" w:evenVBand="0" w:oddHBand="0" w:evenHBand="0" w:firstRowFirstColumn="0" w:firstRowLastColumn="0" w:lastRowFirstColumn="0" w:lastRowLastColumn="0"/>
            <w:tcW w:w="1984" w:type="pct"/>
            <w:shd w:val="clear" w:color="auto" w:fill="auto"/>
            <w:noWrap/>
            <w:hideMark/>
          </w:tcPr>
          <w:p w:rsidR="0080253F" w:rsidRPr="001244FE" w:rsidRDefault="0080253F" w:rsidP="00417734">
            <w:pPr>
              <w:rPr>
                <w:rFonts w:asciiTheme="minorHAnsi" w:hAnsiTheme="minorHAnsi"/>
                <w:sz w:val="18"/>
                <w:szCs w:val="18"/>
              </w:rPr>
            </w:pPr>
            <w:r w:rsidRPr="001244FE">
              <w:rPr>
                <w:rFonts w:asciiTheme="minorHAnsi" w:hAnsiTheme="minorHAnsi"/>
                <w:sz w:val="18"/>
                <w:szCs w:val="18"/>
              </w:rPr>
              <w:t>Average lateness of late requests (business days)</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6.5</w:t>
            </w:r>
          </w:p>
        </w:tc>
        <w:tc>
          <w:tcPr>
            <w:tcW w:w="603" w:type="pct"/>
            <w:shd w:val="clear" w:color="auto" w:fill="auto"/>
            <w:noWrap/>
            <w:hideMark/>
          </w:tcPr>
          <w:p w:rsidR="0080253F" w:rsidRPr="001244FE"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12.0</w:t>
            </w:r>
          </w:p>
        </w:tc>
        <w:tc>
          <w:tcPr>
            <w:tcW w:w="603" w:type="pct"/>
            <w:shd w:val="clear" w:color="auto" w:fill="auto"/>
          </w:tcPr>
          <w:p w:rsidR="0080253F" w:rsidRPr="00CC5947" w:rsidRDefault="0080253F" w:rsidP="004177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Calibri" w:hAnsi="Calibri"/>
                <w:color w:val="000000"/>
                <w:sz w:val="18"/>
                <w:szCs w:val="18"/>
              </w:rPr>
              <w:t>23.1</w:t>
            </w:r>
          </w:p>
        </w:tc>
        <w:tc>
          <w:tcPr>
            <w:tcW w:w="603" w:type="pct"/>
            <w:shd w:val="clear" w:color="auto" w:fill="auto"/>
          </w:tcPr>
          <w:p w:rsidR="0080253F" w:rsidRPr="00CC5947" w:rsidRDefault="0080253F"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color w:val="000000"/>
                <w:sz w:val="18"/>
                <w:szCs w:val="18"/>
              </w:rPr>
              <w:t>13.5</w:t>
            </w:r>
          </w:p>
        </w:tc>
        <w:tc>
          <w:tcPr>
            <w:tcW w:w="603" w:type="pct"/>
            <w:shd w:val="clear" w:color="auto" w:fill="auto"/>
          </w:tcPr>
          <w:p w:rsidR="0080253F" w:rsidRPr="00CC5947" w:rsidRDefault="0080253F" w:rsidP="00827A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20.6</w:t>
            </w:r>
          </w:p>
        </w:tc>
      </w:tr>
      <w:tr w:rsidR="0080253F" w:rsidRPr="0023734D" w:rsidTr="0080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noWrap/>
            <w:hideMark/>
          </w:tcPr>
          <w:p w:rsidR="0080253F" w:rsidRPr="001244FE" w:rsidRDefault="0080253F" w:rsidP="00417734">
            <w:pPr>
              <w:rPr>
                <w:rFonts w:asciiTheme="minorHAnsi" w:hAnsiTheme="minorHAnsi"/>
                <w:sz w:val="18"/>
                <w:szCs w:val="18"/>
              </w:rPr>
            </w:pPr>
            <w:r w:rsidRPr="001244FE">
              <w:rPr>
                <w:rFonts w:asciiTheme="minorHAnsi" w:hAnsiTheme="minorHAnsi"/>
                <w:sz w:val="18"/>
                <w:szCs w:val="18"/>
              </w:rPr>
              <w:t>Requests outstanding at end of period</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29</w:t>
            </w:r>
          </w:p>
        </w:tc>
        <w:tc>
          <w:tcPr>
            <w:tcW w:w="603" w:type="pct"/>
            <w:noWrap/>
            <w:hideMark/>
          </w:tcPr>
          <w:p w:rsidR="0080253F" w:rsidRPr="001244FE"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20</w:t>
            </w:r>
          </w:p>
        </w:tc>
        <w:tc>
          <w:tcPr>
            <w:tcW w:w="603" w:type="pct"/>
          </w:tcPr>
          <w:p w:rsidR="0080253F" w:rsidRPr="00CC5947" w:rsidRDefault="0080253F" w:rsidP="004177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Calibri" w:hAnsi="Calibri"/>
                <w:color w:val="000000"/>
                <w:sz w:val="18"/>
                <w:szCs w:val="18"/>
              </w:rPr>
              <w:t>3</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color w:val="000000"/>
                <w:sz w:val="18"/>
                <w:szCs w:val="18"/>
              </w:rPr>
              <w:t>5</w:t>
            </w:r>
          </w:p>
        </w:tc>
        <w:tc>
          <w:tcPr>
            <w:tcW w:w="603" w:type="pct"/>
          </w:tcPr>
          <w:p w:rsidR="0080253F" w:rsidRPr="00CC5947" w:rsidRDefault="0080253F" w:rsidP="00827A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18"/>
                <w:szCs w:val="18"/>
              </w:rPr>
            </w:pPr>
            <w:r>
              <w:rPr>
                <w:rFonts w:ascii="Calibri" w:hAnsi="Calibri"/>
                <w:b/>
                <w:bCs/>
                <w:color w:val="000000"/>
                <w:sz w:val="18"/>
                <w:szCs w:val="18"/>
              </w:rPr>
              <w:t>5</w:t>
            </w:r>
          </w:p>
        </w:tc>
      </w:tr>
    </w:tbl>
    <w:p w:rsidR="00024E08" w:rsidRDefault="00F36BEB" w:rsidP="00024E08">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2: </w:t>
      </w:r>
      <w:r w:rsidR="00BB0ADB">
        <w:rPr>
          <w:rFonts w:asciiTheme="minorHAnsi" w:eastAsiaTheme="minorHAnsi" w:hAnsiTheme="minorHAnsi" w:cstheme="minorBidi"/>
          <w:color w:val="1F497D" w:themeColor="text2"/>
          <w:spacing w:val="-4"/>
          <w:sz w:val="20"/>
          <w:lang w:eastAsia="en-US"/>
        </w:rPr>
        <w:t>Agencies</w:t>
      </w:r>
      <w:r w:rsidR="001244FE">
        <w:rPr>
          <w:rFonts w:asciiTheme="minorHAnsi" w:eastAsiaTheme="minorHAnsi" w:hAnsiTheme="minorHAnsi" w:cstheme="minorBidi"/>
          <w:color w:val="1F497D" w:themeColor="text2"/>
          <w:spacing w:val="-4"/>
          <w:sz w:val="20"/>
          <w:lang w:eastAsia="en-US"/>
        </w:rPr>
        <w:t>’</w:t>
      </w:r>
      <w:r w:rsidRPr="005D002A">
        <w:rPr>
          <w:rFonts w:asciiTheme="minorHAnsi" w:eastAsiaTheme="minorHAnsi" w:hAnsiTheme="minorHAnsi" w:cstheme="minorBidi"/>
          <w:color w:val="1F497D" w:themeColor="text2"/>
          <w:spacing w:val="-4"/>
          <w:sz w:val="20"/>
          <w:lang w:eastAsia="en-US"/>
        </w:rPr>
        <w:t xml:space="preserve"> response time for completed information requests</w:t>
      </w:r>
      <w:r w:rsidR="005D002A">
        <w:rPr>
          <w:rFonts w:asciiTheme="minorHAnsi" w:eastAsiaTheme="minorHAnsi" w:hAnsiTheme="minorHAnsi" w:cstheme="minorBidi"/>
          <w:color w:val="1F497D" w:themeColor="text2"/>
          <w:spacing w:val="-4"/>
          <w:sz w:val="20"/>
          <w:lang w:eastAsia="en-US"/>
        </w:rPr>
        <w:t xml:space="preserve"> </w:t>
      </w:r>
      <w:r w:rsidR="001244FE">
        <w:rPr>
          <w:rFonts w:asciiTheme="minorHAnsi" w:eastAsiaTheme="minorHAnsi" w:hAnsiTheme="minorHAnsi" w:cstheme="minorBidi"/>
          <w:color w:val="1F497D" w:themeColor="text2"/>
          <w:spacing w:val="-4"/>
          <w:sz w:val="20"/>
          <w:lang w:eastAsia="en-US"/>
        </w:rPr>
        <w:t xml:space="preserve">in 2014–15 </w:t>
      </w:r>
      <w:r w:rsidR="00AE149D">
        <w:rPr>
          <w:rFonts w:asciiTheme="minorHAnsi" w:eastAsiaTheme="minorHAnsi" w:hAnsiTheme="minorHAnsi" w:cstheme="minorBidi"/>
          <w:color w:val="1F497D" w:themeColor="text2"/>
          <w:spacing w:val="-4"/>
          <w:sz w:val="20"/>
          <w:lang w:eastAsia="en-US"/>
        </w:rPr>
        <w:t xml:space="preserve">to </w:t>
      </w:r>
      <w:r w:rsidR="00FC7534">
        <w:rPr>
          <w:rFonts w:asciiTheme="minorHAnsi" w:eastAsiaTheme="minorHAnsi" w:hAnsiTheme="minorHAnsi" w:cstheme="minorBidi"/>
          <w:color w:val="1F497D" w:themeColor="text2"/>
          <w:spacing w:val="-4"/>
          <w:sz w:val="20"/>
          <w:lang w:eastAsia="en-US"/>
        </w:rPr>
        <w:t>31 December</w:t>
      </w:r>
      <w:r w:rsidR="00AE149D" w:rsidRPr="00D82372">
        <w:rPr>
          <w:rFonts w:asciiTheme="minorHAnsi" w:eastAsiaTheme="minorHAnsi" w:hAnsiTheme="minorHAnsi" w:cstheme="minorBidi"/>
          <w:color w:val="1F497D" w:themeColor="text2"/>
          <w:spacing w:val="-4"/>
          <w:sz w:val="20"/>
          <w:lang w:eastAsia="en-US"/>
        </w:rPr>
        <w:t> 201</w:t>
      </w:r>
      <w:r w:rsidR="00CC5947">
        <w:rPr>
          <w:rFonts w:asciiTheme="minorHAnsi" w:eastAsiaTheme="minorHAnsi" w:hAnsiTheme="minorHAnsi" w:cstheme="minorBidi"/>
          <w:color w:val="1F497D" w:themeColor="text2"/>
          <w:spacing w:val="-4"/>
          <w:sz w:val="20"/>
          <w:lang w:eastAsia="en-US"/>
        </w:rPr>
        <w:t>4</w:t>
      </w:r>
    </w:p>
    <w:p w:rsidR="002D42C6" w:rsidRDefault="006454D7" w:rsidP="008873A4">
      <w:r>
        <w:rPr>
          <w:noProof/>
          <w:lang w:eastAsia="en-AU"/>
        </w:rPr>
        <w:drawing>
          <wp:anchor distT="0" distB="0" distL="114300" distR="114300" simplePos="0" relativeHeight="251665408" behindDoc="0" locked="0" layoutInCell="1" allowOverlap="1">
            <wp:simplePos x="0" y="0"/>
            <wp:positionH relativeFrom="column">
              <wp:posOffset>73298</wp:posOffset>
            </wp:positionH>
            <wp:positionV relativeFrom="paragraph">
              <wp:posOffset>191770</wp:posOffset>
            </wp:positionV>
            <wp:extent cx="5560060" cy="3115310"/>
            <wp:effectExtent l="0" t="0" r="2540" b="8890"/>
            <wp:wrapNone/>
            <wp:docPr id="10" name="Picture 10" descr="Decorativ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0060" cy="3115310"/>
                    </a:xfrm>
                    <a:prstGeom prst="rect">
                      <a:avLst/>
                    </a:prstGeom>
                    <a:noFill/>
                  </pic:spPr>
                </pic:pic>
              </a:graphicData>
            </a:graphic>
            <wp14:sizeRelH relativeFrom="page">
              <wp14:pctWidth>0</wp14:pctWidth>
            </wp14:sizeRelH>
            <wp14:sizeRelV relativeFrom="page">
              <wp14:pctHeight>0</wp14:pctHeight>
            </wp14:sizeRelV>
          </wp:anchor>
        </w:drawing>
      </w:r>
    </w:p>
    <w:tbl>
      <w:tblPr>
        <w:tblW w:w="6521" w:type="dxa"/>
        <w:jc w:val="center"/>
        <w:tblLook w:val="04A0" w:firstRow="1" w:lastRow="0" w:firstColumn="1" w:lastColumn="0" w:noHBand="0" w:noVBand="1"/>
      </w:tblPr>
      <w:tblGrid>
        <w:gridCol w:w="3261"/>
        <w:gridCol w:w="3260"/>
      </w:tblGrid>
      <w:tr w:rsidR="001E453A" w:rsidRPr="001E453A" w:rsidTr="006454D7">
        <w:trPr>
          <w:trHeight w:val="20"/>
          <w:tblHeader/>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bookmarkStart w:id="3" w:name="RowTitle_2"/>
            <w:bookmarkEnd w:id="3"/>
            <w:r w:rsidRPr="001E453A">
              <w:rPr>
                <w:rFonts w:ascii="Calibri" w:eastAsia="Times New Roman" w:hAnsi="Calibri"/>
                <w:bCs/>
                <w:color w:val="FFFFFF" w:themeColor="background1"/>
                <w:sz w:val="10"/>
                <w:szCs w:val="22"/>
                <w:lang w:val="en-US" w:eastAsia="en-AU"/>
              </w:rPr>
              <w:t>Response time (business days)</w:t>
            </w:r>
          </w:p>
        </w:tc>
        <w:tc>
          <w:tcPr>
            <w:tcW w:w="3260" w:type="dxa"/>
            <w:shd w:val="clear" w:color="auto" w:fill="auto"/>
            <w:noWrap/>
            <w:vAlign w:val="bottom"/>
            <w:hideMark/>
          </w:tcPr>
          <w:p w:rsidR="002D42C6" w:rsidRPr="002D42C6" w:rsidRDefault="001E453A" w:rsidP="001E453A">
            <w:pPr>
              <w:spacing w:after="0"/>
              <w:jc w:val="center"/>
              <w:rPr>
                <w:rFonts w:ascii="Calibri" w:eastAsia="Times New Roman" w:hAnsi="Calibri"/>
                <w:bCs/>
                <w:color w:val="FFFFFF" w:themeColor="background1"/>
                <w:sz w:val="10"/>
                <w:szCs w:val="22"/>
                <w:lang w:eastAsia="en-AU"/>
              </w:rPr>
            </w:pPr>
            <w:r w:rsidRPr="001E453A">
              <w:rPr>
                <w:rFonts w:ascii="Calibri" w:eastAsia="Times New Roman" w:hAnsi="Calibri"/>
                <w:bCs/>
                <w:color w:val="FFFFFF" w:themeColor="background1"/>
                <w:sz w:val="10"/>
                <w:szCs w:val="22"/>
                <w:lang w:val="en-US" w:eastAsia="en-AU"/>
              </w:rPr>
              <w:t>Number of responses received</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Same Day</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14</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6-10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32</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11-15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17</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16-20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21-25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5</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26-30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2</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31-35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2</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36-40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41-45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46-50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51-55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2</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56-60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2</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61-65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66-70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71-75</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3</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86-90</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1</w:t>
            </w:r>
          </w:p>
        </w:tc>
      </w:tr>
      <w:tr w:rsidR="001E453A" w:rsidRPr="002D42C6" w:rsidTr="006454D7">
        <w:trPr>
          <w:trHeight w:val="20"/>
          <w:jc w:val="center"/>
        </w:trPr>
        <w:tc>
          <w:tcPr>
            <w:tcW w:w="3261"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91+</w:t>
            </w:r>
          </w:p>
        </w:tc>
        <w:tc>
          <w:tcPr>
            <w:tcW w:w="3260" w:type="dxa"/>
            <w:shd w:val="clear" w:color="auto" w:fill="auto"/>
            <w:noWrap/>
            <w:vAlign w:val="bottom"/>
            <w:hideMark/>
          </w:tcPr>
          <w:p w:rsidR="002D42C6" w:rsidRPr="002D42C6" w:rsidRDefault="002D42C6" w:rsidP="001E453A">
            <w:pPr>
              <w:spacing w:after="0"/>
              <w:jc w:val="center"/>
              <w:rPr>
                <w:rFonts w:ascii="Calibri" w:eastAsia="Times New Roman" w:hAnsi="Calibri"/>
                <w:bCs/>
                <w:color w:val="FFFFFF" w:themeColor="background1"/>
                <w:sz w:val="10"/>
                <w:szCs w:val="22"/>
                <w:lang w:eastAsia="en-AU"/>
              </w:rPr>
            </w:pPr>
            <w:r w:rsidRPr="002D42C6">
              <w:rPr>
                <w:rFonts w:ascii="Calibri" w:eastAsia="Times New Roman" w:hAnsi="Calibri"/>
                <w:bCs/>
                <w:color w:val="FFFFFF" w:themeColor="background1"/>
                <w:sz w:val="10"/>
                <w:szCs w:val="22"/>
                <w:lang w:eastAsia="en-AU"/>
              </w:rPr>
              <w:t>2</w:t>
            </w:r>
          </w:p>
        </w:tc>
      </w:tr>
    </w:tbl>
    <w:p w:rsidR="001E453A" w:rsidRDefault="001E453A" w:rsidP="00D43F79">
      <w:pPr>
        <w:pStyle w:val="Caption"/>
        <w:keepNext w:val="0"/>
        <w:spacing w:before="340" w:after="114" w:line="250" w:lineRule="atLeast"/>
        <w:ind w:left="-284"/>
        <w:jc w:val="left"/>
      </w:pPr>
      <w:r>
        <w:br w:type="page"/>
      </w:r>
    </w:p>
    <w:p w:rsidR="000F5570"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Figure 3: Timeliness of completed response</w:t>
      </w:r>
      <w:r w:rsidR="005D002A">
        <w:rPr>
          <w:rFonts w:asciiTheme="minorHAnsi" w:eastAsiaTheme="minorHAnsi" w:hAnsiTheme="minorHAnsi" w:cstheme="minorBidi"/>
          <w:color w:val="1F497D" w:themeColor="text2"/>
          <w:spacing w:val="-4"/>
          <w:sz w:val="20"/>
          <w:lang w:eastAsia="en-US"/>
        </w:rPr>
        <w:t>s</w:t>
      </w:r>
      <w:r w:rsidRPr="005D002A">
        <w:rPr>
          <w:rFonts w:asciiTheme="minorHAnsi" w:eastAsiaTheme="minorHAnsi" w:hAnsiTheme="minorHAnsi" w:cstheme="minorBidi"/>
          <w:color w:val="1F497D" w:themeColor="text2"/>
          <w:spacing w:val="-4"/>
          <w:sz w:val="20"/>
          <w:lang w:eastAsia="en-US"/>
        </w:rPr>
        <w:t xml:space="preserve"> by </w:t>
      </w:r>
      <w:r w:rsidR="00CC5947">
        <w:rPr>
          <w:rFonts w:asciiTheme="minorHAnsi" w:eastAsiaTheme="minorHAnsi" w:hAnsiTheme="minorHAnsi" w:cstheme="minorBidi"/>
          <w:color w:val="1F497D" w:themeColor="text2"/>
          <w:spacing w:val="-4"/>
          <w:sz w:val="20"/>
          <w:lang w:eastAsia="en-US"/>
        </w:rPr>
        <w:t>a</w:t>
      </w:r>
      <w:r w:rsidR="00BB0ADB">
        <w:rPr>
          <w:rFonts w:asciiTheme="minorHAnsi" w:eastAsiaTheme="minorHAnsi" w:hAnsiTheme="minorHAnsi" w:cstheme="minorBidi"/>
          <w:color w:val="1F497D" w:themeColor="text2"/>
          <w:spacing w:val="-4"/>
          <w:sz w:val="20"/>
          <w:lang w:eastAsia="en-US"/>
        </w:rPr>
        <w:t>gencies</w:t>
      </w:r>
      <w:r w:rsidR="005D002A">
        <w:rPr>
          <w:rFonts w:asciiTheme="minorHAnsi" w:eastAsiaTheme="minorHAnsi" w:hAnsiTheme="minorHAnsi" w:cstheme="minorBidi"/>
          <w:color w:val="1F497D" w:themeColor="text2"/>
          <w:spacing w:val="-4"/>
          <w:sz w:val="20"/>
          <w:lang w:eastAsia="en-US"/>
        </w:rPr>
        <w:t xml:space="preserve"> </w:t>
      </w:r>
      <w:r w:rsidR="000F5570" w:rsidRPr="000F5570">
        <w:rPr>
          <w:rFonts w:asciiTheme="minorHAnsi" w:eastAsiaTheme="minorHAnsi" w:hAnsiTheme="minorHAnsi" w:cstheme="minorBidi"/>
          <w:color w:val="1F497D" w:themeColor="text2"/>
          <w:spacing w:val="-4"/>
          <w:sz w:val="20"/>
          <w:lang w:val="en-US" w:eastAsia="en-US"/>
        </w:rPr>
        <w:t>to infor</w:t>
      </w:r>
      <w:r w:rsidR="000F5570">
        <w:rPr>
          <w:rFonts w:asciiTheme="minorHAnsi" w:eastAsiaTheme="minorHAnsi" w:hAnsiTheme="minorHAnsi" w:cstheme="minorBidi"/>
          <w:color w:val="1F497D" w:themeColor="text2"/>
          <w:spacing w:val="-4"/>
          <w:sz w:val="20"/>
          <w:lang w:val="en-US" w:eastAsia="en-US"/>
        </w:rPr>
        <w:t xml:space="preserve">mation requests </w:t>
      </w:r>
      <w:r w:rsidR="00CC5947">
        <w:rPr>
          <w:rFonts w:asciiTheme="minorHAnsi" w:eastAsiaTheme="minorHAnsi" w:hAnsiTheme="minorHAnsi" w:cstheme="minorBidi"/>
          <w:color w:val="1F497D" w:themeColor="text2"/>
          <w:spacing w:val="-4"/>
          <w:sz w:val="20"/>
          <w:lang w:val="en-US" w:eastAsia="en-US"/>
        </w:rPr>
        <w:t xml:space="preserve">in 2014–15 to </w:t>
      </w:r>
      <w:r w:rsidR="005F6B98">
        <w:rPr>
          <w:rFonts w:asciiTheme="minorHAnsi" w:eastAsiaTheme="minorHAnsi" w:hAnsiTheme="minorHAnsi" w:cstheme="minorBidi"/>
          <w:color w:val="1F497D" w:themeColor="text2"/>
          <w:spacing w:val="-4"/>
          <w:sz w:val="20"/>
          <w:lang w:eastAsia="en-US"/>
        </w:rPr>
        <w:t xml:space="preserve">31 </w:t>
      </w:r>
      <w:r w:rsidR="00FC7534">
        <w:rPr>
          <w:rFonts w:asciiTheme="minorHAnsi" w:eastAsiaTheme="minorHAnsi" w:hAnsiTheme="minorHAnsi" w:cstheme="minorBidi"/>
          <w:color w:val="1F497D" w:themeColor="text2"/>
          <w:spacing w:val="-4"/>
          <w:sz w:val="20"/>
          <w:lang w:eastAsia="en-US"/>
        </w:rPr>
        <w:t>December 2014</w:t>
      </w:r>
    </w:p>
    <w:p w:rsidR="00D05078" w:rsidRDefault="006454D7" w:rsidP="006454D7">
      <w:pPr>
        <w:spacing w:after="600"/>
      </w:pPr>
      <w:r>
        <w:rPr>
          <w:noProof/>
          <w:lang w:eastAsia="en-AU"/>
        </w:rPr>
        <w:drawing>
          <wp:anchor distT="0" distB="0" distL="114300" distR="114300" simplePos="0" relativeHeight="251664384" behindDoc="0" locked="0" layoutInCell="1" allowOverlap="1">
            <wp:simplePos x="0" y="0"/>
            <wp:positionH relativeFrom="column">
              <wp:posOffset>-74295</wp:posOffset>
            </wp:positionH>
            <wp:positionV relativeFrom="paragraph">
              <wp:posOffset>124460</wp:posOffset>
            </wp:positionV>
            <wp:extent cx="5675630" cy="2950845"/>
            <wp:effectExtent l="0" t="0" r="1270" b="1905"/>
            <wp:wrapNone/>
            <wp:docPr id="9" name="Picture 9" descr="Decorativ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630" cy="2950845"/>
                    </a:xfrm>
                    <a:prstGeom prst="rect">
                      <a:avLst/>
                    </a:prstGeom>
                    <a:noFill/>
                  </pic:spPr>
                </pic:pic>
              </a:graphicData>
            </a:graphic>
            <wp14:sizeRelH relativeFrom="page">
              <wp14:pctWidth>0</wp14:pctWidth>
            </wp14:sizeRelH>
            <wp14:sizeRelV relativeFrom="page">
              <wp14:pctHeight>0</wp14:pctHeight>
            </wp14:sizeRelV>
          </wp:anchor>
        </w:drawing>
      </w:r>
    </w:p>
    <w:tbl>
      <w:tblPr>
        <w:tblW w:w="3692" w:type="dxa"/>
        <w:jc w:val="center"/>
        <w:tblLook w:val="04A0" w:firstRow="1" w:lastRow="0" w:firstColumn="1" w:lastColumn="0" w:noHBand="0" w:noVBand="1"/>
      </w:tblPr>
      <w:tblGrid>
        <w:gridCol w:w="1436"/>
        <w:gridCol w:w="2256"/>
      </w:tblGrid>
      <w:tr w:rsidR="004A2DB4" w:rsidRPr="004A2DB4" w:rsidTr="006454D7">
        <w:trPr>
          <w:trHeight w:val="20"/>
          <w:tblHeader/>
          <w:jc w:val="center"/>
        </w:trPr>
        <w:tc>
          <w:tcPr>
            <w:tcW w:w="1436" w:type="dxa"/>
            <w:shd w:val="clear" w:color="auto" w:fill="auto"/>
            <w:noWrap/>
            <w:vAlign w:val="bottom"/>
            <w:hideMark/>
          </w:tcPr>
          <w:p w:rsidR="001E453A" w:rsidRPr="004A2DB4" w:rsidRDefault="007E2552" w:rsidP="007E2552">
            <w:pPr>
              <w:spacing w:after="0"/>
              <w:jc w:val="center"/>
              <w:rPr>
                <w:rFonts w:ascii="Calibri" w:eastAsia="Times New Roman" w:hAnsi="Calibri"/>
                <w:bCs/>
                <w:color w:val="FFFFFF" w:themeColor="background1"/>
                <w:sz w:val="14"/>
                <w:szCs w:val="22"/>
                <w:lang w:eastAsia="en-AU"/>
              </w:rPr>
            </w:pPr>
            <w:bookmarkStart w:id="4" w:name="RowTitle_3"/>
            <w:bookmarkEnd w:id="4"/>
            <w:r w:rsidRPr="004A2DB4">
              <w:rPr>
                <w:rFonts w:ascii="Calibri" w:eastAsia="Times New Roman" w:hAnsi="Calibri"/>
                <w:bCs/>
                <w:color w:val="FFFFFF" w:themeColor="background1"/>
                <w:sz w:val="14"/>
                <w:szCs w:val="22"/>
                <w:lang w:val="en-US" w:eastAsia="en-AU"/>
              </w:rPr>
              <w:t>Response time (business days late)</w:t>
            </w:r>
          </w:p>
        </w:tc>
        <w:tc>
          <w:tcPr>
            <w:tcW w:w="2256" w:type="dxa"/>
            <w:shd w:val="clear" w:color="auto" w:fill="auto"/>
            <w:noWrap/>
            <w:vAlign w:val="bottom"/>
            <w:hideMark/>
          </w:tcPr>
          <w:p w:rsidR="001E453A" w:rsidRPr="004A2DB4" w:rsidRDefault="007E2552" w:rsidP="007E2552">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val="en-US" w:eastAsia="en-AU"/>
              </w:rPr>
              <w:t>Number of responses received</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On Time</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40</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1-5</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25</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6-10</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5</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11-15</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2</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21-25</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3</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26-30</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1</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31-35</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1</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41-45</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3</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46-50</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2</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51-55</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1</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56-60</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1</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66-70</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2</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81-85</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1</w:t>
            </w:r>
          </w:p>
        </w:tc>
      </w:tr>
      <w:tr w:rsidR="004A2DB4" w:rsidRPr="004A2DB4" w:rsidTr="001E453A">
        <w:trPr>
          <w:trHeight w:val="20"/>
          <w:jc w:val="center"/>
        </w:trPr>
        <w:tc>
          <w:tcPr>
            <w:tcW w:w="143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86+</w:t>
            </w:r>
          </w:p>
        </w:tc>
        <w:tc>
          <w:tcPr>
            <w:tcW w:w="2256" w:type="dxa"/>
            <w:shd w:val="clear" w:color="auto" w:fill="auto"/>
            <w:noWrap/>
            <w:vAlign w:val="bottom"/>
            <w:hideMark/>
          </w:tcPr>
          <w:p w:rsidR="001E453A" w:rsidRPr="004A2DB4" w:rsidRDefault="001E453A" w:rsidP="001E453A">
            <w:pPr>
              <w:spacing w:after="0"/>
              <w:jc w:val="center"/>
              <w:rPr>
                <w:rFonts w:ascii="Calibri" w:eastAsia="Times New Roman" w:hAnsi="Calibri"/>
                <w:bCs/>
                <w:color w:val="FFFFFF" w:themeColor="background1"/>
                <w:sz w:val="14"/>
                <w:szCs w:val="22"/>
                <w:lang w:eastAsia="en-AU"/>
              </w:rPr>
            </w:pPr>
            <w:r w:rsidRPr="004A2DB4">
              <w:rPr>
                <w:rFonts w:ascii="Calibri" w:eastAsia="Times New Roman" w:hAnsi="Calibri"/>
                <w:bCs/>
                <w:color w:val="FFFFFF" w:themeColor="background1"/>
                <w:sz w:val="14"/>
                <w:szCs w:val="22"/>
                <w:lang w:eastAsia="en-AU"/>
              </w:rPr>
              <w:t>2</w:t>
            </w:r>
          </w:p>
        </w:tc>
      </w:tr>
    </w:tbl>
    <w:p w:rsidR="009A5B17" w:rsidRDefault="009A5B17" w:rsidP="00D43F79">
      <w:pPr>
        <w:pStyle w:val="Caption"/>
        <w:keepLines w:val="0"/>
        <w:spacing w:before="340" w:after="114" w:line="250" w:lineRule="atLeast"/>
        <w:ind w:left="-284"/>
        <w:jc w:val="left"/>
        <w:rPr>
          <w:b w:val="0"/>
          <w:sz w:val="32"/>
        </w:rPr>
      </w:pPr>
      <w:r>
        <w:br w:type="page"/>
      </w:r>
    </w:p>
    <w:p w:rsidR="009A5648" w:rsidRDefault="00AA3A52" w:rsidP="00A55569">
      <w:pPr>
        <w:pStyle w:val="PBOheading1"/>
      </w:pPr>
      <w:r>
        <w:lastRenderedPageBreak/>
        <w:t xml:space="preserve">PBO staff by function and </w:t>
      </w:r>
      <w:r w:rsidR="00E8002B">
        <w:t>employment level</w:t>
      </w:r>
    </w:p>
    <w:p w:rsidR="000743AC" w:rsidRPr="005D002A" w:rsidRDefault="00543268"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Table 3: PBO staff by function and employment level as at </w:t>
      </w:r>
      <w:r w:rsidR="005F6B98">
        <w:rPr>
          <w:rFonts w:asciiTheme="minorHAnsi" w:eastAsiaTheme="minorHAnsi" w:hAnsiTheme="minorHAnsi" w:cstheme="minorBidi"/>
          <w:color w:val="1F497D" w:themeColor="text2"/>
          <w:spacing w:val="-4"/>
          <w:sz w:val="20"/>
          <w:lang w:eastAsia="en-US"/>
        </w:rPr>
        <w:t xml:space="preserve">31 </w:t>
      </w:r>
      <w:r w:rsidR="00FC7534">
        <w:rPr>
          <w:rFonts w:asciiTheme="minorHAnsi" w:eastAsiaTheme="minorHAnsi" w:hAnsiTheme="minorHAnsi" w:cstheme="minorBidi"/>
          <w:color w:val="1F497D" w:themeColor="text2"/>
          <w:spacing w:val="-4"/>
          <w:sz w:val="20"/>
          <w:lang w:eastAsia="en-US"/>
        </w:rPr>
        <w:t>December 2014</w:t>
      </w:r>
    </w:p>
    <w:tbl>
      <w:tblPr>
        <w:tblStyle w:val="PBOtable"/>
        <w:tblW w:w="0" w:type="auto"/>
        <w:tblLayout w:type="fixed"/>
        <w:tblLook w:val="04A0" w:firstRow="1" w:lastRow="0" w:firstColumn="1" w:lastColumn="0" w:noHBand="0" w:noVBand="1"/>
      </w:tblPr>
      <w:tblGrid>
        <w:gridCol w:w="3936"/>
        <w:gridCol w:w="1183"/>
        <w:gridCol w:w="1184"/>
        <w:gridCol w:w="1183"/>
        <w:gridCol w:w="1184"/>
        <w:gridCol w:w="1184"/>
      </w:tblGrid>
      <w:tr w:rsidR="00543268" w:rsidRPr="00F36BEB" w:rsidTr="00CB24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shd w:val="clear" w:color="auto" w:fill="2B3B5F"/>
          </w:tcPr>
          <w:p w:rsidR="00543268" w:rsidRPr="00F36BEB" w:rsidRDefault="00543268" w:rsidP="00D82372">
            <w:pPr>
              <w:pStyle w:val="PBOtext"/>
              <w:jc w:val="left"/>
              <w:rPr>
                <w:sz w:val="20"/>
              </w:rPr>
            </w:pPr>
            <w:bookmarkStart w:id="5" w:name="Title_3"/>
            <w:bookmarkEnd w:id="5"/>
            <w:r w:rsidRPr="00F36BEB">
              <w:rPr>
                <w:sz w:val="20"/>
              </w:rPr>
              <w:t>Classification</w:t>
            </w:r>
          </w:p>
        </w:tc>
        <w:tc>
          <w:tcPr>
            <w:tcW w:w="1183"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PBO Executive</w:t>
            </w:r>
          </w:p>
        </w:tc>
        <w:tc>
          <w:tcPr>
            <w:tcW w:w="1184"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Budget Analysis Division</w:t>
            </w:r>
          </w:p>
        </w:tc>
        <w:tc>
          <w:tcPr>
            <w:tcW w:w="1183"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Fiscal Policy Analysis Division</w:t>
            </w:r>
          </w:p>
        </w:tc>
        <w:tc>
          <w:tcPr>
            <w:tcW w:w="1184"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Corporate Strategy Branch</w:t>
            </w:r>
          </w:p>
        </w:tc>
        <w:tc>
          <w:tcPr>
            <w:tcW w:w="1184" w:type="dxa"/>
            <w:shd w:val="clear" w:color="auto" w:fill="2B3B5F"/>
          </w:tcPr>
          <w:p w:rsidR="00543268" w:rsidRPr="00F36BEB" w:rsidRDefault="00543268" w:rsidP="0008769A">
            <w:pPr>
              <w:pStyle w:val="PBOtext"/>
              <w:cnfStyle w:val="100000000000" w:firstRow="1" w:lastRow="0" w:firstColumn="0" w:lastColumn="0" w:oddVBand="0" w:evenVBand="0" w:oddHBand="0" w:evenHBand="0" w:firstRowFirstColumn="0" w:firstRowLastColumn="0" w:lastRowFirstColumn="0" w:lastRowLastColumn="0"/>
              <w:rPr>
                <w:sz w:val="20"/>
              </w:rPr>
            </w:pPr>
            <w:r w:rsidRPr="00F36BEB">
              <w:rPr>
                <w:sz w:val="20"/>
              </w:rPr>
              <w:t>Total</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Parliamentary Budget Officer</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D82372"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Senior Executive Service Band 2 (SES B2)</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D82372"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2</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Senior Executive Service Band 1 (SES B1)</w:t>
            </w:r>
            <w:r w:rsidR="00DE0A52">
              <w:rPr>
                <w:b w:val="0"/>
                <w:sz w:val="20"/>
              </w:rPr>
              <w:t xml:space="preserve"> </w:t>
            </w:r>
            <w:r w:rsidR="00DE0A52" w:rsidRPr="00DE0A52">
              <w:rPr>
                <w:b w:val="0"/>
                <w:sz w:val="20"/>
                <w:vertAlign w:val="superscript"/>
              </w:rPr>
              <w:t>1</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2</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D82372"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4</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 xml:space="preserve">Parliamentary Executive </w:t>
            </w:r>
            <w:bookmarkStart w:id="6" w:name="_GoBack"/>
            <w:bookmarkEnd w:id="6"/>
            <w:r w:rsidRPr="00E76371">
              <w:rPr>
                <w:b w:val="0"/>
                <w:sz w:val="20"/>
              </w:rPr>
              <w:t>Level 2 (PEL 2)</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4</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2</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D82372"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7</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Parliamentary Executive Level 1 (PEL 1)</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10</w:t>
            </w:r>
          </w:p>
        </w:tc>
        <w:tc>
          <w:tcPr>
            <w:tcW w:w="1183" w:type="dxa"/>
          </w:tcPr>
          <w:p w:rsidR="00543268" w:rsidRPr="005D002A" w:rsidRDefault="00994EA5"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4</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2</w:t>
            </w:r>
          </w:p>
        </w:tc>
        <w:tc>
          <w:tcPr>
            <w:tcW w:w="1184" w:type="dxa"/>
          </w:tcPr>
          <w:p w:rsidR="00543268" w:rsidRPr="00D82372" w:rsidRDefault="0068133D" w:rsidP="00994EA5">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w:t>
            </w:r>
            <w:r w:rsidR="00994EA5">
              <w:rPr>
                <w:rFonts w:asciiTheme="minorHAnsi" w:hAnsiTheme="minorHAnsi"/>
                <w:b/>
                <w:sz w:val="20"/>
                <w:szCs w:val="20"/>
              </w:rPr>
              <w:t>6</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08769A">
            <w:pPr>
              <w:pStyle w:val="PBOtext"/>
              <w:rPr>
                <w:b w:val="0"/>
                <w:sz w:val="20"/>
              </w:rPr>
            </w:pPr>
            <w:r w:rsidRPr="00E76371">
              <w:rPr>
                <w:b w:val="0"/>
                <w:sz w:val="20"/>
              </w:rPr>
              <w:t>Parliamentary Service Level 6 (PSL 6)</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5D002A"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w:t>
            </w:r>
          </w:p>
        </w:tc>
        <w:tc>
          <w:tcPr>
            <w:tcW w:w="1183" w:type="dxa"/>
          </w:tcPr>
          <w:p w:rsidR="00543268" w:rsidRPr="005D002A"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w:t>
            </w:r>
          </w:p>
        </w:tc>
        <w:tc>
          <w:tcPr>
            <w:tcW w:w="1184" w:type="dxa"/>
          </w:tcPr>
          <w:p w:rsidR="00543268" w:rsidRPr="005D002A"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w:t>
            </w:r>
          </w:p>
        </w:tc>
        <w:tc>
          <w:tcPr>
            <w:tcW w:w="1184" w:type="dxa"/>
          </w:tcPr>
          <w:p w:rsidR="00543268" w:rsidRPr="00D82372" w:rsidRDefault="0068133D"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3</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543268">
            <w:pPr>
              <w:pStyle w:val="PBOtext"/>
              <w:rPr>
                <w:b w:val="0"/>
                <w:sz w:val="20"/>
              </w:rPr>
            </w:pPr>
            <w:r w:rsidRPr="00E76371">
              <w:rPr>
                <w:b w:val="0"/>
                <w:sz w:val="20"/>
              </w:rPr>
              <w:t>Parliamentary Service Level 5 (PSL 5)</w:t>
            </w:r>
            <w:r w:rsidR="00DE0A52">
              <w:rPr>
                <w:b w:val="0"/>
                <w:sz w:val="20"/>
              </w:rPr>
              <w:t xml:space="preserve"> </w:t>
            </w:r>
            <w:r w:rsidR="00DE0A52" w:rsidRPr="00DE0A52">
              <w:rPr>
                <w:b w:val="0"/>
                <w:sz w:val="20"/>
                <w:vertAlign w:val="superscript"/>
              </w:rPr>
              <w:t>2</w:t>
            </w:r>
          </w:p>
        </w:tc>
        <w:tc>
          <w:tcPr>
            <w:tcW w:w="1183"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3" w:type="dxa"/>
          </w:tcPr>
          <w:p w:rsidR="00543268" w:rsidRPr="005D002A"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w:t>
            </w:r>
          </w:p>
        </w:tc>
        <w:tc>
          <w:tcPr>
            <w:tcW w:w="1184" w:type="dxa"/>
          </w:tcPr>
          <w:p w:rsidR="00543268" w:rsidRPr="005D002A"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3</w:t>
            </w:r>
          </w:p>
        </w:tc>
      </w:tr>
      <w:tr w:rsidR="00543268" w:rsidRPr="00F36BEB" w:rsidTr="005432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E76371" w:rsidRDefault="00543268" w:rsidP="00543268">
            <w:pPr>
              <w:pStyle w:val="PBOtext"/>
              <w:rPr>
                <w:b w:val="0"/>
                <w:sz w:val="20"/>
              </w:rPr>
            </w:pPr>
            <w:r w:rsidRPr="00E76371">
              <w:rPr>
                <w:b w:val="0"/>
                <w:sz w:val="20"/>
              </w:rPr>
              <w:t>Parliamentary Service Level 4 (PSL 4)</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3"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w:t>
            </w:r>
          </w:p>
        </w:tc>
        <w:tc>
          <w:tcPr>
            <w:tcW w:w="1184" w:type="dxa"/>
          </w:tcPr>
          <w:p w:rsidR="00543268" w:rsidRPr="005D002A"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5D002A">
              <w:rPr>
                <w:rFonts w:asciiTheme="minorHAnsi" w:hAnsiTheme="minorHAnsi"/>
                <w:sz w:val="20"/>
                <w:szCs w:val="20"/>
              </w:rPr>
              <w:t>1</w:t>
            </w:r>
          </w:p>
        </w:tc>
        <w:tc>
          <w:tcPr>
            <w:tcW w:w="1184" w:type="dxa"/>
          </w:tcPr>
          <w:p w:rsidR="00543268" w:rsidRPr="00D82372" w:rsidRDefault="00543268" w:rsidP="0008769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2</w:t>
            </w:r>
          </w:p>
        </w:tc>
      </w:tr>
      <w:tr w:rsidR="00543268" w:rsidRPr="00F36BEB" w:rsidTr="0054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543268" w:rsidRPr="00F36BEB" w:rsidRDefault="00543268" w:rsidP="00543268">
            <w:pPr>
              <w:pStyle w:val="PBOtext"/>
              <w:rPr>
                <w:sz w:val="20"/>
              </w:rPr>
            </w:pPr>
            <w:r w:rsidRPr="00F36BEB">
              <w:rPr>
                <w:sz w:val="20"/>
              </w:rPr>
              <w:t>Total staff</w:t>
            </w:r>
          </w:p>
        </w:tc>
        <w:tc>
          <w:tcPr>
            <w:tcW w:w="1183" w:type="dxa"/>
          </w:tcPr>
          <w:p w:rsidR="00543268" w:rsidRPr="00D82372" w:rsidRDefault="00543268"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2</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19</w:t>
            </w:r>
          </w:p>
        </w:tc>
        <w:tc>
          <w:tcPr>
            <w:tcW w:w="1183"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1</w:t>
            </w:r>
            <w:r w:rsidR="00994EA5">
              <w:rPr>
                <w:rFonts w:asciiTheme="minorHAnsi" w:hAnsiTheme="minorHAnsi"/>
                <w:b/>
                <w:sz w:val="20"/>
                <w:szCs w:val="20"/>
              </w:rPr>
              <w:t>0</w:t>
            </w:r>
          </w:p>
        </w:tc>
        <w:tc>
          <w:tcPr>
            <w:tcW w:w="1184" w:type="dxa"/>
          </w:tcPr>
          <w:p w:rsidR="00543268" w:rsidRPr="00D82372" w:rsidRDefault="0068133D" w:rsidP="0008769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7</w:t>
            </w:r>
          </w:p>
        </w:tc>
        <w:tc>
          <w:tcPr>
            <w:tcW w:w="1184" w:type="dxa"/>
          </w:tcPr>
          <w:p w:rsidR="00543268" w:rsidRPr="00D82372" w:rsidRDefault="0068133D" w:rsidP="00994EA5">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D82372">
              <w:rPr>
                <w:rFonts w:asciiTheme="minorHAnsi" w:hAnsiTheme="minorHAnsi"/>
                <w:b/>
                <w:sz w:val="20"/>
                <w:szCs w:val="20"/>
              </w:rPr>
              <w:t>3</w:t>
            </w:r>
            <w:r w:rsidR="00994EA5">
              <w:rPr>
                <w:rFonts w:asciiTheme="minorHAnsi" w:hAnsiTheme="minorHAnsi"/>
                <w:b/>
                <w:sz w:val="20"/>
                <w:szCs w:val="20"/>
              </w:rPr>
              <w:t>8</w:t>
            </w:r>
          </w:p>
        </w:tc>
      </w:tr>
    </w:tbl>
    <w:p w:rsidR="00F36BEB" w:rsidRDefault="00DE0A52" w:rsidP="006454D7">
      <w:pPr>
        <w:pStyle w:val="PBOtext"/>
        <w:spacing w:after="480"/>
        <w:rPr>
          <w:sz w:val="16"/>
          <w:szCs w:val="16"/>
        </w:rPr>
      </w:pPr>
      <w:r w:rsidRPr="00DE0A52">
        <w:rPr>
          <w:sz w:val="16"/>
          <w:szCs w:val="16"/>
          <w:vertAlign w:val="superscript"/>
        </w:rPr>
        <w:t>1</w:t>
      </w:r>
      <w:r w:rsidR="00543268" w:rsidRPr="00543268">
        <w:rPr>
          <w:sz w:val="16"/>
          <w:szCs w:val="16"/>
        </w:rPr>
        <w:t xml:space="preserve"> One ongoing SES B1 officer is on long term leave without pay and is not included in these totals.</w:t>
      </w:r>
      <w:r>
        <w:rPr>
          <w:sz w:val="16"/>
          <w:szCs w:val="16"/>
        </w:rPr>
        <w:br/>
      </w:r>
      <w:r w:rsidRPr="00DE0A52">
        <w:rPr>
          <w:sz w:val="16"/>
          <w:szCs w:val="16"/>
          <w:vertAlign w:val="superscript"/>
        </w:rPr>
        <w:t>2</w:t>
      </w:r>
      <w:r>
        <w:rPr>
          <w:sz w:val="16"/>
          <w:szCs w:val="16"/>
        </w:rPr>
        <w:t xml:space="preserve"> Includes an additional staff member as backfilling arrangements for a PSL 5 on maternity leave</w:t>
      </w:r>
      <w:r w:rsidR="003939C7">
        <w:rPr>
          <w:sz w:val="16"/>
          <w:szCs w:val="16"/>
        </w:rPr>
        <w:t>.</w:t>
      </w:r>
    </w:p>
    <w:p w:rsidR="00F36BEB" w:rsidRDefault="00F36BEB" w:rsidP="005D002A">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4: PBO staff by function and employment level</w:t>
      </w:r>
      <w:r w:rsidR="005D002A">
        <w:rPr>
          <w:rFonts w:asciiTheme="minorHAnsi" w:eastAsiaTheme="minorHAnsi" w:hAnsiTheme="minorHAnsi" w:cstheme="minorBidi"/>
          <w:color w:val="1F497D" w:themeColor="text2"/>
          <w:spacing w:val="-4"/>
          <w:sz w:val="20"/>
          <w:lang w:eastAsia="en-US"/>
        </w:rPr>
        <w:t xml:space="preserve"> as at </w:t>
      </w:r>
      <w:r w:rsidR="005F6B98">
        <w:rPr>
          <w:rFonts w:asciiTheme="minorHAnsi" w:eastAsiaTheme="minorHAnsi" w:hAnsiTheme="minorHAnsi" w:cstheme="minorBidi"/>
          <w:color w:val="1F497D" w:themeColor="text2"/>
          <w:spacing w:val="-4"/>
          <w:sz w:val="20"/>
          <w:lang w:eastAsia="en-US"/>
        </w:rPr>
        <w:t xml:space="preserve">31 </w:t>
      </w:r>
      <w:r w:rsidR="00FC7534">
        <w:rPr>
          <w:rFonts w:asciiTheme="minorHAnsi" w:eastAsiaTheme="minorHAnsi" w:hAnsiTheme="minorHAnsi" w:cstheme="minorBidi"/>
          <w:color w:val="1F497D" w:themeColor="text2"/>
          <w:spacing w:val="-4"/>
          <w:sz w:val="20"/>
          <w:lang w:eastAsia="en-US"/>
        </w:rPr>
        <w:t>December 2014</w:t>
      </w:r>
    </w:p>
    <w:p w:rsidR="00AD1DBA" w:rsidRDefault="006454D7" w:rsidP="003672D5">
      <w:pPr>
        <w:rPr>
          <w:lang w:eastAsia="en-AU"/>
        </w:rPr>
      </w:pPr>
      <w:r>
        <w:rPr>
          <w:noProof/>
          <w:lang w:eastAsia="en-AU"/>
        </w:rPr>
        <w:drawing>
          <wp:inline distT="0" distB="0" distL="0" distR="0" wp14:anchorId="50D17AD4">
            <wp:extent cx="5944235" cy="3663950"/>
            <wp:effectExtent l="0" t="0" r="0" b="0"/>
            <wp:docPr id="6" name="Picture 6" descr="Decorativ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663950"/>
                    </a:xfrm>
                    <a:prstGeom prst="rect">
                      <a:avLst/>
                    </a:prstGeom>
                    <a:noFill/>
                  </pic:spPr>
                </pic:pic>
              </a:graphicData>
            </a:graphic>
          </wp:inline>
        </w:drawing>
      </w:r>
    </w:p>
    <w:sectPr w:rsidR="00AD1DBA" w:rsidSect="000E3775">
      <w:headerReference w:type="first" r:id="rId16"/>
      <w:footerReference w:type="first" r:id="rId17"/>
      <w:pgSz w:w="11906" w:h="16838"/>
      <w:pgMar w:top="851" w:right="1134" w:bottom="96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7B" w:rsidRDefault="0038557B" w:rsidP="00770BB2">
      <w:pPr>
        <w:spacing w:after="0"/>
      </w:pPr>
      <w:r>
        <w:separator/>
      </w:r>
    </w:p>
  </w:endnote>
  <w:endnote w:type="continuationSeparator" w:id="0">
    <w:p w:rsidR="0038557B" w:rsidRDefault="0038557B"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F36BEB" w:rsidRDefault="0038557B"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1312" behindDoc="0" locked="0" layoutInCell="1" allowOverlap="1" wp14:anchorId="0E2250B3" wp14:editId="557E9574">
              <wp:simplePos x="0" y="0"/>
              <wp:positionH relativeFrom="column">
                <wp:posOffset>4752370</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7B" w:rsidRPr="00F36BEB" w:rsidRDefault="0038557B"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CB2459">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CB2459">
                            <w:rPr>
                              <w:rFonts w:asciiTheme="minorHAnsi" w:hAnsiTheme="minorHAnsi"/>
                              <w:bCs/>
                              <w:noProof/>
                              <w:sz w:val="18"/>
                              <w:szCs w:val="18"/>
                            </w:rPr>
                            <w:t>7</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74.2pt;margin-top:-3.15pt;width:104.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" filled="f" stroked="f" strokeweight=".5pt">
              <v:textbox>
                <w:txbxContent>
                  <w:p w:rsidR="0038557B" w:rsidRPr="00F36BEB" w:rsidRDefault="0038557B"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CB2459">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CB2459">
                      <w:rPr>
                        <w:rFonts w:asciiTheme="minorHAnsi" w:hAnsiTheme="minorHAnsi"/>
                        <w:bCs/>
                        <w:noProof/>
                        <w:sz w:val="18"/>
                        <w:szCs w:val="18"/>
                      </w:rPr>
                      <w:t>7</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 xml:space="preserve">PBO activity and staffing report – </w:t>
    </w:r>
    <w:r w:rsidR="00FC7534">
      <w:rPr>
        <w:rFonts w:asciiTheme="minorHAnsi" w:hAnsiTheme="minorHAnsi"/>
        <w:sz w:val="18"/>
        <w:szCs w:val="18"/>
      </w:rPr>
      <w:t>18 February</w:t>
    </w:r>
    <w:r w:rsidR="00903042">
      <w:rPr>
        <w:rFonts w:asciiTheme="minorHAnsi" w:hAnsiTheme="minorHAnsi"/>
        <w:sz w:val="18"/>
        <w:szCs w:val="18"/>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0A5B3D" w:rsidRDefault="0038557B" w:rsidP="00CB4AB7">
    <w:pPr>
      <w:pStyle w:val="Footer"/>
      <w:tabs>
        <w:tab w:val="clear" w:pos="4513"/>
        <w:tab w:val="center" w:pos="4535"/>
        <w:tab w:val="left" w:pos="5404"/>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F36BEB" w:rsidRDefault="0038557B" w:rsidP="00F36BEB">
    <w:pPr>
      <w:pStyle w:val="Footer"/>
      <w:pBdr>
        <w:top w:val="single" w:sz="4" w:space="1" w:color="2B3B5F"/>
      </w:pBdr>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59264" behindDoc="0" locked="0" layoutInCell="1" allowOverlap="1" wp14:anchorId="6AA4EC5B" wp14:editId="540C5CB6">
              <wp:simplePos x="0" y="0"/>
              <wp:positionH relativeFrom="column">
                <wp:posOffset>4497705</wp:posOffset>
              </wp:positionH>
              <wp:positionV relativeFrom="paragraph">
                <wp:posOffset>-40005</wp:posOffset>
              </wp:positionV>
              <wp:extent cx="1323975"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57B" w:rsidRPr="00F36BEB" w:rsidRDefault="0038557B" w:rsidP="00F36BEB">
                          <w:pPr>
                            <w:pStyle w:val="Footer"/>
                            <w:jc w:val="right"/>
                            <w:rPr>
                              <w:rFonts w:asciiTheme="minorHAnsi" w:hAnsiTheme="minorHAnsi"/>
                              <w:sz w:val="18"/>
                              <w:szCs w:val="18"/>
                            </w:rPr>
                          </w:pPr>
                          <w:r w:rsidRPr="00F36BEB">
                            <w:rPr>
                              <w:rFonts w:asciiTheme="minorHAnsi" w:hAnsiTheme="minorHAnsi"/>
                              <w:sz w:val="18"/>
                              <w:szCs w:val="18"/>
                            </w:rPr>
                            <w:t xml:space="preserve">Page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PAGE </w:instrText>
                          </w:r>
                          <w:r w:rsidRPr="00F36BEB">
                            <w:rPr>
                              <w:rFonts w:asciiTheme="minorHAnsi" w:hAnsiTheme="minorHAnsi"/>
                              <w:b/>
                              <w:bCs/>
                              <w:sz w:val="18"/>
                              <w:szCs w:val="18"/>
                            </w:rPr>
                            <w:fldChar w:fldCharType="separate"/>
                          </w:r>
                          <w:r w:rsidR="00761177">
                            <w:rPr>
                              <w:rFonts w:asciiTheme="minorHAnsi" w:hAnsiTheme="minorHAnsi"/>
                              <w:bCs/>
                              <w:noProof/>
                              <w:sz w:val="18"/>
                              <w:szCs w:val="18"/>
                            </w:rPr>
                            <w:t>7</w:t>
                          </w:r>
                          <w:r w:rsidRPr="00F36BEB">
                            <w:rPr>
                              <w:rFonts w:asciiTheme="minorHAnsi" w:hAnsiTheme="minorHAnsi"/>
                              <w:b/>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61177">
                            <w:rPr>
                              <w:rFonts w:asciiTheme="minorHAnsi" w:hAnsiTheme="minorHAnsi"/>
                              <w:bCs/>
                              <w:noProof/>
                              <w:sz w:val="18"/>
                              <w:szCs w:val="18"/>
                            </w:rPr>
                            <w:t>7</w:t>
                          </w:r>
                          <w:r w:rsidRPr="00F36BEB">
                            <w:rPr>
                              <w:rFonts w:asciiTheme="minorHAnsi" w:hAnsiTheme="minorHAnsi"/>
                              <w:b/>
                              <w:bCs/>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54.15pt;margin-top:-3.15pt;width:104.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" filled="f" stroked="f" strokeweight=".5pt">
              <v:textbox>
                <w:txbxContent>
                  <w:p w:rsidR="0038557B" w:rsidRPr="00F36BEB" w:rsidRDefault="0038557B" w:rsidP="00F36BEB">
                    <w:pPr>
                      <w:pStyle w:val="Footer"/>
                      <w:jc w:val="right"/>
                      <w:rPr>
                        <w:rFonts w:asciiTheme="minorHAnsi" w:hAnsiTheme="minorHAnsi"/>
                        <w:sz w:val="18"/>
                        <w:szCs w:val="18"/>
                      </w:rPr>
                    </w:pPr>
                    <w:r w:rsidRPr="00F36BEB">
                      <w:rPr>
                        <w:rFonts w:asciiTheme="minorHAnsi" w:hAnsiTheme="minorHAnsi"/>
                        <w:sz w:val="18"/>
                        <w:szCs w:val="18"/>
                      </w:rPr>
                      <w:t xml:space="preserve">Page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PAGE </w:instrText>
                    </w:r>
                    <w:r w:rsidRPr="00F36BEB">
                      <w:rPr>
                        <w:rFonts w:asciiTheme="minorHAnsi" w:hAnsiTheme="minorHAnsi"/>
                        <w:b/>
                        <w:bCs/>
                        <w:sz w:val="18"/>
                        <w:szCs w:val="18"/>
                      </w:rPr>
                      <w:fldChar w:fldCharType="separate"/>
                    </w:r>
                    <w:r w:rsidR="00761177">
                      <w:rPr>
                        <w:rFonts w:asciiTheme="minorHAnsi" w:hAnsiTheme="minorHAnsi"/>
                        <w:bCs/>
                        <w:noProof/>
                        <w:sz w:val="18"/>
                        <w:szCs w:val="18"/>
                      </w:rPr>
                      <w:t>7</w:t>
                    </w:r>
                    <w:r w:rsidRPr="00F36BEB">
                      <w:rPr>
                        <w:rFonts w:asciiTheme="minorHAnsi" w:hAnsiTheme="minorHAnsi"/>
                        <w:b/>
                        <w:bCs/>
                        <w:sz w:val="18"/>
                        <w:szCs w:val="18"/>
                      </w:rPr>
                      <w:fldChar w:fldCharType="end"/>
                    </w:r>
                    <w:r w:rsidRPr="00F36BEB">
                      <w:rPr>
                        <w:rFonts w:asciiTheme="minorHAnsi" w:hAnsiTheme="minorHAnsi"/>
                        <w:sz w:val="18"/>
                        <w:szCs w:val="18"/>
                      </w:rPr>
                      <w:t xml:space="preserve"> of </w:t>
                    </w:r>
                    <w:r w:rsidRPr="00F36BEB">
                      <w:rPr>
                        <w:rFonts w:asciiTheme="minorHAnsi" w:hAnsiTheme="minorHAnsi"/>
                        <w:b/>
                        <w:bCs/>
                        <w:sz w:val="18"/>
                        <w:szCs w:val="18"/>
                      </w:rPr>
                      <w:fldChar w:fldCharType="begin"/>
                    </w:r>
                    <w:r w:rsidRPr="00F36BEB">
                      <w:rPr>
                        <w:rFonts w:asciiTheme="minorHAnsi" w:hAnsiTheme="minorHAnsi"/>
                        <w:bCs/>
                        <w:sz w:val="18"/>
                        <w:szCs w:val="18"/>
                      </w:rPr>
                      <w:instrText xml:space="preserve"> NUMPAGES  </w:instrText>
                    </w:r>
                    <w:r w:rsidRPr="00F36BEB">
                      <w:rPr>
                        <w:rFonts w:asciiTheme="minorHAnsi" w:hAnsiTheme="minorHAnsi"/>
                        <w:b/>
                        <w:bCs/>
                        <w:sz w:val="18"/>
                        <w:szCs w:val="18"/>
                      </w:rPr>
                      <w:fldChar w:fldCharType="separate"/>
                    </w:r>
                    <w:r w:rsidR="00761177">
                      <w:rPr>
                        <w:rFonts w:asciiTheme="minorHAnsi" w:hAnsiTheme="minorHAnsi"/>
                        <w:bCs/>
                        <w:noProof/>
                        <w:sz w:val="18"/>
                        <w:szCs w:val="18"/>
                      </w:rPr>
                      <w:t>7</w:t>
                    </w:r>
                    <w:r w:rsidRPr="00F36BEB">
                      <w:rPr>
                        <w:rFonts w:asciiTheme="minorHAnsi" w:hAnsiTheme="minorHAnsi"/>
                        <w:b/>
                        <w:bCs/>
                        <w:sz w:val="18"/>
                        <w:szCs w:val="18"/>
                      </w:rPr>
                      <w:fldChar w:fldCharType="end"/>
                    </w:r>
                  </w:p>
                </w:txbxContent>
              </v:textbox>
            </v:shape>
          </w:pict>
        </mc:Fallback>
      </mc:AlternateContent>
    </w:r>
    <w:r>
      <w:rPr>
        <w:rFonts w:asciiTheme="minorHAnsi" w:hAnsiTheme="minorHAnsi"/>
        <w:sz w:val="18"/>
        <w:szCs w:val="18"/>
      </w:rPr>
      <w:t>PBO activity and staffing report – 30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7B" w:rsidRDefault="0038557B" w:rsidP="00770BB2">
      <w:pPr>
        <w:spacing w:after="0"/>
      </w:pPr>
      <w:r>
        <w:separator/>
      </w:r>
    </w:p>
  </w:footnote>
  <w:footnote w:type="continuationSeparator" w:id="0">
    <w:p w:rsidR="0038557B" w:rsidRDefault="0038557B"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CB4AB7" w:rsidRDefault="0038557B" w:rsidP="00F950C7">
    <w:pPr>
      <w:pStyle w:val="Header"/>
      <w:jc w:val="both"/>
    </w:pPr>
    <w:r>
      <w:rPr>
        <w:noProof/>
        <w:lang w:eastAsia="en-AU"/>
      </w:rPr>
      <w:drawing>
        <wp:inline distT="0" distB="0" distL="0" distR="0" wp14:anchorId="74386658" wp14:editId="32BB2AB1">
          <wp:extent cx="3132000" cy="666000"/>
          <wp:effectExtent l="0" t="0" r="0" b="1270"/>
          <wp:docPr id="3" name="Picture 3"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7B" w:rsidRPr="00DB4D34" w:rsidRDefault="0038557B" w:rsidP="00DB4D34">
    <w:pPr>
      <w:pStyle w:val="Header"/>
      <w:rPr>
        <w:rStyle w:val="IntenseReference"/>
        <w:rFonts w:ascii="Times New Roman" w:hAnsi="Times New Roman"/>
        <w:b w:val="0"/>
        <w:bCs w:val="0"/>
        <w:color w:val="auto"/>
        <w:spacing w:val="0"/>
        <w:sz w:val="24"/>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2">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11"/>
    <w:lvlOverride w:ilvl="0">
      <w:startOverride w:val="1"/>
    </w:lvlOverride>
  </w:num>
  <w:num w:numId="3">
    <w:abstractNumId w:val="12"/>
  </w:num>
  <w:num w:numId="4">
    <w:abstractNumId w:val="6"/>
  </w:num>
  <w:num w:numId="5">
    <w:abstractNumId w:val="5"/>
  </w:num>
  <w:num w:numId="6">
    <w:abstractNumId w:val="14"/>
  </w:num>
  <w:num w:numId="7">
    <w:abstractNumId w:val="0"/>
  </w:num>
  <w:num w:numId="8">
    <w:abstractNumId w:val="13"/>
  </w:num>
  <w:num w:numId="9">
    <w:abstractNumId w:val="15"/>
  </w:num>
  <w:num w:numId="10">
    <w:abstractNumId w:val="3"/>
  </w:num>
  <w:num w:numId="11">
    <w:abstractNumId w:val="8"/>
  </w:num>
  <w:num w:numId="12">
    <w:abstractNumId w:val="2"/>
  </w:num>
  <w:num w:numId="13">
    <w:abstractNumId w:val="19"/>
  </w:num>
  <w:num w:numId="14">
    <w:abstractNumId w:val="10"/>
  </w:num>
  <w:num w:numId="15">
    <w:abstractNumId w:val="1"/>
  </w:num>
  <w:num w:numId="16">
    <w:abstractNumId w:val="7"/>
  </w:num>
  <w:num w:numId="17">
    <w:abstractNumId w:val="12"/>
  </w:num>
  <w:num w:numId="18">
    <w:abstractNumId w:val="4"/>
  </w:num>
  <w:num w:numId="19">
    <w:abstractNumId w:val="9"/>
  </w:num>
  <w:num w:numId="20">
    <w:abstractNumId w:val="18"/>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5257"/>
    <w:rsid w:val="0000755F"/>
    <w:rsid w:val="0001026A"/>
    <w:rsid w:val="00012ABB"/>
    <w:rsid w:val="00013888"/>
    <w:rsid w:val="0001404D"/>
    <w:rsid w:val="00016221"/>
    <w:rsid w:val="00016253"/>
    <w:rsid w:val="00017FF1"/>
    <w:rsid w:val="00024E08"/>
    <w:rsid w:val="00035BEF"/>
    <w:rsid w:val="00036023"/>
    <w:rsid w:val="00041495"/>
    <w:rsid w:val="00043F5E"/>
    <w:rsid w:val="00047F1B"/>
    <w:rsid w:val="000543DC"/>
    <w:rsid w:val="000547E2"/>
    <w:rsid w:val="0007220A"/>
    <w:rsid w:val="0007310B"/>
    <w:rsid w:val="00073713"/>
    <w:rsid w:val="000743AC"/>
    <w:rsid w:val="000859A2"/>
    <w:rsid w:val="0008769A"/>
    <w:rsid w:val="00093D64"/>
    <w:rsid w:val="000957A1"/>
    <w:rsid w:val="00096A78"/>
    <w:rsid w:val="000972BF"/>
    <w:rsid w:val="000A241D"/>
    <w:rsid w:val="000A28C1"/>
    <w:rsid w:val="000A5B3D"/>
    <w:rsid w:val="000C03A6"/>
    <w:rsid w:val="000C4C73"/>
    <w:rsid w:val="000C4FC2"/>
    <w:rsid w:val="000D5676"/>
    <w:rsid w:val="000E3775"/>
    <w:rsid w:val="000E73F0"/>
    <w:rsid w:val="000F0126"/>
    <w:rsid w:val="000F5570"/>
    <w:rsid w:val="000F5904"/>
    <w:rsid w:val="000F6A98"/>
    <w:rsid w:val="00100DF7"/>
    <w:rsid w:val="00103343"/>
    <w:rsid w:val="001036F8"/>
    <w:rsid w:val="001062D2"/>
    <w:rsid w:val="0011504B"/>
    <w:rsid w:val="00122326"/>
    <w:rsid w:val="001244FE"/>
    <w:rsid w:val="0013536D"/>
    <w:rsid w:val="00137B10"/>
    <w:rsid w:val="00144E33"/>
    <w:rsid w:val="00147379"/>
    <w:rsid w:val="00150BBB"/>
    <w:rsid w:val="0015221D"/>
    <w:rsid w:val="00162C12"/>
    <w:rsid w:val="001711B0"/>
    <w:rsid w:val="00175AAE"/>
    <w:rsid w:val="00175D63"/>
    <w:rsid w:val="001826B0"/>
    <w:rsid w:val="00186B62"/>
    <w:rsid w:val="001B0274"/>
    <w:rsid w:val="001B1928"/>
    <w:rsid w:val="001B266A"/>
    <w:rsid w:val="001B5004"/>
    <w:rsid w:val="001B6FDF"/>
    <w:rsid w:val="001B7C84"/>
    <w:rsid w:val="001C245F"/>
    <w:rsid w:val="001C4137"/>
    <w:rsid w:val="001E453A"/>
    <w:rsid w:val="001E4C23"/>
    <w:rsid w:val="001E7335"/>
    <w:rsid w:val="001F17AD"/>
    <w:rsid w:val="001F4A57"/>
    <w:rsid w:val="001F790F"/>
    <w:rsid w:val="00201E63"/>
    <w:rsid w:val="00204FC3"/>
    <w:rsid w:val="00205EC3"/>
    <w:rsid w:val="002069FE"/>
    <w:rsid w:val="00223815"/>
    <w:rsid w:val="00224675"/>
    <w:rsid w:val="00230AE2"/>
    <w:rsid w:val="0023571D"/>
    <w:rsid w:val="0023734D"/>
    <w:rsid w:val="00242999"/>
    <w:rsid w:val="0024486B"/>
    <w:rsid w:val="0024540B"/>
    <w:rsid w:val="00254CEE"/>
    <w:rsid w:val="002565D1"/>
    <w:rsid w:val="00262C82"/>
    <w:rsid w:val="00266A52"/>
    <w:rsid w:val="0029275E"/>
    <w:rsid w:val="002943E7"/>
    <w:rsid w:val="002A615C"/>
    <w:rsid w:val="002A6F27"/>
    <w:rsid w:val="002A70A4"/>
    <w:rsid w:val="002B642C"/>
    <w:rsid w:val="002B7E32"/>
    <w:rsid w:val="002C17A9"/>
    <w:rsid w:val="002C272E"/>
    <w:rsid w:val="002C4B2A"/>
    <w:rsid w:val="002C5EB3"/>
    <w:rsid w:val="002C6574"/>
    <w:rsid w:val="002D2A2F"/>
    <w:rsid w:val="002D42C6"/>
    <w:rsid w:val="002E0C0E"/>
    <w:rsid w:val="002E44EE"/>
    <w:rsid w:val="002F73A7"/>
    <w:rsid w:val="002F7815"/>
    <w:rsid w:val="00300B75"/>
    <w:rsid w:val="003054AE"/>
    <w:rsid w:val="0030595A"/>
    <w:rsid w:val="00344B8D"/>
    <w:rsid w:val="00346A3F"/>
    <w:rsid w:val="00347044"/>
    <w:rsid w:val="00355FEB"/>
    <w:rsid w:val="00365B05"/>
    <w:rsid w:val="00365BD8"/>
    <w:rsid w:val="003660A2"/>
    <w:rsid w:val="003672D5"/>
    <w:rsid w:val="00383C33"/>
    <w:rsid w:val="0038557B"/>
    <w:rsid w:val="003939C7"/>
    <w:rsid w:val="00394A72"/>
    <w:rsid w:val="00395A4E"/>
    <w:rsid w:val="003A55BF"/>
    <w:rsid w:val="003B25B9"/>
    <w:rsid w:val="003C324C"/>
    <w:rsid w:val="003D37D2"/>
    <w:rsid w:val="003E0916"/>
    <w:rsid w:val="003E397A"/>
    <w:rsid w:val="003E3AC3"/>
    <w:rsid w:val="003F0BF7"/>
    <w:rsid w:val="003F4CA6"/>
    <w:rsid w:val="004172DE"/>
    <w:rsid w:val="00422DD3"/>
    <w:rsid w:val="00426D27"/>
    <w:rsid w:val="00431AF9"/>
    <w:rsid w:val="00437E21"/>
    <w:rsid w:val="00453A83"/>
    <w:rsid w:val="00454EA4"/>
    <w:rsid w:val="0046565C"/>
    <w:rsid w:val="0046646B"/>
    <w:rsid w:val="00466A51"/>
    <w:rsid w:val="00466E04"/>
    <w:rsid w:val="004670EA"/>
    <w:rsid w:val="00467943"/>
    <w:rsid w:val="0047021D"/>
    <w:rsid w:val="00470907"/>
    <w:rsid w:val="00472A73"/>
    <w:rsid w:val="00473EE2"/>
    <w:rsid w:val="0047566C"/>
    <w:rsid w:val="00485CAD"/>
    <w:rsid w:val="00486DE7"/>
    <w:rsid w:val="00492FE0"/>
    <w:rsid w:val="004931E7"/>
    <w:rsid w:val="0049719C"/>
    <w:rsid w:val="004A2DB4"/>
    <w:rsid w:val="004C03BF"/>
    <w:rsid w:val="004C1A04"/>
    <w:rsid w:val="004C5CA5"/>
    <w:rsid w:val="004C5D3F"/>
    <w:rsid w:val="004C6768"/>
    <w:rsid w:val="004F1A32"/>
    <w:rsid w:val="004F75CA"/>
    <w:rsid w:val="0050190A"/>
    <w:rsid w:val="005075D8"/>
    <w:rsid w:val="005076B6"/>
    <w:rsid w:val="00526B22"/>
    <w:rsid w:val="00534836"/>
    <w:rsid w:val="00543268"/>
    <w:rsid w:val="005459E8"/>
    <w:rsid w:val="00551248"/>
    <w:rsid w:val="00555133"/>
    <w:rsid w:val="00557CBC"/>
    <w:rsid w:val="005626CD"/>
    <w:rsid w:val="00562D92"/>
    <w:rsid w:val="00565EA9"/>
    <w:rsid w:val="0056682B"/>
    <w:rsid w:val="00567D8C"/>
    <w:rsid w:val="0057163C"/>
    <w:rsid w:val="00572FD7"/>
    <w:rsid w:val="005832A6"/>
    <w:rsid w:val="00584E69"/>
    <w:rsid w:val="0058651A"/>
    <w:rsid w:val="005953D4"/>
    <w:rsid w:val="00595E1E"/>
    <w:rsid w:val="00597592"/>
    <w:rsid w:val="00597C53"/>
    <w:rsid w:val="005A1A88"/>
    <w:rsid w:val="005A3D26"/>
    <w:rsid w:val="005A417A"/>
    <w:rsid w:val="005B1701"/>
    <w:rsid w:val="005C51F9"/>
    <w:rsid w:val="005D002A"/>
    <w:rsid w:val="005D0921"/>
    <w:rsid w:val="005D0AF3"/>
    <w:rsid w:val="005D23BB"/>
    <w:rsid w:val="005E7470"/>
    <w:rsid w:val="005F5278"/>
    <w:rsid w:val="005F6B98"/>
    <w:rsid w:val="006051D3"/>
    <w:rsid w:val="00607190"/>
    <w:rsid w:val="00620EC1"/>
    <w:rsid w:val="00622D7E"/>
    <w:rsid w:val="006258FC"/>
    <w:rsid w:val="006268EC"/>
    <w:rsid w:val="006312FA"/>
    <w:rsid w:val="006370B2"/>
    <w:rsid w:val="00643C9C"/>
    <w:rsid w:val="006454D7"/>
    <w:rsid w:val="00667F30"/>
    <w:rsid w:val="00672C2B"/>
    <w:rsid w:val="006730FE"/>
    <w:rsid w:val="00681078"/>
    <w:rsid w:val="0068133D"/>
    <w:rsid w:val="00682921"/>
    <w:rsid w:val="006877FC"/>
    <w:rsid w:val="00691635"/>
    <w:rsid w:val="00695153"/>
    <w:rsid w:val="00695C4D"/>
    <w:rsid w:val="006A32C9"/>
    <w:rsid w:val="006B5A1D"/>
    <w:rsid w:val="006C0EB2"/>
    <w:rsid w:val="006C2766"/>
    <w:rsid w:val="006D00B3"/>
    <w:rsid w:val="006D0C71"/>
    <w:rsid w:val="006D6C53"/>
    <w:rsid w:val="006D7DCF"/>
    <w:rsid w:val="006E628A"/>
    <w:rsid w:val="006E6DF0"/>
    <w:rsid w:val="006E7C82"/>
    <w:rsid w:val="006F1461"/>
    <w:rsid w:val="006F4966"/>
    <w:rsid w:val="00705536"/>
    <w:rsid w:val="00710DDB"/>
    <w:rsid w:val="00712D88"/>
    <w:rsid w:val="007170EF"/>
    <w:rsid w:val="00735957"/>
    <w:rsid w:val="00735E18"/>
    <w:rsid w:val="00736B27"/>
    <w:rsid w:val="00742FB7"/>
    <w:rsid w:val="00744F39"/>
    <w:rsid w:val="00750087"/>
    <w:rsid w:val="00750095"/>
    <w:rsid w:val="00755270"/>
    <w:rsid w:val="00755ABA"/>
    <w:rsid w:val="007575E3"/>
    <w:rsid w:val="00761177"/>
    <w:rsid w:val="00762753"/>
    <w:rsid w:val="007629F6"/>
    <w:rsid w:val="00764779"/>
    <w:rsid w:val="00764FC5"/>
    <w:rsid w:val="00767AD2"/>
    <w:rsid w:val="00770BB2"/>
    <w:rsid w:val="00772F3B"/>
    <w:rsid w:val="00776672"/>
    <w:rsid w:val="00797307"/>
    <w:rsid w:val="007A131A"/>
    <w:rsid w:val="007A4916"/>
    <w:rsid w:val="007B542B"/>
    <w:rsid w:val="007C1745"/>
    <w:rsid w:val="007C40F0"/>
    <w:rsid w:val="007C5437"/>
    <w:rsid w:val="007C6FC5"/>
    <w:rsid w:val="007C7EE9"/>
    <w:rsid w:val="007D0365"/>
    <w:rsid w:val="007D65A5"/>
    <w:rsid w:val="007E2552"/>
    <w:rsid w:val="007E6158"/>
    <w:rsid w:val="007F0CC6"/>
    <w:rsid w:val="007F59BF"/>
    <w:rsid w:val="007F5ABA"/>
    <w:rsid w:val="007F5B8C"/>
    <w:rsid w:val="007F7B83"/>
    <w:rsid w:val="007F7F9B"/>
    <w:rsid w:val="0080253F"/>
    <w:rsid w:val="00803A2F"/>
    <w:rsid w:val="00804F1A"/>
    <w:rsid w:val="00807766"/>
    <w:rsid w:val="0082133E"/>
    <w:rsid w:val="00846119"/>
    <w:rsid w:val="008461CD"/>
    <w:rsid w:val="00850686"/>
    <w:rsid w:val="00850B1A"/>
    <w:rsid w:val="00861202"/>
    <w:rsid w:val="00873004"/>
    <w:rsid w:val="00877B1D"/>
    <w:rsid w:val="00880D50"/>
    <w:rsid w:val="0088250F"/>
    <w:rsid w:val="008842C2"/>
    <w:rsid w:val="008873A4"/>
    <w:rsid w:val="00891FC4"/>
    <w:rsid w:val="00893E67"/>
    <w:rsid w:val="008A0D13"/>
    <w:rsid w:val="008A6B82"/>
    <w:rsid w:val="008A7AB4"/>
    <w:rsid w:val="008B7A3A"/>
    <w:rsid w:val="008C2518"/>
    <w:rsid w:val="008C4037"/>
    <w:rsid w:val="008C72D3"/>
    <w:rsid w:val="008C7B9F"/>
    <w:rsid w:val="008D21A2"/>
    <w:rsid w:val="008D5F4B"/>
    <w:rsid w:val="008D7DE6"/>
    <w:rsid w:val="008E071E"/>
    <w:rsid w:val="008E4267"/>
    <w:rsid w:val="008F1DE7"/>
    <w:rsid w:val="008F2012"/>
    <w:rsid w:val="008F61B0"/>
    <w:rsid w:val="008F78C8"/>
    <w:rsid w:val="008F7972"/>
    <w:rsid w:val="00903042"/>
    <w:rsid w:val="009148D5"/>
    <w:rsid w:val="00922018"/>
    <w:rsid w:val="00923904"/>
    <w:rsid w:val="00945CAF"/>
    <w:rsid w:val="00950E1E"/>
    <w:rsid w:val="0095244D"/>
    <w:rsid w:val="00957F8D"/>
    <w:rsid w:val="00962AAB"/>
    <w:rsid w:val="009706B0"/>
    <w:rsid w:val="00971390"/>
    <w:rsid w:val="00977F99"/>
    <w:rsid w:val="00986B21"/>
    <w:rsid w:val="00993585"/>
    <w:rsid w:val="00994EA5"/>
    <w:rsid w:val="009A1D20"/>
    <w:rsid w:val="009A48CC"/>
    <w:rsid w:val="009A4DB4"/>
    <w:rsid w:val="009A5648"/>
    <w:rsid w:val="009A5B17"/>
    <w:rsid w:val="009A6E7B"/>
    <w:rsid w:val="009B034C"/>
    <w:rsid w:val="009B0812"/>
    <w:rsid w:val="009B6788"/>
    <w:rsid w:val="009D4758"/>
    <w:rsid w:val="009E3577"/>
    <w:rsid w:val="009F51EE"/>
    <w:rsid w:val="00A02382"/>
    <w:rsid w:val="00A050FC"/>
    <w:rsid w:val="00A05B52"/>
    <w:rsid w:val="00A07FE0"/>
    <w:rsid w:val="00A236BF"/>
    <w:rsid w:val="00A26717"/>
    <w:rsid w:val="00A273D8"/>
    <w:rsid w:val="00A333D4"/>
    <w:rsid w:val="00A4480B"/>
    <w:rsid w:val="00A461BE"/>
    <w:rsid w:val="00A55569"/>
    <w:rsid w:val="00A562BE"/>
    <w:rsid w:val="00A711CD"/>
    <w:rsid w:val="00A73005"/>
    <w:rsid w:val="00A8221D"/>
    <w:rsid w:val="00A82441"/>
    <w:rsid w:val="00A9651F"/>
    <w:rsid w:val="00AA3A52"/>
    <w:rsid w:val="00AA6683"/>
    <w:rsid w:val="00AB3CD0"/>
    <w:rsid w:val="00AB7368"/>
    <w:rsid w:val="00AC2EEF"/>
    <w:rsid w:val="00AC6C94"/>
    <w:rsid w:val="00AD1DBA"/>
    <w:rsid w:val="00AD5836"/>
    <w:rsid w:val="00AE149D"/>
    <w:rsid w:val="00AE5737"/>
    <w:rsid w:val="00AF3DDA"/>
    <w:rsid w:val="00B00147"/>
    <w:rsid w:val="00B00A42"/>
    <w:rsid w:val="00B10E27"/>
    <w:rsid w:val="00B10F5D"/>
    <w:rsid w:val="00B14DA3"/>
    <w:rsid w:val="00B23802"/>
    <w:rsid w:val="00B2640F"/>
    <w:rsid w:val="00B2715B"/>
    <w:rsid w:val="00B306DA"/>
    <w:rsid w:val="00B31849"/>
    <w:rsid w:val="00B33DCF"/>
    <w:rsid w:val="00B4295A"/>
    <w:rsid w:val="00B64D26"/>
    <w:rsid w:val="00B66D8D"/>
    <w:rsid w:val="00B731CD"/>
    <w:rsid w:val="00B8094C"/>
    <w:rsid w:val="00B80F68"/>
    <w:rsid w:val="00B86F49"/>
    <w:rsid w:val="00BA1924"/>
    <w:rsid w:val="00BA5E44"/>
    <w:rsid w:val="00BB0ADB"/>
    <w:rsid w:val="00BB2352"/>
    <w:rsid w:val="00BD75C2"/>
    <w:rsid w:val="00BF02F5"/>
    <w:rsid w:val="00BF2EA0"/>
    <w:rsid w:val="00BF3D64"/>
    <w:rsid w:val="00BF593B"/>
    <w:rsid w:val="00C0149D"/>
    <w:rsid w:val="00C073B5"/>
    <w:rsid w:val="00C14F1E"/>
    <w:rsid w:val="00C1632E"/>
    <w:rsid w:val="00C3189E"/>
    <w:rsid w:val="00C44E71"/>
    <w:rsid w:val="00C503E9"/>
    <w:rsid w:val="00C516BB"/>
    <w:rsid w:val="00C568EB"/>
    <w:rsid w:val="00C62AF1"/>
    <w:rsid w:val="00C635A4"/>
    <w:rsid w:val="00C710A0"/>
    <w:rsid w:val="00C71962"/>
    <w:rsid w:val="00C75870"/>
    <w:rsid w:val="00C77F0A"/>
    <w:rsid w:val="00C8309B"/>
    <w:rsid w:val="00C942A2"/>
    <w:rsid w:val="00C9440A"/>
    <w:rsid w:val="00CA3420"/>
    <w:rsid w:val="00CA3E88"/>
    <w:rsid w:val="00CB047D"/>
    <w:rsid w:val="00CB1171"/>
    <w:rsid w:val="00CB2459"/>
    <w:rsid w:val="00CB4AB7"/>
    <w:rsid w:val="00CB580C"/>
    <w:rsid w:val="00CC2A01"/>
    <w:rsid w:val="00CC3BB8"/>
    <w:rsid w:val="00CC5947"/>
    <w:rsid w:val="00CD790A"/>
    <w:rsid w:val="00CE107A"/>
    <w:rsid w:val="00CE526D"/>
    <w:rsid w:val="00CF0409"/>
    <w:rsid w:val="00CF0654"/>
    <w:rsid w:val="00CF2410"/>
    <w:rsid w:val="00CF59B2"/>
    <w:rsid w:val="00CF656D"/>
    <w:rsid w:val="00D01DC1"/>
    <w:rsid w:val="00D039FA"/>
    <w:rsid w:val="00D05078"/>
    <w:rsid w:val="00D12287"/>
    <w:rsid w:val="00D17356"/>
    <w:rsid w:val="00D21073"/>
    <w:rsid w:val="00D252D6"/>
    <w:rsid w:val="00D363F4"/>
    <w:rsid w:val="00D37661"/>
    <w:rsid w:val="00D411E7"/>
    <w:rsid w:val="00D43F79"/>
    <w:rsid w:val="00D543A7"/>
    <w:rsid w:val="00D55C21"/>
    <w:rsid w:val="00D62B2C"/>
    <w:rsid w:val="00D65B98"/>
    <w:rsid w:val="00D75406"/>
    <w:rsid w:val="00D8089D"/>
    <w:rsid w:val="00D82372"/>
    <w:rsid w:val="00D908AD"/>
    <w:rsid w:val="00D967AB"/>
    <w:rsid w:val="00DA0162"/>
    <w:rsid w:val="00DA3288"/>
    <w:rsid w:val="00DA7F28"/>
    <w:rsid w:val="00DB4D34"/>
    <w:rsid w:val="00DD70D6"/>
    <w:rsid w:val="00DE0A52"/>
    <w:rsid w:val="00DE3E8C"/>
    <w:rsid w:val="00DF3D61"/>
    <w:rsid w:val="00DF543B"/>
    <w:rsid w:val="00E00AE6"/>
    <w:rsid w:val="00E03431"/>
    <w:rsid w:val="00E13351"/>
    <w:rsid w:val="00E20BF5"/>
    <w:rsid w:val="00E24734"/>
    <w:rsid w:val="00E343B7"/>
    <w:rsid w:val="00E37F6B"/>
    <w:rsid w:val="00E401D9"/>
    <w:rsid w:val="00E45083"/>
    <w:rsid w:val="00E51A38"/>
    <w:rsid w:val="00E56CE7"/>
    <w:rsid w:val="00E67AD2"/>
    <w:rsid w:val="00E72E06"/>
    <w:rsid w:val="00E73D58"/>
    <w:rsid w:val="00E76371"/>
    <w:rsid w:val="00E8002B"/>
    <w:rsid w:val="00E80883"/>
    <w:rsid w:val="00E80FD5"/>
    <w:rsid w:val="00E83C08"/>
    <w:rsid w:val="00E928B0"/>
    <w:rsid w:val="00E942B9"/>
    <w:rsid w:val="00EA2EB9"/>
    <w:rsid w:val="00EA6E56"/>
    <w:rsid w:val="00EB3405"/>
    <w:rsid w:val="00EB5AE8"/>
    <w:rsid w:val="00EC04FD"/>
    <w:rsid w:val="00EC31C0"/>
    <w:rsid w:val="00EE10A1"/>
    <w:rsid w:val="00EE33B4"/>
    <w:rsid w:val="00EF70F6"/>
    <w:rsid w:val="00F045F9"/>
    <w:rsid w:val="00F12A58"/>
    <w:rsid w:val="00F16011"/>
    <w:rsid w:val="00F1696F"/>
    <w:rsid w:val="00F171E4"/>
    <w:rsid w:val="00F210EC"/>
    <w:rsid w:val="00F2413B"/>
    <w:rsid w:val="00F33972"/>
    <w:rsid w:val="00F36BEB"/>
    <w:rsid w:val="00F3797B"/>
    <w:rsid w:val="00F45B2B"/>
    <w:rsid w:val="00F51151"/>
    <w:rsid w:val="00F52F7E"/>
    <w:rsid w:val="00F54AB7"/>
    <w:rsid w:val="00F55265"/>
    <w:rsid w:val="00F5549A"/>
    <w:rsid w:val="00F61D2B"/>
    <w:rsid w:val="00F62DF0"/>
    <w:rsid w:val="00F75DFF"/>
    <w:rsid w:val="00F84EB0"/>
    <w:rsid w:val="00F85836"/>
    <w:rsid w:val="00F85AAF"/>
    <w:rsid w:val="00F93BE1"/>
    <w:rsid w:val="00F950C7"/>
    <w:rsid w:val="00FA0590"/>
    <w:rsid w:val="00FA688C"/>
    <w:rsid w:val="00FB16F5"/>
    <w:rsid w:val="00FC7534"/>
    <w:rsid w:val="00FD2E2A"/>
    <w:rsid w:val="00FE3118"/>
    <w:rsid w:val="00FE4B41"/>
    <w:rsid w:val="00FF0728"/>
    <w:rsid w:val="00FF13C4"/>
    <w:rsid w:val="00FF6827"/>
    <w:rsid w:val="00FF6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9B6788"/>
    <w:pPr>
      <w:numPr>
        <w:ilvl w:val="1"/>
      </w:numPr>
      <w:spacing w:after="0"/>
      <w:jc w:val="right"/>
    </w:pPr>
    <w:rPr>
      <w:rFonts w:eastAsiaTheme="majorEastAsia" w:cstheme="majorBidi"/>
      <w:iCs/>
      <w:sz w:val="16"/>
    </w:rPr>
  </w:style>
  <w:style w:type="character" w:customStyle="1" w:styleId="SubtitleChar">
    <w:name w:val="Subtitle Char"/>
    <w:aliases w:val="PBO Subtitle Char"/>
    <w:basedOn w:val="DefaultParagraphFont"/>
    <w:link w:val="Subtitle"/>
    <w:uiPriority w:val="2"/>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55569"/>
    <w:pPr>
      <w:spacing w:before="4300" w:after="60"/>
      <w:jc w:val="center"/>
    </w:pPr>
    <w:rPr>
      <w:rFonts w:ascii="Georgia" w:hAnsi="Georgia"/>
      <w:b w:val="0"/>
      <w:bCs/>
      <w:caps w:val="0"/>
      <w:color w:val="264A76"/>
      <w:kern w:val="32"/>
      <w:sz w:val="50"/>
      <w:szCs w:val="32"/>
    </w:rPr>
  </w:style>
  <w:style w:type="character" w:customStyle="1" w:styleId="TitleChar">
    <w:name w:val="Title Char"/>
    <w:aliases w:val="PBO Title Char"/>
    <w:basedOn w:val="DefaultParagraphFont"/>
    <w:link w:val="Title"/>
    <w:rsid w:val="00A55569"/>
    <w:rPr>
      <w:rFonts w:ascii="Georgia" w:eastAsia="Times New Roman" w:hAnsi="Georgia" w:cs="Times New Roman"/>
      <w:bCs/>
      <w:color w:val="264A76"/>
      <w:kern w:val="32"/>
      <w:sz w:val="50"/>
      <w:szCs w:val="32"/>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qFormat/>
    <w:rsid w:val="00A55569"/>
    <w:pPr>
      <w:spacing w:before="120" w:after="113"/>
    </w:pPr>
    <w:rPr>
      <w:rFonts w:ascii="Calibri" w:eastAsia="Cambria" w:hAnsi="Calibri"/>
      <w:sz w:val="22"/>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B4AB7"/>
    <w:rPr>
      <w:rFonts w:ascii="Times New Roman" w:hAnsi="Times New Roman" w:cs="Times New Roman"/>
      <w:sz w:val="24"/>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9B6788"/>
    <w:pPr>
      <w:numPr>
        <w:ilvl w:val="1"/>
      </w:numPr>
      <w:spacing w:after="0"/>
      <w:jc w:val="right"/>
    </w:pPr>
    <w:rPr>
      <w:rFonts w:eastAsiaTheme="majorEastAsia" w:cstheme="majorBidi"/>
      <w:iCs/>
      <w:sz w:val="16"/>
    </w:rPr>
  </w:style>
  <w:style w:type="character" w:customStyle="1" w:styleId="SubtitleChar">
    <w:name w:val="Subtitle Char"/>
    <w:aliases w:val="PBO Subtitle Char"/>
    <w:basedOn w:val="DefaultParagraphFont"/>
    <w:link w:val="Subtitle"/>
    <w:uiPriority w:val="2"/>
    <w:rsid w:val="009B6788"/>
    <w:rPr>
      <w:rFonts w:ascii="Times New Roman" w:eastAsiaTheme="majorEastAsia" w:hAnsi="Times New Roman" w:cstheme="majorBidi"/>
      <w:iCs/>
      <w:sz w:val="16"/>
      <w:szCs w:val="24"/>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ind w:left="357" w:hanging="357"/>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Times New Roman" w:hAnsi="Times New Roman"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55569"/>
    <w:pPr>
      <w:spacing w:before="4300" w:after="60"/>
      <w:jc w:val="center"/>
    </w:pPr>
    <w:rPr>
      <w:rFonts w:ascii="Georgia" w:hAnsi="Georgia"/>
      <w:b w:val="0"/>
      <w:bCs/>
      <w:caps w:val="0"/>
      <w:color w:val="264A76"/>
      <w:kern w:val="32"/>
      <w:sz w:val="50"/>
      <w:szCs w:val="32"/>
    </w:rPr>
  </w:style>
  <w:style w:type="character" w:customStyle="1" w:styleId="TitleChar">
    <w:name w:val="Title Char"/>
    <w:aliases w:val="PBO Title Char"/>
    <w:basedOn w:val="DefaultParagraphFont"/>
    <w:link w:val="Title"/>
    <w:rsid w:val="00A55569"/>
    <w:rPr>
      <w:rFonts w:ascii="Georgia" w:eastAsia="Times New Roman" w:hAnsi="Georgia" w:cs="Times New Roman"/>
      <w:bCs/>
      <w:color w:val="264A76"/>
      <w:kern w:val="32"/>
      <w:sz w:val="50"/>
      <w:szCs w:val="32"/>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qFormat/>
    <w:rsid w:val="00A55569"/>
    <w:pPr>
      <w:spacing w:before="120" w:after="113"/>
    </w:pPr>
    <w:rPr>
      <w:rFonts w:ascii="Calibri" w:eastAsia="Cambria" w:hAnsi="Calibri"/>
      <w:sz w:val="22"/>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qFormat/>
    <w:rsid w:val="00C71962"/>
    <w:pPr>
      <w:jc w:val="center"/>
    </w:pPr>
    <w:rPr>
      <w:color w:val="auto"/>
    </w:rPr>
  </w:style>
  <w:style w:type="paragraph" w:customStyle="1" w:styleId="TableText">
    <w:name w:val="Table Text"/>
    <w:basedOn w:val="Normal"/>
    <w:qFormat/>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qForma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158036472">
      <w:bodyDiv w:val="1"/>
      <w:marLeft w:val="0"/>
      <w:marRight w:val="0"/>
      <w:marTop w:val="0"/>
      <w:marBottom w:val="0"/>
      <w:divBdr>
        <w:top w:val="none" w:sz="0" w:space="0" w:color="auto"/>
        <w:left w:val="none" w:sz="0" w:space="0" w:color="auto"/>
        <w:bottom w:val="none" w:sz="0" w:space="0" w:color="auto"/>
        <w:right w:val="none" w:sz="0" w:space="0" w:color="auto"/>
      </w:divBdr>
    </w:div>
    <w:div w:id="167410390">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49319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32523648">
      <w:bodyDiv w:val="1"/>
      <w:marLeft w:val="0"/>
      <w:marRight w:val="0"/>
      <w:marTop w:val="0"/>
      <w:marBottom w:val="0"/>
      <w:divBdr>
        <w:top w:val="none" w:sz="0" w:space="0" w:color="auto"/>
        <w:left w:val="none" w:sz="0" w:space="0" w:color="auto"/>
        <w:bottom w:val="none" w:sz="0" w:space="0" w:color="auto"/>
        <w:right w:val="none" w:sz="0" w:space="0" w:color="auto"/>
      </w:divBdr>
    </w:div>
    <w:div w:id="852887117">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311983004">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57329310">
      <w:bodyDiv w:val="1"/>
      <w:marLeft w:val="0"/>
      <w:marRight w:val="0"/>
      <w:marTop w:val="0"/>
      <w:marBottom w:val="0"/>
      <w:divBdr>
        <w:top w:val="none" w:sz="0" w:space="0" w:color="auto"/>
        <w:left w:val="none" w:sz="0" w:space="0" w:color="auto"/>
        <w:bottom w:val="none" w:sz="0" w:space="0" w:color="auto"/>
        <w:right w:val="none" w:sz="0" w:space="0" w:color="auto"/>
      </w:divBdr>
    </w:div>
    <w:div w:id="1479611845">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995B-7976-4603-9904-58755DA1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137</TotalTime>
  <Pages>7</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Report to the Senate Finance and Public Administration Legislation Committee on PBO Activity and Staffing - 18 February 2015</vt:lpstr>
    </vt:vector>
  </TitlesOfParts>
  <Company>Parliament of Australia</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 and Staffing - 18 February 2015</dc:title>
  <dc:creator>PBO@pbo.gov.au</dc:creator>
  <cp:lastModifiedBy>Moorhouse, Helen (PBO)</cp:lastModifiedBy>
  <cp:revision>12</cp:revision>
  <cp:lastPrinted>2015-02-24T00:10:00Z</cp:lastPrinted>
  <dcterms:created xsi:type="dcterms:W3CDTF">2015-03-05T04:40:00Z</dcterms:created>
  <dcterms:modified xsi:type="dcterms:W3CDTF">2015-03-13T01:06:00Z</dcterms:modified>
</cp:coreProperties>
</file>