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A7" w:rsidRDefault="00A734A7" w:rsidP="005C2F9E">
      <w:pPr>
        <w:pStyle w:val="Title"/>
        <w:spacing w:before="240" w:after="1200"/>
      </w:pPr>
      <w:r>
        <w:rPr>
          <w:noProof/>
        </w:rPr>
        <w:drawing>
          <wp:inline distT="0" distB="0" distL="0" distR="0" wp14:anchorId="6826095A" wp14:editId="1641C114">
            <wp:extent cx="2876550" cy="609600"/>
            <wp:effectExtent l="0" t="0" r="0" b="0"/>
            <wp:docPr id="6" name="Picture 6"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A734A7" w:rsidRPr="00A734A7" w:rsidRDefault="00A734A7" w:rsidP="00A734A7">
      <w:pPr>
        <w:pStyle w:val="Title"/>
      </w:pPr>
      <w:r w:rsidRPr="00A734A7">
        <w:t xml:space="preserve">Report to the Senate Finance and </w:t>
      </w:r>
      <w:r w:rsidR="002D3148">
        <w:br/>
      </w:r>
      <w:r w:rsidRPr="00A734A7">
        <w:t>Public Administratio</w:t>
      </w:r>
      <w:r>
        <w:t>n Legislation Committee on PBO a</w:t>
      </w:r>
      <w:r w:rsidRPr="00A734A7">
        <w:t>ctivity</w:t>
      </w:r>
    </w:p>
    <w:p w:rsidR="005C2F9E" w:rsidRDefault="00072581" w:rsidP="004C2CCC">
      <w:pPr>
        <w:pStyle w:val="Subtitle"/>
      </w:pPr>
      <w:r>
        <w:t xml:space="preserve">21 February </w:t>
      </w:r>
      <w:r w:rsidRPr="00A734A7">
        <w:t>201</w:t>
      </w:r>
      <w:r>
        <w:t>8</w:t>
      </w:r>
      <w:r w:rsidR="005C2F9E">
        <w:br w:type="page"/>
      </w:r>
    </w:p>
    <w:p w:rsidR="007D65A5" w:rsidRPr="00A55569" w:rsidRDefault="00A734A7" w:rsidP="00E60E7C">
      <w:pPr>
        <w:pStyle w:val="PBOheading1"/>
      </w:pPr>
      <w:r>
        <w:lastRenderedPageBreak/>
        <w:t>Overview</w:t>
      </w:r>
    </w:p>
    <w:p w:rsidR="007C2C9C" w:rsidRDefault="003D28C1" w:rsidP="007C2C9C">
      <w:pPr>
        <w:pStyle w:val="PBOtext"/>
      </w:pPr>
      <w:r>
        <w:t>This activity report provides an update on PBO activities since the last report to the Committee (18</w:t>
      </w:r>
      <w:r w:rsidR="001A290B">
        <w:t> </w:t>
      </w:r>
      <w:r>
        <w:t>October 2017).</w:t>
      </w:r>
      <w:r w:rsidDel="003D28C1">
        <w:t xml:space="preserve"> </w:t>
      </w:r>
    </w:p>
    <w:p w:rsidR="003C4528" w:rsidRDefault="009031F8" w:rsidP="003C4528">
      <w:pPr>
        <w:pStyle w:val="PBOheading2"/>
      </w:pPr>
      <w:r>
        <w:t>Independent review of the PBO</w:t>
      </w:r>
    </w:p>
    <w:p w:rsidR="00A103B6" w:rsidRDefault="00775ACE" w:rsidP="000464ED">
      <w:pPr>
        <w:rPr>
          <w:lang w:eastAsia="en-AU"/>
        </w:rPr>
      </w:pPr>
      <w:r>
        <w:rPr>
          <w:lang w:eastAsia="en-AU"/>
        </w:rPr>
        <w:t xml:space="preserve">The independent review into the operations of the PBO commissioned by the </w:t>
      </w:r>
      <w:r w:rsidR="00CD42B9">
        <w:rPr>
          <w:lang w:eastAsia="en-AU"/>
        </w:rPr>
        <w:t xml:space="preserve">Joint Committee of Public Accounts and Audit (JCPAA) </w:t>
      </w:r>
      <w:r>
        <w:rPr>
          <w:lang w:eastAsia="en-AU"/>
        </w:rPr>
        <w:t xml:space="preserve">under </w:t>
      </w:r>
      <w:r w:rsidR="005C3F95">
        <w:rPr>
          <w:lang w:eastAsia="en-AU"/>
        </w:rPr>
        <w:t>s</w:t>
      </w:r>
      <w:r>
        <w:rPr>
          <w:lang w:eastAsia="en-AU"/>
        </w:rPr>
        <w:t xml:space="preserve">ection 64T of the </w:t>
      </w:r>
      <w:r w:rsidRPr="000464ED">
        <w:rPr>
          <w:i/>
          <w:lang w:eastAsia="en-AU"/>
        </w:rPr>
        <w:t>Parliamentary Service Act 1999</w:t>
      </w:r>
      <w:r>
        <w:rPr>
          <w:lang w:eastAsia="en-AU"/>
        </w:rPr>
        <w:t xml:space="preserve"> was </w:t>
      </w:r>
      <w:r w:rsidR="00096B79" w:rsidRPr="002852A0">
        <w:rPr>
          <w:lang w:eastAsia="en-AU"/>
        </w:rPr>
        <w:t>c</w:t>
      </w:r>
      <w:r w:rsidR="00096B79">
        <w:rPr>
          <w:lang w:eastAsia="en-AU"/>
        </w:rPr>
        <w:t>ompleted in March 2017 and made 16 recommendations</w:t>
      </w:r>
      <w:r>
        <w:rPr>
          <w:lang w:eastAsia="en-AU"/>
        </w:rPr>
        <w:t>.</w:t>
      </w:r>
      <w:r w:rsidR="00096B79">
        <w:rPr>
          <w:lang w:eastAsia="en-AU"/>
        </w:rPr>
        <w:t xml:space="preserve">  </w:t>
      </w:r>
      <w:r w:rsidR="0039656D">
        <w:rPr>
          <w:lang w:eastAsia="en-AU"/>
        </w:rPr>
        <w:t>Th</w:t>
      </w:r>
      <w:r w:rsidR="00680106">
        <w:rPr>
          <w:lang w:eastAsia="en-AU"/>
        </w:rPr>
        <w:t>e PBO continues to progress the implementation of actions to address these recommendations</w:t>
      </w:r>
      <w:r w:rsidR="00096B79">
        <w:rPr>
          <w:lang w:eastAsia="en-AU"/>
        </w:rPr>
        <w:t>.</w:t>
      </w:r>
      <w:r w:rsidR="00873744">
        <w:rPr>
          <w:lang w:eastAsia="en-AU"/>
        </w:rPr>
        <w:t xml:space="preserve">  </w:t>
      </w:r>
      <w:r w:rsidR="003369EE">
        <w:rPr>
          <w:lang w:eastAsia="en-AU"/>
        </w:rPr>
        <w:t xml:space="preserve">The significant </w:t>
      </w:r>
      <w:r w:rsidR="00D06137">
        <w:rPr>
          <w:lang w:eastAsia="en-AU"/>
        </w:rPr>
        <w:t xml:space="preserve">actions progressed since the last activity </w:t>
      </w:r>
      <w:proofErr w:type="gramStart"/>
      <w:r w:rsidR="00D06137">
        <w:rPr>
          <w:lang w:eastAsia="en-AU"/>
        </w:rPr>
        <w:t>report are</w:t>
      </w:r>
      <w:proofErr w:type="gramEnd"/>
      <w:r w:rsidR="003369EE">
        <w:rPr>
          <w:lang w:eastAsia="en-AU"/>
        </w:rPr>
        <w:t xml:space="preserve"> that we have</w:t>
      </w:r>
      <w:r w:rsidR="00D06137">
        <w:rPr>
          <w:lang w:eastAsia="en-AU"/>
        </w:rPr>
        <w:t>:</w:t>
      </w:r>
    </w:p>
    <w:p w:rsidR="00D06137" w:rsidRDefault="00D06137" w:rsidP="00D06137">
      <w:pPr>
        <w:pStyle w:val="ListParagraph"/>
        <w:numPr>
          <w:ilvl w:val="0"/>
          <w:numId w:val="41"/>
        </w:numPr>
        <w:rPr>
          <w:lang w:eastAsia="en-AU"/>
        </w:rPr>
      </w:pPr>
      <w:r>
        <w:rPr>
          <w:lang w:eastAsia="en-AU"/>
        </w:rPr>
        <w:t>established a panel of expert advisers to ensure that the PBO’s analytical work is of the highest standard</w:t>
      </w:r>
    </w:p>
    <w:p w:rsidR="00D06137" w:rsidRDefault="00D06137" w:rsidP="00D06137">
      <w:pPr>
        <w:pStyle w:val="ListParagraph"/>
        <w:numPr>
          <w:ilvl w:val="0"/>
          <w:numId w:val="41"/>
        </w:numPr>
        <w:rPr>
          <w:lang w:eastAsia="en-AU"/>
        </w:rPr>
      </w:pPr>
      <w:r>
        <w:rPr>
          <w:lang w:eastAsia="en-AU"/>
        </w:rPr>
        <w:t>issued a</w:t>
      </w:r>
      <w:r w:rsidR="003369EE">
        <w:rPr>
          <w:lang w:eastAsia="en-AU"/>
        </w:rPr>
        <w:t>n information</w:t>
      </w:r>
      <w:r>
        <w:rPr>
          <w:lang w:eastAsia="en-AU"/>
        </w:rPr>
        <w:t xml:space="preserve"> paper </w:t>
      </w:r>
      <w:r w:rsidR="003369EE">
        <w:rPr>
          <w:lang w:eastAsia="en-AU"/>
        </w:rPr>
        <w:t>outlining</w:t>
      </w:r>
      <w:r>
        <w:rPr>
          <w:lang w:eastAsia="en-AU"/>
        </w:rPr>
        <w:t xml:space="preserve"> the PBO’s approach to undertaking and prioritising policy costings (</w:t>
      </w:r>
      <w:r w:rsidR="003369EE">
        <w:rPr>
          <w:lang w:eastAsia="en-AU"/>
        </w:rPr>
        <w:t xml:space="preserve">following </w:t>
      </w:r>
      <w:r>
        <w:rPr>
          <w:lang w:eastAsia="en-AU"/>
        </w:rPr>
        <w:t>consultation</w:t>
      </w:r>
      <w:r w:rsidR="003369EE">
        <w:rPr>
          <w:lang w:eastAsia="en-AU"/>
        </w:rPr>
        <w:t>s that</w:t>
      </w:r>
      <w:r>
        <w:rPr>
          <w:lang w:eastAsia="en-AU"/>
        </w:rPr>
        <w:t xml:space="preserve"> closed on 15 December 2017)</w:t>
      </w:r>
    </w:p>
    <w:p w:rsidR="003D36B6" w:rsidRDefault="00E13C93" w:rsidP="00D06137">
      <w:pPr>
        <w:pStyle w:val="ListParagraph"/>
        <w:numPr>
          <w:ilvl w:val="0"/>
          <w:numId w:val="41"/>
        </w:numPr>
        <w:rPr>
          <w:lang w:eastAsia="en-AU"/>
        </w:rPr>
      </w:pPr>
      <w:r>
        <w:rPr>
          <w:lang w:eastAsia="en-AU"/>
        </w:rPr>
        <w:t>prepared</w:t>
      </w:r>
      <w:r w:rsidR="00D06137">
        <w:rPr>
          <w:lang w:eastAsia="en-AU"/>
        </w:rPr>
        <w:t xml:space="preserve"> a consultation paper</w:t>
      </w:r>
      <w:r>
        <w:rPr>
          <w:lang w:eastAsia="en-AU"/>
        </w:rPr>
        <w:t>, to be issued shortly,</w:t>
      </w:r>
      <w:r w:rsidR="00D06137">
        <w:rPr>
          <w:lang w:eastAsia="en-AU"/>
        </w:rPr>
        <w:t xml:space="preserve"> </w:t>
      </w:r>
      <w:r w:rsidR="003369EE">
        <w:rPr>
          <w:lang w:eastAsia="en-AU"/>
        </w:rPr>
        <w:t>outlining how</w:t>
      </w:r>
      <w:r w:rsidR="00D06137">
        <w:rPr>
          <w:lang w:eastAsia="en-AU"/>
        </w:rPr>
        <w:t xml:space="preserve"> minor parties </w:t>
      </w:r>
      <w:r w:rsidR="003369EE">
        <w:rPr>
          <w:lang w:eastAsia="en-AU"/>
        </w:rPr>
        <w:t>could be included</w:t>
      </w:r>
      <w:r w:rsidR="00D06137">
        <w:rPr>
          <w:lang w:eastAsia="en-AU"/>
        </w:rPr>
        <w:t xml:space="preserve"> in each Post-Election Report </w:t>
      </w:r>
    </w:p>
    <w:p w:rsidR="00D06137" w:rsidRDefault="003D36B6" w:rsidP="00D06137">
      <w:pPr>
        <w:pStyle w:val="ListParagraph"/>
        <w:numPr>
          <w:ilvl w:val="0"/>
          <w:numId w:val="41"/>
        </w:numPr>
        <w:rPr>
          <w:lang w:eastAsia="en-AU"/>
        </w:rPr>
      </w:pPr>
      <w:r>
        <w:rPr>
          <w:lang w:eastAsia="en-AU"/>
        </w:rPr>
        <w:t xml:space="preserve">released </w:t>
      </w:r>
      <w:r w:rsidR="00E13C93">
        <w:rPr>
          <w:lang w:eastAsia="en-AU"/>
        </w:rPr>
        <w:t xml:space="preserve">two </w:t>
      </w:r>
      <w:r>
        <w:rPr>
          <w:lang w:eastAsia="en-AU"/>
        </w:rPr>
        <w:t xml:space="preserve">information papers explaining the </w:t>
      </w:r>
      <w:r w:rsidR="003369EE">
        <w:rPr>
          <w:lang w:eastAsia="en-AU"/>
        </w:rPr>
        <w:t>methodological issues associated with</w:t>
      </w:r>
      <w:r>
        <w:rPr>
          <w:lang w:eastAsia="en-AU"/>
        </w:rPr>
        <w:t xml:space="preserve"> policy costing</w:t>
      </w:r>
      <w:r w:rsidR="003369EE">
        <w:rPr>
          <w:lang w:eastAsia="en-AU"/>
        </w:rPr>
        <w:t>s</w:t>
      </w:r>
    </w:p>
    <w:p w:rsidR="003369EE" w:rsidRDefault="003369EE" w:rsidP="00D06137">
      <w:pPr>
        <w:pStyle w:val="ListParagraph"/>
        <w:numPr>
          <w:ilvl w:val="0"/>
          <w:numId w:val="41"/>
        </w:numPr>
        <w:rPr>
          <w:lang w:eastAsia="en-AU"/>
        </w:rPr>
      </w:pPr>
      <w:proofErr w:type="gramStart"/>
      <w:r>
        <w:rPr>
          <w:lang w:eastAsia="en-AU"/>
        </w:rPr>
        <w:t>issue</w:t>
      </w:r>
      <w:r w:rsidR="00C70709">
        <w:rPr>
          <w:lang w:eastAsia="en-AU"/>
        </w:rPr>
        <w:t>d</w:t>
      </w:r>
      <w:proofErr w:type="gramEnd"/>
      <w:r>
        <w:rPr>
          <w:lang w:eastAsia="en-AU"/>
        </w:rPr>
        <w:t xml:space="preserve"> a survey to measure stakeholder assessments of the PBO’s performance.</w:t>
      </w:r>
    </w:p>
    <w:p w:rsidR="007D65A5" w:rsidRDefault="007D65A5" w:rsidP="00E60E7C">
      <w:pPr>
        <w:pStyle w:val="PBOheading2"/>
      </w:pPr>
      <w:r w:rsidRPr="00A55569">
        <w:t xml:space="preserve">Requests from </w:t>
      </w:r>
      <w:r w:rsidR="00B23802">
        <w:t>p</w:t>
      </w:r>
      <w:r w:rsidRPr="00A55569">
        <w:t>arliamentarians</w:t>
      </w:r>
      <w:r w:rsidR="00B23802">
        <w:t xml:space="preserve"> and parliamentary parties</w:t>
      </w:r>
    </w:p>
    <w:p w:rsidR="0012673C" w:rsidRPr="00703057" w:rsidRDefault="007C2C9C" w:rsidP="00E60E7C">
      <w:pPr>
        <w:pStyle w:val="PBOtext"/>
      </w:pPr>
      <w:r w:rsidRPr="00703057">
        <w:t>In the first</w:t>
      </w:r>
      <w:r w:rsidR="003D28C1">
        <w:t xml:space="preserve"> half </w:t>
      </w:r>
      <w:r w:rsidRPr="00703057">
        <w:t>of 2017–18</w:t>
      </w:r>
      <w:r w:rsidR="00467845" w:rsidRPr="00703057">
        <w:t xml:space="preserve">, the PBO </w:t>
      </w:r>
      <w:r w:rsidR="00183893" w:rsidRPr="00703057">
        <w:t xml:space="preserve">received </w:t>
      </w:r>
      <w:r w:rsidR="000154A2">
        <w:t>712</w:t>
      </w:r>
      <w:r w:rsidR="009F604C" w:rsidRPr="00703057">
        <w:t xml:space="preserve"> </w:t>
      </w:r>
      <w:r w:rsidR="00183893" w:rsidRPr="00703057">
        <w:t>requests from parliamentarians for</w:t>
      </w:r>
      <w:r w:rsidR="00680106">
        <w:t xml:space="preserve"> policy</w:t>
      </w:r>
      <w:r w:rsidR="00183893" w:rsidRPr="00703057">
        <w:t xml:space="preserve"> costings and analys</w:t>
      </w:r>
      <w:r w:rsidR="00680106">
        <w:t>es</w:t>
      </w:r>
      <w:r w:rsidR="00183893" w:rsidRPr="00703057">
        <w:t xml:space="preserve"> </w:t>
      </w:r>
      <w:r w:rsidR="00180FF3">
        <w:t xml:space="preserve">and </w:t>
      </w:r>
      <w:r w:rsidR="00467845" w:rsidRPr="00703057">
        <w:t xml:space="preserve">responded to </w:t>
      </w:r>
      <w:r w:rsidR="009F604C">
        <w:t>69</w:t>
      </w:r>
      <w:r w:rsidR="000154A2">
        <w:t>2</w:t>
      </w:r>
      <w:r w:rsidR="009F604C" w:rsidRPr="00703057">
        <w:t xml:space="preserve"> </w:t>
      </w:r>
      <w:r w:rsidR="00467845" w:rsidRPr="00703057">
        <w:t>requests</w:t>
      </w:r>
      <w:r w:rsidR="0048170C" w:rsidRPr="00703057">
        <w:t xml:space="preserve"> </w:t>
      </w:r>
      <w:r w:rsidR="00467845" w:rsidRPr="00703057">
        <w:t xml:space="preserve">at an average turnaround time of </w:t>
      </w:r>
      <w:r w:rsidR="009F604C">
        <w:t>23</w:t>
      </w:r>
      <w:r w:rsidR="009F604C" w:rsidRPr="00703057">
        <w:t xml:space="preserve"> </w:t>
      </w:r>
      <w:r w:rsidR="00467845" w:rsidRPr="00703057">
        <w:t xml:space="preserve">business days and a median time to completion of </w:t>
      </w:r>
      <w:r w:rsidR="00511CB4" w:rsidRPr="00E01AAF">
        <w:t>1</w:t>
      </w:r>
      <w:r w:rsidR="000154A2" w:rsidRPr="009B1FC3">
        <w:t>3</w:t>
      </w:r>
      <w:r w:rsidR="00511CB4" w:rsidRPr="00703057">
        <w:t xml:space="preserve"> </w:t>
      </w:r>
      <w:r w:rsidR="00467845" w:rsidRPr="00703057">
        <w:t>business days (refer to Table</w:t>
      </w:r>
      <w:r w:rsidR="00B55D14" w:rsidRPr="00703057">
        <w:t> </w:t>
      </w:r>
      <w:r w:rsidR="00467845" w:rsidRPr="00703057">
        <w:t>1).</w:t>
      </w:r>
      <w:r w:rsidR="002A569E" w:rsidRPr="00703057">
        <w:t xml:space="preserve">  </w:t>
      </w:r>
    </w:p>
    <w:p w:rsidR="00101951" w:rsidRDefault="00002912" w:rsidP="00E60E7C">
      <w:pPr>
        <w:pStyle w:val="PBOtext"/>
      </w:pPr>
      <w:r>
        <w:t xml:space="preserve">The PBO makes a number of information requests to Commonwealth </w:t>
      </w:r>
      <w:r w:rsidR="00A8196E">
        <w:t>agencies to</w:t>
      </w:r>
      <w:r>
        <w:t xml:space="preserve"> support its responses to parliamentarians (and its research program).   </w:t>
      </w:r>
      <w:r w:rsidR="00152D5E" w:rsidRPr="00703057">
        <w:t>In the</w:t>
      </w:r>
      <w:r>
        <w:t xml:space="preserve"> first half of 2017–18</w:t>
      </w:r>
      <w:r w:rsidR="00152D5E" w:rsidRPr="00703057">
        <w:t xml:space="preserve">, the PBO received </w:t>
      </w:r>
      <w:r w:rsidR="009F604C">
        <w:t>142</w:t>
      </w:r>
      <w:r w:rsidR="009F604C" w:rsidRPr="00703057">
        <w:t xml:space="preserve"> </w:t>
      </w:r>
      <w:r w:rsidR="007E6158" w:rsidRPr="00703057">
        <w:t xml:space="preserve">responses </w:t>
      </w:r>
      <w:r w:rsidR="009818CB" w:rsidRPr="00703057">
        <w:t xml:space="preserve">from Commonwealth agencies </w:t>
      </w:r>
      <w:r w:rsidR="007E6158" w:rsidRPr="00703057">
        <w:t xml:space="preserve">to information requests at an average turnaround time of </w:t>
      </w:r>
      <w:r w:rsidR="009F604C">
        <w:t>10</w:t>
      </w:r>
      <w:r w:rsidR="009F604C" w:rsidRPr="00703057">
        <w:t xml:space="preserve"> </w:t>
      </w:r>
      <w:r w:rsidR="007E6158" w:rsidRPr="00703057">
        <w:t>business days</w:t>
      </w:r>
      <w:r>
        <w:t>.  R</w:t>
      </w:r>
      <w:r w:rsidR="00511CB4" w:rsidRPr="00703057">
        <w:t xml:space="preserve">equests </w:t>
      </w:r>
      <w:r>
        <w:t>were provided</w:t>
      </w:r>
      <w:r w:rsidR="00511CB4" w:rsidRPr="00703057">
        <w:t xml:space="preserve">, on average, </w:t>
      </w:r>
      <w:r w:rsidR="000154A2">
        <w:t>two</w:t>
      </w:r>
      <w:r w:rsidR="000154A2" w:rsidRPr="00703057">
        <w:t xml:space="preserve"> </w:t>
      </w:r>
      <w:r w:rsidR="00511CB4" w:rsidRPr="00703057">
        <w:t>business day</w:t>
      </w:r>
      <w:r w:rsidR="000154A2">
        <w:t>s</w:t>
      </w:r>
      <w:r w:rsidR="00511CB4" w:rsidRPr="00703057">
        <w:t xml:space="preserve"> ahead of </w:t>
      </w:r>
      <w:r w:rsidR="00183893" w:rsidRPr="00703057">
        <w:t>the</w:t>
      </w:r>
      <w:r w:rsidR="00511CB4" w:rsidRPr="00703057">
        <w:t xml:space="preserve"> </w:t>
      </w:r>
      <w:r>
        <w:t>due date</w:t>
      </w:r>
      <w:r w:rsidRPr="00703057">
        <w:t xml:space="preserve"> </w:t>
      </w:r>
      <w:r w:rsidR="00183893" w:rsidRPr="00703057">
        <w:t>set</w:t>
      </w:r>
      <w:r w:rsidR="009818CB" w:rsidRPr="00703057">
        <w:t xml:space="preserve"> </w:t>
      </w:r>
      <w:r w:rsidR="007E6158" w:rsidRPr="00703057">
        <w:t>(refer to Table 2).</w:t>
      </w:r>
      <w:r w:rsidR="00F45847" w:rsidRPr="00703057">
        <w:t xml:space="preserve">  Table 3 contains details of </w:t>
      </w:r>
      <w:r w:rsidR="0013683A" w:rsidRPr="00703057">
        <w:t>the</w:t>
      </w:r>
      <w:r w:rsidR="00F45847" w:rsidRPr="00703057">
        <w:t xml:space="preserve"> responsiveness </w:t>
      </w:r>
      <w:r w:rsidR="0013683A" w:rsidRPr="00703057">
        <w:t xml:space="preserve">of </w:t>
      </w:r>
      <w:r w:rsidR="00F45847" w:rsidRPr="00703057">
        <w:t xml:space="preserve">Commonwealth agencies </w:t>
      </w:r>
      <w:r w:rsidR="0013683A" w:rsidRPr="00703057">
        <w:t>to information requests during</w:t>
      </w:r>
      <w:r w:rsidR="00F45847" w:rsidRPr="00703057">
        <w:t xml:space="preserve"> </w:t>
      </w:r>
      <w:r w:rsidR="00967214" w:rsidRPr="00703057">
        <w:t>this period</w:t>
      </w:r>
      <w:r w:rsidR="00F45847" w:rsidRPr="00703057">
        <w:t>.</w:t>
      </w:r>
    </w:p>
    <w:p w:rsidR="00FA1577" w:rsidRDefault="00FA1577" w:rsidP="00E60E7C">
      <w:pPr>
        <w:pStyle w:val="PBOtext"/>
      </w:pPr>
      <w:r>
        <w:t xml:space="preserve">In the first </w:t>
      </w:r>
      <w:r w:rsidR="003D28C1">
        <w:t>half</w:t>
      </w:r>
      <w:r w:rsidR="009F604C">
        <w:t xml:space="preserve"> </w:t>
      </w:r>
      <w:r>
        <w:t xml:space="preserve">of 2017–18, </w:t>
      </w:r>
      <w:r w:rsidR="00F6617B">
        <w:t xml:space="preserve">12 </w:t>
      </w:r>
      <w:r>
        <w:t xml:space="preserve">policy announcements </w:t>
      </w:r>
      <w:r w:rsidR="008B3208">
        <w:t xml:space="preserve">that were </w:t>
      </w:r>
      <w:r>
        <w:t xml:space="preserve">made by parliamentarians or parliamentary parties </w:t>
      </w:r>
      <w:r w:rsidR="00557D8D">
        <w:t xml:space="preserve">included </w:t>
      </w:r>
      <w:r>
        <w:t>reference</w:t>
      </w:r>
      <w:r w:rsidR="00557D8D">
        <w:t>s</w:t>
      </w:r>
      <w:r>
        <w:t xml:space="preserve"> to PBO </w:t>
      </w:r>
      <w:r w:rsidR="00002912">
        <w:t xml:space="preserve">policy </w:t>
      </w:r>
      <w:r>
        <w:t xml:space="preserve">costings.  </w:t>
      </w:r>
      <w:r w:rsidR="006A5AE2">
        <w:t>Fiv</w:t>
      </w:r>
      <w:r>
        <w:t>e of these costings were subsequently publicly released (refer to Table 4).</w:t>
      </w:r>
    </w:p>
    <w:p w:rsidR="00FE34BA" w:rsidRDefault="00FE34BA" w:rsidP="00E60E7C">
      <w:pPr>
        <w:pStyle w:val="PBOtext"/>
      </w:pPr>
      <w:r>
        <w:t>The PBO has published several information papers to explain the underlying data, concepts, methodologies and processes used in preparing costings of policy proposals and budget analyses.</w:t>
      </w:r>
    </w:p>
    <w:p w:rsidR="007D65A5" w:rsidRDefault="002852A0" w:rsidP="00E60E7C">
      <w:pPr>
        <w:pStyle w:val="PBOheading2"/>
      </w:pPr>
      <w:r>
        <w:t>R</w:t>
      </w:r>
      <w:r w:rsidR="00986D03" w:rsidRPr="0048170C">
        <w:t xml:space="preserve">esearch </w:t>
      </w:r>
      <w:r w:rsidR="007D65A5" w:rsidRPr="0048170C">
        <w:t>program</w:t>
      </w:r>
    </w:p>
    <w:p w:rsidR="007C2C9C" w:rsidRDefault="00F6617B" w:rsidP="007C2C9C">
      <w:pPr>
        <w:pStyle w:val="PBOtext"/>
      </w:pPr>
      <w:r>
        <w:t>The PBO’s</w:t>
      </w:r>
      <w:r w:rsidR="007C2C9C">
        <w:t xml:space="preserve"> research program </w:t>
      </w:r>
      <w:r w:rsidR="00002912">
        <w:t xml:space="preserve">is </w:t>
      </w:r>
      <w:r w:rsidR="007C2C9C">
        <w:t xml:space="preserve">set out in </w:t>
      </w:r>
      <w:r>
        <w:t xml:space="preserve">the </w:t>
      </w:r>
      <w:r w:rsidR="00002912">
        <w:t xml:space="preserve">2017–18 </w:t>
      </w:r>
      <w:r w:rsidR="007C2C9C">
        <w:t xml:space="preserve">work </w:t>
      </w:r>
      <w:proofErr w:type="gramStart"/>
      <w:r w:rsidR="007C2C9C">
        <w:t>plan</w:t>
      </w:r>
      <w:proofErr w:type="gramEnd"/>
      <w:r w:rsidR="007C2C9C">
        <w:t xml:space="preserve"> that was published on 22</w:t>
      </w:r>
      <w:r w:rsidR="00FA1577">
        <w:t> </w:t>
      </w:r>
      <w:r w:rsidR="007C2C9C">
        <w:t>September</w:t>
      </w:r>
      <w:r w:rsidR="00FA1577">
        <w:t> </w:t>
      </w:r>
      <w:r w:rsidR="007C2C9C">
        <w:t>2017.</w:t>
      </w:r>
    </w:p>
    <w:p w:rsidR="00223DED" w:rsidRDefault="001A290B" w:rsidP="007C2C9C">
      <w:pPr>
        <w:pStyle w:val="PBOtext"/>
      </w:pPr>
      <w:r>
        <w:t xml:space="preserve">On 19 October 2017, the PBO released Report no. 04/2017 </w:t>
      </w:r>
      <w:r>
        <w:rPr>
          <w:i/>
        </w:rPr>
        <w:t xml:space="preserve">National fiscal outlook: As at </w:t>
      </w:r>
      <w:r w:rsidR="00432353">
        <w:rPr>
          <w:i/>
        </w:rPr>
        <w:t>20</w:t>
      </w:r>
      <w:r>
        <w:rPr>
          <w:i/>
        </w:rPr>
        <w:t>17–18 budgets</w:t>
      </w:r>
      <w:r>
        <w:t xml:space="preserve">.  </w:t>
      </w:r>
      <w:r w:rsidR="00583436">
        <w:t xml:space="preserve">This report </w:t>
      </w:r>
      <w:r w:rsidR="00223DED">
        <w:t>provide</w:t>
      </w:r>
      <w:r w:rsidR="00D075A1">
        <w:t>s</w:t>
      </w:r>
      <w:r w:rsidR="00223DED">
        <w:t xml:space="preserve"> a </w:t>
      </w:r>
      <w:r w:rsidR="00557D8D">
        <w:t>national</w:t>
      </w:r>
      <w:r w:rsidR="00223DED">
        <w:t xml:space="preserve"> perspective on the fiscal outlook</w:t>
      </w:r>
      <w:r w:rsidR="00557D8D">
        <w:t>, examining outcomes</w:t>
      </w:r>
      <w:r w:rsidR="00223DED">
        <w:t xml:space="preserve"> across all levels of Australian government</w:t>
      </w:r>
      <w:r w:rsidR="00557D8D">
        <w:t xml:space="preserve"> on a consistent basis</w:t>
      </w:r>
      <w:r w:rsidR="00223DED">
        <w:t>.</w:t>
      </w:r>
    </w:p>
    <w:p w:rsidR="00432353" w:rsidRDefault="001A290B" w:rsidP="00432353">
      <w:pPr>
        <w:pStyle w:val="OverviewBodyText"/>
      </w:pPr>
      <w:r>
        <w:lastRenderedPageBreak/>
        <w:t xml:space="preserve">On 7 December 2017, the PBO released Report no. 05/2017 </w:t>
      </w:r>
      <w:r>
        <w:rPr>
          <w:i/>
        </w:rPr>
        <w:t xml:space="preserve">Budget medium-term projections: economic </w:t>
      </w:r>
      <w:r w:rsidR="00432353">
        <w:rPr>
          <w:i/>
        </w:rPr>
        <w:t xml:space="preserve">scenario </w:t>
      </w:r>
      <w:r>
        <w:rPr>
          <w:i/>
        </w:rPr>
        <w:t>analysis</w:t>
      </w:r>
      <w:r w:rsidR="002B340C">
        <w:rPr>
          <w:i/>
        </w:rPr>
        <w:t>.</w:t>
      </w:r>
      <w:r>
        <w:t xml:space="preserve"> </w:t>
      </w:r>
      <w:r w:rsidR="002B340C">
        <w:t xml:space="preserve"> </w:t>
      </w:r>
      <w:r w:rsidR="00432353">
        <w:t xml:space="preserve">This report examines the sensitivity of medium-term budget projections to changes in economic </w:t>
      </w:r>
      <w:r w:rsidR="00432353" w:rsidRPr="007E7320">
        <w:t>parameters</w:t>
      </w:r>
      <w:r w:rsidR="00432353">
        <w:t xml:space="preserve">. </w:t>
      </w:r>
    </w:p>
    <w:p w:rsidR="00FE34BA" w:rsidRDefault="00432353" w:rsidP="007C2C9C">
      <w:pPr>
        <w:pStyle w:val="PBOtext"/>
      </w:pPr>
      <w:r>
        <w:t xml:space="preserve">On 20 </w:t>
      </w:r>
      <w:r w:rsidR="002B340C">
        <w:t>February</w:t>
      </w:r>
      <w:r>
        <w:t xml:space="preserve"> 2018, the PBO released Report no. 01/2018 </w:t>
      </w:r>
      <w:r w:rsidR="001774C3" w:rsidRPr="007F7AA0">
        <w:rPr>
          <w:i/>
        </w:rPr>
        <w:t>Disability Support Pension: Historical and projected trends</w:t>
      </w:r>
      <w:r w:rsidR="001774C3">
        <w:t xml:space="preserve">.  </w:t>
      </w:r>
      <w:r w:rsidR="001774C3" w:rsidRPr="00823426">
        <w:t xml:space="preserve">This report examines the factors underlying the recent decline in </w:t>
      </w:r>
      <w:r w:rsidR="001774C3">
        <w:t xml:space="preserve">Disability Support Pension </w:t>
      </w:r>
      <w:r w:rsidR="001774C3" w:rsidRPr="00823426">
        <w:t>expenditure, highlighting the impact</w:t>
      </w:r>
      <w:r w:rsidR="001774C3">
        <w:t>s</w:t>
      </w:r>
      <w:r w:rsidR="001774C3" w:rsidRPr="00823426">
        <w:t xml:space="preserve"> of changes in government policy.</w:t>
      </w:r>
      <w:r w:rsidR="001774C3">
        <w:t xml:space="preserve">  </w:t>
      </w:r>
    </w:p>
    <w:p w:rsidR="00571865" w:rsidRDefault="00571865" w:rsidP="00E60E7C">
      <w:pPr>
        <w:pStyle w:val="PBOheading2"/>
        <w:spacing w:after="120"/>
      </w:pPr>
      <w:r>
        <w:t>External engagement</w:t>
      </w:r>
    </w:p>
    <w:p w:rsidR="00DF20F4" w:rsidRDefault="00DF20F4" w:rsidP="006C72F4">
      <w:pPr>
        <w:rPr>
          <w:lang w:eastAsia="en-AU"/>
        </w:rPr>
      </w:pPr>
      <w:r>
        <w:rPr>
          <w:lang w:eastAsia="en-AU"/>
        </w:rPr>
        <w:t>Following the establishment of the panel of expert advisers, the PBO continues to seek input from the panel to assist with the development and evaluation of its work program and methodologies.</w:t>
      </w:r>
    </w:p>
    <w:p w:rsidR="009B1FC3" w:rsidRDefault="009B1FC3" w:rsidP="006C72F4">
      <w:pPr>
        <w:rPr>
          <w:lang w:eastAsia="en-AU"/>
        </w:rPr>
      </w:pPr>
      <w:r>
        <w:rPr>
          <w:lang w:eastAsia="en-AU"/>
        </w:rPr>
        <w:t xml:space="preserve">In November 2017, the PBO hosted three officials from the Kenyan Parliamentary Budget Office.  The PBO presented a range of sessions to the Kenyan delegation on the operations of the PBO and facilitated discussions with </w:t>
      </w:r>
      <w:r w:rsidR="008B2C4E">
        <w:rPr>
          <w:lang w:eastAsia="en-AU"/>
        </w:rPr>
        <w:t>other Australian Government and parliamentary departments on Australia’s budget and parliamentary processes.</w:t>
      </w:r>
    </w:p>
    <w:p w:rsidR="008B2C4E" w:rsidRDefault="008B2C4E" w:rsidP="006C72F4">
      <w:pPr>
        <w:rPr>
          <w:lang w:eastAsia="en-AU"/>
        </w:rPr>
      </w:pPr>
      <w:r>
        <w:rPr>
          <w:lang w:eastAsia="en-AU"/>
        </w:rPr>
        <w:t>The PBO has had consultations with the Victorian PBO and the Canadian PBO on various aspects of establishment and operations</w:t>
      </w:r>
      <w:r w:rsidR="007B28F9">
        <w:rPr>
          <w:lang w:eastAsia="en-AU"/>
        </w:rPr>
        <w:t xml:space="preserve"> and </w:t>
      </w:r>
      <w:r w:rsidR="00002912">
        <w:rPr>
          <w:lang w:eastAsia="en-AU"/>
        </w:rPr>
        <w:t>continues</w:t>
      </w:r>
      <w:r w:rsidR="007B28F9">
        <w:rPr>
          <w:lang w:eastAsia="en-AU"/>
        </w:rPr>
        <w:t xml:space="preserve"> to meet regularly with visiting international delegations to discuss the work and operation of the PBO</w:t>
      </w:r>
      <w:r>
        <w:rPr>
          <w:lang w:eastAsia="en-AU"/>
        </w:rPr>
        <w:t>.</w:t>
      </w:r>
    </w:p>
    <w:p w:rsidR="007D65A5" w:rsidRPr="00A55569" w:rsidRDefault="007D65A5" w:rsidP="00E60E7C">
      <w:pPr>
        <w:pStyle w:val="PBOheading2"/>
        <w:spacing w:after="120"/>
      </w:pPr>
      <w:r w:rsidRPr="00DD2991">
        <w:t xml:space="preserve">PBO </w:t>
      </w:r>
      <w:r w:rsidR="00742FB7" w:rsidRPr="00DD2991">
        <w:t>s</w:t>
      </w:r>
      <w:r w:rsidRPr="00DD2991">
        <w:t>taffing</w:t>
      </w:r>
    </w:p>
    <w:p w:rsidR="00392BA4" w:rsidRDefault="007D65A5" w:rsidP="00E60E7C">
      <w:pPr>
        <w:pStyle w:val="PBOtext"/>
      </w:pPr>
      <w:r>
        <w:t>The PBO</w:t>
      </w:r>
      <w:r w:rsidR="00557D8D">
        <w:t xml:space="preserve"> is allocated a budget that supports</w:t>
      </w:r>
      <w:r w:rsidR="0013683A">
        <w:t xml:space="preserve"> </w:t>
      </w:r>
      <w:r w:rsidR="00583436">
        <w:t>around</w:t>
      </w:r>
      <w:r w:rsidR="00E401D9">
        <w:t xml:space="preserve"> 40 </w:t>
      </w:r>
      <w:r w:rsidR="00557D8D">
        <w:t>staff</w:t>
      </w:r>
      <w:r>
        <w:t xml:space="preserve"> and </w:t>
      </w:r>
      <w:r w:rsidR="0013683A">
        <w:t xml:space="preserve">receives additional funding every third year in the lead up to a general election to boost its staffing.  </w:t>
      </w:r>
      <w:r w:rsidR="00EE54F2">
        <w:t xml:space="preserve">At </w:t>
      </w:r>
      <w:r w:rsidR="00096B79">
        <w:t>3</w:t>
      </w:r>
      <w:r w:rsidR="00072581">
        <w:t xml:space="preserve">1 December </w:t>
      </w:r>
      <w:r w:rsidR="00DC430D">
        <w:t>2017</w:t>
      </w:r>
      <w:r w:rsidR="00EE54F2">
        <w:t xml:space="preserve">, the PBO had </w:t>
      </w:r>
      <w:r w:rsidR="00DE2FBE">
        <w:t>4</w:t>
      </w:r>
      <w:r w:rsidR="000154A2">
        <w:t>2</w:t>
      </w:r>
      <w:r w:rsidR="00FA1577">
        <w:t> </w:t>
      </w:r>
      <w:r w:rsidR="00EE54F2">
        <w:t xml:space="preserve">staff (refer to Table </w:t>
      </w:r>
      <w:r w:rsidR="00583436">
        <w:t>5</w:t>
      </w:r>
      <w:r w:rsidR="00EE54F2">
        <w:t>)</w:t>
      </w:r>
      <w:r w:rsidR="005B325D">
        <w:t>.</w:t>
      </w:r>
    </w:p>
    <w:p w:rsidR="00440916" w:rsidRPr="00626105" w:rsidRDefault="00440916" w:rsidP="00E60E7C">
      <w:pPr>
        <w:pStyle w:val="PBOtext"/>
      </w:pPr>
      <w:r w:rsidRPr="00626105">
        <w:br w:type="page"/>
      </w:r>
    </w:p>
    <w:p w:rsidR="00EE10A1" w:rsidRPr="008C72D3" w:rsidRDefault="005D002A" w:rsidP="00E60E7C">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6008B9" w:rsidRPr="00BF637E" w:rsidRDefault="00150BB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56304F">
        <w:rPr>
          <w:rFonts w:asciiTheme="minorHAnsi" w:eastAsiaTheme="minorHAnsi" w:hAnsiTheme="minorHAnsi" w:cstheme="minorBidi"/>
          <w:color w:val="1F497D" w:themeColor="text2"/>
          <w:spacing w:val="-4"/>
          <w:sz w:val="20"/>
          <w:lang w:eastAsia="en-US"/>
        </w:rPr>
        <w:br/>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December </w:t>
      </w:r>
      <w:r w:rsidR="00DC430D">
        <w:rPr>
          <w:rFonts w:asciiTheme="minorHAnsi" w:eastAsiaTheme="minorHAnsi" w:hAnsiTheme="minorHAnsi" w:cstheme="minorBidi"/>
          <w:color w:val="1F497D" w:themeColor="text2"/>
          <w:spacing w:val="-4"/>
          <w:sz w:val="20"/>
          <w:lang w:eastAsia="en-US"/>
        </w:rPr>
        <w:t>2017</w:t>
      </w:r>
    </w:p>
    <w:tbl>
      <w:tblPr>
        <w:tblStyle w:val="TableGrid11"/>
        <w:tblpPr w:leftFromText="180" w:rightFromText="180" w:bottomFromText="155" w:vertAnchor="text"/>
        <w:tblW w:w="5000" w:type="pct"/>
        <w:tblLayout w:type="fixed"/>
        <w:tblLook w:val="04A0" w:firstRow="1" w:lastRow="0" w:firstColumn="1" w:lastColumn="0" w:noHBand="0" w:noVBand="1"/>
      </w:tblPr>
      <w:tblGrid>
        <w:gridCol w:w="2676"/>
        <w:gridCol w:w="908"/>
        <w:gridCol w:w="908"/>
        <w:gridCol w:w="908"/>
        <w:gridCol w:w="908"/>
        <w:gridCol w:w="908"/>
        <w:gridCol w:w="906"/>
        <w:gridCol w:w="904"/>
      </w:tblGrid>
      <w:tr w:rsidR="003D28C1" w:rsidRPr="00764FC5" w:rsidTr="008B2C4E">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482" w:type="pct"/>
            <w:noWrap/>
          </w:tcPr>
          <w:p w:rsidR="003D28C1" w:rsidRPr="00764FC5" w:rsidRDefault="003D28C1" w:rsidP="00660E2F">
            <w:pPr>
              <w:keepNext/>
              <w:keepLines/>
              <w:spacing w:before="0" w:after="200" w:line="240" w:lineRule="auto"/>
              <w:ind w:left="0" w:right="0"/>
              <w:rPr>
                <w:rFonts w:eastAsia="Calibri"/>
                <w:b/>
                <w:color w:val="auto"/>
                <w:sz w:val="18"/>
                <w:szCs w:val="18"/>
                <w:lang w:eastAsia="en-US"/>
              </w:rPr>
            </w:pPr>
          </w:p>
        </w:tc>
        <w:tc>
          <w:tcPr>
            <w:tcW w:w="503" w:type="pct"/>
          </w:tcPr>
          <w:p w:rsidR="003D28C1" w:rsidRPr="001244FE"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3D28C1" w:rsidRPr="00764FC5"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r>
              <w:rPr>
                <w:rFonts w:asciiTheme="minorHAnsi" w:hAnsiTheme="minorHAnsi"/>
                <w:b/>
                <w:sz w:val="18"/>
                <w:szCs w:val="18"/>
              </w:rPr>
              <w:t xml:space="preserve"> </w:t>
            </w:r>
          </w:p>
        </w:tc>
        <w:tc>
          <w:tcPr>
            <w:tcW w:w="503" w:type="pct"/>
          </w:tcPr>
          <w:p w:rsidR="003D28C1" w:rsidRPr="00D77CDE"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2014–15</w:t>
            </w:r>
          </w:p>
          <w:p w:rsidR="003D28C1" w:rsidRPr="001244FE"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Total</w:t>
            </w:r>
          </w:p>
        </w:tc>
        <w:tc>
          <w:tcPr>
            <w:tcW w:w="503" w:type="pct"/>
          </w:tcPr>
          <w:p w:rsidR="003D28C1" w:rsidRPr="001244FE"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3D28C1" w:rsidRPr="001E1EE2"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b/>
                <w:sz w:val="18"/>
                <w:szCs w:val="18"/>
              </w:rPr>
              <w:t>Total</w:t>
            </w:r>
          </w:p>
        </w:tc>
        <w:tc>
          <w:tcPr>
            <w:tcW w:w="503" w:type="pct"/>
          </w:tcPr>
          <w:p w:rsidR="003D28C1" w:rsidRPr="00B40746"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2016–17</w:t>
            </w:r>
          </w:p>
          <w:p w:rsidR="003D28C1" w:rsidRPr="001E1EE2" w:rsidDel="00660E2F"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40746">
              <w:rPr>
                <w:rFonts w:asciiTheme="minorHAnsi" w:hAnsiTheme="minorHAnsi"/>
                <w:b/>
                <w:sz w:val="18"/>
                <w:szCs w:val="18"/>
              </w:rPr>
              <w:t>Total</w:t>
            </w:r>
          </w:p>
        </w:tc>
        <w:tc>
          <w:tcPr>
            <w:tcW w:w="503" w:type="pct"/>
          </w:tcPr>
          <w:p w:rsidR="003D28C1" w:rsidRPr="00B40746"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w:t>
            </w:r>
            <w:r>
              <w:rPr>
                <w:rFonts w:asciiTheme="minorHAnsi" w:hAnsiTheme="minorHAnsi"/>
                <w:b/>
                <w:sz w:val="18"/>
                <w:szCs w:val="18"/>
              </w:rPr>
              <w:t>7</w:t>
            </w:r>
            <w:r w:rsidRPr="00B40746">
              <w:rPr>
                <w:rFonts w:asciiTheme="minorHAnsi" w:hAnsiTheme="minorHAnsi"/>
                <w:b/>
                <w:sz w:val="18"/>
                <w:szCs w:val="18"/>
              </w:rPr>
              <w:t>–1</w:t>
            </w:r>
            <w:r>
              <w:rPr>
                <w:rFonts w:asciiTheme="minorHAnsi" w:hAnsiTheme="minorHAnsi"/>
                <w:b/>
                <w:sz w:val="18"/>
                <w:szCs w:val="18"/>
              </w:rPr>
              <w:t>8</w:t>
            </w:r>
          </w:p>
          <w:p w:rsidR="003D28C1" w:rsidRPr="001244FE"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Q1</w:t>
            </w:r>
            <w:r w:rsidRPr="001E1EE2" w:rsidDel="00660E2F">
              <w:rPr>
                <w:rFonts w:asciiTheme="minorHAnsi" w:hAnsiTheme="minorHAnsi"/>
                <w:sz w:val="18"/>
                <w:szCs w:val="18"/>
              </w:rPr>
              <w:t xml:space="preserve"> </w:t>
            </w:r>
          </w:p>
        </w:tc>
        <w:tc>
          <w:tcPr>
            <w:tcW w:w="502" w:type="pct"/>
          </w:tcPr>
          <w:p w:rsidR="003D28C1"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2017</w:t>
            </w:r>
            <w:r w:rsidRPr="00B40746">
              <w:rPr>
                <w:rFonts w:asciiTheme="minorHAnsi" w:hAnsiTheme="minorHAnsi"/>
                <w:b/>
                <w:sz w:val="18"/>
                <w:szCs w:val="18"/>
              </w:rPr>
              <w:t>–</w:t>
            </w:r>
            <w:r>
              <w:rPr>
                <w:rFonts w:asciiTheme="minorHAnsi" w:hAnsiTheme="minorHAnsi"/>
                <w:b/>
                <w:sz w:val="18"/>
                <w:szCs w:val="18"/>
              </w:rPr>
              <w:t>18</w:t>
            </w:r>
          </w:p>
          <w:p w:rsidR="003D28C1" w:rsidRPr="00B40746"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Q2</w:t>
            </w:r>
          </w:p>
        </w:tc>
        <w:tc>
          <w:tcPr>
            <w:tcW w:w="501" w:type="pct"/>
          </w:tcPr>
          <w:p w:rsidR="003D28C1" w:rsidRDefault="003D28C1" w:rsidP="003D28C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2017</w:t>
            </w:r>
            <w:r w:rsidRPr="00B40746">
              <w:rPr>
                <w:rFonts w:asciiTheme="minorHAnsi" w:hAnsiTheme="minorHAnsi"/>
                <w:b/>
                <w:sz w:val="18"/>
                <w:szCs w:val="18"/>
              </w:rPr>
              <w:t>–</w:t>
            </w:r>
            <w:r>
              <w:rPr>
                <w:rFonts w:asciiTheme="minorHAnsi" w:hAnsiTheme="minorHAnsi"/>
                <w:b/>
                <w:sz w:val="18"/>
                <w:szCs w:val="18"/>
              </w:rPr>
              <w:t>18</w:t>
            </w:r>
          </w:p>
          <w:p w:rsidR="003D28C1"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3D28C1" w:rsidRPr="00491308" w:rsidTr="008B2C4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491308" w:rsidRDefault="003D28C1" w:rsidP="00660E2F">
            <w:pPr>
              <w:rPr>
                <w:rFonts w:cs="Arial"/>
                <w:bCs/>
                <w:sz w:val="18"/>
                <w:szCs w:val="18"/>
              </w:rPr>
            </w:pPr>
            <w:r w:rsidRPr="00491308">
              <w:rPr>
                <w:rFonts w:cs="Arial"/>
                <w:bCs/>
                <w:sz w:val="18"/>
                <w:szCs w:val="18"/>
              </w:rPr>
              <w:t>Requests outstanding at start of period</w:t>
            </w:r>
          </w:p>
        </w:tc>
        <w:tc>
          <w:tcPr>
            <w:tcW w:w="503" w:type="pct"/>
            <w:noWrap/>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463</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76</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138</w:t>
            </w:r>
          </w:p>
        </w:tc>
        <w:tc>
          <w:tcPr>
            <w:tcW w:w="503" w:type="pct"/>
          </w:tcPr>
          <w:p w:rsidR="003D28C1" w:rsidRPr="00583436" w:rsidDel="00660E2F"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20</w:t>
            </w:r>
          </w:p>
        </w:tc>
        <w:tc>
          <w:tcPr>
            <w:tcW w:w="503" w:type="pct"/>
          </w:tcPr>
          <w:p w:rsidR="003D28C1" w:rsidRPr="00491308"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180</w:t>
            </w:r>
          </w:p>
        </w:tc>
        <w:tc>
          <w:tcPr>
            <w:tcW w:w="502" w:type="pct"/>
          </w:tcPr>
          <w:p w:rsidR="003D28C1" w:rsidRDefault="00F30792"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108</w:t>
            </w:r>
          </w:p>
        </w:tc>
        <w:tc>
          <w:tcPr>
            <w:tcW w:w="501" w:type="pct"/>
          </w:tcPr>
          <w:p w:rsidR="003D28C1" w:rsidRDefault="00F30792"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180</w:t>
            </w:r>
          </w:p>
        </w:tc>
      </w:tr>
      <w:tr w:rsidR="003D28C1" w:rsidRPr="00491308" w:rsidTr="008B2C4E">
        <w:trPr>
          <w:trHeight w:val="459"/>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491308" w:rsidRDefault="003D28C1" w:rsidP="00660E2F">
            <w:pPr>
              <w:rPr>
                <w:rFonts w:cs="Arial"/>
                <w:bCs/>
                <w:sz w:val="18"/>
                <w:szCs w:val="18"/>
              </w:rPr>
            </w:pPr>
            <w:r w:rsidRPr="00491308">
              <w:rPr>
                <w:rFonts w:cs="Arial"/>
                <w:bCs/>
                <w:sz w:val="18"/>
                <w:szCs w:val="18"/>
              </w:rPr>
              <w:t>Requests received in period</w:t>
            </w:r>
          </w:p>
        </w:tc>
        <w:tc>
          <w:tcPr>
            <w:tcW w:w="503" w:type="pct"/>
            <w:noWrap/>
            <w:hideMark/>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1,297</w:t>
            </w:r>
          </w:p>
        </w:tc>
        <w:tc>
          <w:tcPr>
            <w:tcW w:w="503" w:type="pct"/>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973</w:t>
            </w:r>
          </w:p>
        </w:tc>
        <w:tc>
          <w:tcPr>
            <w:tcW w:w="503" w:type="pct"/>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4,146</w:t>
            </w:r>
          </w:p>
        </w:tc>
        <w:tc>
          <w:tcPr>
            <w:tcW w:w="503" w:type="pct"/>
          </w:tcPr>
          <w:p w:rsidR="003D28C1" w:rsidRPr="00583436" w:rsidDel="00660E2F" w:rsidRDefault="003D28C1" w:rsidP="00C750B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2,</w:t>
            </w:r>
            <w:r>
              <w:rPr>
                <w:rFonts w:cs="Arial"/>
                <w:bCs/>
                <w:sz w:val="18"/>
                <w:szCs w:val="18"/>
              </w:rPr>
              <w:t>572</w:t>
            </w:r>
          </w:p>
        </w:tc>
        <w:tc>
          <w:tcPr>
            <w:tcW w:w="503" w:type="pct"/>
          </w:tcPr>
          <w:p w:rsidR="003D28C1" w:rsidRPr="00491308"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448</w:t>
            </w:r>
          </w:p>
        </w:tc>
        <w:tc>
          <w:tcPr>
            <w:tcW w:w="502" w:type="pct"/>
          </w:tcPr>
          <w:p w:rsidR="003D28C1" w:rsidRDefault="00F30792"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2</w:t>
            </w:r>
            <w:r w:rsidR="00C2233C">
              <w:rPr>
                <w:rFonts w:cs="Arial"/>
                <w:bCs/>
                <w:sz w:val="18"/>
                <w:szCs w:val="18"/>
              </w:rPr>
              <w:t>64</w:t>
            </w:r>
          </w:p>
        </w:tc>
        <w:tc>
          <w:tcPr>
            <w:tcW w:w="501" w:type="pct"/>
          </w:tcPr>
          <w:p w:rsidR="003D28C1" w:rsidRDefault="00C2233C"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712</w:t>
            </w:r>
          </w:p>
        </w:tc>
      </w:tr>
      <w:tr w:rsidR="003D28C1" w:rsidRPr="00491308" w:rsidTr="008B2C4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491308" w:rsidRDefault="003D28C1" w:rsidP="00660E2F">
            <w:pPr>
              <w:rPr>
                <w:rFonts w:cs="Arial"/>
                <w:bCs/>
                <w:sz w:val="18"/>
                <w:szCs w:val="18"/>
              </w:rPr>
            </w:pPr>
            <w:r w:rsidRPr="00491308">
              <w:rPr>
                <w:rFonts w:cs="Arial"/>
                <w:bCs/>
                <w:sz w:val="18"/>
                <w:szCs w:val="18"/>
              </w:rPr>
              <w:t>Requests withdrawn in period</w:t>
            </w:r>
          </w:p>
        </w:tc>
        <w:tc>
          <w:tcPr>
            <w:tcW w:w="503" w:type="pct"/>
            <w:noWrap/>
            <w:hideMark/>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162</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42</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1,013</w:t>
            </w:r>
          </w:p>
        </w:tc>
        <w:tc>
          <w:tcPr>
            <w:tcW w:w="503" w:type="pct"/>
          </w:tcPr>
          <w:p w:rsidR="003D28C1" w:rsidRPr="00583436" w:rsidDel="00660E2F"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524</w:t>
            </w:r>
          </w:p>
        </w:tc>
        <w:tc>
          <w:tcPr>
            <w:tcW w:w="503" w:type="pct"/>
          </w:tcPr>
          <w:p w:rsidR="003D28C1" w:rsidRPr="00491308"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41</w:t>
            </w:r>
          </w:p>
        </w:tc>
        <w:tc>
          <w:tcPr>
            <w:tcW w:w="502" w:type="pct"/>
          </w:tcPr>
          <w:p w:rsidR="003D28C1" w:rsidRDefault="00C2233C"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25</w:t>
            </w:r>
          </w:p>
        </w:tc>
        <w:tc>
          <w:tcPr>
            <w:tcW w:w="501" w:type="pct"/>
          </w:tcPr>
          <w:p w:rsidR="003D28C1" w:rsidRDefault="00C2233C"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66</w:t>
            </w:r>
          </w:p>
        </w:tc>
      </w:tr>
      <w:tr w:rsidR="003D28C1" w:rsidRPr="00491308" w:rsidTr="008B2C4E">
        <w:trPr>
          <w:trHeight w:val="459"/>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491308" w:rsidRDefault="003D28C1" w:rsidP="00660E2F">
            <w:pPr>
              <w:rPr>
                <w:rFonts w:cs="Arial"/>
                <w:bCs/>
                <w:sz w:val="18"/>
                <w:szCs w:val="18"/>
              </w:rPr>
            </w:pPr>
            <w:r w:rsidRPr="00491308">
              <w:rPr>
                <w:rFonts w:cs="Arial"/>
                <w:bCs/>
                <w:sz w:val="18"/>
                <w:szCs w:val="18"/>
              </w:rPr>
              <w:t>Requests completed in period</w:t>
            </w:r>
          </w:p>
        </w:tc>
        <w:tc>
          <w:tcPr>
            <w:tcW w:w="503" w:type="pct"/>
            <w:noWrap/>
            <w:hideMark/>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1,522</w:t>
            </w:r>
          </w:p>
        </w:tc>
        <w:tc>
          <w:tcPr>
            <w:tcW w:w="503" w:type="pct"/>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869</w:t>
            </w:r>
          </w:p>
        </w:tc>
        <w:tc>
          <w:tcPr>
            <w:tcW w:w="503" w:type="pct"/>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3,251</w:t>
            </w:r>
          </w:p>
        </w:tc>
        <w:tc>
          <w:tcPr>
            <w:tcW w:w="503" w:type="pct"/>
          </w:tcPr>
          <w:p w:rsidR="003D28C1" w:rsidRPr="00583436" w:rsidDel="00660E2F"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1,888</w:t>
            </w:r>
          </w:p>
        </w:tc>
        <w:tc>
          <w:tcPr>
            <w:tcW w:w="503" w:type="pct"/>
          </w:tcPr>
          <w:p w:rsidR="003D28C1" w:rsidRPr="00491308"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479</w:t>
            </w:r>
          </w:p>
        </w:tc>
        <w:tc>
          <w:tcPr>
            <w:tcW w:w="502" w:type="pct"/>
          </w:tcPr>
          <w:p w:rsidR="003D28C1" w:rsidRDefault="00F30792"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21</w:t>
            </w:r>
            <w:r w:rsidR="00C2233C">
              <w:rPr>
                <w:rFonts w:cs="Arial"/>
                <w:bCs/>
                <w:sz w:val="18"/>
                <w:szCs w:val="18"/>
              </w:rPr>
              <w:t>3</w:t>
            </w:r>
          </w:p>
        </w:tc>
        <w:tc>
          <w:tcPr>
            <w:tcW w:w="501" w:type="pct"/>
          </w:tcPr>
          <w:p w:rsidR="003D28C1" w:rsidRDefault="00F30792"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69</w:t>
            </w:r>
            <w:r w:rsidR="00C2233C">
              <w:rPr>
                <w:rFonts w:cs="Arial"/>
                <w:bCs/>
                <w:sz w:val="18"/>
                <w:szCs w:val="18"/>
              </w:rPr>
              <w:t>2</w:t>
            </w:r>
          </w:p>
        </w:tc>
      </w:tr>
      <w:tr w:rsidR="003D28C1" w:rsidRPr="00491308" w:rsidTr="008B2C4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491308" w:rsidRDefault="003D28C1" w:rsidP="00660E2F">
            <w:pPr>
              <w:rPr>
                <w:rFonts w:cs="Arial"/>
                <w:bCs/>
                <w:sz w:val="18"/>
                <w:szCs w:val="18"/>
              </w:rPr>
            </w:pPr>
            <w:r w:rsidRPr="00491308">
              <w:rPr>
                <w:rFonts w:cs="Arial"/>
                <w:bCs/>
                <w:sz w:val="18"/>
                <w:szCs w:val="18"/>
              </w:rPr>
              <w:t>Average time to completion (business days)</w:t>
            </w:r>
          </w:p>
        </w:tc>
        <w:tc>
          <w:tcPr>
            <w:tcW w:w="503" w:type="pct"/>
            <w:noWrap/>
            <w:hideMark/>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19</w:t>
            </w:r>
          </w:p>
        </w:tc>
        <w:tc>
          <w:tcPr>
            <w:tcW w:w="503" w:type="pct"/>
          </w:tcPr>
          <w:p w:rsidR="003D28C1" w:rsidRPr="00583436" w:rsidDel="00660E2F" w:rsidRDefault="003D28C1" w:rsidP="00473C55">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w:t>
            </w:r>
          </w:p>
        </w:tc>
        <w:tc>
          <w:tcPr>
            <w:tcW w:w="503" w:type="pct"/>
          </w:tcPr>
          <w:p w:rsidR="003D28C1" w:rsidRPr="00491308"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22</w:t>
            </w:r>
          </w:p>
        </w:tc>
        <w:tc>
          <w:tcPr>
            <w:tcW w:w="502" w:type="pct"/>
          </w:tcPr>
          <w:p w:rsidR="003D28C1" w:rsidRDefault="00F30792"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25</w:t>
            </w:r>
          </w:p>
        </w:tc>
        <w:tc>
          <w:tcPr>
            <w:tcW w:w="501" w:type="pct"/>
          </w:tcPr>
          <w:p w:rsidR="003D28C1" w:rsidRDefault="00F30792"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23</w:t>
            </w:r>
          </w:p>
        </w:tc>
      </w:tr>
      <w:tr w:rsidR="003D28C1" w:rsidRPr="00764FC5" w:rsidTr="008B2C4E">
        <w:trPr>
          <w:trHeight w:val="459"/>
        </w:trPr>
        <w:tc>
          <w:tcPr>
            <w:cnfStyle w:val="001000000000" w:firstRow="0" w:lastRow="0" w:firstColumn="1" w:lastColumn="0" w:oddVBand="0" w:evenVBand="0" w:oddHBand="0" w:evenHBand="0" w:firstRowFirstColumn="0" w:firstRowLastColumn="0" w:lastRowFirstColumn="0" w:lastRowLastColumn="0"/>
            <w:tcW w:w="1482" w:type="pct"/>
            <w:noWrap/>
          </w:tcPr>
          <w:p w:rsidR="003D28C1" w:rsidRPr="00764FC5" w:rsidRDefault="003D28C1" w:rsidP="00660E2F">
            <w:pPr>
              <w:rPr>
                <w:rFonts w:eastAsia="Calibri"/>
                <w:sz w:val="18"/>
                <w:szCs w:val="18"/>
              </w:rPr>
            </w:pPr>
            <w:r>
              <w:rPr>
                <w:rFonts w:eastAsia="Calibri"/>
                <w:sz w:val="18"/>
                <w:szCs w:val="18"/>
              </w:rPr>
              <w:t>Median time to completion (business days)</w:t>
            </w:r>
          </w:p>
        </w:tc>
        <w:tc>
          <w:tcPr>
            <w:tcW w:w="503" w:type="pct"/>
            <w:noWrap/>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6</w:t>
            </w:r>
          </w:p>
        </w:tc>
        <w:tc>
          <w:tcPr>
            <w:tcW w:w="503" w:type="pct"/>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12</w:t>
            </w:r>
          </w:p>
        </w:tc>
        <w:tc>
          <w:tcPr>
            <w:tcW w:w="503" w:type="pct"/>
          </w:tcPr>
          <w:p w:rsidR="003D28C1" w:rsidRPr="00583436"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16</w:t>
            </w:r>
          </w:p>
        </w:tc>
        <w:tc>
          <w:tcPr>
            <w:tcW w:w="503" w:type="pct"/>
          </w:tcPr>
          <w:p w:rsidR="003D28C1" w:rsidRPr="00583436" w:rsidDel="00660E2F"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w:t>
            </w:r>
          </w:p>
        </w:tc>
        <w:tc>
          <w:tcPr>
            <w:tcW w:w="503" w:type="pct"/>
          </w:tcPr>
          <w:p w:rsidR="003D28C1" w:rsidRPr="00491308" w:rsidRDefault="003D28C1"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w:t>
            </w:r>
          </w:p>
        </w:tc>
        <w:tc>
          <w:tcPr>
            <w:tcW w:w="502" w:type="pct"/>
          </w:tcPr>
          <w:p w:rsidR="003D28C1" w:rsidRDefault="00C2233C"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15</w:t>
            </w:r>
          </w:p>
        </w:tc>
        <w:tc>
          <w:tcPr>
            <w:tcW w:w="501" w:type="pct"/>
          </w:tcPr>
          <w:p w:rsidR="003D28C1" w:rsidRDefault="00C2233C"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w:t>
            </w:r>
          </w:p>
        </w:tc>
      </w:tr>
      <w:tr w:rsidR="003D28C1" w:rsidRPr="00764FC5" w:rsidTr="008B2C4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2" w:type="pct"/>
            <w:noWrap/>
          </w:tcPr>
          <w:p w:rsidR="003D28C1" w:rsidRDefault="003D28C1" w:rsidP="00660E2F">
            <w:pPr>
              <w:rPr>
                <w:rFonts w:eastAsia="Calibri"/>
                <w:sz w:val="18"/>
                <w:szCs w:val="18"/>
              </w:rPr>
            </w:pPr>
            <w:r w:rsidRPr="00764FC5">
              <w:rPr>
                <w:rFonts w:eastAsia="Calibri"/>
                <w:sz w:val="18"/>
                <w:szCs w:val="18"/>
              </w:rPr>
              <w:t>Requests outstanding at end of period</w:t>
            </w:r>
          </w:p>
        </w:tc>
        <w:tc>
          <w:tcPr>
            <w:tcW w:w="503" w:type="pct"/>
            <w:noWrap/>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76</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138</w:t>
            </w:r>
          </w:p>
        </w:tc>
        <w:tc>
          <w:tcPr>
            <w:tcW w:w="503" w:type="pct"/>
          </w:tcPr>
          <w:p w:rsidR="003D28C1" w:rsidRPr="00583436"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20</w:t>
            </w:r>
          </w:p>
        </w:tc>
        <w:tc>
          <w:tcPr>
            <w:tcW w:w="503" w:type="pct"/>
          </w:tcPr>
          <w:p w:rsidR="003D28C1" w:rsidRPr="00583436" w:rsidDel="00660E2F"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180</w:t>
            </w:r>
          </w:p>
        </w:tc>
        <w:tc>
          <w:tcPr>
            <w:tcW w:w="503" w:type="pct"/>
          </w:tcPr>
          <w:p w:rsidR="003D28C1" w:rsidRPr="00491308" w:rsidRDefault="003D28C1"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108</w:t>
            </w:r>
          </w:p>
        </w:tc>
        <w:tc>
          <w:tcPr>
            <w:tcW w:w="502" w:type="pct"/>
          </w:tcPr>
          <w:p w:rsidR="003D28C1" w:rsidRDefault="00F30792"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w:t>
            </w:r>
            <w:r w:rsidR="00C2233C">
              <w:rPr>
                <w:rFonts w:cs="Arial"/>
                <w:bCs/>
                <w:sz w:val="18"/>
                <w:szCs w:val="18"/>
              </w:rPr>
              <w:t>34</w:t>
            </w:r>
          </w:p>
        </w:tc>
        <w:tc>
          <w:tcPr>
            <w:tcW w:w="501" w:type="pct"/>
          </w:tcPr>
          <w:p w:rsidR="003D28C1" w:rsidRDefault="00F30792"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w:t>
            </w:r>
            <w:r w:rsidR="00C2233C">
              <w:rPr>
                <w:rFonts w:cs="Arial"/>
                <w:bCs/>
                <w:sz w:val="18"/>
                <w:szCs w:val="18"/>
              </w:rPr>
              <w:t>34</w:t>
            </w:r>
          </w:p>
        </w:tc>
      </w:tr>
    </w:tbl>
    <w:p w:rsidR="004940D8" w:rsidRPr="00255C1E" w:rsidRDefault="000B288A" w:rsidP="00E60E7C">
      <w:pPr>
        <w:pStyle w:val="TableText"/>
        <w:rPr>
          <w:sz w:val="18"/>
          <w:szCs w:val="18"/>
        </w:rPr>
      </w:pPr>
      <w:r w:rsidRPr="00255C1E">
        <w:rPr>
          <w:sz w:val="18"/>
          <w:szCs w:val="18"/>
        </w:rPr>
        <w:t>Note:  The table identifies</w:t>
      </w:r>
      <w:r w:rsidR="00166823" w:rsidRPr="00255C1E">
        <w:rPr>
          <w:sz w:val="18"/>
          <w:szCs w:val="18"/>
        </w:rPr>
        <w:t xml:space="preserve"> the number of ‘options’ received by the PBO, noting </w:t>
      </w:r>
      <w:r w:rsidR="00D537C5" w:rsidRPr="00255C1E">
        <w:rPr>
          <w:sz w:val="18"/>
          <w:szCs w:val="18"/>
        </w:rPr>
        <w:t>that</w:t>
      </w:r>
      <w:r w:rsidR="00166823" w:rsidRPr="00255C1E">
        <w:rPr>
          <w:sz w:val="18"/>
          <w:szCs w:val="18"/>
        </w:rPr>
        <w:t xml:space="preserve"> a single request can contain multiple options.</w:t>
      </w:r>
    </w:p>
    <w:p w:rsidR="00F36BEB" w:rsidRDefault="00F36BE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 xml:space="preserve">in </w:t>
      </w:r>
      <w:r w:rsidR="00357D9F">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sidR="00310C2F">
        <w:rPr>
          <w:rFonts w:asciiTheme="minorHAnsi" w:eastAsiaTheme="minorHAnsi" w:hAnsiTheme="minorHAnsi" w:cstheme="minorBidi"/>
          <w:color w:val="1F497D" w:themeColor="text2"/>
          <w:spacing w:val="-4"/>
          <w:sz w:val="20"/>
          <w:lang w:eastAsia="en-US"/>
        </w:rPr>
        <w:t>–</w:t>
      </w:r>
      <w:r w:rsidR="001244FE">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1244FE">
        <w:rPr>
          <w:rFonts w:asciiTheme="minorHAnsi" w:eastAsiaTheme="minorHAnsi" w:hAnsiTheme="minorHAnsi" w:cstheme="minorBidi"/>
          <w:color w:val="1F497D" w:themeColor="text2"/>
          <w:spacing w:val="-4"/>
          <w:sz w:val="20"/>
          <w:lang w:eastAsia="en-US"/>
        </w:rPr>
        <w:t xml:space="preserve"> to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1 December</w:t>
      </w:r>
      <w:r w:rsidR="00096B79">
        <w:rPr>
          <w:rFonts w:asciiTheme="minorHAnsi" w:eastAsiaTheme="minorHAnsi" w:hAnsiTheme="minorHAnsi" w:cstheme="minorBidi"/>
          <w:color w:val="1F497D" w:themeColor="text2"/>
          <w:spacing w:val="-4"/>
          <w:sz w:val="20"/>
          <w:lang w:eastAsia="en-US"/>
        </w:rPr>
        <w:t xml:space="preserve"> </w:t>
      </w:r>
      <w:r w:rsidR="0046029E">
        <w:rPr>
          <w:rFonts w:asciiTheme="minorHAnsi" w:eastAsiaTheme="minorHAnsi" w:hAnsiTheme="minorHAnsi" w:cstheme="minorBidi"/>
          <w:color w:val="1F497D" w:themeColor="text2"/>
          <w:spacing w:val="-4"/>
          <w:sz w:val="20"/>
          <w:lang w:eastAsia="en-US"/>
        </w:rPr>
        <w:t>2017</w:t>
      </w:r>
    </w:p>
    <w:p w:rsidR="00ED1C54" w:rsidRPr="008B2C4E" w:rsidRDefault="00EB30C6" w:rsidP="008B2C4E">
      <w:r>
        <w:rPr>
          <w:noProof/>
          <w:lang w:eastAsia="en-AU"/>
        </w:rPr>
        <w:drawing>
          <wp:inline distT="0" distB="0" distL="0" distR="0" wp14:anchorId="717CBCDC" wp14:editId="59663F54">
            <wp:extent cx="5731510" cy="2760432"/>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760432"/>
                    </a:xfrm>
                    <a:prstGeom prst="rect">
                      <a:avLst/>
                    </a:prstGeom>
                  </pic:spPr>
                </pic:pic>
              </a:graphicData>
            </a:graphic>
          </wp:inline>
        </w:drawing>
      </w:r>
    </w:p>
    <w:p w:rsidR="003553BD" w:rsidRPr="003553BD" w:rsidRDefault="003553BD" w:rsidP="00E60E7C">
      <w:pPr>
        <w:pStyle w:val="PBOtext"/>
      </w:pPr>
      <w:r>
        <w:br w:type="page"/>
      </w:r>
    </w:p>
    <w:p w:rsidR="007432E3" w:rsidRDefault="007432E3" w:rsidP="00E60E7C">
      <w:pPr>
        <w:pStyle w:val="PBOheading1"/>
      </w:pPr>
      <w:r w:rsidRPr="00344B8D">
        <w:lastRenderedPageBreak/>
        <w:t xml:space="preserve">Requests by </w:t>
      </w:r>
      <w:r w:rsidRPr="00BB0ADB">
        <w:t>the</w:t>
      </w:r>
      <w:r>
        <w:t xml:space="preserve"> </w:t>
      </w:r>
      <w:r w:rsidRPr="00344B8D">
        <w:t xml:space="preserve">PBO for information from </w:t>
      </w:r>
      <w:r>
        <w:t>agencies</w:t>
      </w:r>
    </w:p>
    <w:p w:rsidR="007432E3"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Pr>
          <w:rFonts w:asciiTheme="minorHAnsi" w:eastAsiaTheme="minorHAnsi" w:hAnsiTheme="minorHAnsi" w:cstheme="minorBidi"/>
          <w:color w:val="1F497D" w:themeColor="text2"/>
          <w:spacing w:val="-4"/>
          <w:sz w:val="20"/>
          <w:lang w:eastAsia="en-US"/>
        </w:rPr>
        <w:t xml:space="preserve"> 2</w:t>
      </w:r>
      <w:r w:rsidRPr="005D002A">
        <w:rPr>
          <w:rFonts w:asciiTheme="minorHAnsi" w:eastAsiaTheme="minorHAnsi" w:hAnsiTheme="minorHAnsi" w:cstheme="minorBidi"/>
          <w:color w:val="1F497D" w:themeColor="text2"/>
          <w:spacing w:val="-4"/>
          <w:sz w:val="20"/>
          <w:lang w:eastAsia="en-US"/>
        </w:rPr>
        <w:t>: Information requests to agencies</w:t>
      </w:r>
      <w:r w:rsidR="006F770F">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 xml:space="preserve">to </w:t>
      </w:r>
      <w:r w:rsidR="00DE0325">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A8196E">
        <w:rPr>
          <w:rFonts w:asciiTheme="minorHAnsi" w:eastAsiaTheme="minorHAnsi" w:hAnsiTheme="minorHAnsi" w:cstheme="minorBidi"/>
          <w:color w:val="1F497D" w:themeColor="text2"/>
          <w:spacing w:val="-4"/>
          <w:sz w:val="20"/>
          <w:lang w:eastAsia="en-US"/>
        </w:rPr>
        <w:t>December 2017</w:t>
      </w:r>
    </w:p>
    <w:tbl>
      <w:tblPr>
        <w:tblStyle w:val="TableGrid21"/>
        <w:tblW w:w="5000" w:type="pct"/>
        <w:tblLayout w:type="fixed"/>
        <w:tblLook w:val="04A0" w:firstRow="1" w:lastRow="0" w:firstColumn="1" w:lastColumn="0" w:noHBand="0" w:noVBand="1"/>
      </w:tblPr>
      <w:tblGrid>
        <w:gridCol w:w="2676"/>
        <w:gridCol w:w="908"/>
        <w:gridCol w:w="908"/>
        <w:gridCol w:w="908"/>
        <w:gridCol w:w="908"/>
        <w:gridCol w:w="908"/>
        <w:gridCol w:w="906"/>
        <w:gridCol w:w="904"/>
      </w:tblGrid>
      <w:tr w:rsidR="003D28C1" w:rsidRPr="001244FE" w:rsidTr="008B2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82" w:type="pct"/>
            <w:noWrap/>
            <w:hideMark/>
          </w:tcPr>
          <w:p w:rsidR="003D28C1" w:rsidRPr="001244FE" w:rsidRDefault="003D28C1" w:rsidP="00E60E7C">
            <w:pPr>
              <w:keepNext/>
              <w:keepLines/>
              <w:rPr>
                <w:rFonts w:asciiTheme="minorHAnsi" w:hAnsiTheme="minorHAnsi"/>
                <w:b/>
                <w:sz w:val="18"/>
                <w:szCs w:val="18"/>
              </w:rPr>
            </w:pPr>
          </w:p>
        </w:tc>
        <w:tc>
          <w:tcPr>
            <w:tcW w:w="503" w:type="pct"/>
            <w:noWrap/>
            <w:hideMark/>
          </w:tcPr>
          <w:p w:rsidR="003D28C1" w:rsidRPr="00A14D88"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2013–14</w:t>
            </w:r>
          </w:p>
          <w:p w:rsidR="003D28C1" w:rsidRPr="00A14D88"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503" w:type="pct"/>
          </w:tcPr>
          <w:p w:rsidR="003D28C1" w:rsidRPr="00A14D88"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2014–15</w:t>
            </w:r>
          </w:p>
          <w:p w:rsidR="003D28C1" w:rsidRPr="00A14D88"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503" w:type="pct"/>
          </w:tcPr>
          <w:p w:rsidR="003D28C1" w:rsidRPr="00A14D88"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2015–16</w:t>
            </w:r>
          </w:p>
          <w:p w:rsidR="003D28C1" w:rsidRPr="00A14D88"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503" w:type="pct"/>
          </w:tcPr>
          <w:p w:rsidR="003D28C1" w:rsidRPr="00A14D88" w:rsidRDefault="003D28C1" w:rsidP="005E7A3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2016–17</w:t>
            </w:r>
          </w:p>
          <w:p w:rsidR="003D28C1" w:rsidRPr="00A14D88" w:rsidDel="00660E2F"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503" w:type="pct"/>
          </w:tcPr>
          <w:p w:rsidR="003D28C1" w:rsidRPr="00A14D88" w:rsidRDefault="003D28C1"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2017–18</w:t>
            </w:r>
          </w:p>
          <w:p w:rsidR="003D28C1" w:rsidRPr="003B1E80" w:rsidRDefault="003D28C1"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Q1</w:t>
            </w:r>
          </w:p>
        </w:tc>
        <w:tc>
          <w:tcPr>
            <w:tcW w:w="502" w:type="pct"/>
          </w:tcPr>
          <w:p w:rsidR="003D28C1" w:rsidRPr="00A14D88" w:rsidRDefault="003D28C1" w:rsidP="0007258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2017–18</w:t>
            </w:r>
          </w:p>
          <w:p w:rsidR="003D28C1" w:rsidRPr="00A14D88" w:rsidRDefault="003D28C1" w:rsidP="0007258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Q</w:t>
            </w:r>
            <w:r>
              <w:rPr>
                <w:rFonts w:asciiTheme="minorHAnsi" w:hAnsiTheme="minorHAnsi"/>
                <w:b/>
                <w:sz w:val="18"/>
                <w:szCs w:val="18"/>
              </w:rPr>
              <w:t>2</w:t>
            </w:r>
          </w:p>
        </w:tc>
        <w:tc>
          <w:tcPr>
            <w:tcW w:w="501" w:type="pct"/>
          </w:tcPr>
          <w:p w:rsidR="003D28C1" w:rsidRPr="00A14D88" w:rsidRDefault="003D28C1" w:rsidP="003D28C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2017–18</w:t>
            </w:r>
          </w:p>
          <w:p w:rsidR="003D28C1" w:rsidRPr="00A14D88" w:rsidRDefault="003D28C1" w:rsidP="0007258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3D28C1" w:rsidRPr="00B6426B" w:rsidTr="008B2C4E">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482" w:type="pct"/>
            <w:shd w:val="clear" w:color="auto" w:fill="2B3B5F"/>
            <w:noWrap/>
          </w:tcPr>
          <w:p w:rsidR="003D28C1" w:rsidRPr="00D00268" w:rsidRDefault="003D28C1" w:rsidP="00D00268">
            <w:pPr>
              <w:spacing w:line="240" w:lineRule="auto"/>
              <w:ind w:left="0"/>
              <w:rPr>
                <w:rFonts w:eastAsia="Calibri"/>
                <w:sz w:val="4"/>
                <w:szCs w:val="4"/>
              </w:rPr>
            </w:pPr>
          </w:p>
        </w:tc>
        <w:tc>
          <w:tcPr>
            <w:tcW w:w="503" w:type="pct"/>
            <w:shd w:val="clear" w:color="auto" w:fill="2B3B5F"/>
            <w:noWrap/>
          </w:tcPr>
          <w:p w:rsidR="003D28C1" w:rsidRPr="00583436" w:rsidRDefault="003D28C1"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3" w:type="pct"/>
            <w:shd w:val="clear" w:color="auto" w:fill="2B3B5F"/>
          </w:tcPr>
          <w:p w:rsidR="003D28C1" w:rsidRPr="00583436" w:rsidRDefault="003D28C1" w:rsidP="00D002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4"/>
                <w:szCs w:val="4"/>
              </w:rPr>
            </w:pPr>
          </w:p>
        </w:tc>
        <w:tc>
          <w:tcPr>
            <w:tcW w:w="503" w:type="pct"/>
            <w:shd w:val="clear" w:color="auto" w:fill="2B3B5F"/>
          </w:tcPr>
          <w:p w:rsidR="003D28C1" w:rsidRPr="00583436" w:rsidRDefault="003D28C1"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3" w:type="pct"/>
            <w:shd w:val="clear" w:color="auto" w:fill="2B3B5F"/>
          </w:tcPr>
          <w:p w:rsidR="003D28C1" w:rsidRPr="00583436" w:rsidRDefault="003D28C1"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3" w:type="pct"/>
            <w:shd w:val="clear" w:color="auto" w:fill="2B3B5F"/>
          </w:tcPr>
          <w:p w:rsidR="003D28C1" w:rsidRPr="00D00268" w:rsidRDefault="003D28C1"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2" w:type="pct"/>
            <w:shd w:val="clear" w:color="auto" w:fill="2B3B5F"/>
          </w:tcPr>
          <w:p w:rsidR="003D28C1" w:rsidRPr="00D00268" w:rsidRDefault="003D28C1"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1" w:type="pct"/>
            <w:shd w:val="clear" w:color="auto" w:fill="2B3B5F"/>
          </w:tcPr>
          <w:p w:rsidR="003D28C1" w:rsidRPr="00D00268" w:rsidRDefault="003D28C1"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r>
      <w:tr w:rsidR="003D28C1" w:rsidRPr="00B6426B" w:rsidTr="008B2C4E">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1244FE" w:rsidRDefault="003D28C1" w:rsidP="00E60E7C">
            <w:pPr>
              <w:rPr>
                <w:rFonts w:asciiTheme="minorHAnsi" w:hAnsiTheme="minorHAnsi"/>
                <w:sz w:val="18"/>
                <w:szCs w:val="18"/>
              </w:rPr>
            </w:pPr>
            <w:r>
              <w:rPr>
                <w:rFonts w:eastAsia="Calibri"/>
                <w:sz w:val="18"/>
                <w:szCs w:val="18"/>
              </w:rPr>
              <w:t xml:space="preserve">Requests outstanding at start of </w:t>
            </w:r>
            <w:r w:rsidRPr="00FF6FE9">
              <w:rPr>
                <w:rFonts w:eastAsia="Calibri"/>
                <w:sz w:val="18"/>
                <w:szCs w:val="18"/>
              </w:rPr>
              <w:t>period</w:t>
            </w:r>
          </w:p>
        </w:tc>
        <w:tc>
          <w:tcPr>
            <w:tcW w:w="503" w:type="pct"/>
            <w:noWrap/>
            <w:hideMark/>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28</w:t>
            </w:r>
          </w:p>
        </w:tc>
        <w:tc>
          <w:tcPr>
            <w:tcW w:w="503" w:type="pct"/>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16</w:t>
            </w:r>
          </w:p>
        </w:tc>
        <w:tc>
          <w:tcPr>
            <w:tcW w:w="503" w:type="pct"/>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3</w:t>
            </w:r>
          </w:p>
        </w:tc>
        <w:tc>
          <w:tcPr>
            <w:tcW w:w="503" w:type="pct"/>
          </w:tcPr>
          <w:p w:rsidR="003D28C1" w:rsidRPr="00583436" w:rsidDel="00660E2F"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583436">
              <w:rPr>
                <w:bCs/>
                <w:color w:val="000000"/>
                <w:sz w:val="18"/>
                <w:szCs w:val="18"/>
              </w:rPr>
              <w:t>1</w:t>
            </w:r>
          </w:p>
        </w:tc>
        <w:tc>
          <w:tcPr>
            <w:tcW w:w="503" w:type="pct"/>
          </w:tcPr>
          <w:p w:rsidR="003D28C1" w:rsidRPr="007C1A69"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16</w:t>
            </w:r>
          </w:p>
        </w:tc>
        <w:tc>
          <w:tcPr>
            <w:tcW w:w="502" w:type="pct"/>
          </w:tcPr>
          <w:p w:rsidR="003D28C1" w:rsidRDefault="00F30792"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13</w:t>
            </w:r>
          </w:p>
        </w:tc>
        <w:tc>
          <w:tcPr>
            <w:tcW w:w="501" w:type="pct"/>
          </w:tcPr>
          <w:p w:rsidR="003D28C1" w:rsidRDefault="00F11EE8"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16</w:t>
            </w:r>
          </w:p>
        </w:tc>
      </w:tr>
      <w:tr w:rsidR="003D28C1" w:rsidRPr="00B6426B" w:rsidTr="008B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1244FE" w:rsidRDefault="003D28C1" w:rsidP="00E60E7C">
            <w:pPr>
              <w:rPr>
                <w:rFonts w:asciiTheme="minorHAnsi" w:hAnsiTheme="minorHAnsi"/>
                <w:sz w:val="18"/>
                <w:szCs w:val="18"/>
              </w:rPr>
            </w:pPr>
            <w:r w:rsidRPr="001244FE">
              <w:rPr>
                <w:rFonts w:asciiTheme="minorHAnsi" w:hAnsiTheme="minorHAnsi"/>
                <w:sz w:val="18"/>
                <w:szCs w:val="18"/>
              </w:rPr>
              <w:t>Requests sent in period</w:t>
            </w:r>
          </w:p>
        </w:tc>
        <w:tc>
          <w:tcPr>
            <w:tcW w:w="503" w:type="pct"/>
            <w:noWrap/>
            <w:hideMark/>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388</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203</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743</w:t>
            </w:r>
          </w:p>
        </w:tc>
        <w:tc>
          <w:tcPr>
            <w:tcW w:w="503" w:type="pct"/>
          </w:tcPr>
          <w:p w:rsidR="003D28C1" w:rsidRPr="00583436" w:rsidDel="00660E2F"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523</w:t>
            </w:r>
          </w:p>
        </w:tc>
        <w:tc>
          <w:tcPr>
            <w:tcW w:w="503" w:type="pct"/>
          </w:tcPr>
          <w:p w:rsidR="003D28C1" w:rsidRPr="007C1A69"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57</w:t>
            </w:r>
          </w:p>
        </w:tc>
        <w:tc>
          <w:tcPr>
            <w:tcW w:w="502" w:type="pct"/>
          </w:tcPr>
          <w:p w:rsidR="003D28C1" w:rsidRDefault="00F30792"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r w:rsidR="006A0C05">
              <w:rPr>
                <w:bCs/>
                <w:color w:val="000000"/>
                <w:sz w:val="18"/>
                <w:szCs w:val="18"/>
              </w:rPr>
              <w:t>43</w:t>
            </w:r>
          </w:p>
        </w:tc>
        <w:tc>
          <w:tcPr>
            <w:tcW w:w="501" w:type="pct"/>
          </w:tcPr>
          <w:p w:rsidR="003D28C1" w:rsidRDefault="00F11EE8"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r w:rsidR="006A0C05">
              <w:rPr>
                <w:bCs/>
                <w:color w:val="000000"/>
                <w:sz w:val="18"/>
                <w:szCs w:val="18"/>
              </w:rPr>
              <w:t>00</w:t>
            </w:r>
          </w:p>
        </w:tc>
      </w:tr>
      <w:tr w:rsidR="003D28C1" w:rsidRPr="00B6426B" w:rsidTr="008B2C4E">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1244FE" w:rsidRDefault="005E40C5" w:rsidP="005E40C5">
            <w:pPr>
              <w:rPr>
                <w:rFonts w:asciiTheme="minorHAnsi" w:hAnsiTheme="minorHAnsi"/>
                <w:sz w:val="18"/>
                <w:szCs w:val="18"/>
              </w:rPr>
            </w:pPr>
            <w:r w:rsidRPr="001244FE">
              <w:rPr>
                <w:rFonts w:asciiTheme="minorHAnsi" w:hAnsiTheme="minorHAnsi"/>
                <w:sz w:val="18"/>
                <w:szCs w:val="18"/>
              </w:rPr>
              <w:t>Re</w:t>
            </w:r>
            <w:r>
              <w:rPr>
                <w:rFonts w:asciiTheme="minorHAnsi" w:hAnsiTheme="minorHAnsi"/>
                <w:sz w:val="18"/>
                <w:szCs w:val="18"/>
              </w:rPr>
              <w:t>sponses</w:t>
            </w:r>
            <w:r w:rsidRPr="001244FE">
              <w:rPr>
                <w:rFonts w:asciiTheme="minorHAnsi" w:hAnsiTheme="minorHAnsi"/>
                <w:sz w:val="18"/>
                <w:szCs w:val="18"/>
              </w:rPr>
              <w:t xml:space="preserve"> </w:t>
            </w:r>
            <w:r w:rsidR="003D28C1" w:rsidRPr="001244FE">
              <w:rPr>
                <w:rFonts w:asciiTheme="minorHAnsi" w:hAnsiTheme="minorHAnsi"/>
                <w:sz w:val="18"/>
                <w:szCs w:val="18"/>
              </w:rPr>
              <w:t>received in period</w:t>
            </w:r>
          </w:p>
        </w:tc>
        <w:tc>
          <w:tcPr>
            <w:tcW w:w="503" w:type="pct"/>
            <w:noWrap/>
            <w:hideMark/>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400</w:t>
            </w:r>
          </w:p>
        </w:tc>
        <w:tc>
          <w:tcPr>
            <w:tcW w:w="503" w:type="pct"/>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216</w:t>
            </w:r>
          </w:p>
        </w:tc>
        <w:tc>
          <w:tcPr>
            <w:tcW w:w="503" w:type="pct"/>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745</w:t>
            </w:r>
          </w:p>
        </w:tc>
        <w:tc>
          <w:tcPr>
            <w:tcW w:w="503" w:type="pct"/>
          </w:tcPr>
          <w:p w:rsidR="003D28C1" w:rsidRPr="00583436" w:rsidDel="00660E2F"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508</w:t>
            </w:r>
          </w:p>
        </w:tc>
        <w:tc>
          <w:tcPr>
            <w:tcW w:w="503" w:type="pct"/>
          </w:tcPr>
          <w:p w:rsidR="003D28C1" w:rsidRPr="007C1A69"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60</w:t>
            </w:r>
          </w:p>
        </w:tc>
        <w:tc>
          <w:tcPr>
            <w:tcW w:w="502" w:type="pct"/>
          </w:tcPr>
          <w:p w:rsidR="003D28C1" w:rsidRDefault="00F30792"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82</w:t>
            </w:r>
          </w:p>
        </w:tc>
        <w:tc>
          <w:tcPr>
            <w:tcW w:w="501" w:type="pct"/>
          </w:tcPr>
          <w:p w:rsidR="003D28C1" w:rsidRDefault="00F11EE8"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142</w:t>
            </w:r>
          </w:p>
        </w:tc>
      </w:tr>
      <w:tr w:rsidR="003D28C1" w:rsidRPr="00B6426B" w:rsidTr="008B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A14D88" w:rsidRDefault="005E40C5" w:rsidP="00E60E7C">
            <w:pPr>
              <w:ind w:left="426"/>
              <w:rPr>
                <w:rFonts w:asciiTheme="minorHAnsi" w:hAnsiTheme="minorHAnsi"/>
                <w:sz w:val="18"/>
                <w:szCs w:val="18"/>
              </w:rPr>
            </w:pPr>
            <w:r>
              <w:rPr>
                <w:rFonts w:asciiTheme="minorHAnsi" w:hAnsiTheme="minorHAnsi"/>
                <w:sz w:val="18"/>
                <w:szCs w:val="18"/>
              </w:rPr>
              <w:t>Responses</w:t>
            </w:r>
            <w:r w:rsidRPr="00A14D88">
              <w:rPr>
                <w:rFonts w:asciiTheme="minorHAnsi" w:hAnsiTheme="minorHAnsi"/>
                <w:sz w:val="18"/>
                <w:szCs w:val="18"/>
              </w:rPr>
              <w:t xml:space="preserve"> </w:t>
            </w:r>
            <w:r w:rsidR="003D28C1" w:rsidRPr="00A14D88">
              <w:rPr>
                <w:rFonts w:asciiTheme="minorHAnsi" w:hAnsiTheme="minorHAnsi"/>
                <w:sz w:val="18"/>
                <w:szCs w:val="18"/>
              </w:rPr>
              <w:t>received by due date</w:t>
            </w:r>
          </w:p>
        </w:tc>
        <w:tc>
          <w:tcPr>
            <w:tcW w:w="503" w:type="pct"/>
            <w:noWrap/>
            <w:hideMark/>
          </w:tcPr>
          <w:p w:rsidR="003D28C1" w:rsidRPr="00A14D88"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bCs/>
                <w:iCs/>
                <w:color w:val="000000"/>
                <w:sz w:val="18"/>
                <w:szCs w:val="18"/>
              </w:rPr>
              <w:t>209</w:t>
            </w:r>
          </w:p>
        </w:tc>
        <w:tc>
          <w:tcPr>
            <w:tcW w:w="503" w:type="pct"/>
          </w:tcPr>
          <w:p w:rsidR="003D28C1" w:rsidRPr="00A14D88"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rFonts w:asciiTheme="minorHAnsi" w:hAnsiTheme="minorHAnsi" w:cs="Arial"/>
                <w:bCs/>
                <w:sz w:val="18"/>
                <w:szCs w:val="18"/>
              </w:rPr>
              <w:t>147</w:t>
            </w:r>
          </w:p>
        </w:tc>
        <w:tc>
          <w:tcPr>
            <w:tcW w:w="503" w:type="pct"/>
          </w:tcPr>
          <w:p w:rsidR="003D28C1" w:rsidRPr="00A14D88"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bCs/>
                <w:color w:val="000000"/>
                <w:sz w:val="18"/>
                <w:szCs w:val="18"/>
              </w:rPr>
              <w:t>695</w:t>
            </w:r>
          </w:p>
        </w:tc>
        <w:tc>
          <w:tcPr>
            <w:tcW w:w="503" w:type="pct"/>
          </w:tcPr>
          <w:p w:rsidR="003D28C1" w:rsidRPr="00A14D88" w:rsidDel="00660E2F"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14D88">
              <w:rPr>
                <w:bCs/>
                <w:color w:val="000000"/>
                <w:sz w:val="18"/>
                <w:szCs w:val="18"/>
              </w:rPr>
              <w:t>499</w:t>
            </w:r>
          </w:p>
        </w:tc>
        <w:tc>
          <w:tcPr>
            <w:tcW w:w="503" w:type="pct"/>
          </w:tcPr>
          <w:p w:rsidR="003D28C1" w:rsidRPr="00A14D88"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14D88">
              <w:rPr>
                <w:bCs/>
                <w:color w:val="000000"/>
                <w:sz w:val="18"/>
                <w:szCs w:val="18"/>
              </w:rPr>
              <w:t>57</w:t>
            </w:r>
          </w:p>
        </w:tc>
        <w:tc>
          <w:tcPr>
            <w:tcW w:w="502" w:type="pct"/>
          </w:tcPr>
          <w:p w:rsidR="003D28C1" w:rsidRPr="00A14D88" w:rsidRDefault="001A6FF8"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81</w:t>
            </w:r>
          </w:p>
        </w:tc>
        <w:tc>
          <w:tcPr>
            <w:tcW w:w="501" w:type="pct"/>
          </w:tcPr>
          <w:p w:rsidR="003D28C1" w:rsidRPr="00A14D88" w:rsidRDefault="00F11EE8" w:rsidP="001449A8">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13</w:t>
            </w:r>
            <w:r w:rsidR="001449A8">
              <w:rPr>
                <w:bCs/>
                <w:color w:val="000000"/>
                <w:sz w:val="18"/>
                <w:szCs w:val="18"/>
              </w:rPr>
              <w:t>8</w:t>
            </w:r>
          </w:p>
        </w:tc>
      </w:tr>
      <w:tr w:rsidR="003D28C1" w:rsidRPr="00B6426B" w:rsidTr="008B2C4E">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A14D88" w:rsidRDefault="005E40C5" w:rsidP="00E60E7C">
            <w:pPr>
              <w:ind w:left="426"/>
              <w:rPr>
                <w:rFonts w:asciiTheme="minorHAnsi" w:hAnsiTheme="minorHAnsi"/>
                <w:sz w:val="18"/>
                <w:szCs w:val="18"/>
              </w:rPr>
            </w:pPr>
            <w:r>
              <w:rPr>
                <w:rFonts w:asciiTheme="minorHAnsi" w:hAnsiTheme="minorHAnsi"/>
                <w:sz w:val="18"/>
                <w:szCs w:val="18"/>
              </w:rPr>
              <w:t>Responses</w:t>
            </w:r>
            <w:r w:rsidRPr="00A14D88">
              <w:rPr>
                <w:rFonts w:asciiTheme="minorHAnsi" w:hAnsiTheme="minorHAnsi"/>
                <w:sz w:val="18"/>
                <w:szCs w:val="18"/>
              </w:rPr>
              <w:t xml:space="preserve"> </w:t>
            </w:r>
            <w:r w:rsidR="003D28C1" w:rsidRPr="00A14D88">
              <w:rPr>
                <w:rFonts w:asciiTheme="minorHAnsi" w:hAnsiTheme="minorHAnsi"/>
                <w:sz w:val="18"/>
                <w:szCs w:val="18"/>
              </w:rPr>
              <w:t>received after due date</w:t>
            </w:r>
          </w:p>
        </w:tc>
        <w:tc>
          <w:tcPr>
            <w:tcW w:w="503" w:type="pct"/>
            <w:noWrap/>
            <w:hideMark/>
          </w:tcPr>
          <w:p w:rsidR="003D28C1" w:rsidRPr="00A14D88"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A14D88">
              <w:rPr>
                <w:bCs/>
                <w:iCs/>
                <w:color w:val="000000"/>
                <w:sz w:val="18"/>
                <w:szCs w:val="18"/>
              </w:rPr>
              <w:t>191</w:t>
            </w:r>
          </w:p>
        </w:tc>
        <w:tc>
          <w:tcPr>
            <w:tcW w:w="503" w:type="pct"/>
          </w:tcPr>
          <w:p w:rsidR="003D28C1" w:rsidRPr="00A14D88"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A14D88">
              <w:rPr>
                <w:rFonts w:asciiTheme="minorHAnsi" w:hAnsiTheme="minorHAnsi" w:cs="Arial"/>
                <w:bCs/>
                <w:sz w:val="18"/>
                <w:szCs w:val="18"/>
              </w:rPr>
              <w:t>69</w:t>
            </w:r>
          </w:p>
        </w:tc>
        <w:tc>
          <w:tcPr>
            <w:tcW w:w="503" w:type="pct"/>
          </w:tcPr>
          <w:p w:rsidR="003D28C1" w:rsidRPr="00A14D88"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50</w:t>
            </w:r>
          </w:p>
        </w:tc>
        <w:tc>
          <w:tcPr>
            <w:tcW w:w="503" w:type="pct"/>
          </w:tcPr>
          <w:p w:rsidR="003D28C1" w:rsidRPr="00A14D88" w:rsidDel="00660E2F"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9</w:t>
            </w:r>
          </w:p>
        </w:tc>
        <w:tc>
          <w:tcPr>
            <w:tcW w:w="503" w:type="pct"/>
          </w:tcPr>
          <w:p w:rsidR="003D28C1" w:rsidRPr="00A14D88"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3</w:t>
            </w:r>
          </w:p>
        </w:tc>
        <w:tc>
          <w:tcPr>
            <w:tcW w:w="502" w:type="pct"/>
          </w:tcPr>
          <w:p w:rsidR="003D28C1" w:rsidRPr="00A14D88" w:rsidRDefault="00E37D6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w:t>
            </w:r>
          </w:p>
        </w:tc>
        <w:tc>
          <w:tcPr>
            <w:tcW w:w="501" w:type="pct"/>
          </w:tcPr>
          <w:p w:rsidR="003D28C1" w:rsidRPr="00A14D88" w:rsidRDefault="00E37D6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4</w:t>
            </w:r>
          </w:p>
        </w:tc>
      </w:tr>
      <w:tr w:rsidR="003D28C1" w:rsidRPr="00B6426B" w:rsidTr="008B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pct"/>
            <w:noWrap/>
          </w:tcPr>
          <w:p w:rsidR="003D28C1" w:rsidRPr="001244FE" w:rsidRDefault="003D28C1" w:rsidP="00E60E7C">
            <w:pPr>
              <w:ind w:left="142"/>
              <w:rPr>
                <w:rFonts w:asciiTheme="minorHAnsi" w:hAnsiTheme="minorHAnsi"/>
                <w:sz w:val="18"/>
                <w:szCs w:val="18"/>
              </w:rPr>
            </w:pPr>
            <w:r>
              <w:rPr>
                <w:rFonts w:asciiTheme="minorHAnsi" w:hAnsiTheme="minorHAnsi"/>
                <w:sz w:val="18"/>
                <w:szCs w:val="18"/>
              </w:rPr>
              <w:t>Percentage late (%)</w:t>
            </w:r>
          </w:p>
        </w:tc>
        <w:tc>
          <w:tcPr>
            <w:tcW w:w="503" w:type="pct"/>
            <w:noWrap/>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48</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32</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7</w:t>
            </w:r>
          </w:p>
        </w:tc>
        <w:tc>
          <w:tcPr>
            <w:tcW w:w="503" w:type="pct"/>
          </w:tcPr>
          <w:p w:rsidR="003D28C1" w:rsidRPr="00583436" w:rsidDel="00660E2F"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p>
        </w:tc>
        <w:tc>
          <w:tcPr>
            <w:tcW w:w="503" w:type="pct"/>
          </w:tcPr>
          <w:p w:rsidR="003D28C1" w:rsidRPr="007C1A69"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w:t>
            </w:r>
          </w:p>
        </w:tc>
        <w:tc>
          <w:tcPr>
            <w:tcW w:w="502" w:type="pct"/>
          </w:tcPr>
          <w:p w:rsidR="003D28C1" w:rsidRDefault="00E37D66"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c>
          <w:tcPr>
            <w:tcW w:w="501" w:type="pct"/>
          </w:tcPr>
          <w:p w:rsidR="003D28C1" w:rsidRDefault="00E37D66"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3</w:t>
            </w:r>
          </w:p>
        </w:tc>
      </w:tr>
      <w:tr w:rsidR="003D28C1" w:rsidRPr="00B6426B" w:rsidTr="008B2C4E">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1244FE" w:rsidRDefault="003D28C1" w:rsidP="00583436">
            <w:pPr>
              <w:rPr>
                <w:rFonts w:asciiTheme="minorHAnsi" w:hAnsiTheme="minorHAnsi"/>
                <w:sz w:val="18"/>
                <w:szCs w:val="18"/>
              </w:rPr>
            </w:pPr>
            <w:r w:rsidRPr="001244FE">
              <w:rPr>
                <w:rFonts w:asciiTheme="minorHAnsi" w:hAnsiTheme="minorHAnsi"/>
                <w:sz w:val="18"/>
                <w:szCs w:val="18"/>
              </w:rPr>
              <w:t>Average time taken to respond</w:t>
            </w:r>
            <w:r>
              <w:rPr>
                <w:rFonts w:asciiTheme="minorHAnsi" w:hAnsiTheme="minorHAnsi"/>
                <w:sz w:val="18"/>
                <w:szCs w:val="18"/>
              </w:rPr>
              <w:br/>
            </w:r>
            <w:r w:rsidRPr="001244FE">
              <w:rPr>
                <w:rFonts w:asciiTheme="minorHAnsi" w:hAnsiTheme="minorHAnsi"/>
                <w:sz w:val="18"/>
                <w:szCs w:val="18"/>
              </w:rPr>
              <w:t>(business days)</w:t>
            </w:r>
          </w:p>
        </w:tc>
        <w:tc>
          <w:tcPr>
            <w:tcW w:w="503" w:type="pct"/>
            <w:noWrap/>
            <w:hideMark/>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bCs/>
                <w:color w:val="000000"/>
                <w:sz w:val="18"/>
                <w:szCs w:val="18"/>
              </w:rPr>
              <w:t>13</w:t>
            </w:r>
          </w:p>
        </w:tc>
        <w:tc>
          <w:tcPr>
            <w:tcW w:w="503" w:type="pct"/>
          </w:tcPr>
          <w:p w:rsidR="003D28C1" w:rsidRPr="00583436" w:rsidRDefault="003D28C1" w:rsidP="00C750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13</w:t>
            </w:r>
          </w:p>
        </w:tc>
        <w:tc>
          <w:tcPr>
            <w:tcW w:w="503" w:type="pct"/>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w:t>
            </w:r>
          </w:p>
        </w:tc>
        <w:tc>
          <w:tcPr>
            <w:tcW w:w="503" w:type="pct"/>
          </w:tcPr>
          <w:p w:rsidR="003D28C1" w:rsidRPr="00583436" w:rsidDel="00660E2F"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8</w:t>
            </w:r>
          </w:p>
        </w:tc>
        <w:tc>
          <w:tcPr>
            <w:tcW w:w="503" w:type="pct"/>
          </w:tcPr>
          <w:p w:rsidR="003D28C1" w:rsidRPr="007C1A69"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16</w:t>
            </w:r>
          </w:p>
        </w:tc>
        <w:tc>
          <w:tcPr>
            <w:tcW w:w="502" w:type="pct"/>
          </w:tcPr>
          <w:p w:rsidR="003D28C1" w:rsidRDefault="00F30792"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6</w:t>
            </w:r>
          </w:p>
        </w:tc>
        <w:tc>
          <w:tcPr>
            <w:tcW w:w="501" w:type="pct"/>
          </w:tcPr>
          <w:p w:rsidR="003D28C1" w:rsidRDefault="00F11EE8"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10</w:t>
            </w:r>
          </w:p>
        </w:tc>
      </w:tr>
      <w:tr w:rsidR="003D28C1" w:rsidRPr="00B6426B" w:rsidTr="008B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1244FE" w:rsidRDefault="003D28C1" w:rsidP="00583436">
            <w:pPr>
              <w:rPr>
                <w:rFonts w:asciiTheme="minorHAnsi" w:hAnsiTheme="minorHAnsi"/>
                <w:sz w:val="18"/>
                <w:szCs w:val="18"/>
              </w:rPr>
            </w:pPr>
            <w:r w:rsidRPr="001244FE">
              <w:rPr>
                <w:rFonts w:asciiTheme="minorHAnsi" w:hAnsiTheme="minorHAnsi"/>
                <w:sz w:val="18"/>
                <w:szCs w:val="18"/>
              </w:rPr>
              <w:t>Average punctuality</w:t>
            </w:r>
            <w:r>
              <w:rPr>
                <w:rFonts w:asciiTheme="minorHAnsi" w:hAnsiTheme="minorHAnsi"/>
                <w:sz w:val="18"/>
                <w:szCs w:val="18"/>
              </w:rPr>
              <w:br/>
            </w:r>
            <w:r w:rsidRPr="001244FE">
              <w:rPr>
                <w:rFonts w:asciiTheme="minorHAnsi" w:hAnsiTheme="minorHAnsi"/>
                <w:sz w:val="18"/>
                <w:szCs w:val="18"/>
              </w:rPr>
              <w:t>(business days late)</w:t>
            </w:r>
          </w:p>
        </w:tc>
        <w:tc>
          <w:tcPr>
            <w:tcW w:w="503" w:type="pct"/>
            <w:noWrap/>
            <w:hideMark/>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bCs/>
                <w:color w:val="000000"/>
                <w:sz w:val="18"/>
                <w:szCs w:val="18"/>
              </w:rPr>
              <w:t>5</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3</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c>
          <w:tcPr>
            <w:tcW w:w="503" w:type="pct"/>
          </w:tcPr>
          <w:p w:rsidR="003D28C1" w:rsidRPr="00583436" w:rsidDel="00660E2F" w:rsidRDefault="003D28C1" w:rsidP="00C750B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p>
        </w:tc>
        <w:tc>
          <w:tcPr>
            <w:tcW w:w="503" w:type="pct"/>
          </w:tcPr>
          <w:p w:rsidR="003D28C1" w:rsidRPr="007C1A69"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c>
          <w:tcPr>
            <w:tcW w:w="502" w:type="pct"/>
          </w:tcPr>
          <w:p w:rsidR="003D28C1" w:rsidRDefault="00F11EE8"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 xml:space="preserve"> </w:t>
            </w:r>
            <w:r w:rsidR="006A0C05">
              <w:rPr>
                <w:bCs/>
                <w:color w:val="000000"/>
                <w:sz w:val="18"/>
                <w:szCs w:val="18"/>
              </w:rPr>
              <w:t>-3</w:t>
            </w:r>
            <w:r>
              <w:rPr>
                <w:bCs/>
                <w:color w:val="000000"/>
                <w:sz w:val="18"/>
                <w:szCs w:val="18"/>
              </w:rPr>
              <w:t xml:space="preserve"> </w:t>
            </w:r>
          </w:p>
        </w:tc>
        <w:tc>
          <w:tcPr>
            <w:tcW w:w="501" w:type="pct"/>
          </w:tcPr>
          <w:p w:rsidR="003D28C1" w:rsidRDefault="006A0C05"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p>
        </w:tc>
      </w:tr>
      <w:tr w:rsidR="003D28C1" w:rsidRPr="00B6426B" w:rsidTr="008B2C4E">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1244FE" w:rsidRDefault="003D28C1" w:rsidP="005E40C5">
            <w:pPr>
              <w:rPr>
                <w:rFonts w:asciiTheme="minorHAnsi" w:hAnsiTheme="minorHAnsi"/>
                <w:sz w:val="18"/>
                <w:szCs w:val="18"/>
              </w:rPr>
            </w:pPr>
            <w:r w:rsidRPr="001244FE">
              <w:rPr>
                <w:rFonts w:asciiTheme="minorHAnsi" w:hAnsiTheme="minorHAnsi"/>
                <w:sz w:val="18"/>
                <w:szCs w:val="18"/>
              </w:rPr>
              <w:t xml:space="preserve">Average lateness of late </w:t>
            </w:r>
            <w:r w:rsidR="005E40C5">
              <w:rPr>
                <w:rFonts w:asciiTheme="minorHAnsi" w:hAnsiTheme="minorHAnsi"/>
                <w:sz w:val="18"/>
                <w:szCs w:val="18"/>
              </w:rPr>
              <w:t>responses</w:t>
            </w:r>
            <w:r>
              <w:rPr>
                <w:rFonts w:asciiTheme="minorHAnsi" w:hAnsiTheme="minorHAnsi"/>
                <w:sz w:val="18"/>
                <w:szCs w:val="18"/>
              </w:rPr>
              <w:br/>
            </w:r>
            <w:r w:rsidRPr="001244FE">
              <w:rPr>
                <w:rFonts w:asciiTheme="minorHAnsi" w:hAnsiTheme="minorHAnsi"/>
                <w:sz w:val="18"/>
                <w:szCs w:val="18"/>
              </w:rPr>
              <w:t>(business</w:t>
            </w:r>
            <w:r>
              <w:rPr>
                <w:rFonts w:asciiTheme="minorHAnsi" w:hAnsiTheme="minorHAnsi"/>
                <w:sz w:val="18"/>
                <w:szCs w:val="18"/>
              </w:rPr>
              <w:t> </w:t>
            </w:r>
            <w:r w:rsidRPr="001244FE">
              <w:rPr>
                <w:rFonts w:asciiTheme="minorHAnsi" w:hAnsiTheme="minorHAnsi"/>
                <w:sz w:val="18"/>
                <w:szCs w:val="18"/>
              </w:rPr>
              <w:t>days)</w:t>
            </w:r>
          </w:p>
        </w:tc>
        <w:tc>
          <w:tcPr>
            <w:tcW w:w="503" w:type="pct"/>
            <w:noWrap/>
            <w:hideMark/>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bCs/>
                <w:color w:val="000000"/>
                <w:sz w:val="18"/>
                <w:szCs w:val="18"/>
              </w:rPr>
              <w:t>12</w:t>
            </w:r>
          </w:p>
        </w:tc>
        <w:tc>
          <w:tcPr>
            <w:tcW w:w="503" w:type="pct"/>
          </w:tcPr>
          <w:p w:rsidR="003D28C1" w:rsidRPr="00583436" w:rsidRDefault="003D28C1" w:rsidP="00C750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11</w:t>
            </w:r>
          </w:p>
        </w:tc>
        <w:tc>
          <w:tcPr>
            <w:tcW w:w="503" w:type="pct"/>
          </w:tcPr>
          <w:p w:rsidR="003D28C1" w:rsidRPr="00583436"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p>
        </w:tc>
        <w:tc>
          <w:tcPr>
            <w:tcW w:w="503" w:type="pct"/>
          </w:tcPr>
          <w:p w:rsidR="003D28C1" w:rsidRPr="00583436" w:rsidDel="00660E2F" w:rsidRDefault="003D28C1" w:rsidP="00C750B9">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p>
        </w:tc>
        <w:tc>
          <w:tcPr>
            <w:tcW w:w="503" w:type="pct"/>
          </w:tcPr>
          <w:p w:rsidR="003D28C1" w:rsidRPr="007C1A69" w:rsidRDefault="003D28C1"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2</w:t>
            </w:r>
          </w:p>
        </w:tc>
        <w:tc>
          <w:tcPr>
            <w:tcW w:w="502" w:type="pct"/>
          </w:tcPr>
          <w:p w:rsidR="003D28C1" w:rsidRDefault="00E37D6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w:t>
            </w:r>
          </w:p>
        </w:tc>
        <w:tc>
          <w:tcPr>
            <w:tcW w:w="501" w:type="pct"/>
          </w:tcPr>
          <w:p w:rsidR="003D28C1" w:rsidRDefault="00E37D6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p>
        </w:tc>
      </w:tr>
      <w:tr w:rsidR="003D28C1" w:rsidRPr="00B6426B" w:rsidTr="008B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pct"/>
            <w:noWrap/>
            <w:hideMark/>
          </w:tcPr>
          <w:p w:rsidR="003D28C1" w:rsidRPr="001244FE" w:rsidRDefault="003D28C1" w:rsidP="00E60E7C">
            <w:pPr>
              <w:rPr>
                <w:rFonts w:asciiTheme="minorHAnsi" w:hAnsiTheme="minorHAnsi"/>
                <w:sz w:val="18"/>
                <w:szCs w:val="18"/>
              </w:rPr>
            </w:pPr>
            <w:r w:rsidRPr="001244FE">
              <w:rPr>
                <w:rFonts w:asciiTheme="minorHAnsi" w:hAnsiTheme="minorHAnsi"/>
                <w:sz w:val="18"/>
                <w:szCs w:val="18"/>
              </w:rPr>
              <w:t>Requests outstanding at end of period</w:t>
            </w:r>
            <w:r w:rsidR="006C72F4" w:rsidRPr="006C72F4">
              <w:rPr>
                <w:rFonts w:asciiTheme="minorHAnsi" w:hAnsiTheme="minorHAnsi"/>
                <w:sz w:val="18"/>
                <w:szCs w:val="18"/>
                <w:vertAlign w:val="superscript"/>
              </w:rPr>
              <w:t>1</w:t>
            </w:r>
          </w:p>
        </w:tc>
        <w:tc>
          <w:tcPr>
            <w:tcW w:w="503" w:type="pct"/>
            <w:noWrap/>
            <w:hideMark/>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16</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3</w:t>
            </w:r>
          </w:p>
        </w:tc>
        <w:tc>
          <w:tcPr>
            <w:tcW w:w="503" w:type="pct"/>
          </w:tcPr>
          <w:p w:rsidR="003D28C1" w:rsidRPr="00583436"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583436">
              <w:rPr>
                <w:bCs/>
                <w:color w:val="000000"/>
                <w:sz w:val="18"/>
                <w:szCs w:val="18"/>
              </w:rPr>
              <w:t>1</w:t>
            </w:r>
          </w:p>
        </w:tc>
        <w:tc>
          <w:tcPr>
            <w:tcW w:w="503" w:type="pct"/>
          </w:tcPr>
          <w:p w:rsidR="003D28C1" w:rsidRPr="00583436" w:rsidDel="00660E2F" w:rsidRDefault="003D28C1" w:rsidP="00C750B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583436">
              <w:rPr>
                <w:bCs/>
                <w:color w:val="000000"/>
                <w:sz w:val="18"/>
                <w:szCs w:val="18"/>
              </w:rPr>
              <w:t>1</w:t>
            </w:r>
            <w:r>
              <w:rPr>
                <w:bCs/>
                <w:color w:val="000000"/>
                <w:sz w:val="18"/>
                <w:szCs w:val="18"/>
              </w:rPr>
              <w:t>6</w:t>
            </w:r>
          </w:p>
        </w:tc>
        <w:tc>
          <w:tcPr>
            <w:tcW w:w="503" w:type="pct"/>
          </w:tcPr>
          <w:p w:rsidR="003D28C1" w:rsidRPr="007C1A69" w:rsidRDefault="003D28C1"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13</w:t>
            </w:r>
          </w:p>
        </w:tc>
        <w:tc>
          <w:tcPr>
            <w:tcW w:w="502" w:type="pct"/>
          </w:tcPr>
          <w:p w:rsidR="003D28C1" w:rsidRDefault="006A0C05"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74</w:t>
            </w:r>
          </w:p>
        </w:tc>
        <w:tc>
          <w:tcPr>
            <w:tcW w:w="501" w:type="pct"/>
          </w:tcPr>
          <w:p w:rsidR="003D28C1" w:rsidRDefault="006A0C05"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74</w:t>
            </w:r>
          </w:p>
        </w:tc>
      </w:tr>
    </w:tbl>
    <w:p w:rsidR="008B2C4E" w:rsidRDefault="008B2C4E" w:rsidP="00E60E7C">
      <w:pPr>
        <w:pStyle w:val="PBOtext"/>
        <w:spacing w:before="340"/>
      </w:pPr>
      <w:r w:rsidRPr="00557D8D">
        <w:rPr>
          <w:sz w:val="18"/>
          <w:szCs w:val="18"/>
          <w:vertAlign w:val="superscript"/>
        </w:rPr>
        <w:t>1</w:t>
      </w:r>
      <w:r>
        <w:rPr>
          <w:sz w:val="18"/>
          <w:szCs w:val="18"/>
        </w:rPr>
        <w:t xml:space="preserve"> </w:t>
      </w:r>
      <w:r w:rsidRPr="00D075A1">
        <w:rPr>
          <w:sz w:val="18"/>
          <w:szCs w:val="18"/>
        </w:rPr>
        <w:t xml:space="preserve">The </w:t>
      </w:r>
      <w:r w:rsidRPr="006C72F4">
        <w:rPr>
          <w:sz w:val="18"/>
          <w:szCs w:val="18"/>
        </w:rPr>
        <w:t xml:space="preserve">level of outstanding requests reflects a significant number of pieces of information that, under standing arrangements, are provided to the PBO following each Economic and Fiscal Outlook Update.  The Mid-year Economic and Fiscal Outlook update was released on 18 December 2017 and, consistent with the agreed timeframes for the provision of information </w:t>
      </w:r>
      <w:proofErr w:type="spellStart"/>
      <w:r w:rsidRPr="006C72F4">
        <w:rPr>
          <w:sz w:val="18"/>
          <w:szCs w:val="18"/>
        </w:rPr>
        <w:t>under standing</w:t>
      </w:r>
      <w:proofErr w:type="spellEnd"/>
      <w:r w:rsidRPr="006C72F4">
        <w:rPr>
          <w:sz w:val="18"/>
          <w:szCs w:val="18"/>
        </w:rPr>
        <w:t xml:space="preserve"> arrangements, the date for the provision of the information was following 31 December 2017.</w:t>
      </w:r>
    </w:p>
    <w:p w:rsidR="007432E3" w:rsidRPr="00543268" w:rsidRDefault="007432E3" w:rsidP="00E60E7C">
      <w:pPr>
        <w:pStyle w:val="PBOtext"/>
        <w:spacing w:before="340"/>
      </w:pPr>
      <w:r>
        <w:t>As at</w:t>
      </w:r>
      <w:r w:rsidR="00BB03B4">
        <w:t xml:space="preserve"> </w:t>
      </w:r>
      <w:r w:rsidR="00096B79">
        <w:t>3</w:t>
      </w:r>
      <w:r w:rsidR="00072581">
        <w:t xml:space="preserve">1 December </w:t>
      </w:r>
      <w:r w:rsidR="00DC430D">
        <w:t>2017</w:t>
      </w:r>
      <w:r w:rsidRPr="00A87BFA">
        <w:t xml:space="preserve">, </w:t>
      </w:r>
      <w:r w:rsidRPr="00C5760A">
        <w:t>no</w:t>
      </w:r>
      <w:r>
        <w:t xml:space="preserve"> requests were overdue.</w:t>
      </w:r>
    </w:p>
    <w:p w:rsidR="006C72F4" w:rsidRDefault="006C72F4">
      <w:pPr>
        <w:rPr>
          <w:rFonts w:asciiTheme="minorHAnsi" w:hAnsiTheme="minorHAnsi" w:cstheme="minorBidi"/>
          <w:b/>
          <w:bCs/>
          <w:color w:val="1F497D" w:themeColor="text2"/>
          <w:spacing w:val="-4"/>
          <w:sz w:val="20"/>
          <w:szCs w:val="20"/>
        </w:rPr>
      </w:pPr>
      <w:r>
        <w:rPr>
          <w:rFonts w:asciiTheme="minorHAnsi" w:hAnsiTheme="minorHAnsi" w:cstheme="minorBidi"/>
          <w:color w:val="1F497D" w:themeColor="text2"/>
          <w:spacing w:val="-4"/>
          <w:sz w:val="20"/>
        </w:rPr>
        <w:br w:type="page"/>
      </w:r>
    </w:p>
    <w:p w:rsidR="007432E3" w:rsidRDefault="008B2C4E" w:rsidP="00E60E7C">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Figure 2:</w:t>
      </w:r>
      <w:r w:rsidR="007432E3" w:rsidRPr="005D002A">
        <w:rPr>
          <w:rFonts w:asciiTheme="minorHAnsi" w:eastAsiaTheme="minorHAnsi" w:hAnsiTheme="minorHAnsi" w:cstheme="minorBidi"/>
          <w:color w:val="1F497D" w:themeColor="text2"/>
          <w:spacing w:val="-4"/>
          <w:sz w:val="20"/>
          <w:lang w:eastAsia="en-US"/>
        </w:rPr>
        <w:t xml:space="preserve"> </w:t>
      </w:r>
      <w:r w:rsidR="00E250EF">
        <w:rPr>
          <w:rFonts w:asciiTheme="minorHAnsi" w:eastAsiaTheme="minorHAnsi" w:hAnsiTheme="minorHAnsi" w:cstheme="minorBidi"/>
          <w:color w:val="1F497D" w:themeColor="text2"/>
          <w:spacing w:val="-4"/>
          <w:sz w:val="20"/>
          <w:lang w:eastAsia="en-US"/>
        </w:rPr>
        <w:t xml:space="preserve">Agencies’ </w:t>
      </w:r>
      <w:r w:rsidR="007432E3" w:rsidRPr="005D002A">
        <w:rPr>
          <w:rFonts w:asciiTheme="minorHAnsi" w:eastAsiaTheme="minorHAnsi" w:hAnsiTheme="minorHAnsi" w:cstheme="minorBidi"/>
          <w:color w:val="1F497D" w:themeColor="text2"/>
          <w:spacing w:val="-4"/>
          <w:sz w:val="20"/>
          <w:lang w:eastAsia="en-US"/>
        </w:rPr>
        <w:t>response time</w:t>
      </w:r>
      <w:r w:rsidR="007432E3">
        <w:rPr>
          <w:rFonts w:asciiTheme="minorHAnsi" w:eastAsiaTheme="minorHAnsi" w:hAnsiTheme="minorHAnsi" w:cstheme="minorBidi"/>
          <w:color w:val="1F497D" w:themeColor="text2"/>
          <w:spacing w:val="-4"/>
          <w:sz w:val="20"/>
          <w:lang w:eastAsia="en-US"/>
        </w:rPr>
        <w:t>s</w:t>
      </w:r>
      <w:r w:rsidR="007432E3" w:rsidRPr="005D002A">
        <w:rPr>
          <w:rFonts w:asciiTheme="minorHAnsi" w:eastAsiaTheme="minorHAnsi" w:hAnsiTheme="minorHAnsi" w:cstheme="minorBidi"/>
          <w:color w:val="1F497D" w:themeColor="text2"/>
          <w:spacing w:val="-4"/>
          <w:sz w:val="20"/>
          <w:lang w:eastAsia="en-US"/>
        </w:rPr>
        <w:t xml:space="preserve"> for completed information requests</w:t>
      </w:r>
      <w:r w:rsidR="007432E3">
        <w:rPr>
          <w:rFonts w:asciiTheme="minorHAnsi" w:eastAsiaTheme="minorHAnsi" w:hAnsiTheme="minorHAnsi" w:cstheme="minorBidi"/>
          <w:color w:val="1F497D" w:themeColor="text2"/>
          <w:spacing w:val="-4"/>
          <w:sz w:val="20"/>
          <w:lang w:eastAsia="en-US"/>
        </w:rPr>
        <w:t xml:space="preserve"> in </w:t>
      </w:r>
      <w:r w:rsidR="005B0A14">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sidR="007432E3">
        <w:rPr>
          <w:rFonts w:asciiTheme="minorHAnsi" w:eastAsiaTheme="minorHAnsi" w:hAnsiTheme="minorHAnsi" w:cstheme="minorBidi"/>
          <w:color w:val="1F497D" w:themeColor="text2"/>
          <w:spacing w:val="-4"/>
          <w:sz w:val="20"/>
          <w:lang w:eastAsia="en-US"/>
        </w:rPr>
        <w:t>–</w:t>
      </w:r>
      <w:r w:rsidR="005B0A14">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5B0A14">
        <w:rPr>
          <w:rFonts w:asciiTheme="minorHAnsi" w:eastAsiaTheme="minorHAnsi" w:hAnsiTheme="minorHAnsi" w:cstheme="minorBidi"/>
          <w:color w:val="1F497D" w:themeColor="text2"/>
          <w:spacing w:val="-4"/>
          <w:sz w:val="20"/>
          <w:lang w:eastAsia="en-US"/>
        </w:rPr>
        <w:t xml:space="preserve"> </w:t>
      </w:r>
      <w:r w:rsidR="007432E3">
        <w:rPr>
          <w:rFonts w:asciiTheme="minorHAnsi" w:eastAsiaTheme="minorHAnsi" w:hAnsiTheme="minorHAnsi" w:cstheme="minorBidi"/>
          <w:color w:val="1F497D" w:themeColor="text2"/>
          <w:spacing w:val="-4"/>
          <w:sz w:val="20"/>
          <w:lang w:eastAsia="en-US"/>
        </w:rPr>
        <w:t xml:space="preserve">to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December </w:t>
      </w:r>
      <w:r w:rsidR="00DC430D">
        <w:rPr>
          <w:rFonts w:asciiTheme="minorHAnsi" w:eastAsiaTheme="minorHAnsi" w:hAnsiTheme="minorHAnsi" w:cstheme="minorBidi"/>
          <w:color w:val="1F497D" w:themeColor="text2"/>
          <w:spacing w:val="-4"/>
          <w:sz w:val="20"/>
          <w:lang w:eastAsia="en-US"/>
        </w:rPr>
        <w:t>2017</w:t>
      </w:r>
    </w:p>
    <w:p w:rsidR="000154A2" w:rsidRPr="008B2C4E" w:rsidRDefault="001A6FF8" w:rsidP="008B2C4E">
      <w:r>
        <w:rPr>
          <w:noProof/>
          <w:lang w:eastAsia="en-AU"/>
        </w:rPr>
        <w:drawing>
          <wp:inline distT="0" distB="0" distL="0" distR="0" wp14:anchorId="429859A6" wp14:editId="69B410DD">
            <wp:extent cx="5731510" cy="24236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423645"/>
                    </a:xfrm>
                    <a:prstGeom prst="rect">
                      <a:avLst/>
                    </a:prstGeom>
                  </pic:spPr>
                </pic:pic>
              </a:graphicData>
            </a:graphic>
          </wp:inline>
        </w:drawing>
      </w:r>
    </w:p>
    <w:p w:rsidR="006A0C05" w:rsidRPr="008B2C4E" w:rsidRDefault="006A0C05" w:rsidP="008B2C4E"/>
    <w:p w:rsidR="00A523DC"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3: Timeliness of response by </w:t>
      </w:r>
      <w:r>
        <w:rPr>
          <w:rFonts w:asciiTheme="minorHAnsi" w:eastAsiaTheme="minorHAnsi" w:hAnsiTheme="minorHAnsi" w:cstheme="minorBidi"/>
          <w:color w:val="1F497D" w:themeColor="text2"/>
          <w:spacing w:val="-4"/>
          <w:sz w:val="20"/>
          <w:lang w:eastAsia="en-US"/>
        </w:rPr>
        <w:t xml:space="preserve">agencies </w:t>
      </w:r>
      <w:r w:rsidRPr="000F5570">
        <w:rPr>
          <w:rFonts w:asciiTheme="minorHAnsi" w:eastAsiaTheme="minorHAnsi" w:hAnsiTheme="minorHAnsi" w:cstheme="minorBidi"/>
          <w:color w:val="1F497D" w:themeColor="text2"/>
          <w:spacing w:val="-4"/>
          <w:sz w:val="20"/>
          <w:lang w:val="en-US" w:eastAsia="en-US"/>
        </w:rPr>
        <w:t>to infor</w:t>
      </w:r>
      <w:r>
        <w:rPr>
          <w:rFonts w:asciiTheme="minorHAnsi" w:eastAsiaTheme="minorHAnsi" w:hAnsiTheme="minorHAnsi" w:cstheme="minorBidi"/>
          <w:color w:val="1F497D" w:themeColor="text2"/>
          <w:spacing w:val="-4"/>
          <w:sz w:val="20"/>
          <w:lang w:val="en-US" w:eastAsia="en-US"/>
        </w:rPr>
        <w:t>mation requests in 201</w:t>
      </w:r>
      <w:r w:rsidR="00DE0325">
        <w:rPr>
          <w:rFonts w:asciiTheme="minorHAnsi" w:eastAsiaTheme="minorHAnsi" w:hAnsiTheme="minorHAnsi" w:cstheme="minorBidi"/>
          <w:color w:val="1F497D" w:themeColor="text2"/>
          <w:spacing w:val="-4"/>
          <w:sz w:val="20"/>
          <w:lang w:val="en-US" w:eastAsia="en-US"/>
        </w:rPr>
        <w:t>7</w:t>
      </w:r>
      <w:r>
        <w:rPr>
          <w:rFonts w:asciiTheme="minorHAnsi" w:eastAsiaTheme="minorHAnsi" w:hAnsiTheme="minorHAnsi" w:cstheme="minorBidi"/>
          <w:color w:val="1F497D" w:themeColor="text2"/>
          <w:spacing w:val="-4"/>
          <w:sz w:val="20"/>
          <w:lang w:val="en-US" w:eastAsia="en-US"/>
        </w:rPr>
        <w:t>–1</w:t>
      </w:r>
      <w:r w:rsidR="00DE0325">
        <w:rPr>
          <w:rFonts w:asciiTheme="minorHAnsi" w:eastAsiaTheme="minorHAnsi" w:hAnsiTheme="minorHAnsi" w:cstheme="minorBidi"/>
          <w:color w:val="1F497D" w:themeColor="text2"/>
          <w:spacing w:val="-4"/>
          <w:sz w:val="20"/>
          <w:lang w:val="en-US" w:eastAsia="en-US"/>
        </w:rPr>
        <w:t>8</w:t>
      </w:r>
      <w:r>
        <w:rPr>
          <w:rFonts w:asciiTheme="minorHAnsi" w:eastAsiaTheme="minorHAnsi" w:hAnsiTheme="minorHAnsi" w:cstheme="minorBidi"/>
          <w:color w:val="1F497D" w:themeColor="text2"/>
          <w:spacing w:val="-4"/>
          <w:sz w:val="20"/>
          <w:lang w:val="en-US" w:eastAsia="en-US"/>
        </w:rPr>
        <w:t xml:space="preserve"> to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December </w:t>
      </w:r>
      <w:r w:rsidR="00DC430D">
        <w:rPr>
          <w:rFonts w:asciiTheme="minorHAnsi" w:eastAsiaTheme="minorHAnsi" w:hAnsiTheme="minorHAnsi" w:cstheme="minorBidi"/>
          <w:color w:val="1F497D" w:themeColor="text2"/>
          <w:spacing w:val="-4"/>
          <w:sz w:val="20"/>
          <w:lang w:eastAsia="en-US"/>
        </w:rPr>
        <w:t>2017</w:t>
      </w:r>
    </w:p>
    <w:p w:rsidR="000154A2" w:rsidRPr="008B2C4E" w:rsidRDefault="000154A2" w:rsidP="008B2C4E">
      <w:r>
        <w:rPr>
          <w:noProof/>
          <w:lang w:eastAsia="en-AU"/>
        </w:rPr>
        <w:drawing>
          <wp:inline distT="0" distB="0" distL="0" distR="0" wp14:anchorId="3BF7ED24" wp14:editId="31514569">
            <wp:extent cx="5851667" cy="254131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3383" cy="2542064"/>
                    </a:xfrm>
                    <a:prstGeom prst="rect">
                      <a:avLst/>
                    </a:prstGeom>
                    <a:noFill/>
                  </pic:spPr>
                </pic:pic>
              </a:graphicData>
            </a:graphic>
          </wp:inline>
        </w:drawing>
      </w:r>
    </w:p>
    <w:p w:rsidR="007432E3" w:rsidRPr="0046029E" w:rsidRDefault="0046029E" w:rsidP="00623619">
      <w:pPr>
        <w:pStyle w:val="PBOtext"/>
        <w:rPr>
          <w:sz w:val="18"/>
          <w:szCs w:val="18"/>
        </w:rPr>
      </w:pPr>
      <w:r>
        <w:rPr>
          <w:sz w:val="18"/>
          <w:szCs w:val="18"/>
        </w:rPr>
        <w:t xml:space="preserve">Note:  </w:t>
      </w:r>
      <w:r w:rsidR="007432E3" w:rsidRPr="0046029E">
        <w:rPr>
          <w:sz w:val="18"/>
          <w:szCs w:val="18"/>
        </w:rPr>
        <w:t>‘On time’ responses include responses provided before the due date.</w:t>
      </w:r>
    </w:p>
    <w:p w:rsidR="007432E3" w:rsidRPr="00AD58FE" w:rsidRDefault="007432E3" w:rsidP="00E60E7C">
      <w:pPr>
        <w:pStyle w:val="PBOtext"/>
        <w:spacing w:before="340"/>
      </w:pPr>
    </w:p>
    <w:p w:rsidR="007432E3" w:rsidRPr="00AD58FE" w:rsidRDefault="007432E3" w:rsidP="00E60E7C">
      <w:pPr>
        <w:pStyle w:val="PBOtext"/>
        <w:spacing w:before="340"/>
        <w:sectPr w:rsidR="007432E3" w:rsidRPr="00AD58FE" w:rsidSect="008F298A">
          <w:footerReference w:type="default" r:id="rId13"/>
          <w:pgSz w:w="11906" w:h="16838"/>
          <w:pgMar w:top="1440" w:right="1440" w:bottom="1440" w:left="1440" w:header="709" w:footer="709" w:gutter="0"/>
          <w:pgNumType w:start="1"/>
          <w:cols w:space="708"/>
          <w:titlePg/>
          <w:docGrid w:linePitch="360"/>
        </w:sectPr>
      </w:pPr>
    </w:p>
    <w:p w:rsidR="007432E3" w:rsidRDefault="007432E3" w:rsidP="00E60E7C">
      <w:pPr>
        <w:pStyle w:val="Caption"/>
        <w:spacing w:before="340"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3</w:t>
      </w:r>
      <w:r w:rsidRPr="005D002A">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 xml:space="preserve">Information </w:t>
      </w:r>
      <w:r>
        <w:rPr>
          <w:rFonts w:asciiTheme="minorHAnsi" w:eastAsiaTheme="minorHAnsi" w:hAnsiTheme="minorHAnsi" w:cstheme="minorBidi"/>
          <w:color w:val="1F497D" w:themeColor="text2"/>
          <w:spacing w:val="-4"/>
          <w:sz w:val="20"/>
          <w:lang w:eastAsia="en-US"/>
        </w:rPr>
        <w:t>r</w:t>
      </w:r>
      <w:r w:rsidRPr="00B95846">
        <w:rPr>
          <w:rFonts w:asciiTheme="minorHAnsi" w:eastAsiaTheme="minorHAnsi" w:hAnsiTheme="minorHAnsi" w:cstheme="minorBidi"/>
          <w:color w:val="1F497D" w:themeColor="text2"/>
          <w:spacing w:val="-4"/>
          <w:sz w:val="20"/>
          <w:lang w:eastAsia="en-US"/>
        </w:rPr>
        <w:t xml:space="preserve">equest responsiveness </w:t>
      </w:r>
      <w:r>
        <w:rPr>
          <w:rFonts w:asciiTheme="minorHAnsi" w:eastAsiaTheme="minorHAnsi" w:hAnsiTheme="minorHAnsi" w:cstheme="minorBidi"/>
          <w:color w:val="1F497D" w:themeColor="text2"/>
          <w:spacing w:val="-4"/>
          <w:sz w:val="20"/>
          <w:lang w:eastAsia="en-US"/>
        </w:rPr>
        <w:t xml:space="preserve">by agencies in </w:t>
      </w:r>
      <w:r w:rsidR="00357D9F">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Pr>
          <w:rFonts w:asciiTheme="minorHAnsi" w:eastAsiaTheme="minorHAnsi" w:hAnsiTheme="minorHAnsi" w:cstheme="minorBidi"/>
          <w:color w:val="1F497D" w:themeColor="text2"/>
          <w:spacing w:val="-4"/>
          <w:sz w:val="20"/>
          <w:lang w:eastAsia="en-US"/>
        </w:rPr>
        <w:t>–</w:t>
      </w:r>
      <w:r w:rsidR="00357D9F">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357D9F" w:rsidRPr="00B95846">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December </w:t>
      </w:r>
      <w:r w:rsidR="00DC430D">
        <w:rPr>
          <w:rFonts w:asciiTheme="minorHAnsi" w:eastAsiaTheme="minorHAnsi" w:hAnsiTheme="minorHAnsi" w:cstheme="minorBidi"/>
          <w:color w:val="1F497D" w:themeColor="text2"/>
          <w:spacing w:val="-4"/>
          <w:sz w:val="20"/>
          <w:lang w:eastAsia="en-US"/>
        </w:rPr>
        <w:t>2017</w:t>
      </w:r>
    </w:p>
    <w:p w:rsidR="009A3B09" w:rsidRPr="008B2C4E" w:rsidRDefault="00E42A15" w:rsidP="008B2C4E">
      <w:r>
        <w:rPr>
          <w:noProof/>
          <w:lang w:eastAsia="en-AU"/>
        </w:rPr>
        <w:drawing>
          <wp:inline distT="0" distB="0" distL="0" distR="0" wp14:anchorId="2B718AB5" wp14:editId="3DE313F4">
            <wp:extent cx="8597735" cy="441276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597735" cy="4412769"/>
                    </a:xfrm>
                    <a:prstGeom prst="rect">
                      <a:avLst/>
                    </a:prstGeom>
                  </pic:spPr>
                </pic:pic>
              </a:graphicData>
            </a:graphic>
          </wp:inline>
        </w:drawing>
      </w:r>
    </w:p>
    <w:p w:rsidR="00557D8D" w:rsidRPr="00D06137" w:rsidRDefault="00557D8D" w:rsidP="00557D8D">
      <w:pPr>
        <w:pStyle w:val="PBOtext"/>
        <w:rPr>
          <w:sz w:val="18"/>
          <w:szCs w:val="18"/>
        </w:rPr>
      </w:pPr>
      <w:r w:rsidRPr="00D06137">
        <w:rPr>
          <w:sz w:val="18"/>
          <w:szCs w:val="18"/>
          <w:vertAlign w:val="superscript"/>
        </w:rPr>
        <w:t>1</w:t>
      </w:r>
      <w:r w:rsidRPr="00D06137">
        <w:rPr>
          <w:sz w:val="18"/>
          <w:szCs w:val="18"/>
        </w:rPr>
        <w:t xml:space="preserve"> </w:t>
      </w:r>
      <w:r w:rsidR="00D075A1" w:rsidRPr="00D06137">
        <w:rPr>
          <w:sz w:val="18"/>
          <w:szCs w:val="18"/>
        </w:rPr>
        <w:t xml:space="preserve">The </w:t>
      </w:r>
      <w:r w:rsidR="00E42A15" w:rsidRPr="00903B60">
        <w:rPr>
          <w:sz w:val="18"/>
          <w:szCs w:val="18"/>
        </w:rPr>
        <w:t xml:space="preserve">level of outstanding requests reflects a significant number of pieces of information that, under standing arrangements, are provided to the PBO following each Economic and Fiscal Outlook Update.  The Mid-year Economic and Fiscal Outlook update was released on 18 December 2017 and, consistent with the agreed timeframes for the provision </w:t>
      </w:r>
      <w:r w:rsidR="00E42A15" w:rsidRPr="00FE34BA">
        <w:rPr>
          <w:sz w:val="18"/>
          <w:szCs w:val="18"/>
        </w:rPr>
        <w:t xml:space="preserve">of information </w:t>
      </w:r>
      <w:proofErr w:type="spellStart"/>
      <w:r w:rsidR="00E42A15" w:rsidRPr="00FE34BA">
        <w:rPr>
          <w:sz w:val="18"/>
          <w:szCs w:val="18"/>
        </w:rPr>
        <w:t>under standing</w:t>
      </w:r>
      <w:proofErr w:type="spellEnd"/>
      <w:r w:rsidR="00E42A15" w:rsidRPr="00FE34BA">
        <w:rPr>
          <w:sz w:val="18"/>
          <w:szCs w:val="18"/>
        </w:rPr>
        <w:t xml:space="preserve"> arrangements, the date for the provision of the information was following 31 December 2017.</w:t>
      </w:r>
    </w:p>
    <w:p w:rsidR="00A14D88" w:rsidRDefault="006C72F4" w:rsidP="009A2AC8">
      <w:pPr>
        <w:pStyle w:val="PBOtext"/>
      </w:pPr>
      <w:r w:rsidRPr="00C70709">
        <w:rPr>
          <w:sz w:val="18"/>
          <w:szCs w:val="18"/>
          <w:vertAlign w:val="superscript"/>
        </w:rPr>
        <w:t>2</w:t>
      </w:r>
      <w:r w:rsidRPr="00D06137">
        <w:rPr>
          <w:sz w:val="18"/>
          <w:szCs w:val="18"/>
        </w:rPr>
        <w:t xml:space="preserve"> </w:t>
      </w:r>
      <w:r w:rsidRPr="00C70709">
        <w:rPr>
          <w:sz w:val="18"/>
          <w:szCs w:val="18"/>
        </w:rPr>
        <w:t xml:space="preserve">The </w:t>
      </w:r>
      <w:r w:rsidR="00E42A15" w:rsidRPr="00D06137">
        <w:rPr>
          <w:sz w:val="18"/>
          <w:szCs w:val="18"/>
        </w:rPr>
        <w:t>average timeframes for responses from these agencies are affected by the provision of updates to complex models to incorporate measures from the most recent economic and fiscal update. The provision of these updates has been agreed in standing information request arrangements and do not relate to specific requests from parliamentarians</w:t>
      </w:r>
      <w:r w:rsidR="00E42A15">
        <w:rPr>
          <w:sz w:val="18"/>
          <w:szCs w:val="18"/>
        </w:rPr>
        <w:t>.</w:t>
      </w:r>
      <w:r w:rsidR="00A14D88" w:rsidRPr="003369EE">
        <w:rPr>
          <w:sz w:val="18"/>
          <w:szCs w:val="18"/>
        </w:rPr>
        <w:br w:type="page"/>
      </w:r>
    </w:p>
    <w:p w:rsidR="00A14D88" w:rsidRDefault="00A14D88" w:rsidP="00A14D88">
      <w:pPr>
        <w:pStyle w:val="Caption"/>
        <w:spacing w:before="340"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4</w:t>
      </w:r>
      <w:r w:rsidRPr="005D002A">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P</w:t>
      </w:r>
      <w:r w:rsidR="00FA1577">
        <w:rPr>
          <w:rFonts w:asciiTheme="minorHAnsi" w:eastAsiaTheme="minorHAnsi" w:hAnsiTheme="minorHAnsi" w:cstheme="minorBidi"/>
          <w:color w:val="1F497D" w:themeColor="text2"/>
          <w:spacing w:val="-4"/>
          <w:sz w:val="20"/>
          <w:lang w:eastAsia="en-US"/>
        </w:rPr>
        <w:t xml:space="preserve">olicy announcements with reference to PBO costings </w:t>
      </w:r>
      <w:r>
        <w:rPr>
          <w:rFonts w:asciiTheme="minorHAnsi" w:eastAsiaTheme="minorHAnsi" w:hAnsiTheme="minorHAnsi" w:cstheme="minorBidi"/>
          <w:color w:val="1F497D" w:themeColor="text2"/>
          <w:spacing w:val="-4"/>
          <w:sz w:val="20"/>
          <w:lang w:eastAsia="en-US"/>
        </w:rPr>
        <w:t xml:space="preserve">in 2017–18:  1 July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December </w:t>
      </w:r>
      <w:r>
        <w:rPr>
          <w:rFonts w:asciiTheme="minorHAnsi" w:eastAsiaTheme="minorHAnsi" w:hAnsiTheme="minorHAnsi" w:cstheme="minorBidi"/>
          <w:color w:val="1F497D" w:themeColor="text2"/>
          <w:spacing w:val="-4"/>
          <w:sz w:val="20"/>
          <w:lang w:eastAsia="en-US"/>
        </w:rPr>
        <w:t>2017</w:t>
      </w:r>
    </w:p>
    <w:tbl>
      <w:tblPr>
        <w:tblStyle w:val="TableGrid3"/>
        <w:tblW w:w="14040" w:type="dxa"/>
        <w:tblLayout w:type="fixed"/>
        <w:tblLook w:val="04A0" w:firstRow="1" w:lastRow="0" w:firstColumn="1" w:lastColumn="0" w:noHBand="0" w:noVBand="1"/>
      </w:tblPr>
      <w:tblGrid>
        <w:gridCol w:w="3119"/>
        <w:gridCol w:w="2126"/>
        <w:gridCol w:w="2552"/>
        <w:gridCol w:w="1417"/>
        <w:gridCol w:w="992"/>
        <w:gridCol w:w="3834"/>
      </w:tblGrid>
      <w:tr w:rsidR="00762006" w:rsidRPr="00762006" w:rsidTr="00FE6F53">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100" w:firstRow="0" w:lastRow="0" w:firstColumn="1" w:lastColumn="0" w:oddVBand="0" w:evenVBand="0" w:oddHBand="0" w:evenHBand="0" w:firstRowFirstColumn="1" w:firstRowLastColumn="0" w:lastRowFirstColumn="0" w:lastRowLastColumn="0"/>
            <w:tcW w:w="3119" w:type="dxa"/>
            <w:hideMark/>
          </w:tcPr>
          <w:p w:rsidR="00762006" w:rsidRPr="00762006" w:rsidRDefault="00762006" w:rsidP="000D5446">
            <w:pPr>
              <w:spacing w:before="60" w:after="60"/>
              <w:rPr>
                <w:rFonts w:cs="Calibri"/>
                <w:b/>
                <w:bCs/>
                <w:sz w:val="18"/>
                <w:szCs w:val="18"/>
              </w:rPr>
            </w:pPr>
            <w:r w:rsidRPr="00762006">
              <w:rPr>
                <w:rFonts w:cs="Calibri"/>
                <w:b/>
                <w:bCs/>
                <w:sz w:val="18"/>
                <w:szCs w:val="18"/>
              </w:rPr>
              <w:t>Des</w:t>
            </w:r>
            <w:r>
              <w:rPr>
                <w:rFonts w:cs="Calibri"/>
                <w:b/>
                <w:bCs/>
                <w:sz w:val="18"/>
                <w:szCs w:val="18"/>
              </w:rPr>
              <w:t>cription of policy announcement</w:t>
            </w:r>
          </w:p>
        </w:tc>
        <w:tc>
          <w:tcPr>
            <w:tcW w:w="2126"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 xml:space="preserve">Party or Parliamentarian </w:t>
            </w:r>
            <w:r>
              <w:rPr>
                <w:rFonts w:cs="Calibri"/>
                <w:b/>
                <w:bCs/>
                <w:sz w:val="18"/>
                <w:szCs w:val="18"/>
              </w:rPr>
              <w:t>a</w:t>
            </w:r>
            <w:r w:rsidRPr="00762006">
              <w:rPr>
                <w:rFonts w:cs="Calibri"/>
                <w:b/>
                <w:bCs/>
                <w:sz w:val="18"/>
                <w:szCs w:val="18"/>
              </w:rPr>
              <w:t>nnouncing policy</w:t>
            </w:r>
          </w:p>
        </w:tc>
        <w:tc>
          <w:tcPr>
            <w:tcW w:w="2552"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Method of Announcement</w:t>
            </w:r>
          </w:p>
        </w:tc>
        <w:tc>
          <w:tcPr>
            <w:tcW w:w="1417"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Date of announcement</w:t>
            </w:r>
          </w:p>
        </w:tc>
        <w:tc>
          <w:tcPr>
            <w:tcW w:w="992"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Pr>
                <w:rFonts w:cs="Calibri"/>
                <w:b/>
                <w:bCs/>
                <w:sz w:val="18"/>
                <w:szCs w:val="18"/>
              </w:rPr>
              <w:t>C</w:t>
            </w:r>
            <w:r w:rsidRPr="00762006">
              <w:rPr>
                <w:rFonts w:cs="Calibri"/>
                <w:b/>
                <w:bCs/>
                <w:sz w:val="18"/>
                <w:szCs w:val="18"/>
              </w:rPr>
              <w:t>osting minute released</w:t>
            </w:r>
            <w:r>
              <w:rPr>
                <w:rFonts w:cs="Calibri"/>
                <w:b/>
                <w:bCs/>
                <w:sz w:val="18"/>
                <w:szCs w:val="18"/>
              </w:rPr>
              <w:t>?</w:t>
            </w:r>
          </w:p>
        </w:tc>
        <w:tc>
          <w:tcPr>
            <w:tcW w:w="3834"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Date of release of costing minute</w:t>
            </w:r>
          </w:p>
        </w:tc>
      </w:tr>
      <w:tr w:rsidR="00762006" w:rsidRPr="00762006" w:rsidTr="00FE6F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Alternative ways for funding the NDIS</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0</w:t>
            </w:r>
            <w:r w:rsidRPr="00762006">
              <w:rPr>
                <w:rFonts w:cs="Calibri"/>
                <w:color w:val="000000"/>
                <w:sz w:val="18"/>
                <w:szCs w:val="18"/>
              </w:rPr>
              <w:t>2/07/2017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FE6F53">
        <w:trPr>
          <w:trHeight w:val="1218"/>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Helping State and Territory Governments replace Stamp Duty with Land Tax</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17/07/2017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2C7698">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17/07/2017</w:t>
            </w:r>
            <w:r w:rsidRPr="00762006">
              <w:rPr>
                <w:rFonts w:cs="Calibri"/>
                <w:color w:val="000000"/>
                <w:sz w:val="18"/>
                <w:szCs w:val="18"/>
              </w:rPr>
              <w:br/>
            </w:r>
            <w:r w:rsidR="002C7698" w:rsidRPr="00762006">
              <w:rPr>
                <w:rFonts w:cs="Calibri"/>
                <w:color w:val="000000"/>
                <w:sz w:val="18"/>
                <w:szCs w:val="18"/>
              </w:rPr>
              <w:t>Costing posted on PBO website</w:t>
            </w:r>
          </w:p>
        </w:tc>
      </w:tr>
      <w:tr w:rsidR="00762006" w:rsidRPr="00762006" w:rsidTr="00FE6F5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Housing for young people: Freeing up investment properties</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29/07/2017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FE6F53">
        <w:trPr>
          <w:trHeight w:val="72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Introduce a standard minimum 30 per cent tax rate for discretionary trust distributions to mature beneficiaries</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Media release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30/07/2</w:t>
            </w:r>
            <w:r>
              <w:rPr>
                <w:rFonts w:cs="Calibri"/>
                <w:color w:val="000000"/>
                <w:sz w:val="18"/>
                <w:szCs w:val="18"/>
              </w:rPr>
              <w:t>0</w:t>
            </w:r>
            <w:r w:rsidRPr="00762006">
              <w:rPr>
                <w:rFonts w:cs="Calibri"/>
                <w:color w:val="000000"/>
                <w:sz w:val="18"/>
                <w:szCs w:val="18"/>
              </w:rPr>
              <w:t>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FE6F53">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GST-Free Electricity</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Senator David Leyonhjelm</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Introduction of </w:t>
            </w:r>
            <w:r>
              <w:rPr>
                <w:rFonts w:cs="Calibri"/>
                <w:color w:val="000000"/>
                <w:sz w:val="18"/>
                <w:szCs w:val="18"/>
              </w:rPr>
              <w:t>B</w:t>
            </w:r>
            <w:r w:rsidRPr="00762006">
              <w:rPr>
                <w:rFonts w:cs="Calibri"/>
                <w:color w:val="000000"/>
                <w:sz w:val="18"/>
                <w:szCs w:val="18"/>
              </w:rPr>
              <w:t xml:space="preserve">ill into </w:t>
            </w:r>
            <w:r>
              <w:rPr>
                <w:rFonts w:cs="Calibri"/>
                <w:color w:val="000000"/>
                <w:sz w:val="18"/>
                <w:szCs w:val="18"/>
              </w:rPr>
              <w:t>P</w:t>
            </w:r>
            <w:r w:rsidRPr="00762006">
              <w:rPr>
                <w:rFonts w:cs="Calibri"/>
                <w:color w:val="000000"/>
                <w:sz w:val="18"/>
                <w:szCs w:val="18"/>
              </w:rPr>
              <w:t>arliament</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0</w:t>
            </w:r>
            <w:r w:rsidRPr="00762006">
              <w:rPr>
                <w:rFonts w:cs="Calibri"/>
                <w:color w:val="000000"/>
                <w:sz w:val="18"/>
                <w:szCs w:val="18"/>
              </w:rPr>
              <w:t>5/09/2017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A44FAF">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05/09/2017</w:t>
            </w:r>
            <w:r w:rsidR="00A44FAF">
              <w:rPr>
                <w:rFonts w:cs="Calibri"/>
                <w:color w:val="000000"/>
                <w:sz w:val="18"/>
                <w:szCs w:val="18"/>
              </w:rPr>
              <w:t xml:space="preserve"> - Co</w:t>
            </w:r>
            <w:r w:rsidRPr="00762006">
              <w:rPr>
                <w:rFonts w:cs="Calibri"/>
                <w:color w:val="000000"/>
                <w:sz w:val="18"/>
                <w:szCs w:val="18"/>
              </w:rPr>
              <w:t xml:space="preserve">sting included in explanatory memorandum to </w:t>
            </w:r>
            <w:r w:rsidR="00FA1577">
              <w:rPr>
                <w:rFonts w:cs="Calibri"/>
                <w:color w:val="000000"/>
                <w:sz w:val="18"/>
                <w:szCs w:val="18"/>
              </w:rPr>
              <w:t>B</w:t>
            </w:r>
            <w:r w:rsidRPr="00762006">
              <w:rPr>
                <w:rFonts w:cs="Calibri"/>
                <w:color w:val="000000"/>
                <w:sz w:val="18"/>
                <w:szCs w:val="18"/>
              </w:rPr>
              <w:t>ill and posted on PBO website.</w:t>
            </w:r>
          </w:p>
        </w:tc>
      </w:tr>
      <w:tr w:rsidR="00762006" w:rsidRPr="00762006" w:rsidTr="00FE6F53">
        <w:trPr>
          <w:trHeight w:val="120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Higher threshold for Regional Student HELP repayments</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Ms Cathy McGowan AO MP</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Moving amendment to </w:t>
            </w:r>
            <w:r w:rsidRPr="00762006">
              <w:rPr>
                <w:rFonts w:cs="Calibri"/>
                <w:iCs/>
                <w:color w:val="000000"/>
                <w:sz w:val="18"/>
                <w:szCs w:val="18"/>
              </w:rPr>
              <w:t>Higher Education Support Legislation</w:t>
            </w:r>
            <w:r w:rsidR="00FA1577" w:rsidRPr="00FA1577">
              <w:rPr>
                <w:rFonts w:cs="Calibri"/>
                <w:iCs/>
                <w:color w:val="000000"/>
                <w:sz w:val="18"/>
                <w:szCs w:val="18"/>
              </w:rPr>
              <w:t xml:space="preserve"> </w:t>
            </w:r>
            <w:r w:rsidRPr="00762006">
              <w:rPr>
                <w:rFonts w:cs="Calibri"/>
                <w:iCs/>
                <w:color w:val="000000"/>
                <w:sz w:val="18"/>
                <w:szCs w:val="18"/>
              </w:rPr>
              <w:t>Amendment (A</w:t>
            </w:r>
            <w:r w:rsidR="00FA1577" w:rsidRPr="00FA1577">
              <w:rPr>
                <w:rFonts w:cs="Calibri"/>
                <w:iCs/>
                <w:color w:val="000000"/>
                <w:sz w:val="18"/>
                <w:szCs w:val="18"/>
              </w:rPr>
              <w:t> </w:t>
            </w:r>
            <w:r w:rsidRPr="00762006">
              <w:rPr>
                <w:rFonts w:cs="Calibri"/>
                <w:iCs/>
                <w:color w:val="000000"/>
                <w:sz w:val="18"/>
                <w:szCs w:val="18"/>
              </w:rPr>
              <w:t>More Sustainable,</w:t>
            </w:r>
            <w:r w:rsidR="00FA1577" w:rsidRPr="00FA1577">
              <w:rPr>
                <w:rFonts w:cs="Calibri"/>
                <w:iCs/>
                <w:color w:val="000000"/>
                <w:sz w:val="18"/>
                <w:szCs w:val="18"/>
              </w:rPr>
              <w:t xml:space="preserve"> </w:t>
            </w:r>
            <w:r w:rsidRPr="00762006">
              <w:rPr>
                <w:rFonts w:cs="Calibri"/>
                <w:iCs/>
                <w:color w:val="000000"/>
                <w:sz w:val="18"/>
                <w:szCs w:val="18"/>
              </w:rPr>
              <w:t>Responsive and Transparent</w:t>
            </w:r>
            <w:r w:rsidR="00FA1577" w:rsidRPr="00FA1577">
              <w:rPr>
                <w:rFonts w:cs="Calibri"/>
                <w:iCs/>
                <w:color w:val="000000"/>
                <w:sz w:val="18"/>
                <w:szCs w:val="18"/>
              </w:rPr>
              <w:t xml:space="preserve"> </w:t>
            </w:r>
            <w:r w:rsidRPr="00762006">
              <w:rPr>
                <w:rFonts w:cs="Calibri"/>
                <w:iCs/>
                <w:color w:val="000000"/>
                <w:sz w:val="18"/>
                <w:szCs w:val="18"/>
              </w:rPr>
              <w:t>Higher Education System) Bill 2017</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13/09/2017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A44FAF">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14/09/2017</w:t>
            </w:r>
            <w:r w:rsidR="00A44FAF">
              <w:rPr>
                <w:rFonts w:cs="Calibri"/>
                <w:color w:val="000000"/>
                <w:sz w:val="18"/>
                <w:szCs w:val="18"/>
              </w:rPr>
              <w:t xml:space="preserve"> - </w:t>
            </w:r>
            <w:r w:rsidRPr="00762006">
              <w:rPr>
                <w:rFonts w:cs="Calibri"/>
                <w:color w:val="000000"/>
                <w:sz w:val="18"/>
                <w:szCs w:val="18"/>
              </w:rPr>
              <w:t>Costing posted on PBO website</w:t>
            </w:r>
          </w:p>
        </w:tc>
      </w:tr>
      <w:tr w:rsidR="00762006" w:rsidRPr="00762006" w:rsidTr="00FE6F5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Addressing fraudulent phoenix activity</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Hon Dr Andrew Leigh MP</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Parliamentary </w:t>
            </w:r>
            <w:r w:rsidR="00FA1577">
              <w:rPr>
                <w:rFonts w:cs="Calibri"/>
                <w:color w:val="000000"/>
                <w:sz w:val="18"/>
                <w:szCs w:val="18"/>
              </w:rPr>
              <w:t>s</w:t>
            </w:r>
            <w:r w:rsidRPr="00762006">
              <w:rPr>
                <w:rFonts w:cs="Calibri"/>
                <w:color w:val="000000"/>
                <w:sz w:val="18"/>
                <w:szCs w:val="18"/>
              </w:rPr>
              <w:t>peech</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14/09/2017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FE6F53">
        <w:trPr>
          <w:trHeight w:val="60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Restore Australian Federal Police presence at Hobart Airport</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Media </w:t>
            </w:r>
            <w:r w:rsidR="00FA1577">
              <w:rPr>
                <w:rFonts w:cs="Calibri"/>
                <w:color w:val="000000"/>
                <w:sz w:val="18"/>
                <w:szCs w:val="18"/>
              </w:rPr>
              <w:t>r</w:t>
            </w:r>
            <w:r w:rsidRPr="00762006">
              <w:rPr>
                <w:rFonts w:cs="Calibri"/>
                <w:color w:val="000000"/>
                <w:sz w:val="18"/>
                <w:szCs w:val="18"/>
              </w:rPr>
              <w:t>elease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15/09/2017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FE6F5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tcBorders>
              <w:bottom w:val="none" w:sz="0" w:space="0" w:color="auto"/>
            </w:tcBorders>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Funding for a National Space Agency</w:t>
            </w:r>
          </w:p>
        </w:tc>
        <w:tc>
          <w:tcPr>
            <w:tcW w:w="2126" w:type="dxa"/>
            <w:tcBorders>
              <w:bottom w:val="none" w:sz="0" w:space="0" w:color="auto"/>
            </w:tcBorders>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Senator </w:t>
            </w:r>
            <w:r w:rsidR="00FA1577">
              <w:rPr>
                <w:rFonts w:cs="Calibri"/>
                <w:color w:val="000000"/>
                <w:sz w:val="18"/>
                <w:szCs w:val="18"/>
              </w:rPr>
              <w:t xml:space="preserve">the </w:t>
            </w:r>
            <w:r w:rsidRPr="00762006">
              <w:rPr>
                <w:rFonts w:cs="Calibri"/>
                <w:color w:val="000000"/>
                <w:sz w:val="18"/>
                <w:szCs w:val="18"/>
              </w:rPr>
              <w:t>Hon Kim Carr</w:t>
            </w:r>
          </w:p>
        </w:tc>
        <w:tc>
          <w:tcPr>
            <w:tcW w:w="2552" w:type="dxa"/>
            <w:tcBorders>
              <w:bottom w:val="none" w:sz="0" w:space="0" w:color="auto"/>
            </w:tcBorders>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Media </w:t>
            </w:r>
            <w:r w:rsidR="00FA1577">
              <w:rPr>
                <w:rFonts w:cs="Calibri"/>
                <w:color w:val="000000"/>
                <w:sz w:val="18"/>
                <w:szCs w:val="18"/>
              </w:rPr>
              <w:t>r</w:t>
            </w:r>
            <w:r w:rsidRPr="00762006">
              <w:rPr>
                <w:rFonts w:cs="Calibri"/>
                <w:color w:val="000000"/>
                <w:sz w:val="18"/>
                <w:szCs w:val="18"/>
              </w:rPr>
              <w:t>elease</w:t>
            </w:r>
          </w:p>
        </w:tc>
        <w:tc>
          <w:tcPr>
            <w:tcW w:w="1417" w:type="dxa"/>
            <w:tcBorders>
              <w:bottom w:val="none" w:sz="0" w:space="0" w:color="auto"/>
            </w:tcBorders>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25/09/2017</w:t>
            </w:r>
          </w:p>
        </w:tc>
        <w:tc>
          <w:tcPr>
            <w:tcW w:w="992" w:type="dxa"/>
            <w:tcBorders>
              <w:bottom w:val="none" w:sz="0" w:space="0" w:color="auto"/>
            </w:tcBorders>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tcBorders>
              <w:bottom w:val="none" w:sz="0" w:space="0" w:color="auto"/>
            </w:tcBorders>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23E24" w:rsidRPr="00762006" w:rsidTr="00FE6F53">
        <w:trPr>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723E24" w:rsidRPr="00762006" w:rsidRDefault="00723E24" w:rsidP="000D5446">
            <w:pPr>
              <w:spacing w:before="60" w:after="60"/>
              <w:rPr>
                <w:rFonts w:cs="Calibri"/>
                <w:color w:val="000000"/>
                <w:sz w:val="18"/>
                <w:szCs w:val="18"/>
              </w:rPr>
            </w:pPr>
            <w:r>
              <w:rPr>
                <w:rFonts w:cs="Calibri"/>
                <w:color w:val="000000"/>
                <w:sz w:val="18"/>
                <w:szCs w:val="18"/>
              </w:rPr>
              <w:t>Higher education and vocational education and training</w:t>
            </w:r>
          </w:p>
        </w:tc>
        <w:tc>
          <w:tcPr>
            <w:tcW w:w="2126" w:type="dxa"/>
            <w:vAlign w:val="top"/>
          </w:tcPr>
          <w:p w:rsidR="00723E24" w:rsidRPr="00762006" w:rsidRDefault="00723E24"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Senator David Leyonhjelm</w:t>
            </w:r>
          </w:p>
        </w:tc>
        <w:tc>
          <w:tcPr>
            <w:tcW w:w="2552" w:type="dxa"/>
            <w:vAlign w:val="top"/>
          </w:tcPr>
          <w:p w:rsidR="00723E24" w:rsidRPr="00762006" w:rsidRDefault="00723E24"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Media article</w:t>
            </w:r>
          </w:p>
        </w:tc>
        <w:tc>
          <w:tcPr>
            <w:tcW w:w="1417" w:type="dxa"/>
            <w:vAlign w:val="top"/>
          </w:tcPr>
          <w:p w:rsidR="00723E24" w:rsidRPr="00762006" w:rsidRDefault="00723E24"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17/10/2017</w:t>
            </w:r>
          </w:p>
        </w:tc>
        <w:tc>
          <w:tcPr>
            <w:tcW w:w="992" w:type="dxa"/>
            <w:vAlign w:val="top"/>
          </w:tcPr>
          <w:p w:rsidR="00723E24" w:rsidRPr="00762006" w:rsidRDefault="00723E24"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Yes</w:t>
            </w:r>
          </w:p>
        </w:tc>
        <w:tc>
          <w:tcPr>
            <w:tcW w:w="3834" w:type="dxa"/>
            <w:vAlign w:val="top"/>
          </w:tcPr>
          <w:p w:rsidR="00FE34BA" w:rsidRDefault="00723E24" w:rsidP="00A44FAF">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19/10/2017</w:t>
            </w:r>
            <w:r w:rsidR="00A44FAF">
              <w:rPr>
                <w:rFonts w:cs="Calibri"/>
                <w:color w:val="000000"/>
                <w:sz w:val="18"/>
                <w:szCs w:val="18"/>
              </w:rPr>
              <w:t xml:space="preserve"> - </w:t>
            </w:r>
            <w:r w:rsidR="00FE34BA">
              <w:rPr>
                <w:rFonts w:cs="Calibri"/>
                <w:color w:val="000000"/>
                <w:sz w:val="18"/>
                <w:szCs w:val="18"/>
              </w:rPr>
              <w:t>Costing posted on PBO website</w:t>
            </w:r>
          </w:p>
        </w:tc>
      </w:tr>
      <w:tr w:rsidR="009C66DB" w:rsidRPr="00762006" w:rsidTr="00FE6F5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DBE5F1" w:themeColor="accent1" w:themeTint="33"/>
            </w:tcBorders>
            <w:vAlign w:val="top"/>
          </w:tcPr>
          <w:p w:rsidR="009C66DB" w:rsidRPr="00014105" w:rsidRDefault="009C66DB" w:rsidP="00A73CE0">
            <w:pPr>
              <w:spacing w:before="60" w:after="60"/>
              <w:rPr>
                <w:rFonts w:cs="Calibri"/>
                <w:color w:val="000000"/>
                <w:sz w:val="18"/>
                <w:szCs w:val="18"/>
              </w:rPr>
            </w:pPr>
            <w:r>
              <w:rPr>
                <w:rFonts w:cs="Calibri"/>
                <w:color w:val="000000"/>
                <w:sz w:val="18"/>
                <w:szCs w:val="18"/>
              </w:rPr>
              <w:lastRenderedPageBreak/>
              <w:t>Publish what you pay</w:t>
            </w:r>
          </w:p>
        </w:tc>
        <w:tc>
          <w:tcPr>
            <w:tcW w:w="2126" w:type="dxa"/>
            <w:tcBorders>
              <w:bottom w:val="single" w:sz="4" w:space="0" w:color="DBE5F1" w:themeColor="accent1" w:themeTint="33"/>
            </w:tcBorders>
            <w:vAlign w:val="top"/>
          </w:tcPr>
          <w:p w:rsidR="009C66DB" w:rsidRPr="00014105" w:rsidRDefault="009C66DB"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tcBorders>
              <w:bottom w:val="single" w:sz="4" w:space="0" w:color="DBE5F1" w:themeColor="accent1" w:themeTint="33"/>
            </w:tcBorders>
            <w:vAlign w:val="top"/>
          </w:tcPr>
          <w:p w:rsidR="009C66DB" w:rsidRPr="00014105" w:rsidRDefault="009C66DB"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Media article</w:t>
            </w:r>
          </w:p>
        </w:tc>
        <w:tc>
          <w:tcPr>
            <w:tcW w:w="1417" w:type="dxa"/>
            <w:tcBorders>
              <w:bottom w:val="single" w:sz="4" w:space="0" w:color="DBE5F1" w:themeColor="accent1" w:themeTint="33"/>
            </w:tcBorders>
            <w:vAlign w:val="top"/>
          </w:tcPr>
          <w:p w:rsidR="009C66DB" w:rsidRPr="00014105" w:rsidRDefault="009C66DB"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31/10/2017</w:t>
            </w:r>
          </w:p>
        </w:tc>
        <w:tc>
          <w:tcPr>
            <w:tcW w:w="992" w:type="dxa"/>
            <w:tcBorders>
              <w:bottom w:val="single" w:sz="4" w:space="0" w:color="DBE5F1" w:themeColor="accent1" w:themeTint="33"/>
            </w:tcBorders>
            <w:vAlign w:val="top"/>
          </w:tcPr>
          <w:p w:rsidR="009C66DB" w:rsidRDefault="009C66DB"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tcBorders>
              <w:bottom w:val="single" w:sz="4" w:space="0" w:color="DBE5F1" w:themeColor="accent1" w:themeTint="33"/>
            </w:tcBorders>
            <w:vAlign w:val="top"/>
          </w:tcPr>
          <w:p w:rsidR="009C66DB" w:rsidRDefault="009C66DB"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CA1096" w:rsidRPr="00762006" w:rsidTr="00FE6F53">
        <w:trPr>
          <w:trHeight w:val="303"/>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DBE5F1" w:themeColor="accent1" w:themeTint="33"/>
            </w:tcBorders>
            <w:vAlign w:val="top"/>
          </w:tcPr>
          <w:p w:rsidR="00CA1096" w:rsidRPr="00762006" w:rsidRDefault="00CA1096" w:rsidP="00A73CE0">
            <w:pPr>
              <w:spacing w:before="60" w:after="60"/>
              <w:rPr>
                <w:rFonts w:cs="Calibri"/>
                <w:color w:val="000000"/>
                <w:sz w:val="18"/>
                <w:szCs w:val="18"/>
              </w:rPr>
            </w:pPr>
            <w:r w:rsidRPr="00014105">
              <w:rPr>
                <w:rFonts w:cs="Calibri"/>
                <w:color w:val="000000"/>
                <w:sz w:val="18"/>
                <w:szCs w:val="18"/>
              </w:rPr>
              <w:t xml:space="preserve">Proposal to increase wages for Commonwealth Public Servants below the Executive Level (EL). </w:t>
            </w:r>
          </w:p>
        </w:tc>
        <w:tc>
          <w:tcPr>
            <w:tcW w:w="2126" w:type="dxa"/>
            <w:tcBorders>
              <w:bottom w:val="single" w:sz="4" w:space="0" w:color="DBE5F1" w:themeColor="accent1" w:themeTint="33"/>
            </w:tcBorders>
            <w:vAlign w:val="top"/>
          </w:tcPr>
          <w:p w:rsidR="00CA1096" w:rsidRPr="00762006" w:rsidRDefault="00CA1096"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014105">
              <w:rPr>
                <w:rFonts w:cs="Calibri"/>
                <w:color w:val="000000"/>
                <w:sz w:val="18"/>
                <w:szCs w:val="18"/>
              </w:rPr>
              <w:t>Australian Greens</w:t>
            </w:r>
          </w:p>
        </w:tc>
        <w:tc>
          <w:tcPr>
            <w:tcW w:w="2552" w:type="dxa"/>
            <w:tcBorders>
              <w:bottom w:val="single" w:sz="4" w:space="0" w:color="DBE5F1" w:themeColor="accent1" w:themeTint="33"/>
            </w:tcBorders>
            <w:vAlign w:val="top"/>
          </w:tcPr>
          <w:p w:rsidR="00CA1096" w:rsidRPr="00762006" w:rsidRDefault="00CA1096"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014105">
              <w:rPr>
                <w:rFonts w:cs="Calibri"/>
                <w:color w:val="000000"/>
                <w:sz w:val="18"/>
                <w:szCs w:val="18"/>
              </w:rPr>
              <w:t>Media article</w:t>
            </w:r>
          </w:p>
        </w:tc>
        <w:tc>
          <w:tcPr>
            <w:tcW w:w="1417" w:type="dxa"/>
            <w:tcBorders>
              <w:bottom w:val="single" w:sz="4" w:space="0" w:color="DBE5F1" w:themeColor="accent1" w:themeTint="33"/>
            </w:tcBorders>
            <w:vAlign w:val="top"/>
          </w:tcPr>
          <w:p w:rsidR="00CA1096" w:rsidRPr="00762006" w:rsidRDefault="00CA1096"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014105">
              <w:rPr>
                <w:rFonts w:cs="Calibri"/>
                <w:color w:val="000000"/>
                <w:sz w:val="18"/>
                <w:szCs w:val="18"/>
              </w:rPr>
              <w:t>14</w:t>
            </w:r>
            <w:r>
              <w:rPr>
                <w:rFonts w:cs="Calibri"/>
                <w:color w:val="000000"/>
                <w:sz w:val="18"/>
                <w:szCs w:val="18"/>
              </w:rPr>
              <w:t>/12/</w:t>
            </w:r>
            <w:r w:rsidRPr="00014105">
              <w:rPr>
                <w:rFonts w:cs="Calibri"/>
                <w:color w:val="000000"/>
                <w:sz w:val="18"/>
                <w:szCs w:val="18"/>
              </w:rPr>
              <w:t>2017</w:t>
            </w:r>
          </w:p>
        </w:tc>
        <w:tc>
          <w:tcPr>
            <w:tcW w:w="992" w:type="dxa"/>
            <w:tcBorders>
              <w:bottom w:val="single" w:sz="4" w:space="0" w:color="DBE5F1" w:themeColor="accent1" w:themeTint="33"/>
            </w:tcBorders>
            <w:vAlign w:val="top"/>
          </w:tcPr>
          <w:p w:rsidR="00CA1096" w:rsidRPr="00762006" w:rsidRDefault="00CA1096"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Yes</w:t>
            </w:r>
          </w:p>
        </w:tc>
        <w:tc>
          <w:tcPr>
            <w:tcW w:w="3834" w:type="dxa"/>
            <w:tcBorders>
              <w:bottom w:val="single" w:sz="4" w:space="0" w:color="DBE5F1" w:themeColor="accent1" w:themeTint="33"/>
            </w:tcBorders>
            <w:vAlign w:val="top"/>
          </w:tcPr>
          <w:p w:rsidR="00CA1096" w:rsidRPr="00762006" w:rsidRDefault="00CA1096" w:rsidP="00A44FAF">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14/</w:t>
            </w:r>
            <w:r w:rsidRPr="00014105">
              <w:rPr>
                <w:rFonts w:cs="Calibri"/>
                <w:color w:val="000000"/>
                <w:sz w:val="18"/>
                <w:szCs w:val="18"/>
              </w:rPr>
              <w:t>12</w:t>
            </w:r>
            <w:r>
              <w:rPr>
                <w:rFonts w:cs="Calibri"/>
                <w:color w:val="000000"/>
                <w:sz w:val="18"/>
                <w:szCs w:val="18"/>
              </w:rPr>
              <w:t>/</w:t>
            </w:r>
            <w:r w:rsidRPr="00014105">
              <w:rPr>
                <w:rFonts w:cs="Calibri"/>
                <w:color w:val="000000"/>
                <w:sz w:val="18"/>
                <w:szCs w:val="18"/>
              </w:rPr>
              <w:t>2017</w:t>
            </w:r>
            <w:r w:rsidR="00A44FAF">
              <w:rPr>
                <w:rFonts w:cs="Calibri"/>
                <w:color w:val="000000"/>
                <w:sz w:val="18"/>
                <w:szCs w:val="18"/>
              </w:rPr>
              <w:t xml:space="preserve"> - </w:t>
            </w:r>
            <w:r w:rsidRPr="00762006">
              <w:rPr>
                <w:rFonts w:cs="Calibri"/>
                <w:color w:val="000000"/>
                <w:sz w:val="18"/>
                <w:szCs w:val="18"/>
              </w:rPr>
              <w:t>Costing posted on PBO website</w:t>
            </w:r>
          </w:p>
        </w:tc>
      </w:tr>
    </w:tbl>
    <w:p w:rsidR="00014105" w:rsidRPr="007C1434" w:rsidRDefault="00014105" w:rsidP="00E60E7C">
      <w:pPr>
        <w:keepNext/>
        <w:keepLines/>
        <w:tabs>
          <w:tab w:val="left" w:pos="142"/>
        </w:tabs>
        <w:spacing w:after="120"/>
        <w:rPr>
          <w:rFonts w:asciiTheme="minorHAnsi" w:hAnsiTheme="minorHAnsi"/>
          <w:sz w:val="16"/>
        </w:rPr>
        <w:sectPr w:rsidR="00014105" w:rsidRPr="007C1434" w:rsidSect="00A734A7">
          <w:footerReference w:type="default" r:id="rId15"/>
          <w:pgSz w:w="16838" w:h="11906" w:orient="landscape"/>
          <w:pgMar w:top="1440" w:right="1440" w:bottom="1440" w:left="1440" w:header="709" w:footer="709" w:gutter="0"/>
          <w:cols w:space="708"/>
          <w:docGrid w:linePitch="360"/>
        </w:sectPr>
      </w:pPr>
    </w:p>
    <w:p w:rsidR="009A5648" w:rsidRDefault="00AA3A52" w:rsidP="00E60E7C">
      <w:pPr>
        <w:pStyle w:val="PBOheading1"/>
      </w:pPr>
      <w:r>
        <w:lastRenderedPageBreak/>
        <w:t xml:space="preserve">PBO staff by function and </w:t>
      </w:r>
      <w:r w:rsidR="00E8002B">
        <w:t>employment level</w:t>
      </w:r>
    </w:p>
    <w:p w:rsidR="000743AC" w:rsidRDefault="00543268"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Table </w:t>
      </w:r>
      <w:r w:rsidR="00674E11">
        <w:rPr>
          <w:rFonts w:asciiTheme="minorHAnsi" w:eastAsiaTheme="minorHAnsi" w:hAnsiTheme="minorHAnsi" w:cstheme="minorBidi"/>
          <w:color w:val="1F497D" w:themeColor="text2"/>
          <w:spacing w:val="-4"/>
          <w:sz w:val="20"/>
          <w:lang w:eastAsia="en-US"/>
        </w:rPr>
        <w:t>5</w:t>
      </w:r>
      <w:r w:rsidRPr="005D002A">
        <w:rPr>
          <w:rFonts w:asciiTheme="minorHAnsi" w:eastAsiaTheme="minorHAnsi" w:hAnsiTheme="minorHAnsi" w:cstheme="minorBidi"/>
          <w:color w:val="1F497D" w:themeColor="text2"/>
          <w:spacing w:val="-4"/>
          <w:sz w:val="20"/>
          <w:lang w:eastAsia="en-US"/>
        </w:rPr>
        <w:t xml:space="preserve">: PBO staff by function and employment level as </w:t>
      </w:r>
      <w:r w:rsidRPr="003D28C1">
        <w:rPr>
          <w:rFonts w:asciiTheme="minorHAnsi" w:eastAsiaTheme="minorHAnsi" w:hAnsiTheme="minorHAnsi" w:cstheme="minorBidi"/>
          <w:color w:val="1F497D" w:themeColor="text2"/>
          <w:spacing w:val="-4"/>
          <w:sz w:val="20"/>
          <w:lang w:eastAsia="en-US"/>
        </w:rPr>
        <w:t xml:space="preserve">at </w:t>
      </w:r>
      <w:r w:rsidR="00096B79" w:rsidRPr="003D28C1">
        <w:rPr>
          <w:rFonts w:asciiTheme="minorHAnsi" w:eastAsiaTheme="minorHAnsi" w:hAnsiTheme="minorHAnsi" w:cstheme="minorBidi"/>
          <w:color w:val="1F497D" w:themeColor="text2"/>
          <w:spacing w:val="-4"/>
          <w:sz w:val="20"/>
          <w:lang w:eastAsia="en-US"/>
        </w:rPr>
        <w:t>3</w:t>
      </w:r>
      <w:r w:rsidR="00072581" w:rsidRPr="003D28C1">
        <w:rPr>
          <w:rFonts w:asciiTheme="minorHAnsi" w:eastAsiaTheme="minorHAnsi" w:hAnsiTheme="minorHAnsi" w:cstheme="minorBidi"/>
          <w:color w:val="1F497D" w:themeColor="text2"/>
          <w:spacing w:val="-4"/>
          <w:sz w:val="20"/>
          <w:lang w:eastAsia="en-US"/>
        </w:rPr>
        <w:t xml:space="preserve">1 December </w:t>
      </w:r>
      <w:r w:rsidR="00DC430D" w:rsidRPr="003D28C1">
        <w:rPr>
          <w:rFonts w:asciiTheme="minorHAnsi" w:eastAsiaTheme="minorHAnsi" w:hAnsiTheme="minorHAnsi" w:cstheme="minorBidi"/>
          <w:color w:val="1F497D" w:themeColor="text2"/>
          <w:spacing w:val="-4"/>
          <w:sz w:val="20"/>
          <w:lang w:eastAsia="en-US"/>
        </w:rPr>
        <w:t>2017</w:t>
      </w:r>
    </w:p>
    <w:tbl>
      <w:tblPr>
        <w:tblStyle w:val="PBOtable"/>
        <w:tblW w:w="9322" w:type="dxa"/>
        <w:tblLayout w:type="fixed"/>
        <w:tblLook w:val="04A0" w:firstRow="1" w:lastRow="0" w:firstColumn="1" w:lastColumn="0" w:noHBand="0" w:noVBand="1"/>
      </w:tblPr>
      <w:tblGrid>
        <w:gridCol w:w="3510"/>
        <w:gridCol w:w="1162"/>
        <w:gridCol w:w="1162"/>
        <w:gridCol w:w="1163"/>
        <w:gridCol w:w="1162"/>
        <w:gridCol w:w="1163"/>
      </w:tblGrid>
      <w:tr w:rsidR="00743ECF" w:rsidRPr="00743ECF" w:rsidTr="00AD076F">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510" w:type="dxa"/>
            <w:shd w:val="clear" w:color="auto" w:fill="2B3B5F"/>
            <w:noWrap/>
            <w:hideMark/>
          </w:tcPr>
          <w:p w:rsidR="00743ECF" w:rsidRPr="00743ECF" w:rsidRDefault="00743ECF" w:rsidP="00E60E7C">
            <w:pPr>
              <w:jc w:val="left"/>
              <w:rPr>
                <w:rFonts w:eastAsia="Times New Roman"/>
                <w:bCs/>
                <w:color w:val="FFFFFF"/>
                <w:szCs w:val="18"/>
              </w:rPr>
            </w:pPr>
            <w:r w:rsidRPr="00743ECF">
              <w:rPr>
                <w:rFonts w:eastAsia="Times New Roman"/>
                <w:bCs/>
                <w:color w:val="FFFFFF"/>
                <w:szCs w:val="18"/>
              </w:rPr>
              <w:t>Classification</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PBO Executive</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Budget Analysis Division</w:t>
            </w:r>
          </w:p>
        </w:tc>
        <w:tc>
          <w:tcPr>
            <w:tcW w:w="1163"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Fiscal Policy Analysis Division</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Corporate Strategy Branch</w:t>
            </w:r>
          </w:p>
        </w:tc>
        <w:tc>
          <w:tcPr>
            <w:tcW w:w="1163" w:type="dxa"/>
            <w:shd w:val="clear" w:color="auto" w:fill="2B3B5F"/>
            <w:hideMark/>
          </w:tcPr>
          <w:p w:rsidR="00743ECF" w:rsidRPr="00743ECF" w:rsidRDefault="00743ECF" w:rsidP="00D873D2">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Total</w:t>
            </w:r>
          </w:p>
        </w:tc>
      </w:tr>
      <w:tr w:rsidR="00CE14D3" w:rsidRPr="00743ECF" w:rsidTr="00CE14D3">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noWrap/>
          </w:tcPr>
          <w:p w:rsidR="00CE14D3" w:rsidRPr="00A01C65" w:rsidRDefault="00CE14D3" w:rsidP="00E60E7C">
            <w:pPr>
              <w:rPr>
                <w:rFonts w:eastAsia="Times New Roman"/>
                <w:b w:val="0"/>
                <w:color w:val="000000"/>
                <w:szCs w:val="18"/>
              </w:rPr>
            </w:pPr>
          </w:p>
        </w:tc>
        <w:tc>
          <w:tcPr>
            <w:tcW w:w="1162"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2"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3"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2"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3"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Budget Officer (PBO)</w:t>
            </w:r>
          </w:p>
        </w:tc>
        <w:tc>
          <w:tcPr>
            <w:tcW w:w="1162" w:type="dxa"/>
            <w:noWrap/>
          </w:tcPr>
          <w:p w:rsidR="00743ECF" w:rsidRPr="00E512F9"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1</w:t>
            </w:r>
          </w:p>
        </w:tc>
        <w:tc>
          <w:tcPr>
            <w:tcW w:w="1162" w:type="dxa"/>
            <w:noWrap/>
          </w:tcPr>
          <w:p w:rsidR="00743ECF" w:rsidRPr="009A3B09"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9A3B09">
              <w:rPr>
                <w:rFonts w:eastAsia="Times New Roman"/>
                <w:color w:val="000000"/>
                <w:szCs w:val="18"/>
              </w:rPr>
              <w:t>-</w:t>
            </w:r>
          </w:p>
        </w:tc>
        <w:tc>
          <w:tcPr>
            <w:tcW w:w="1163" w:type="dxa"/>
            <w:noWrap/>
          </w:tcPr>
          <w:p w:rsidR="00743ECF" w:rsidRPr="006A0C05"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6A0C05">
              <w:rPr>
                <w:rFonts w:eastAsia="Times New Roman"/>
                <w:color w:val="000000"/>
                <w:szCs w:val="18"/>
              </w:rPr>
              <w:t>-</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E512F9"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1</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Senior Executive Service Band 2 (SES B2)</w:t>
            </w:r>
          </w:p>
        </w:tc>
        <w:tc>
          <w:tcPr>
            <w:tcW w:w="1162" w:type="dxa"/>
            <w:noWrap/>
          </w:tcPr>
          <w:p w:rsidR="00743ECF" w:rsidRPr="00E512F9"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w:t>
            </w:r>
          </w:p>
        </w:tc>
        <w:tc>
          <w:tcPr>
            <w:tcW w:w="1162" w:type="dxa"/>
            <w:noWrap/>
          </w:tcPr>
          <w:p w:rsidR="00743ECF" w:rsidRPr="00E512F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1</w:t>
            </w:r>
          </w:p>
        </w:tc>
        <w:tc>
          <w:tcPr>
            <w:tcW w:w="1163" w:type="dxa"/>
            <w:noWrap/>
          </w:tcPr>
          <w:p w:rsidR="00743ECF" w:rsidRPr="009A3B0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9A3B09">
              <w:rPr>
                <w:rFonts w:eastAsia="Times New Roman"/>
                <w:color w:val="000000"/>
                <w:szCs w:val="18"/>
              </w:rPr>
              <w:t>1</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E512F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sidRPr="00E512F9">
              <w:rPr>
                <w:rFonts w:eastAsia="Times New Roman"/>
                <w:b/>
                <w:bCs/>
                <w:color w:val="000000"/>
                <w:szCs w:val="18"/>
              </w:rPr>
              <w:t>2</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575B0B">
            <w:pPr>
              <w:rPr>
                <w:rFonts w:eastAsia="Times New Roman"/>
                <w:b w:val="0"/>
                <w:color w:val="000000"/>
                <w:szCs w:val="18"/>
              </w:rPr>
            </w:pPr>
            <w:r w:rsidRPr="00A01C65">
              <w:rPr>
                <w:rFonts w:eastAsia="Times New Roman"/>
                <w:b w:val="0"/>
                <w:color w:val="000000"/>
                <w:szCs w:val="18"/>
              </w:rPr>
              <w:t>Senior Executive Service Band 1 (SES B1)</w:t>
            </w:r>
          </w:p>
        </w:tc>
        <w:tc>
          <w:tcPr>
            <w:tcW w:w="1162" w:type="dxa"/>
            <w:noWrap/>
          </w:tcPr>
          <w:p w:rsidR="00743ECF" w:rsidRPr="00E512F9"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w:t>
            </w:r>
          </w:p>
        </w:tc>
        <w:tc>
          <w:tcPr>
            <w:tcW w:w="1162" w:type="dxa"/>
            <w:noWrap/>
          </w:tcPr>
          <w:p w:rsidR="00743ECF" w:rsidRPr="00E512F9"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2</w:t>
            </w:r>
          </w:p>
        </w:tc>
        <w:tc>
          <w:tcPr>
            <w:tcW w:w="1163" w:type="dxa"/>
            <w:noWrap/>
          </w:tcPr>
          <w:p w:rsidR="00743ECF" w:rsidRPr="009A3B09"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9A3B09">
              <w:rPr>
                <w:rFonts w:eastAsia="Times New Roman"/>
                <w:color w:val="000000"/>
                <w:szCs w:val="18"/>
              </w:rPr>
              <w:t>1</w:t>
            </w:r>
          </w:p>
        </w:tc>
        <w:tc>
          <w:tcPr>
            <w:tcW w:w="1162" w:type="dxa"/>
            <w:noWrap/>
          </w:tcPr>
          <w:p w:rsidR="00743ECF" w:rsidRPr="006A0C05"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6A0C05">
              <w:rPr>
                <w:rFonts w:eastAsia="Times New Roman"/>
                <w:color w:val="000000"/>
                <w:szCs w:val="18"/>
              </w:rPr>
              <w:t>1</w:t>
            </w:r>
          </w:p>
        </w:tc>
        <w:tc>
          <w:tcPr>
            <w:tcW w:w="1163" w:type="dxa"/>
            <w:noWrap/>
          </w:tcPr>
          <w:p w:rsidR="00743ECF" w:rsidRPr="00E512F9" w:rsidRDefault="006F3D6C"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4</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Executive Level 2 (PEL2)</w:t>
            </w:r>
          </w:p>
        </w:tc>
        <w:tc>
          <w:tcPr>
            <w:tcW w:w="1162" w:type="dxa"/>
            <w:noWrap/>
          </w:tcPr>
          <w:p w:rsidR="00743ECF" w:rsidRPr="00E512F9"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w:t>
            </w:r>
          </w:p>
        </w:tc>
        <w:tc>
          <w:tcPr>
            <w:tcW w:w="1162" w:type="dxa"/>
            <w:noWrap/>
          </w:tcPr>
          <w:p w:rsidR="00743ECF" w:rsidRPr="00E512F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4</w:t>
            </w:r>
          </w:p>
        </w:tc>
        <w:tc>
          <w:tcPr>
            <w:tcW w:w="1163" w:type="dxa"/>
            <w:noWrap/>
          </w:tcPr>
          <w:p w:rsidR="00743ECF" w:rsidRPr="00E512F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2</w:t>
            </w:r>
          </w:p>
        </w:tc>
        <w:tc>
          <w:tcPr>
            <w:tcW w:w="1162" w:type="dxa"/>
            <w:noWrap/>
          </w:tcPr>
          <w:p w:rsidR="00743ECF" w:rsidRPr="00E512F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2</w:t>
            </w:r>
          </w:p>
        </w:tc>
        <w:tc>
          <w:tcPr>
            <w:tcW w:w="1163" w:type="dxa"/>
            <w:noWrap/>
          </w:tcPr>
          <w:p w:rsidR="00743ECF" w:rsidRPr="00E512F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sidRPr="00E512F9">
              <w:rPr>
                <w:rFonts w:eastAsia="Times New Roman"/>
                <w:b/>
                <w:bCs/>
                <w:color w:val="000000"/>
                <w:szCs w:val="18"/>
              </w:rPr>
              <w:t>8</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930BF2">
            <w:pPr>
              <w:rPr>
                <w:rFonts w:eastAsia="Times New Roman"/>
                <w:b w:val="0"/>
                <w:color w:val="000000"/>
                <w:szCs w:val="18"/>
              </w:rPr>
            </w:pPr>
            <w:r w:rsidRPr="00A01C65">
              <w:rPr>
                <w:rFonts w:eastAsia="Times New Roman"/>
                <w:b w:val="0"/>
                <w:color w:val="000000"/>
                <w:szCs w:val="18"/>
              </w:rPr>
              <w:t>Parliamentary Executive Level 1 (PEL1)</w:t>
            </w:r>
            <w:r w:rsidR="00AA19A6" w:rsidRPr="00A01C65">
              <w:rPr>
                <w:rFonts w:eastAsia="Times New Roman"/>
                <w:b w:val="0"/>
                <w:color w:val="000000"/>
                <w:szCs w:val="18"/>
              </w:rPr>
              <w:t xml:space="preserve"> </w:t>
            </w:r>
          </w:p>
        </w:tc>
        <w:tc>
          <w:tcPr>
            <w:tcW w:w="1162" w:type="dxa"/>
            <w:noWrap/>
          </w:tcPr>
          <w:p w:rsidR="00743ECF" w:rsidRPr="00E512F9"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w:t>
            </w:r>
          </w:p>
        </w:tc>
        <w:tc>
          <w:tcPr>
            <w:tcW w:w="1162" w:type="dxa"/>
            <w:noWrap/>
          </w:tcPr>
          <w:p w:rsidR="00743ECF" w:rsidRPr="009A3B09" w:rsidRDefault="006F3D6C" w:rsidP="00930BF2">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1</w:t>
            </w:r>
            <w:r w:rsidR="00E512F9" w:rsidRPr="00E512F9">
              <w:rPr>
                <w:rFonts w:eastAsia="Times New Roman"/>
                <w:color w:val="000000"/>
                <w:szCs w:val="18"/>
              </w:rPr>
              <w:t>2</w:t>
            </w:r>
          </w:p>
        </w:tc>
        <w:tc>
          <w:tcPr>
            <w:tcW w:w="1163" w:type="dxa"/>
            <w:noWrap/>
          </w:tcPr>
          <w:p w:rsidR="00743ECF" w:rsidRPr="006A0C05"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6A0C05">
              <w:rPr>
                <w:rFonts w:eastAsia="Times New Roman"/>
                <w:color w:val="000000"/>
                <w:szCs w:val="18"/>
              </w:rPr>
              <w:t>4</w:t>
            </w:r>
          </w:p>
        </w:tc>
        <w:tc>
          <w:tcPr>
            <w:tcW w:w="1162" w:type="dxa"/>
            <w:noWrap/>
          </w:tcPr>
          <w:p w:rsidR="00743ECF" w:rsidRPr="00E512F9" w:rsidRDefault="006F3D6C"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1</w:t>
            </w:r>
          </w:p>
        </w:tc>
        <w:tc>
          <w:tcPr>
            <w:tcW w:w="1163" w:type="dxa"/>
            <w:noWrap/>
          </w:tcPr>
          <w:p w:rsidR="00743ECF" w:rsidRPr="00E512F9" w:rsidRDefault="008F2B9E"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1</w:t>
            </w:r>
            <w:r w:rsidR="00E512F9">
              <w:rPr>
                <w:rFonts w:eastAsia="Times New Roman"/>
                <w:b/>
                <w:bCs/>
                <w:color w:val="000000"/>
                <w:szCs w:val="18"/>
              </w:rPr>
              <w:t>7</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575B0B">
            <w:pPr>
              <w:rPr>
                <w:rFonts w:eastAsia="Times New Roman"/>
                <w:b w:val="0"/>
                <w:color w:val="000000"/>
                <w:szCs w:val="18"/>
              </w:rPr>
            </w:pPr>
            <w:r w:rsidRPr="00A01C65">
              <w:rPr>
                <w:rFonts w:eastAsia="Times New Roman"/>
                <w:b w:val="0"/>
                <w:color w:val="000000"/>
                <w:szCs w:val="18"/>
              </w:rPr>
              <w:t>Parliamentary Service Level 6 (PSL6)</w:t>
            </w:r>
          </w:p>
        </w:tc>
        <w:tc>
          <w:tcPr>
            <w:tcW w:w="1162" w:type="dxa"/>
            <w:noWrap/>
          </w:tcPr>
          <w:p w:rsidR="00743ECF" w:rsidRPr="00E512F9"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1</w:t>
            </w:r>
          </w:p>
        </w:tc>
        <w:tc>
          <w:tcPr>
            <w:tcW w:w="1162" w:type="dxa"/>
            <w:noWrap/>
          </w:tcPr>
          <w:p w:rsidR="00743ECF" w:rsidRPr="00E512F9" w:rsidRDefault="008F2B9E"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4</w:t>
            </w:r>
          </w:p>
        </w:tc>
        <w:tc>
          <w:tcPr>
            <w:tcW w:w="1163" w:type="dxa"/>
            <w:noWrap/>
          </w:tcPr>
          <w:p w:rsidR="00743ECF" w:rsidRPr="009A3B09" w:rsidRDefault="00ED1472"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9A3B09">
              <w:rPr>
                <w:rFonts w:eastAsia="Times New Roman"/>
                <w:color w:val="000000"/>
                <w:szCs w:val="18"/>
              </w:rPr>
              <w:t>-</w:t>
            </w:r>
          </w:p>
        </w:tc>
        <w:tc>
          <w:tcPr>
            <w:tcW w:w="1162"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E512F9" w:rsidRDefault="008F2B9E"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sidRPr="00E512F9">
              <w:rPr>
                <w:rFonts w:eastAsia="Times New Roman"/>
                <w:b/>
                <w:bCs/>
                <w:color w:val="000000"/>
                <w:szCs w:val="18"/>
              </w:rPr>
              <w:t>5</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930BF2">
            <w:pPr>
              <w:rPr>
                <w:rFonts w:eastAsia="Times New Roman"/>
                <w:b w:val="0"/>
                <w:color w:val="000000"/>
                <w:szCs w:val="18"/>
              </w:rPr>
            </w:pPr>
            <w:r w:rsidRPr="00A01C65">
              <w:rPr>
                <w:rFonts w:eastAsia="Times New Roman"/>
                <w:b w:val="0"/>
                <w:color w:val="000000"/>
                <w:szCs w:val="18"/>
              </w:rPr>
              <w:t>Parliamentary Service Level 5 (PSL5)</w:t>
            </w:r>
            <w:r w:rsidR="002E3D70">
              <w:rPr>
                <w:rFonts w:eastAsia="Times New Roman"/>
                <w:b w:val="0"/>
                <w:color w:val="000000"/>
                <w:szCs w:val="18"/>
              </w:rPr>
              <w:t xml:space="preserve"> </w:t>
            </w:r>
          </w:p>
        </w:tc>
        <w:tc>
          <w:tcPr>
            <w:tcW w:w="1162" w:type="dxa"/>
            <w:noWrap/>
          </w:tcPr>
          <w:p w:rsidR="00743ECF" w:rsidRPr="00E512F9"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w:t>
            </w:r>
          </w:p>
        </w:tc>
        <w:tc>
          <w:tcPr>
            <w:tcW w:w="1162" w:type="dxa"/>
            <w:noWrap/>
          </w:tcPr>
          <w:p w:rsidR="00743ECF" w:rsidRPr="00E512F9" w:rsidRDefault="00A17D76"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E512F9">
              <w:rPr>
                <w:rFonts w:eastAsia="Times New Roman"/>
                <w:color w:val="000000"/>
                <w:szCs w:val="18"/>
              </w:rPr>
              <w:t>1</w:t>
            </w:r>
          </w:p>
        </w:tc>
        <w:tc>
          <w:tcPr>
            <w:tcW w:w="1163" w:type="dxa"/>
            <w:noWrap/>
          </w:tcPr>
          <w:p w:rsidR="00743ECF" w:rsidRPr="009A3B09" w:rsidRDefault="008F2B9E"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9A3B09">
              <w:rPr>
                <w:rFonts w:eastAsia="Times New Roman"/>
                <w:color w:val="000000"/>
                <w:szCs w:val="18"/>
              </w:rPr>
              <w:t>1</w:t>
            </w:r>
          </w:p>
        </w:tc>
        <w:tc>
          <w:tcPr>
            <w:tcW w:w="1162" w:type="dxa"/>
            <w:noWrap/>
          </w:tcPr>
          <w:p w:rsidR="00743ECF" w:rsidRPr="006A0C05"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6A0C05">
              <w:rPr>
                <w:rFonts w:eastAsia="Times New Roman"/>
                <w:color w:val="000000"/>
                <w:szCs w:val="18"/>
              </w:rPr>
              <w:t>2</w:t>
            </w:r>
          </w:p>
        </w:tc>
        <w:tc>
          <w:tcPr>
            <w:tcW w:w="1163" w:type="dxa"/>
            <w:noWrap/>
          </w:tcPr>
          <w:p w:rsidR="00743ECF" w:rsidRPr="00E512F9" w:rsidRDefault="00A17D76"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4</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575B0B">
            <w:pPr>
              <w:rPr>
                <w:rFonts w:eastAsia="Times New Roman"/>
                <w:b w:val="0"/>
                <w:color w:val="000000"/>
                <w:szCs w:val="18"/>
              </w:rPr>
            </w:pPr>
            <w:r w:rsidRPr="00A01C65">
              <w:rPr>
                <w:rFonts w:eastAsia="Times New Roman"/>
                <w:b w:val="0"/>
                <w:color w:val="000000"/>
                <w:szCs w:val="18"/>
              </w:rPr>
              <w:t>Parliamentary Service Level 4 (PSL4)</w:t>
            </w:r>
          </w:p>
        </w:tc>
        <w:tc>
          <w:tcPr>
            <w:tcW w:w="1162" w:type="dxa"/>
            <w:noWrap/>
          </w:tcPr>
          <w:p w:rsidR="00743ECF" w:rsidRPr="00E512F9"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w:t>
            </w:r>
          </w:p>
        </w:tc>
        <w:tc>
          <w:tcPr>
            <w:tcW w:w="1162" w:type="dxa"/>
            <w:noWrap/>
          </w:tcPr>
          <w:p w:rsidR="00743ECF" w:rsidRPr="00E512F9" w:rsidRDefault="00C53944"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w:t>
            </w:r>
          </w:p>
        </w:tc>
        <w:tc>
          <w:tcPr>
            <w:tcW w:w="1163" w:type="dxa"/>
            <w:noWrap/>
          </w:tcPr>
          <w:p w:rsidR="00743ECF" w:rsidRPr="009A3B09" w:rsidRDefault="00C53944"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9A3B09">
              <w:rPr>
                <w:rFonts w:eastAsia="Times New Roman"/>
                <w:color w:val="000000"/>
                <w:szCs w:val="18"/>
              </w:rPr>
              <w:t>-</w:t>
            </w:r>
          </w:p>
        </w:tc>
        <w:tc>
          <w:tcPr>
            <w:tcW w:w="1162" w:type="dxa"/>
            <w:noWrap/>
          </w:tcPr>
          <w:p w:rsidR="00743ECF" w:rsidRPr="00E512F9" w:rsidRDefault="00C53944"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E512F9">
              <w:rPr>
                <w:rFonts w:eastAsia="Times New Roman"/>
                <w:color w:val="000000"/>
                <w:szCs w:val="18"/>
              </w:rPr>
              <w:t>1</w:t>
            </w:r>
          </w:p>
        </w:tc>
        <w:tc>
          <w:tcPr>
            <w:tcW w:w="1163" w:type="dxa"/>
            <w:noWrap/>
          </w:tcPr>
          <w:p w:rsidR="00743ECF" w:rsidRPr="00E512F9" w:rsidRDefault="00B57CD1"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sidRPr="00E512F9">
              <w:rPr>
                <w:rFonts w:eastAsia="Times New Roman"/>
                <w:b/>
                <w:bCs/>
                <w:color w:val="000000"/>
                <w:szCs w:val="18"/>
              </w:rPr>
              <w:t>1</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743ECF" w:rsidRDefault="00743ECF" w:rsidP="00D873D2">
            <w:pPr>
              <w:rPr>
                <w:rFonts w:eastAsia="Times New Roman"/>
                <w:bCs/>
                <w:color w:val="000000"/>
                <w:szCs w:val="18"/>
              </w:rPr>
            </w:pPr>
            <w:r w:rsidRPr="00743ECF">
              <w:rPr>
                <w:rFonts w:eastAsia="Times New Roman"/>
                <w:bCs/>
                <w:color w:val="000000"/>
                <w:szCs w:val="18"/>
              </w:rPr>
              <w:t xml:space="preserve">Total </w:t>
            </w:r>
            <w:r w:rsidR="00A62104">
              <w:rPr>
                <w:rFonts w:eastAsia="Times New Roman"/>
                <w:bCs/>
                <w:color w:val="000000"/>
                <w:szCs w:val="18"/>
              </w:rPr>
              <w:t>s</w:t>
            </w:r>
            <w:r w:rsidRPr="00743ECF">
              <w:rPr>
                <w:rFonts w:eastAsia="Times New Roman"/>
                <w:bCs/>
                <w:color w:val="000000"/>
                <w:szCs w:val="18"/>
              </w:rPr>
              <w:t>taff</w:t>
            </w:r>
          </w:p>
        </w:tc>
        <w:tc>
          <w:tcPr>
            <w:tcW w:w="1162" w:type="dxa"/>
            <w:noWrap/>
          </w:tcPr>
          <w:p w:rsidR="00743ECF" w:rsidRPr="00E512F9"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2</w:t>
            </w:r>
          </w:p>
        </w:tc>
        <w:tc>
          <w:tcPr>
            <w:tcW w:w="1162" w:type="dxa"/>
            <w:noWrap/>
          </w:tcPr>
          <w:p w:rsidR="00743ECF" w:rsidRPr="009A3B09" w:rsidRDefault="008B048A" w:rsidP="008305AB">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2</w:t>
            </w:r>
            <w:r w:rsidR="00ED1472" w:rsidRPr="00E512F9">
              <w:rPr>
                <w:rFonts w:eastAsia="Times New Roman"/>
                <w:b/>
                <w:bCs/>
                <w:color w:val="000000"/>
                <w:szCs w:val="18"/>
              </w:rPr>
              <w:t>4</w:t>
            </w:r>
          </w:p>
        </w:tc>
        <w:tc>
          <w:tcPr>
            <w:tcW w:w="1163" w:type="dxa"/>
            <w:noWrap/>
          </w:tcPr>
          <w:p w:rsidR="00743ECF" w:rsidRPr="006A0C05" w:rsidRDefault="008305AB" w:rsidP="00E60E7C">
            <w:pPr>
              <w:cnfStyle w:val="000000010000" w:firstRow="0" w:lastRow="0" w:firstColumn="0" w:lastColumn="0" w:oddVBand="0" w:evenVBand="0" w:oddHBand="0" w:evenHBand="1" w:firstRowFirstColumn="0" w:firstRowLastColumn="0" w:lastRowFirstColumn="0" w:lastRowLastColumn="0"/>
              <w:rPr>
                <w:rFonts w:eastAsia="Times New Roman"/>
                <w:b/>
                <w:color w:val="000000"/>
                <w:szCs w:val="18"/>
              </w:rPr>
            </w:pPr>
            <w:r w:rsidRPr="006A0C05">
              <w:rPr>
                <w:rFonts w:eastAsia="Times New Roman"/>
                <w:b/>
                <w:color w:val="000000"/>
                <w:szCs w:val="18"/>
              </w:rPr>
              <w:t>9</w:t>
            </w:r>
          </w:p>
        </w:tc>
        <w:tc>
          <w:tcPr>
            <w:tcW w:w="1162" w:type="dxa"/>
            <w:noWrap/>
          </w:tcPr>
          <w:p w:rsidR="00743ECF" w:rsidRPr="00E512F9" w:rsidRDefault="00B57CD1"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7</w:t>
            </w:r>
          </w:p>
        </w:tc>
        <w:tc>
          <w:tcPr>
            <w:tcW w:w="1163" w:type="dxa"/>
            <w:noWrap/>
          </w:tcPr>
          <w:p w:rsidR="00743ECF" w:rsidRPr="00E512F9" w:rsidRDefault="008F2B9E"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E512F9">
              <w:rPr>
                <w:rFonts w:eastAsia="Times New Roman"/>
                <w:b/>
                <w:bCs/>
                <w:color w:val="000000"/>
                <w:szCs w:val="18"/>
              </w:rPr>
              <w:t>4</w:t>
            </w:r>
            <w:r w:rsidR="00E512F9">
              <w:rPr>
                <w:rFonts w:eastAsia="Times New Roman"/>
                <w:b/>
                <w:bCs/>
                <w:color w:val="000000"/>
                <w:szCs w:val="18"/>
              </w:rPr>
              <w:t>2</w:t>
            </w:r>
          </w:p>
        </w:tc>
      </w:tr>
    </w:tbl>
    <w:p w:rsidR="00315623" w:rsidRDefault="00575B0B" w:rsidP="008B2C4E">
      <w:pPr>
        <w:pStyle w:val="PBOtext"/>
      </w:pPr>
      <w:r>
        <w:rPr>
          <w:sz w:val="16"/>
          <w:szCs w:val="16"/>
        </w:rPr>
        <w:t xml:space="preserve">Note:  </w:t>
      </w:r>
      <w:r w:rsidR="00543268" w:rsidRPr="00BA18F0">
        <w:rPr>
          <w:sz w:val="16"/>
          <w:szCs w:val="16"/>
        </w:rPr>
        <w:t xml:space="preserve">One </w:t>
      </w:r>
      <w:r w:rsidR="00543268" w:rsidRPr="00E512F9">
        <w:rPr>
          <w:sz w:val="16"/>
          <w:szCs w:val="16"/>
        </w:rPr>
        <w:t>SES B1</w:t>
      </w:r>
      <w:r w:rsidR="00B40746" w:rsidRPr="00E512F9">
        <w:rPr>
          <w:sz w:val="16"/>
          <w:szCs w:val="16"/>
        </w:rPr>
        <w:t>,</w:t>
      </w:r>
      <w:r w:rsidR="00BA18F0" w:rsidRPr="00E512F9">
        <w:rPr>
          <w:sz w:val="16"/>
          <w:szCs w:val="16"/>
        </w:rPr>
        <w:t xml:space="preserve"> </w:t>
      </w:r>
      <w:r w:rsidR="00DE2FBE" w:rsidRPr="00E512F9">
        <w:rPr>
          <w:sz w:val="16"/>
          <w:szCs w:val="16"/>
        </w:rPr>
        <w:t xml:space="preserve">one </w:t>
      </w:r>
      <w:r w:rsidR="00F03016" w:rsidRPr="00E512F9">
        <w:rPr>
          <w:sz w:val="16"/>
          <w:szCs w:val="16"/>
        </w:rPr>
        <w:t xml:space="preserve">PSL6 </w:t>
      </w:r>
      <w:r w:rsidR="00B40746" w:rsidRPr="00E512F9">
        <w:rPr>
          <w:sz w:val="16"/>
          <w:szCs w:val="16"/>
        </w:rPr>
        <w:t>and one PSL4 ongoi</w:t>
      </w:r>
      <w:r w:rsidR="00B40746" w:rsidRPr="00BA18F0">
        <w:rPr>
          <w:sz w:val="16"/>
          <w:szCs w:val="16"/>
        </w:rPr>
        <w:t xml:space="preserve">ng </w:t>
      </w:r>
      <w:r w:rsidR="005B325D" w:rsidRPr="00BA18F0">
        <w:rPr>
          <w:sz w:val="16"/>
          <w:szCs w:val="16"/>
        </w:rPr>
        <w:t xml:space="preserve">employees </w:t>
      </w:r>
      <w:r w:rsidR="005323C2" w:rsidRPr="00BA18F0">
        <w:rPr>
          <w:sz w:val="16"/>
          <w:szCs w:val="16"/>
        </w:rPr>
        <w:t>are</w:t>
      </w:r>
      <w:r w:rsidR="00543268" w:rsidRPr="00BA18F0">
        <w:rPr>
          <w:sz w:val="16"/>
          <w:szCs w:val="16"/>
        </w:rPr>
        <w:t xml:space="preserve"> on long term leave</w:t>
      </w:r>
      <w:r w:rsidR="00502E21">
        <w:rPr>
          <w:sz w:val="16"/>
          <w:szCs w:val="16"/>
        </w:rPr>
        <w:t xml:space="preserve"> without pay</w:t>
      </w:r>
      <w:r w:rsidR="00543268" w:rsidRPr="00BA18F0">
        <w:rPr>
          <w:sz w:val="16"/>
          <w:szCs w:val="16"/>
        </w:rPr>
        <w:t xml:space="preserve"> and </w:t>
      </w:r>
      <w:r w:rsidR="005323C2" w:rsidRPr="00BA18F0">
        <w:rPr>
          <w:sz w:val="16"/>
          <w:szCs w:val="16"/>
        </w:rPr>
        <w:t xml:space="preserve">are </w:t>
      </w:r>
      <w:r w:rsidR="00543268" w:rsidRPr="00BA18F0">
        <w:rPr>
          <w:sz w:val="16"/>
          <w:szCs w:val="16"/>
        </w:rPr>
        <w:t>not included in these totals.</w:t>
      </w:r>
    </w:p>
    <w:sectPr w:rsidR="00315623" w:rsidSect="00A734A7">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6D" w:rsidRDefault="0039656D" w:rsidP="00770BB2">
      <w:pPr>
        <w:spacing w:after="0"/>
      </w:pPr>
      <w:r>
        <w:separator/>
      </w:r>
    </w:p>
  </w:endnote>
  <w:endnote w:type="continuationSeparator" w:id="0">
    <w:p w:rsidR="0039656D" w:rsidRDefault="0039656D"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6D" w:rsidRPr="00201F77" w:rsidRDefault="0039656D" w:rsidP="00201F77">
    <w:pPr>
      <w:pStyle w:val="Footer"/>
      <w:pBdr>
        <w:top w:val="single" w:sz="4" w:space="0"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8480" behindDoc="0" locked="0" layoutInCell="1" allowOverlap="1" wp14:anchorId="2C1E10AE" wp14:editId="18729F28">
              <wp:simplePos x="0" y="0"/>
              <wp:positionH relativeFrom="column">
                <wp:posOffset>4523196</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56D" w:rsidRPr="00F36BEB" w:rsidRDefault="0039656D"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50B11">
                            <w:rPr>
                              <w:rFonts w:asciiTheme="minorHAnsi" w:hAnsiTheme="minorHAnsi"/>
                              <w:bCs/>
                              <w:noProof/>
                              <w:sz w:val="18"/>
                              <w:szCs w:val="18"/>
                            </w:rPr>
                            <w:t>6</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50B11">
                            <w:rPr>
                              <w:rFonts w:asciiTheme="minorHAnsi" w:hAnsiTheme="minorHAnsi"/>
                              <w:bCs/>
                              <w:noProof/>
                              <w:sz w:val="18"/>
                              <w:szCs w:val="18"/>
                            </w:rPr>
                            <w:t>10</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6.15pt;margin-top:-3.15pt;width:104.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" filled="f" stroked="f" strokeweight=".5pt">
              <v:textbox>
                <w:txbxContent>
                  <w:p w:rsidR="0039656D" w:rsidRPr="00F36BEB" w:rsidRDefault="0039656D"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50B11">
                      <w:rPr>
                        <w:rFonts w:asciiTheme="minorHAnsi" w:hAnsiTheme="minorHAnsi"/>
                        <w:bCs/>
                        <w:noProof/>
                        <w:sz w:val="18"/>
                        <w:szCs w:val="18"/>
                      </w:rPr>
                      <w:t>6</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50B11">
                      <w:rPr>
                        <w:rFonts w:asciiTheme="minorHAnsi" w:hAnsiTheme="minorHAnsi"/>
                        <w:bCs/>
                        <w:noProof/>
                        <w:sz w:val="18"/>
                        <w:szCs w:val="18"/>
                      </w:rPr>
                      <w:t>10</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21 February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6D" w:rsidRPr="00F36BEB" w:rsidRDefault="0039656D"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69CE01B6" wp14:editId="1F24A44C">
              <wp:simplePos x="0" y="0"/>
              <wp:positionH relativeFrom="column">
                <wp:posOffset>7649936</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56D" w:rsidRPr="00F36BEB" w:rsidRDefault="0039656D"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50B11">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50B11">
                            <w:rPr>
                              <w:rFonts w:asciiTheme="minorHAnsi" w:hAnsiTheme="minorHAnsi"/>
                              <w:bCs/>
                              <w:noProof/>
                              <w:sz w:val="18"/>
                              <w:szCs w:val="18"/>
                            </w:rPr>
                            <w:t>10</w:t>
                          </w:r>
                          <w:r w:rsidRPr="00F36BEB">
                            <w:rPr>
                              <w:rFonts w:asciiTheme="minorHAnsi" w:hAnsiTheme="minorHAnsi"/>
                              <w:b/>
                              <w:bCs/>
                              <w:sz w:val="18"/>
                              <w:szCs w:val="18"/>
                            </w:rPr>
                            <w:fldChar w:fldCharType="end"/>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02.35pt;margin-top:-3.15pt;width:104.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RvfwIAAGs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" filled="f" stroked="f" strokeweight=".5pt">
              <v:textbox>
                <w:txbxContent>
                  <w:p w:rsidR="0039656D" w:rsidRPr="00F36BEB" w:rsidRDefault="0039656D"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50B11">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50B11">
                      <w:rPr>
                        <w:rFonts w:asciiTheme="minorHAnsi" w:hAnsiTheme="minorHAnsi"/>
                        <w:bCs/>
                        <w:noProof/>
                        <w:sz w:val="18"/>
                        <w:szCs w:val="18"/>
                      </w:rPr>
                      <w:t>10</w:t>
                    </w:r>
                    <w:r w:rsidRPr="00F36BEB">
                      <w:rPr>
                        <w:rFonts w:asciiTheme="minorHAnsi" w:hAnsiTheme="minorHAnsi"/>
                        <w:b/>
                        <w:bCs/>
                        <w:sz w:val="18"/>
                        <w:szCs w:val="18"/>
                      </w:rPr>
                      <w:fldChar w:fldCharType="end"/>
                    </w:r>
                    <w:bookmarkStart w:id="1" w:name="_GoBack"/>
                    <w:bookmarkEnd w:id="1"/>
                  </w:p>
                </w:txbxContent>
              </v:textbox>
            </v:shape>
          </w:pict>
        </mc:Fallback>
      </mc:AlternateContent>
    </w:r>
    <w:r>
      <w:rPr>
        <w:rFonts w:asciiTheme="minorHAnsi" w:hAnsiTheme="minorHAnsi"/>
        <w:sz w:val="18"/>
        <w:szCs w:val="18"/>
      </w:rPr>
      <w:t>PBO activity report – 21 February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6D" w:rsidRPr="00F36BEB" w:rsidRDefault="0039656D"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5408" behindDoc="0" locked="0" layoutInCell="1" allowOverlap="1" wp14:anchorId="4FFEB0DB" wp14:editId="78D39FD1">
              <wp:simplePos x="0" y="0"/>
              <wp:positionH relativeFrom="column">
                <wp:posOffset>4524284</wp:posOffset>
              </wp:positionH>
              <wp:positionV relativeFrom="paragraph">
                <wp:posOffset>-40005</wp:posOffset>
              </wp:positionV>
              <wp:extent cx="13239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656D" w:rsidRPr="00F36BEB" w:rsidRDefault="0039656D"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50B11">
                            <w:rPr>
                              <w:rFonts w:asciiTheme="minorHAnsi" w:hAnsiTheme="minorHAnsi"/>
                              <w:bCs/>
                              <w:noProof/>
                              <w:sz w:val="18"/>
                              <w:szCs w:val="18"/>
                            </w:rPr>
                            <w:t>10</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50B11">
                            <w:rPr>
                              <w:rFonts w:asciiTheme="minorHAnsi" w:hAnsiTheme="minorHAnsi"/>
                              <w:bCs/>
                              <w:noProof/>
                              <w:sz w:val="18"/>
                              <w:szCs w:val="18"/>
                            </w:rPr>
                            <w:t>10</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56.25pt;margin-top:-3.15pt;width:104.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" filled="f" stroked="f" strokeweight=".5pt">
              <v:textbox>
                <w:txbxContent>
                  <w:p w:rsidR="0039656D" w:rsidRPr="00F36BEB" w:rsidRDefault="0039656D"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F50B11">
                      <w:rPr>
                        <w:rFonts w:asciiTheme="minorHAnsi" w:hAnsiTheme="minorHAnsi"/>
                        <w:bCs/>
                        <w:noProof/>
                        <w:sz w:val="18"/>
                        <w:szCs w:val="18"/>
                      </w:rPr>
                      <w:t>10</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F50B11">
                      <w:rPr>
                        <w:rFonts w:asciiTheme="minorHAnsi" w:hAnsiTheme="minorHAnsi"/>
                        <w:bCs/>
                        <w:noProof/>
                        <w:sz w:val="18"/>
                        <w:szCs w:val="18"/>
                      </w:rPr>
                      <w:t>10</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 xml:space="preserve">PBO activity report – 21 </w:t>
    </w:r>
    <w:r w:rsidR="00A8196E">
      <w:rPr>
        <w:rFonts w:asciiTheme="minorHAnsi" w:hAnsiTheme="minorHAnsi"/>
        <w:sz w:val="18"/>
        <w:szCs w:val="18"/>
      </w:rPr>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6D" w:rsidRDefault="0039656D" w:rsidP="00770BB2">
      <w:pPr>
        <w:spacing w:after="0"/>
      </w:pPr>
      <w:r>
        <w:separator/>
      </w:r>
    </w:p>
  </w:footnote>
  <w:footnote w:type="continuationSeparator" w:id="0">
    <w:p w:rsidR="0039656D" w:rsidRDefault="0039656D" w:rsidP="00770B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8B37FE"/>
    <w:multiLevelType w:val="multilevel"/>
    <w:tmpl w:val="7A8823A8"/>
    <w:name w:val="Bullets"/>
    <w:lvl w:ilvl="0">
      <w:start w:val="1"/>
      <w:numFmt w:val="bullet"/>
      <w:pStyle w:val="ListBullet"/>
      <w:lvlText w:val=""/>
      <w:lvlJc w:val="left"/>
      <w:pPr>
        <w:ind w:left="360" w:hanging="360"/>
      </w:pPr>
      <w:rPr>
        <w:rFonts w:ascii="Symbol" w:hAnsi="Symbol" w:hint="default"/>
        <w:b w:val="0"/>
        <w:i w:val="0"/>
        <w:color w:val="auto"/>
        <w:position w:val="0"/>
        <w:sz w:val="28"/>
        <w:szCs w:val="28"/>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8"/>
        <w:szCs w:val="28"/>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E713F5"/>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7">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6765074"/>
    <w:multiLevelType w:val="hybridMultilevel"/>
    <w:tmpl w:val="91143FAA"/>
    <w:lvl w:ilvl="0" w:tplc="0C09001B">
      <w:start w:val="1"/>
      <w:numFmt w:val="lowerRoman"/>
      <w:lvlText w:val="%1."/>
      <w:lvlJc w:val="righ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46934B06"/>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5">
    <w:nsid w:val="53424CA9"/>
    <w:multiLevelType w:val="hybridMultilevel"/>
    <w:tmpl w:val="84A8A438"/>
    <w:lvl w:ilvl="0" w:tplc="C50254A4">
      <w:start w:val="1"/>
      <w:numFmt w:val="lowerLetter"/>
      <w:lvlText w:val="%1"/>
      <w:lvlJc w:val="left"/>
      <w:pPr>
        <w:ind w:left="11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234B59"/>
    <w:multiLevelType w:val="hybridMultilevel"/>
    <w:tmpl w:val="93DC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C32125"/>
    <w:multiLevelType w:val="hybridMultilevel"/>
    <w:tmpl w:val="6156A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1D40AC"/>
    <w:multiLevelType w:val="multilevel"/>
    <w:tmpl w:val="6200F694"/>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8E091D"/>
    <w:multiLevelType w:val="hybridMultilevel"/>
    <w:tmpl w:val="9318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16"/>
    <w:lvlOverride w:ilvl="0">
      <w:startOverride w:val="1"/>
    </w:lvlOverride>
  </w:num>
  <w:num w:numId="3">
    <w:abstractNumId w:val="20"/>
  </w:num>
  <w:num w:numId="4">
    <w:abstractNumId w:val="10"/>
  </w:num>
  <w:num w:numId="5">
    <w:abstractNumId w:val="9"/>
  </w:num>
  <w:num w:numId="6">
    <w:abstractNumId w:val="22"/>
  </w:num>
  <w:num w:numId="7">
    <w:abstractNumId w:val="0"/>
  </w:num>
  <w:num w:numId="8">
    <w:abstractNumId w:val="21"/>
  </w:num>
  <w:num w:numId="9">
    <w:abstractNumId w:val="23"/>
  </w:num>
  <w:num w:numId="10">
    <w:abstractNumId w:val="7"/>
  </w:num>
  <w:num w:numId="11">
    <w:abstractNumId w:val="12"/>
  </w:num>
  <w:num w:numId="12">
    <w:abstractNumId w:val="5"/>
  </w:num>
  <w:num w:numId="13">
    <w:abstractNumId w:val="31"/>
  </w:num>
  <w:num w:numId="14">
    <w:abstractNumId w:val="15"/>
  </w:num>
  <w:num w:numId="15">
    <w:abstractNumId w:val="2"/>
  </w:num>
  <w:num w:numId="16">
    <w:abstractNumId w:val="11"/>
  </w:num>
  <w:num w:numId="17">
    <w:abstractNumId w:val="20"/>
  </w:num>
  <w:num w:numId="18">
    <w:abstractNumId w:val="8"/>
  </w:num>
  <w:num w:numId="19">
    <w:abstractNumId w:val="13"/>
  </w:num>
  <w:num w:numId="20">
    <w:abstractNumId w:val="29"/>
  </w:num>
  <w:num w:numId="21">
    <w:abstractNumId w:val="26"/>
  </w:num>
  <w:num w:numId="22">
    <w:abstractNumId w:val="24"/>
  </w:num>
  <w:num w:numId="23">
    <w:abstractNumId w:val="1"/>
  </w:num>
  <w:num w:numId="24">
    <w:abstractNumId w:val="6"/>
  </w:num>
  <w:num w:numId="25">
    <w:abstractNumId w:val="4"/>
  </w:num>
  <w:num w:numId="26">
    <w:abstractNumId w:val="17"/>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num>
  <w:num w:numId="33">
    <w:abstractNumId w:val="14"/>
  </w:num>
  <w:num w:numId="34">
    <w:abstractNumId w:val="18"/>
  </w:num>
  <w:num w:numId="35">
    <w:abstractNumId w:val="32"/>
  </w:num>
  <w:num w:numId="3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0"/>
  </w:num>
  <w:num w:numId="40">
    <w:abstractNumId w:val="2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6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2912"/>
    <w:rsid w:val="00005257"/>
    <w:rsid w:val="0000755F"/>
    <w:rsid w:val="0001026A"/>
    <w:rsid w:val="00012ABB"/>
    <w:rsid w:val="00013888"/>
    <w:rsid w:val="0001404D"/>
    <w:rsid w:val="00014105"/>
    <w:rsid w:val="000154A2"/>
    <w:rsid w:val="00016221"/>
    <w:rsid w:val="00016253"/>
    <w:rsid w:val="00017FF1"/>
    <w:rsid w:val="00023C9A"/>
    <w:rsid w:val="000247C8"/>
    <w:rsid w:val="00024E08"/>
    <w:rsid w:val="00030032"/>
    <w:rsid w:val="00030C3E"/>
    <w:rsid w:val="00035BEF"/>
    <w:rsid w:val="00036023"/>
    <w:rsid w:val="00041495"/>
    <w:rsid w:val="00043F5E"/>
    <w:rsid w:val="000444E8"/>
    <w:rsid w:val="000460BB"/>
    <w:rsid w:val="000464ED"/>
    <w:rsid w:val="00047F1B"/>
    <w:rsid w:val="000543DC"/>
    <w:rsid w:val="000547E2"/>
    <w:rsid w:val="000568B4"/>
    <w:rsid w:val="00061008"/>
    <w:rsid w:val="0007220A"/>
    <w:rsid w:val="00072447"/>
    <w:rsid w:val="00072581"/>
    <w:rsid w:val="00072B17"/>
    <w:rsid w:val="0007310B"/>
    <w:rsid w:val="00073713"/>
    <w:rsid w:val="000743AC"/>
    <w:rsid w:val="000748A6"/>
    <w:rsid w:val="00075898"/>
    <w:rsid w:val="00077AE6"/>
    <w:rsid w:val="00077F57"/>
    <w:rsid w:val="00082E34"/>
    <w:rsid w:val="000859A2"/>
    <w:rsid w:val="0008769A"/>
    <w:rsid w:val="00093D64"/>
    <w:rsid w:val="000957A1"/>
    <w:rsid w:val="00096A78"/>
    <w:rsid w:val="00096B79"/>
    <w:rsid w:val="00096F8F"/>
    <w:rsid w:val="000972BF"/>
    <w:rsid w:val="000A0B62"/>
    <w:rsid w:val="000A214A"/>
    <w:rsid w:val="000A241D"/>
    <w:rsid w:val="000A28C1"/>
    <w:rsid w:val="000A5B3D"/>
    <w:rsid w:val="000B288A"/>
    <w:rsid w:val="000B6429"/>
    <w:rsid w:val="000B6FE6"/>
    <w:rsid w:val="000C03A6"/>
    <w:rsid w:val="000C4681"/>
    <w:rsid w:val="000C4C73"/>
    <w:rsid w:val="000C4FC2"/>
    <w:rsid w:val="000C7000"/>
    <w:rsid w:val="000D14D5"/>
    <w:rsid w:val="000D1793"/>
    <w:rsid w:val="000D5446"/>
    <w:rsid w:val="000D5676"/>
    <w:rsid w:val="000E3775"/>
    <w:rsid w:val="000E73F0"/>
    <w:rsid w:val="000F0126"/>
    <w:rsid w:val="000F2752"/>
    <w:rsid w:val="000F5570"/>
    <w:rsid w:val="000F5904"/>
    <w:rsid w:val="000F6A98"/>
    <w:rsid w:val="000F74DB"/>
    <w:rsid w:val="0010051C"/>
    <w:rsid w:val="00100DF7"/>
    <w:rsid w:val="00101951"/>
    <w:rsid w:val="00103343"/>
    <w:rsid w:val="001036F8"/>
    <w:rsid w:val="001062D2"/>
    <w:rsid w:val="001074D8"/>
    <w:rsid w:val="00112379"/>
    <w:rsid w:val="0011504B"/>
    <w:rsid w:val="001244FE"/>
    <w:rsid w:val="001246C5"/>
    <w:rsid w:val="001259CF"/>
    <w:rsid w:val="0012673C"/>
    <w:rsid w:val="0013142B"/>
    <w:rsid w:val="00133532"/>
    <w:rsid w:val="001345AD"/>
    <w:rsid w:val="0013536D"/>
    <w:rsid w:val="0013683A"/>
    <w:rsid w:val="00137B10"/>
    <w:rsid w:val="00140630"/>
    <w:rsid w:val="00140695"/>
    <w:rsid w:val="0014157F"/>
    <w:rsid w:val="00142A99"/>
    <w:rsid w:val="00142FD4"/>
    <w:rsid w:val="001449A8"/>
    <w:rsid w:val="00144E33"/>
    <w:rsid w:val="00146D64"/>
    <w:rsid w:val="00147379"/>
    <w:rsid w:val="00150BBB"/>
    <w:rsid w:val="0015221D"/>
    <w:rsid w:val="00152D5E"/>
    <w:rsid w:val="00154F36"/>
    <w:rsid w:val="0015675B"/>
    <w:rsid w:val="0015676F"/>
    <w:rsid w:val="00166823"/>
    <w:rsid w:val="00166E45"/>
    <w:rsid w:val="001711B0"/>
    <w:rsid w:val="001730E4"/>
    <w:rsid w:val="00174EE0"/>
    <w:rsid w:val="00175AAE"/>
    <w:rsid w:val="00175D63"/>
    <w:rsid w:val="001774C3"/>
    <w:rsid w:val="00180FF3"/>
    <w:rsid w:val="00183893"/>
    <w:rsid w:val="00191F7C"/>
    <w:rsid w:val="0019225A"/>
    <w:rsid w:val="001937D2"/>
    <w:rsid w:val="001A290B"/>
    <w:rsid w:val="001A6FF8"/>
    <w:rsid w:val="001B0274"/>
    <w:rsid w:val="001B1928"/>
    <w:rsid w:val="001B266A"/>
    <w:rsid w:val="001B5004"/>
    <w:rsid w:val="001B6FDF"/>
    <w:rsid w:val="001B7989"/>
    <w:rsid w:val="001B7C84"/>
    <w:rsid w:val="001C245F"/>
    <w:rsid w:val="001C2558"/>
    <w:rsid w:val="001C4137"/>
    <w:rsid w:val="001C7180"/>
    <w:rsid w:val="001C71EB"/>
    <w:rsid w:val="001D0629"/>
    <w:rsid w:val="001D1EBA"/>
    <w:rsid w:val="001E0836"/>
    <w:rsid w:val="001E1EE2"/>
    <w:rsid w:val="001E4C23"/>
    <w:rsid w:val="001E7335"/>
    <w:rsid w:val="001F17AD"/>
    <w:rsid w:val="001F4A57"/>
    <w:rsid w:val="001F5325"/>
    <w:rsid w:val="001F790F"/>
    <w:rsid w:val="00201E63"/>
    <w:rsid w:val="00201F77"/>
    <w:rsid w:val="0020200A"/>
    <w:rsid w:val="00204FC3"/>
    <w:rsid w:val="00205EC3"/>
    <w:rsid w:val="002069FE"/>
    <w:rsid w:val="00210255"/>
    <w:rsid w:val="00222276"/>
    <w:rsid w:val="00222F20"/>
    <w:rsid w:val="00223815"/>
    <w:rsid w:val="00223DED"/>
    <w:rsid w:val="00224675"/>
    <w:rsid w:val="002250E8"/>
    <w:rsid w:val="00226B70"/>
    <w:rsid w:val="00230AE2"/>
    <w:rsid w:val="00232336"/>
    <w:rsid w:val="0023571D"/>
    <w:rsid w:val="00235BFF"/>
    <w:rsid w:val="0023734D"/>
    <w:rsid w:val="002376ED"/>
    <w:rsid w:val="00240CB2"/>
    <w:rsid w:val="00242999"/>
    <w:rsid w:val="0024486B"/>
    <w:rsid w:val="0024540B"/>
    <w:rsid w:val="00252A0E"/>
    <w:rsid w:val="00254CEE"/>
    <w:rsid w:val="002555D6"/>
    <w:rsid w:val="00255C1E"/>
    <w:rsid w:val="00256083"/>
    <w:rsid w:val="002565D1"/>
    <w:rsid w:val="00262C82"/>
    <w:rsid w:val="00263B04"/>
    <w:rsid w:val="00266714"/>
    <w:rsid w:val="00266A52"/>
    <w:rsid w:val="00277366"/>
    <w:rsid w:val="00277A2A"/>
    <w:rsid w:val="002818E2"/>
    <w:rsid w:val="0028359E"/>
    <w:rsid w:val="002852A0"/>
    <w:rsid w:val="0029275E"/>
    <w:rsid w:val="002943E7"/>
    <w:rsid w:val="002A29CD"/>
    <w:rsid w:val="002A569E"/>
    <w:rsid w:val="002A56BE"/>
    <w:rsid w:val="002A5B63"/>
    <w:rsid w:val="002A5FC5"/>
    <w:rsid w:val="002A615C"/>
    <w:rsid w:val="002A6F27"/>
    <w:rsid w:val="002A7029"/>
    <w:rsid w:val="002A70A4"/>
    <w:rsid w:val="002B33CD"/>
    <w:rsid w:val="002B340C"/>
    <w:rsid w:val="002B642C"/>
    <w:rsid w:val="002B66AF"/>
    <w:rsid w:val="002B68F0"/>
    <w:rsid w:val="002B7E32"/>
    <w:rsid w:val="002C0665"/>
    <w:rsid w:val="002C17A9"/>
    <w:rsid w:val="002C272E"/>
    <w:rsid w:val="002C358C"/>
    <w:rsid w:val="002C389C"/>
    <w:rsid w:val="002C4B2A"/>
    <w:rsid w:val="002C5EB3"/>
    <w:rsid w:val="002C6574"/>
    <w:rsid w:val="002C7698"/>
    <w:rsid w:val="002D2A2F"/>
    <w:rsid w:val="002D3148"/>
    <w:rsid w:val="002D4CCA"/>
    <w:rsid w:val="002E019A"/>
    <w:rsid w:val="002E0C0E"/>
    <w:rsid w:val="002E15C4"/>
    <w:rsid w:val="002E3D70"/>
    <w:rsid w:val="002E44EE"/>
    <w:rsid w:val="002F27AB"/>
    <w:rsid w:val="002F3288"/>
    <w:rsid w:val="002F6577"/>
    <w:rsid w:val="002F73A7"/>
    <w:rsid w:val="002F7815"/>
    <w:rsid w:val="00300B75"/>
    <w:rsid w:val="003020C9"/>
    <w:rsid w:val="00302596"/>
    <w:rsid w:val="003054AE"/>
    <w:rsid w:val="0030595A"/>
    <w:rsid w:val="00310C2F"/>
    <w:rsid w:val="00313B97"/>
    <w:rsid w:val="00315623"/>
    <w:rsid w:val="003161DA"/>
    <w:rsid w:val="00322AED"/>
    <w:rsid w:val="003369EE"/>
    <w:rsid w:val="00342FB9"/>
    <w:rsid w:val="00344B8D"/>
    <w:rsid w:val="00346A3F"/>
    <w:rsid w:val="00347044"/>
    <w:rsid w:val="00347681"/>
    <w:rsid w:val="00353D66"/>
    <w:rsid w:val="003553BD"/>
    <w:rsid w:val="00355FEB"/>
    <w:rsid w:val="00356E41"/>
    <w:rsid w:val="00357D9F"/>
    <w:rsid w:val="00365B05"/>
    <w:rsid w:val="00365BD8"/>
    <w:rsid w:val="003660A2"/>
    <w:rsid w:val="003672D5"/>
    <w:rsid w:val="003733A3"/>
    <w:rsid w:val="00374E27"/>
    <w:rsid w:val="00383C33"/>
    <w:rsid w:val="0038557B"/>
    <w:rsid w:val="00385857"/>
    <w:rsid w:val="00392811"/>
    <w:rsid w:val="00392BA4"/>
    <w:rsid w:val="003939C7"/>
    <w:rsid w:val="00394A72"/>
    <w:rsid w:val="00395A4E"/>
    <w:rsid w:val="00395B9D"/>
    <w:rsid w:val="0039656D"/>
    <w:rsid w:val="0039778D"/>
    <w:rsid w:val="003A55BF"/>
    <w:rsid w:val="003A70C5"/>
    <w:rsid w:val="003B1CA0"/>
    <w:rsid w:val="003B1E80"/>
    <w:rsid w:val="003B25B9"/>
    <w:rsid w:val="003C19AE"/>
    <w:rsid w:val="003C319A"/>
    <w:rsid w:val="003C324C"/>
    <w:rsid w:val="003C4528"/>
    <w:rsid w:val="003C4948"/>
    <w:rsid w:val="003D28C1"/>
    <w:rsid w:val="003D36B6"/>
    <w:rsid w:val="003D37D2"/>
    <w:rsid w:val="003E0916"/>
    <w:rsid w:val="003E397A"/>
    <w:rsid w:val="003E3AC3"/>
    <w:rsid w:val="003F010B"/>
    <w:rsid w:val="003F0BF7"/>
    <w:rsid w:val="003F352A"/>
    <w:rsid w:val="003F3CAB"/>
    <w:rsid w:val="003F4483"/>
    <w:rsid w:val="003F451F"/>
    <w:rsid w:val="003F4CA6"/>
    <w:rsid w:val="00401559"/>
    <w:rsid w:val="00406F5B"/>
    <w:rsid w:val="004172DE"/>
    <w:rsid w:val="00421CB6"/>
    <w:rsid w:val="00422DD3"/>
    <w:rsid w:val="00426D27"/>
    <w:rsid w:val="00427B34"/>
    <w:rsid w:val="00431AF9"/>
    <w:rsid w:val="00432353"/>
    <w:rsid w:val="00437752"/>
    <w:rsid w:val="00437E21"/>
    <w:rsid w:val="00440916"/>
    <w:rsid w:val="004512C4"/>
    <w:rsid w:val="004536BA"/>
    <w:rsid w:val="00453A83"/>
    <w:rsid w:val="00454EA4"/>
    <w:rsid w:val="0045600F"/>
    <w:rsid w:val="0046029E"/>
    <w:rsid w:val="00462B99"/>
    <w:rsid w:val="00464425"/>
    <w:rsid w:val="0046565C"/>
    <w:rsid w:val="0046646B"/>
    <w:rsid w:val="00466A51"/>
    <w:rsid w:val="00466E04"/>
    <w:rsid w:val="004670EA"/>
    <w:rsid w:val="00467845"/>
    <w:rsid w:val="00467943"/>
    <w:rsid w:val="0047021D"/>
    <w:rsid w:val="00470907"/>
    <w:rsid w:val="00472A73"/>
    <w:rsid w:val="00473C55"/>
    <w:rsid w:val="00473EE2"/>
    <w:rsid w:val="0047566C"/>
    <w:rsid w:val="0048170C"/>
    <w:rsid w:val="00482A7D"/>
    <w:rsid w:val="0048524C"/>
    <w:rsid w:val="00485CAD"/>
    <w:rsid w:val="00486DE7"/>
    <w:rsid w:val="00491308"/>
    <w:rsid w:val="0049189B"/>
    <w:rsid w:val="00492FE0"/>
    <w:rsid w:val="004931E7"/>
    <w:rsid w:val="004940D8"/>
    <w:rsid w:val="00495261"/>
    <w:rsid w:val="0049719C"/>
    <w:rsid w:val="004A3314"/>
    <w:rsid w:val="004A68A3"/>
    <w:rsid w:val="004B18F4"/>
    <w:rsid w:val="004B6F4E"/>
    <w:rsid w:val="004C03BF"/>
    <w:rsid w:val="004C1A04"/>
    <w:rsid w:val="004C2CCC"/>
    <w:rsid w:val="004C5BA3"/>
    <w:rsid w:val="004C5CA5"/>
    <w:rsid w:val="004C5D3F"/>
    <w:rsid w:val="004C6768"/>
    <w:rsid w:val="004D1A47"/>
    <w:rsid w:val="004D1FA3"/>
    <w:rsid w:val="004D43D1"/>
    <w:rsid w:val="004E05ED"/>
    <w:rsid w:val="004E3576"/>
    <w:rsid w:val="004F18BE"/>
    <w:rsid w:val="004F1A32"/>
    <w:rsid w:val="004F75CA"/>
    <w:rsid w:val="0050190A"/>
    <w:rsid w:val="00502E21"/>
    <w:rsid w:val="005075D8"/>
    <w:rsid w:val="005076B6"/>
    <w:rsid w:val="00511CB4"/>
    <w:rsid w:val="00513538"/>
    <w:rsid w:val="005179AC"/>
    <w:rsid w:val="00520230"/>
    <w:rsid w:val="005204AE"/>
    <w:rsid w:val="005205A7"/>
    <w:rsid w:val="00526B22"/>
    <w:rsid w:val="00527D41"/>
    <w:rsid w:val="0053082C"/>
    <w:rsid w:val="00530EC5"/>
    <w:rsid w:val="00532111"/>
    <w:rsid w:val="005323C2"/>
    <w:rsid w:val="00533F06"/>
    <w:rsid w:val="00534836"/>
    <w:rsid w:val="005427A7"/>
    <w:rsid w:val="00543268"/>
    <w:rsid w:val="005459E8"/>
    <w:rsid w:val="00551248"/>
    <w:rsid w:val="00555133"/>
    <w:rsid w:val="0055561D"/>
    <w:rsid w:val="00557CBC"/>
    <w:rsid w:val="00557D8D"/>
    <w:rsid w:val="0056062B"/>
    <w:rsid w:val="005626CD"/>
    <w:rsid w:val="00562D92"/>
    <w:rsid w:val="0056304F"/>
    <w:rsid w:val="00565EA9"/>
    <w:rsid w:val="0056649D"/>
    <w:rsid w:val="0056682B"/>
    <w:rsid w:val="00567D8C"/>
    <w:rsid w:val="0057163C"/>
    <w:rsid w:val="00571865"/>
    <w:rsid w:val="00572FD7"/>
    <w:rsid w:val="00575B0B"/>
    <w:rsid w:val="005832A6"/>
    <w:rsid w:val="00583436"/>
    <w:rsid w:val="005836D4"/>
    <w:rsid w:val="00584E69"/>
    <w:rsid w:val="0058651A"/>
    <w:rsid w:val="00595E1E"/>
    <w:rsid w:val="00596C26"/>
    <w:rsid w:val="00597592"/>
    <w:rsid w:val="00597C53"/>
    <w:rsid w:val="005A16FE"/>
    <w:rsid w:val="005A1A88"/>
    <w:rsid w:val="005A3D26"/>
    <w:rsid w:val="005A417A"/>
    <w:rsid w:val="005B0A14"/>
    <w:rsid w:val="005B1701"/>
    <w:rsid w:val="005B325D"/>
    <w:rsid w:val="005C025F"/>
    <w:rsid w:val="005C2F9E"/>
    <w:rsid w:val="005C3F95"/>
    <w:rsid w:val="005C51F9"/>
    <w:rsid w:val="005D002A"/>
    <w:rsid w:val="005D0921"/>
    <w:rsid w:val="005D0AF3"/>
    <w:rsid w:val="005D11FA"/>
    <w:rsid w:val="005D23BB"/>
    <w:rsid w:val="005E40C5"/>
    <w:rsid w:val="005E4E21"/>
    <w:rsid w:val="005E7470"/>
    <w:rsid w:val="005E7A3C"/>
    <w:rsid w:val="005F5278"/>
    <w:rsid w:val="005F6B98"/>
    <w:rsid w:val="006008B9"/>
    <w:rsid w:val="00605005"/>
    <w:rsid w:val="006051D3"/>
    <w:rsid w:val="00607190"/>
    <w:rsid w:val="0061043D"/>
    <w:rsid w:val="00620EC1"/>
    <w:rsid w:val="00622D7E"/>
    <w:rsid w:val="00623619"/>
    <w:rsid w:val="006258FC"/>
    <w:rsid w:val="00625EEB"/>
    <w:rsid w:val="00626105"/>
    <w:rsid w:val="006268EC"/>
    <w:rsid w:val="006312FA"/>
    <w:rsid w:val="00632F1C"/>
    <w:rsid w:val="00635B6F"/>
    <w:rsid w:val="006370B2"/>
    <w:rsid w:val="00643C9C"/>
    <w:rsid w:val="00644CCF"/>
    <w:rsid w:val="0065278E"/>
    <w:rsid w:val="00654144"/>
    <w:rsid w:val="006560F4"/>
    <w:rsid w:val="00660E2F"/>
    <w:rsid w:val="00667F30"/>
    <w:rsid w:val="00672C2B"/>
    <w:rsid w:val="006730FE"/>
    <w:rsid w:val="00674E11"/>
    <w:rsid w:val="00675F77"/>
    <w:rsid w:val="00680106"/>
    <w:rsid w:val="00681078"/>
    <w:rsid w:val="0068133D"/>
    <w:rsid w:val="00682921"/>
    <w:rsid w:val="006877FC"/>
    <w:rsid w:val="00691635"/>
    <w:rsid w:val="00695153"/>
    <w:rsid w:val="00695C4D"/>
    <w:rsid w:val="00696A51"/>
    <w:rsid w:val="00697D70"/>
    <w:rsid w:val="006A0C05"/>
    <w:rsid w:val="006A226A"/>
    <w:rsid w:val="006A30F3"/>
    <w:rsid w:val="006A32C9"/>
    <w:rsid w:val="006A49DE"/>
    <w:rsid w:val="006A5732"/>
    <w:rsid w:val="006A5AE2"/>
    <w:rsid w:val="006B089F"/>
    <w:rsid w:val="006B2FB8"/>
    <w:rsid w:val="006B4261"/>
    <w:rsid w:val="006B5A1D"/>
    <w:rsid w:val="006B6E81"/>
    <w:rsid w:val="006C0EB2"/>
    <w:rsid w:val="006C1C6C"/>
    <w:rsid w:val="006C2766"/>
    <w:rsid w:val="006C41C8"/>
    <w:rsid w:val="006C72F4"/>
    <w:rsid w:val="006D00B3"/>
    <w:rsid w:val="006D0C71"/>
    <w:rsid w:val="006D5F6E"/>
    <w:rsid w:val="006D6C53"/>
    <w:rsid w:val="006D76C7"/>
    <w:rsid w:val="006D7DCF"/>
    <w:rsid w:val="006D7F43"/>
    <w:rsid w:val="006E1A19"/>
    <w:rsid w:val="006E24BF"/>
    <w:rsid w:val="006E628A"/>
    <w:rsid w:val="006E6DF0"/>
    <w:rsid w:val="006E7C82"/>
    <w:rsid w:val="006F1461"/>
    <w:rsid w:val="006F3D6C"/>
    <w:rsid w:val="006F4966"/>
    <w:rsid w:val="006F4B7C"/>
    <w:rsid w:val="006F4E2B"/>
    <w:rsid w:val="006F5E29"/>
    <w:rsid w:val="006F770F"/>
    <w:rsid w:val="00702736"/>
    <w:rsid w:val="00703057"/>
    <w:rsid w:val="00704DD2"/>
    <w:rsid w:val="00705536"/>
    <w:rsid w:val="00707B27"/>
    <w:rsid w:val="00710364"/>
    <w:rsid w:val="00710DDB"/>
    <w:rsid w:val="00712D88"/>
    <w:rsid w:val="00715B09"/>
    <w:rsid w:val="00716256"/>
    <w:rsid w:val="007170EF"/>
    <w:rsid w:val="00722467"/>
    <w:rsid w:val="0072286B"/>
    <w:rsid w:val="00723E24"/>
    <w:rsid w:val="00725639"/>
    <w:rsid w:val="00732136"/>
    <w:rsid w:val="0073396D"/>
    <w:rsid w:val="00735957"/>
    <w:rsid w:val="00735994"/>
    <w:rsid w:val="00735D41"/>
    <w:rsid w:val="00735E18"/>
    <w:rsid w:val="00736B27"/>
    <w:rsid w:val="00742FB7"/>
    <w:rsid w:val="007432E3"/>
    <w:rsid w:val="00743ECF"/>
    <w:rsid w:val="007475AE"/>
    <w:rsid w:val="00747D7B"/>
    <w:rsid w:val="00750087"/>
    <w:rsid w:val="00750095"/>
    <w:rsid w:val="00754AE3"/>
    <w:rsid w:val="00754E5F"/>
    <w:rsid w:val="00755270"/>
    <w:rsid w:val="0075566C"/>
    <w:rsid w:val="00755ABA"/>
    <w:rsid w:val="007575E3"/>
    <w:rsid w:val="007616D6"/>
    <w:rsid w:val="00762006"/>
    <w:rsid w:val="00762753"/>
    <w:rsid w:val="007629F6"/>
    <w:rsid w:val="00764779"/>
    <w:rsid w:val="00764FC5"/>
    <w:rsid w:val="00765DF6"/>
    <w:rsid w:val="00767AD2"/>
    <w:rsid w:val="00770BB2"/>
    <w:rsid w:val="00772A4F"/>
    <w:rsid w:val="00772F3B"/>
    <w:rsid w:val="007737A9"/>
    <w:rsid w:val="00775ACE"/>
    <w:rsid w:val="00776672"/>
    <w:rsid w:val="00782C24"/>
    <w:rsid w:val="007854A6"/>
    <w:rsid w:val="007905B7"/>
    <w:rsid w:val="0079356B"/>
    <w:rsid w:val="00794A2E"/>
    <w:rsid w:val="00797307"/>
    <w:rsid w:val="007A131A"/>
    <w:rsid w:val="007A4916"/>
    <w:rsid w:val="007B2889"/>
    <w:rsid w:val="007B28F9"/>
    <w:rsid w:val="007B3471"/>
    <w:rsid w:val="007B542B"/>
    <w:rsid w:val="007C1434"/>
    <w:rsid w:val="007C1745"/>
    <w:rsid w:val="007C1A69"/>
    <w:rsid w:val="007C2C9C"/>
    <w:rsid w:val="007C5284"/>
    <w:rsid w:val="007C5437"/>
    <w:rsid w:val="007C6FC5"/>
    <w:rsid w:val="007C7EE9"/>
    <w:rsid w:val="007D0365"/>
    <w:rsid w:val="007D5F06"/>
    <w:rsid w:val="007D65A5"/>
    <w:rsid w:val="007D7F35"/>
    <w:rsid w:val="007E086B"/>
    <w:rsid w:val="007E6158"/>
    <w:rsid w:val="007F0CC6"/>
    <w:rsid w:val="007F59BF"/>
    <w:rsid w:val="007F5ABA"/>
    <w:rsid w:val="007F5B8C"/>
    <w:rsid w:val="007F6A3A"/>
    <w:rsid w:val="007F7AA0"/>
    <w:rsid w:val="007F7B83"/>
    <w:rsid w:val="007F7F9B"/>
    <w:rsid w:val="0080253F"/>
    <w:rsid w:val="00803296"/>
    <w:rsid w:val="00803A2F"/>
    <w:rsid w:val="0080431A"/>
    <w:rsid w:val="00804F1A"/>
    <w:rsid w:val="00807766"/>
    <w:rsid w:val="00807AF6"/>
    <w:rsid w:val="008133D6"/>
    <w:rsid w:val="00813F8A"/>
    <w:rsid w:val="00816F90"/>
    <w:rsid w:val="008208A2"/>
    <w:rsid w:val="0082133E"/>
    <w:rsid w:val="008305AB"/>
    <w:rsid w:val="00846119"/>
    <w:rsid w:val="008461CD"/>
    <w:rsid w:val="008462F0"/>
    <w:rsid w:val="00846A1E"/>
    <w:rsid w:val="00850686"/>
    <w:rsid w:val="00850B1A"/>
    <w:rsid w:val="0085116E"/>
    <w:rsid w:val="00861202"/>
    <w:rsid w:val="00861DFD"/>
    <w:rsid w:val="00863749"/>
    <w:rsid w:val="00867C10"/>
    <w:rsid w:val="00873004"/>
    <w:rsid w:val="00873744"/>
    <w:rsid w:val="0087634F"/>
    <w:rsid w:val="00877B1D"/>
    <w:rsid w:val="00880D50"/>
    <w:rsid w:val="0088250F"/>
    <w:rsid w:val="00882F77"/>
    <w:rsid w:val="008842C2"/>
    <w:rsid w:val="0088677E"/>
    <w:rsid w:val="00890FEA"/>
    <w:rsid w:val="00891FC4"/>
    <w:rsid w:val="00893E67"/>
    <w:rsid w:val="00895A31"/>
    <w:rsid w:val="008A0D13"/>
    <w:rsid w:val="008A4655"/>
    <w:rsid w:val="008A5435"/>
    <w:rsid w:val="008A5AC1"/>
    <w:rsid w:val="008A6B82"/>
    <w:rsid w:val="008A7AB4"/>
    <w:rsid w:val="008B048A"/>
    <w:rsid w:val="008B2C31"/>
    <w:rsid w:val="008B2C4E"/>
    <w:rsid w:val="008B3208"/>
    <w:rsid w:val="008B7A3A"/>
    <w:rsid w:val="008C2518"/>
    <w:rsid w:val="008C4037"/>
    <w:rsid w:val="008C72D3"/>
    <w:rsid w:val="008C7B9F"/>
    <w:rsid w:val="008C7C99"/>
    <w:rsid w:val="008D181D"/>
    <w:rsid w:val="008D21A2"/>
    <w:rsid w:val="008D5F4B"/>
    <w:rsid w:val="008D6D22"/>
    <w:rsid w:val="008D7DE6"/>
    <w:rsid w:val="008E071E"/>
    <w:rsid w:val="008E4267"/>
    <w:rsid w:val="008F1DE7"/>
    <w:rsid w:val="008F2012"/>
    <w:rsid w:val="008F298A"/>
    <w:rsid w:val="008F2B9E"/>
    <w:rsid w:val="008F61B0"/>
    <w:rsid w:val="008F78C8"/>
    <w:rsid w:val="008F7972"/>
    <w:rsid w:val="00903042"/>
    <w:rsid w:val="009031F8"/>
    <w:rsid w:val="00907A5A"/>
    <w:rsid w:val="00912FAB"/>
    <w:rsid w:val="009148D5"/>
    <w:rsid w:val="00922018"/>
    <w:rsid w:val="00923904"/>
    <w:rsid w:val="00927976"/>
    <w:rsid w:val="00930BF2"/>
    <w:rsid w:val="00940B46"/>
    <w:rsid w:val="00941A5C"/>
    <w:rsid w:val="009440DC"/>
    <w:rsid w:val="00945C3B"/>
    <w:rsid w:val="00945CAF"/>
    <w:rsid w:val="0095244D"/>
    <w:rsid w:val="00957F8D"/>
    <w:rsid w:val="00962AAB"/>
    <w:rsid w:val="00967214"/>
    <w:rsid w:val="009706B0"/>
    <w:rsid w:val="00971390"/>
    <w:rsid w:val="009727BF"/>
    <w:rsid w:val="00977F99"/>
    <w:rsid w:val="009818CB"/>
    <w:rsid w:val="009820E0"/>
    <w:rsid w:val="009837E2"/>
    <w:rsid w:val="00986B21"/>
    <w:rsid w:val="00986D03"/>
    <w:rsid w:val="00993585"/>
    <w:rsid w:val="00994EA5"/>
    <w:rsid w:val="00995D6B"/>
    <w:rsid w:val="009A1D20"/>
    <w:rsid w:val="009A2AC8"/>
    <w:rsid w:val="009A3B09"/>
    <w:rsid w:val="009A48CC"/>
    <w:rsid w:val="009A4DB4"/>
    <w:rsid w:val="009A5648"/>
    <w:rsid w:val="009A5B17"/>
    <w:rsid w:val="009B034C"/>
    <w:rsid w:val="009B0812"/>
    <w:rsid w:val="009B1FC3"/>
    <w:rsid w:val="009B39C1"/>
    <w:rsid w:val="009B41DC"/>
    <w:rsid w:val="009B6788"/>
    <w:rsid w:val="009C4260"/>
    <w:rsid w:val="009C5F55"/>
    <w:rsid w:val="009C66DB"/>
    <w:rsid w:val="009D313F"/>
    <w:rsid w:val="009D4447"/>
    <w:rsid w:val="009D4758"/>
    <w:rsid w:val="009E3577"/>
    <w:rsid w:val="009E6EB9"/>
    <w:rsid w:val="009F1D9B"/>
    <w:rsid w:val="009F51EE"/>
    <w:rsid w:val="009F604C"/>
    <w:rsid w:val="00A01C65"/>
    <w:rsid w:val="00A02382"/>
    <w:rsid w:val="00A050FC"/>
    <w:rsid w:val="00A05B52"/>
    <w:rsid w:val="00A0618E"/>
    <w:rsid w:val="00A07FE0"/>
    <w:rsid w:val="00A103B6"/>
    <w:rsid w:val="00A14D88"/>
    <w:rsid w:val="00A17D76"/>
    <w:rsid w:val="00A20AD1"/>
    <w:rsid w:val="00A22791"/>
    <w:rsid w:val="00A26717"/>
    <w:rsid w:val="00A273D8"/>
    <w:rsid w:val="00A333D4"/>
    <w:rsid w:val="00A431E6"/>
    <w:rsid w:val="00A4480B"/>
    <w:rsid w:val="00A44FAF"/>
    <w:rsid w:val="00A461BE"/>
    <w:rsid w:val="00A5155B"/>
    <w:rsid w:val="00A523DC"/>
    <w:rsid w:val="00A55569"/>
    <w:rsid w:val="00A562BE"/>
    <w:rsid w:val="00A5637D"/>
    <w:rsid w:val="00A60511"/>
    <w:rsid w:val="00A62104"/>
    <w:rsid w:val="00A70698"/>
    <w:rsid w:val="00A711CD"/>
    <w:rsid w:val="00A73005"/>
    <w:rsid w:val="00A734A7"/>
    <w:rsid w:val="00A73CE0"/>
    <w:rsid w:val="00A74074"/>
    <w:rsid w:val="00A8196E"/>
    <w:rsid w:val="00A819E5"/>
    <w:rsid w:val="00A8221D"/>
    <w:rsid w:val="00A82441"/>
    <w:rsid w:val="00A82FFF"/>
    <w:rsid w:val="00A87BFA"/>
    <w:rsid w:val="00A9651F"/>
    <w:rsid w:val="00A97790"/>
    <w:rsid w:val="00AA0818"/>
    <w:rsid w:val="00AA19A6"/>
    <w:rsid w:val="00AA3A52"/>
    <w:rsid w:val="00AA5AD6"/>
    <w:rsid w:val="00AA6683"/>
    <w:rsid w:val="00AB3CD0"/>
    <w:rsid w:val="00AB7368"/>
    <w:rsid w:val="00AC2EEF"/>
    <w:rsid w:val="00AC6C94"/>
    <w:rsid w:val="00AD076F"/>
    <w:rsid w:val="00AD1DBA"/>
    <w:rsid w:val="00AD2887"/>
    <w:rsid w:val="00AD55CE"/>
    <w:rsid w:val="00AD5836"/>
    <w:rsid w:val="00AD58FE"/>
    <w:rsid w:val="00AE149D"/>
    <w:rsid w:val="00AE5737"/>
    <w:rsid w:val="00AE7CB8"/>
    <w:rsid w:val="00AE7E32"/>
    <w:rsid w:val="00AF7309"/>
    <w:rsid w:val="00AF734A"/>
    <w:rsid w:val="00B00147"/>
    <w:rsid w:val="00B00A42"/>
    <w:rsid w:val="00B0348D"/>
    <w:rsid w:val="00B10E27"/>
    <w:rsid w:val="00B10F5D"/>
    <w:rsid w:val="00B14DA3"/>
    <w:rsid w:val="00B168E8"/>
    <w:rsid w:val="00B220A5"/>
    <w:rsid w:val="00B23802"/>
    <w:rsid w:val="00B2640F"/>
    <w:rsid w:val="00B2715B"/>
    <w:rsid w:val="00B306DA"/>
    <w:rsid w:val="00B31849"/>
    <w:rsid w:val="00B33DCF"/>
    <w:rsid w:val="00B36E44"/>
    <w:rsid w:val="00B40746"/>
    <w:rsid w:val="00B4295A"/>
    <w:rsid w:val="00B4619B"/>
    <w:rsid w:val="00B51120"/>
    <w:rsid w:val="00B543DA"/>
    <w:rsid w:val="00B55D14"/>
    <w:rsid w:val="00B561C2"/>
    <w:rsid w:val="00B56F23"/>
    <w:rsid w:val="00B570AE"/>
    <w:rsid w:val="00B57CD1"/>
    <w:rsid w:val="00B6426B"/>
    <w:rsid w:val="00B64528"/>
    <w:rsid w:val="00B64D26"/>
    <w:rsid w:val="00B65A64"/>
    <w:rsid w:val="00B66D8D"/>
    <w:rsid w:val="00B731CD"/>
    <w:rsid w:val="00B8094C"/>
    <w:rsid w:val="00B80F68"/>
    <w:rsid w:val="00B83141"/>
    <w:rsid w:val="00B83FDB"/>
    <w:rsid w:val="00B86F49"/>
    <w:rsid w:val="00B87642"/>
    <w:rsid w:val="00B90C3F"/>
    <w:rsid w:val="00B95846"/>
    <w:rsid w:val="00B95CA3"/>
    <w:rsid w:val="00B95E5D"/>
    <w:rsid w:val="00B96224"/>
    <w:rsid w:val="00BA18F0"/>
    <w:rsid w:val="00BA1924"/>
    <w:rsid w:val="00BA5E44"/>
    <w:rsid w:val="00BA7304"/>
    <w:rsid w:val="00BB03B4"/>
    <w:rsid w:val="00BB0585"/>
    <w:rsid w:val="00BB0ADB"/>
    <w:rsid w:val="00BB2352"/>
    <w:rsid w:val="00BB6710"/>
    <w:rsid w:val="00BC5BA9"/>
    <w:rsid w:val="00BC74B6"/>
    <w:rsid w:val="00BD75C2"/>
    <w:rsid w:val="00BE0BBB"/>
    <w:rsid w:val="00BF02F5"/>
    <w:rsid w:val="00BF2EA0"/>
    <w:rsid w:val="00BF3D64"/>
    <w:rsid w:val="00BF593B"/>
    <w:rsid w:val="00BF637E"/>
    <w:rsid w:val="00C0127A"/>
    <w:rsid w:val="00C012A1"/>
    <w:rsid w:val="00C0149D"/>
    <w:rsid w:val="00C062F7"/>
    <w:rsid w:val="00C073B5"/>
    <w:rsid w:val="00C10850"/>
    <w:rsid w:val="00C11AF3"/>
    <w:rsid w:val="00C1317A"/>
    <w:rsid w:val="00C14F1E"/>
    <w:rsid w:val="00C1616A"/>
    <w:rsid w:val="00C1632E"/>
    <w:rsid w:val="00C2233C"/>
    <w:rsid w:val="00C3189E"/>
    <w:rsid w:val="00C35C03"/>
    <w:rsid w:val="00C3772D"/>
    <w:rsid w:val="00C37A65"/>
    <w:rsid w:val="00C43339"/>
    <w:rsid w:val="00C44E71"/>
    <w:rsid w:val="00C503E9"/>
    <w:rsid w:val="00C516BB"/>
    <w:rsid w:val="00C53944"/>
    <w:rsid w:val="00C54E0D"/>
    <w:rsid w:val="00C568EB"/>
    <w:rsid w:val="00C5760A"/>
    <w:rsid w:val="00C57FCF"/>
    <w:rsid w:val="00C61DFA"/>
    <w:rsid w:val="00C62AF1"/>
    <w:rsid w:val="00C635A4"/>
    <w:rsid w:val="00C70094"/>
    <w:rsid w:val="00C70709"/>
    <w:rsid w:val="00C70DC1"/>
    <w:rsid w:val="00C710A0"/>
    <w:rsid w:val="00C71962"/>
    <w:rsid w:val="00C72EF2"/>
    <w:rsid w:val="00C73F88"/>
    <w:rsid w:val="00C74806"/>
    <w:rsid w:val="00C750B9"/>
    <w:rsid w:val="00C75870"/>
    <w:rsid w:val="00C76131"/>
    <w:rsid w:val="00C77F0A"/>
    <w:rsid w:val="00C8309B"/>
    <w:rsid w:val="00C925CE"/>
    <w:rsid w:val="00C93BB4"/>
    <w:rsid w:val="00C942A2"/>
    <w:rsid w:val="00C9440A"/>
    <w:rsid w:val="00C947D1"/>
    <w:rsid w:val="00C965B0"/>
    <w:rsid w:val="00C97622"/>
    <w:rsid w:val="00CA1096"/>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42B9"/>
    <w:rsid w:val="00CD5958"/>
    <w:rsid w:val="00CD790A"/>
    <w:rsid w:val="00CE107A"/>
    <w:rsid w:val="00CE14D3"/>
    <w:rsid w:val="00CE526D"/>
    <w:rsid w:val="00CF0002"/>
    <w:rsid w:val="00CF0409"/>
    <w:rsid w:val="00CF0654"/>
    <w:rsid w:val="00CF1EF9"/>
    <w:rsid w:val="00CF2410"/>
    <w:rsid w:val="00CF59B2"/>
    <w:rsid w:val="00CF656D"/>
    <w:rsid w:val="00D00268"/>
    <w:rsid w:val="00D01FCB"/>
    <w:rsid w:val="00D0220B"/>
    <w:rsid w:val="00D0384D"/>
    <w:rsid w:val="00D039FA"/>
    <w:rsid w:val="00D05078"/>
    <w:rsid w:val="00D06137"/>
    <w:rsid w:val="00D075A1"/>
    <w:rsid w:val="00D12287"/>
    <w:rsid w:val="00D20BD9"/>
    <w:rsid w:val="00D21073"/>
    <w:rsid w:val="00D22C5D"/>
    <w:rsid w:val="00D233C0"/>
    <w:rsid w:val="00D252D6"/>
    <w:rsid w:val="00D30E72"/>
    <w:rsid w:val="00D32064"/>
    <w:rsid w:val="00D35EEF"/>
    <w:rsid w:val="00D363F4"/>
    <w:rsid w:val="00D411E7"/>
    <w:rsid w:val="00D434B8"/>
    <w:rsid w:val="00D43F79"/>
    <w:rsid w:val="00D449AA"/>
    <w:rsid w:val="00D45099"/>
    <w:rsid w:val="00D537C5"/>
    <w:rsid w:val="00D543A7"/>
    <w:rsid w:val="00D55C21"/>
    <w:rsid w:val="00D56CC2"/>
    <w:rsid w:val="00D62B2C"/>
    <w:rsid w:val="00D653B6"/>
    <w:rsid w:val="00D66679"/>
    <w:rsid w:val="00D72685"/>
    <w:rsid w:val="00D72CEF"/>
    <w:rsid w:val="00D72D3B"/>
    <w:rsid w:val="00D74C10"/>
    <w:rsid w:val="00D75406"/>
    <w:rsid w:val="00D773A0"/>
    <w:rsid w:val="00D7752E"/>
    <w:rsid w:val="00D8089D"/>
    <w:rsid w:val="00D82372"/>
    <w:rsid w:val="00D84F06"/>
    <w:rsid w:val="00D84F11"/>
    <w:rsid w:val="00D860DD"/>
    <w:rsid w:val="00D873D2"/>
    <w:rsid w:val="00D8764F"/>
    <w:rsid w:val="00D90430"/>
    <w:rsid w:val="00D953B8"/>
    <w:rsid w:val="00D967AB"/>
    <w:rsid w:val="00DA19EE"/>
    <w:rsid w:val="00DA3288"/>
    <w:rsid w:val="00DA7F28"/>
    <w:rsid w:val="00DB0DE8"/>
    <w:rsid w:val="00DB4D34"/>
    <w:rsid w:val="00DB7404"/>
    <w:rsid w:val="00DC1281"/>
    <w:rsid w:val="00DC2C8E"/>
    <w:rsid w:val="00DC430D"/>
    <w:rsid w:val="00DD1DE5"/>
    <w:rsid w:val="00DD2991"/>
    <w:rsid w:val="00DD2B51"/>
    <w:rsid w:val="00DD70D6"/>
    <w:rsid w:val="00DE0325"/>
    <w:rsid w:val="00DE0A52"/>
    <w:rsid w:val="00DE2FBE"/>
    <w:rsid w:val="00DE3E8C"/>
    <w:rsid w:val="00DF07FA"/>
    <w:rsid w:val="00DF20F4"/>
    <w:rsid w:val="00DF23ED"/>
    <w:rsid w:val="00DF36E2"/>
    <w:rsid w:val="00DF3D61"/>
    <w:rsid w:val="00DF543B"/>
    <w:rsid w:val="00E00AE6"/>
    <w:rsid w:val="00E01AAF"/>
    <w:rsid w:val="00E03431"/>
    <w:rsid w:val="00E04002"/>
    <w:rsid w:val="00E062F6"/>
    <w:rsid w:val="00E070A8"/>
    <w:rsid w:val="00E10490"/>
    <w:rsid w:val="00E118BB"/>
    <w:rsid w:val="00E12A06"/>
    <w:rsid w:val="00E13351"/>
    <w:rsid w:val="00E13C93"/>
    <w:rsid w:val="00E20BF5"/>
    <w:rsid w:val="00E23F6F"/>
    <w:rsid w:val="00E24734"/>
    <w:rsid w:val="00E24CBF"/>
    <w:rsid w:val="00E24EB7"/>
    <w:rsid w:val="00E250EF"/>
    <w:rsid w:val="00E30F46"/>
    <w:rsid w:val="00E343B7"/>
    <w:rsid w:val="00E37D66"/>
    <w:rsid w:val="00E37F6B"/>
    <w:rsid w:val="00E401D9"/>
    <w:rsid w:val="00E42A15"/>
    <w:rsid w:val="00E43091"/>
    <w:rsid w:val="00E45083"/>
    <w:rsid w:val="00E512F9"/>
    <w:rsid w:val="00E51A38"/>
    <w:rsid w:val="00E60E7C"/>
    <w:rsid w:val="00E67AD2"/>
    <w:rsid w:val="00E72735"/>
    <w:rsid w:val="00E72E06"/>
    <w:rsid w:val="00E73D58"/>
    <w:rsid w:val="00E76371"/>
    <w:rsid w:val="00E76C84"/>
    <w:rsid w:val="00E8002B"/>
    <w:rsid w:val="00E80883"/>
    <w:rsid w:val="00E80FD5"/>
    <w:rsid w:val="00E8249E"/>
    <w:rsid w:val="00E83C08"/>
    <w:rsid w:val="00E859A7"/>
    <w:rsid w:val="00E928B0"/>
    <w:rsid w:val="00E942B9"/>
    <w:rsid w:val="00EA2EB9"/>
    <w:rsid w:val="00EA6E56"/>
    <w:rsid w:val="00EA791F"/>
    <w:rsid w:val="00EB2B00"/>
    <w:rsid w:val="00EB30C6"/>
    <w:rsid w:val="00EB3405"/>
    <w:rsid w:val="00EB5AE8"/>
    <w:rsid w:val="00EC04FD"/>
    <w:rsid w:val="00EC09B2"/>
    <w:rsid w:val="00EC31C0"/>
    <w:rsid w:val="00ED0E55"/>
    <w:rsid w:val="00ED1472"/>
    <w:rsid w:val="00ED1C54"/>
    <w:rsid w:val="00ED40C7"/>
    <w:rsid w:val="00EE10A1"/>
    <w:rsid w:val="00EE33B4"/>
    <w:rsid w:val="00EE54F2"/>
    <w:rsid w:val="00EE741F"/>
    <w:rsid w:val="00EF1CED"/>
    <w:rsid w:val="00EF485B"/>
    <w:rsid w:val="00EF5611"/>
    <w:rsid w:val="00EF70F6"/>
    <w:rsid w:val="00F03016"/>
    <w:rsid w:val="00F045F9"/>
    <w:rsid w:val="00F06768"/>
    <w:rsid w:val="00F07FF3"/>
    <w:rsid w:val="00F11EE8"/>
    <w:rsid w:val="00F12A58"/>
    <w:rsid w:val="00F16011"/>
    <w:rsid w:val="00F1696F"/>
    <w:rsid w:val="00F171E4"/>
    <w:rsid w:val="00F176FB"/>
    <w:rsid w:val="00F210EC"/>
    <w:rsid w:val="00F2351D"/>
    <w:rsid w:val="00F2413B"/>
    <w:rsid w:val="00F257B5"/>
    <w:rsid w:val="00F26181"/>
    <w:rsid w:val="00F30792"/>
    <w:rsid w:val="00F33972"/>
    <w:rsid w:val="00F36BEB"/>
    <w:rsid w:val="00F3797B"/>
    <w:rsid w:val="00F4038A"/>
    <w:rsid w:val="00F45847"/>
    <w:rsid w:val="00F45B2B"/>
    <w:rsid w:val="00F474EE"/>
    <w:rsid w:val="00F50B11"/>
    <w:rsid w:val="00F51151"/>
    <w:rsid w:val="00F547F6"/>
    <w:rsid w:val="00F54AB7"/>
    <w:rsid w:val="00F55265"/>
    <w:rsid w:val="00F5549A"/>
    <w:rsid w:val="00F62DF0"/>
    <w:rsid w:val="00F6617B"/>
    <w:rsid w:val="00F75DFF"/>
    <w:rsid w:val="00F8022A"/>
    <w:rsid w:val="00F82B55"/>
    <w:rsid w:val="00F84EB0"/>
    <w:rsid w:val="00F85836"/>
    <w:rsid w:val="00F85AAF"/>
    <w:rsid w:val="00F941D9"/>
    <w:rsid w:val="00F950C7"/>
    <w:rsid w:val="00FA1577"/>
    <w:rsid w:val="00FA45B1"/>
    <w:rsid w:val="00FA688C"/>
    <w:rsid w:val="00FA721B"/>
    <w:rsid w:val="00FB1559"/>
    <w:rsid w:val="00FB16F5"/>
    <w:rsid w:val="00FC1FED"/>
    <w:rsid w:val="00FC4F3B"/>
    <w:rsid w:val="00FC7534"/>
    <w:rsid w:val="00FD13B6"/>
    <w:rsid w:val="00FD2E2A"/>
    <w:rsid w:val="00FD580D"/>
    <w:rsid w:val="00FE3118"/>
    <w:rsid w:val="00FE34BA"/>
    <w:rsid w:val="00FE4B41"/>
    <w:rsid w:val="00FE6F53"/>
    <w:rsid w:val="00FF0318"/>
    <w:rsid w:val="00FF0728"/>
    <w:rsid w:val="00FF0C91"/>
    <w:rsid w:val="00FF13C4"/>
    <w:rsid w:val="00FF141A"/>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2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Calibri" w:hAnsi="Calibri"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rsid w:val="00C71962"/>
    <w:pPr>
      <w:jc w:val="center"/>
    </w:pPr>
    <w:rPr>
      <w:color w:val="auto"/>
    </w:rPr>
  </w:style>
  <w:style w:type="paragraph" w:customStyle="1" w:styleId="TableText">
    <w:name w:val="Table Text"/>
    <w:basedOn w:val="Normal"/>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ind w:left="0"/>
    </w:pPr>
  </w:style>
  <w:style w:type="paragraph" w:customStyle="1" w:styleId="TableTextNumber2">
    <w:name w:val="Table Text Number 2"/>
    <w:basedOn w:val="TableTextNumber"/>
    <w:qFormat/>
    <w:rsid w:val="002852A0"/>
    <w:rPr>
      <w:rFonts w:eastAsia="Times New Roman"/>
      <w:sz w:val="16"/>
      <w:szCs w:val="16"/>
      <w:lang w:eastAsia="en-AU"/>
    </w:rPr>
  </w:style>
  <w:style w:type="paragraph" w:customStyle="1" w:styleId="TableTextNumber3">
    <w:name w:val="Table Text Number 3"/>
    <w:basedOn w:val="TableTextNumber2"/>
    <w:rsid w:val="002852A0"/>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Calibri" w:hAnsi="Calibri"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rsid w:val="00C71962"/>
    <w:pPr>
      <w:jc w:val="center"/>
    </w:pPr>
    <w:rPr>
      <w:color w:val="auto"/>
    </w:rPr>
  </w:style>
  <w:style w:type="paragraph" w:customStyle="1" w:styleId="TableText">
    <w:name w:val="Table Text"/>
    <w:basedOn w:val="Normal"/>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ind w:left="0"/>
    </w:pPr>
  </w:style>
  <w:style w:type="paragraph" w:customStyle="1" w:styleId="TableTextNumber2">
    <w:name w:val="Table Text Number 2"/>
    <w:basedOn w:val="TableTextNumber"/>
    <w:qFormat/>
    <w:rsid w:val="002852A0"/>
    <w:rPr>
      <w:rFonts w:eastAsia="Times New Roman"/>
      <w:sz w:val="16"/>
      <w:szCs w:val="16"/>
      <w:lang w:eastAsia="en-AU"/>
    </w:rPr>
  </w:style>
  <w:style w:type="paragraph" w:customStyle="1" w:styleId="TableTextNumber3">
    <w:name w:val="Table Text Number 3"/>
    <w:basedOn w:val="TableTextNumber2"/>
    <w:rsid w:val="002852A0"/>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201">
      <w:bodyDiv w:val="1"/>
      <w:marLeft w:val="0"/>
      <w:marRight w:val="0"/>
      <w:marTop w:val="0"/>
      <w:marBottom w:val="0"/>
      <w:divBdr>
        <w:top w:val="none" w:sz="0" w:space="0" w:color="auto"/>
        <w:left w:val="none" w:sz="0" w:space="0" w:color="auto"/>
        <w:bottom w:val="none" w:sz="0" w:space="0" w:color="auto"/>
        <w:right w:val="none" w:sz="0" w:space="0" w:color="auto"/>
      </w:divBdr>
    </w:div>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13419014">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79223384">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67099392">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C108-C456-40F1-9827-B5E69CFB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0</TotalTime>
  <Pages>10</Pages>
  <Words>1705</Words>
  <Characters>8939</Characters>
  <Application>Microsoft Office Word</Application>
  <DocSecurity>4</DocSecurity>
  <Lines>465</Lines>
  <Paragraphs>347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PBO activity, as at 21 February 2018</dc:title>
  <dc:creator>PBO@pbo.gov.au</dc:creator>
  <cp:lastModifiedBy>Moorhouse, Helen (PBO)</cp:lastModifiedBy>
  <cp:revision>2</cp:revision>
  <cp:lastPrinted>2018-02-19T04:25:00Z</cp:lastPrinted>
  <dcterms:created xsi:type="dcterms:W3CDTF">2018-02-25T23:51:00Z</dcterms:created>
  <dcterms:modified xsi:type="dcterms:W3CDTF">2018-02-25T23:51:00Z</dcterms:modified>
</cp:coreProperties>
</file>