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bookmarkStart w:id="0" w:name="_GoBack"/>
      <w:bookmarkEnd w:id="0"/>
      <w:r>
        <w:rPr>
          <w:noProof/>
        </w:rPr>
        <w:drawing>
          <wp:inline distT="0" distB="0" distL="0" distR="0" wp14:anchorId="6826095A" wp14:editId="1641C114">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r w:rsidRPr="00A734A7">
        <w:t xml:space="preserve">Report to the Senate Finance and </w:t>
      </w:r>
      <w:r w:rsidR="002D3148">
        <w:br/>
      </w:r>
      <w:r w:rsidRPr="00A734A7">
        <w:t>Public Administratio</w:t>
      </w:r>
      <w:r>
        <w:t>n Legislation Committee on PBO a</w:t>
      </w:r>
      <w:r w:rsidRPr="00A734A7">
        <w:t>ctivity</w:t>
      </w:r>
    </w:p>
    <w:p w:rsidR="005C2F9E" w:rsidRDefault="00DD2991" w:rsidP="004C2CCC">
      <w:pPr>
        <w:pStyle w:val="Subtitle"/>
      </w:pPr>
      <w:r>
        <w:t>18</w:t>
      </w:r>
      <w:r w:rsidR="00DC430D">
        <w:t xml:space="preserve"> </w:t>
      </w:r>
      <w:r w:rsidR="000C7000">
        <w:t>October</w:t>
      </w:r>
      <w:r w:rsidR="00DF23ED">
        <w:t xml:space="preserve"> </w:t>
      </w:r>
      <w:r w:rsidR="00A734A7" w:rsidRPr="00A734A7">
        <w:t>201</w:t>
      </w:r>
      <w:r w:rsidR="00B543DA">
        <w:t>7</w:t>
      </w:r>
      <w:r w:rsidR="005C2F9E">
        <w:br w:type="page"/>
      </w:r>
    </w:p>
    <w:p w:rsidR="007D65A5" w:rsidRPr="00A55569" w:rsidRDefault="00A734A7" w:rsidP="00E60E7C">
      <w:pPr>
        <w:pStyle w:val="PBOheading1"/>
      </w:pPr>
      <w:r>
        <w:lastRenderedPageBreak/>
        <w:t>Overview</w:t>
      </w:r>
    </w:p>
    <w:p w:rsidR="007C2C9C" w:rsidRDefault="007C2C9C" w:rsidP="007C2C9C">
      <w:pPr>
        <w:pStyle w:val="PBOtext"/>
      </w:pPr>
      <w:r>
        <w:t xml:space="preserve">The Parliamentary Budget Office (PBO) 2016–17 Annual Report </w:t>
      </w:r>
      <w:r w:rsidR="00096B79">
        <w:t>was</w:t>
      </w:r>
      <w:r>
        <w:t xml:space="preserve"> tabled on 17 October 2017.</w:t>
      </w:r>
    </w:p>
    <w:p w:rsidR="007C2C9C" w:rsidRDefault="00F257B5" w:rsidP="007C2C9C">
      <w:pPr>
        <w:pStyle w:val="PBOtext"/>
      </w:pPr>
      <w:r w:rsidRPr="00F257B5">
        <w:t>T</w:t>
      </w:r>
      <w:r w:rsidR="007C2C9C" w:rsidRPr="00F257B5">
        <w:t xml:space="preserve">he demand from parliamentarians and parliamentary parties for policy costings and budget analyses </w:t>
      </w:r>
      <w:r w:rsidR="006C1C6C" w:rsidRPr="00F257B5">
        <w:t>declined in 2016–17 following the peak in demand arising from the 2016 general election</w:t>
      </w:r>
      <w:r w:rsidR="007C2C9C" w:rsidRPr="00F257B5">
        <w:t xml:space="preserve">.  </w:t>
      </w:r>
      <w:r w:rsidR="006C1C6C" w:rsidRPr="00F257B5">
        <w:t xml:space="preserve">Despite this year on year decline, the </w:t>
      </w:r>
      <w:r w:rsidRPr="00F257B5">
        <w:t xml:space="preserve">trend in demand for PBO costings and budget analyses has continued to increase.  </w:t>
      </w:r>
      <w:r w:rsidR="007C2C9C" w:rsidRPr="00F257B5">
        <w:t>During 2016–17</w:t>
      </w:r>
      <w:r w:rsidR="00222F20">
        <w:t>,</w:t>
      </w:r>
      <w:r w:rsidR="007C2C9C" w:rsidRPr="00F257B5">
        <w:t xml:space="preserve"> the </w:t>
      </w:r>
      <w:r w:rsidRPr="00F257B5">
        <w:t>PBO completed more than double the number of responses it prepared in 2014–15, the previous non-election year.  The average time to completion of responses in 2016–17 was maintained at a similar level to that achieved in 2015–</w:t>
      </w:r>
      <w:r w:rsidR="00322AED">
        <w:t>1</w:t>
      </w:r>
      <w:r w:rsidRPr="00F257B5">
        <w:t xml:space="preserve">6. </w:t>
      </w:r>
    </w:p>
    <w:p w:rsidR="007C2C9C" w:rsidRDefault="007C2C9C" w:rsidP="00E60E7C">
      <w:pPr>
        <w:pStyle w:val="PBOtext"/>
      </w:pPr>
      <w:r>
        <w:t>The remainder of this activity report provides an update on PBO activities since the commencement of 2017–18.</w:t>
      </w:r>
    </w:p>
    <w:p w:rsidR="003C4528" w:rsidRDefault="009031F8" w:rsidP="003C4528">
      <w:pPr>
        <w:pStyle w:val="PBOheading2"/>
      </w:pPr>
      <w:r>
        <w:t>Independent review of the PBO</w:t>
      </w:r>
    </w:p>
    <w:p w:rsidR="00A103B6" w:rsidRDefault="00775ACE" w:rsidP="000464ED">
      <w:pPr>
        <w:rPr>
          <w:lang w:eastAsia="en-AU"/>
        </w:rPr>
      </w:pPr>
      <w:r>
        <w:rPr>
          <w:lang w:eastAsia="en-AU"/>
        </w:rPr>
        <w:t xml:space="preserve">The independent review into the operations of the PBO commissioned by the </w:t>
      </w:r>
      <w:r w:rsidR="00CD42B9">
        <w:rPr>
          <w:lang w:eastAsia="en-AU"/>
        </w:rPr>
        <w:t xml:space="preserve">Joint Committee of Public Accounts and Audit (JCPAA) </w:t>
      </w:r>
      <w:r>
        <w:rPr>
          <w:lang w:eastAsia="en-AU"/>
        </w:rPr>
        <w:t xml:space="preserve">under </w:t>
      </w:r>
      <w:r w:rsidR="005C3F95">
        <w:rPr>
          <w:lang w:eastAsia="en-AU"/>
        </w:rPr>
        <w:t>s</w:t>
      </w:r>
      <w:r>
        <w:rPr>
          <w:lang w:eastAsia="en-AU"/>
        </w:rPr>
        <w:t xml:space="preserve">ection 64T of the </w:t>
      </w:r>
      <w:r w:rsidRPr="000464ED">
        <w:rPr>
          <w:i/>
          <w:lang w:eastAsia="en-AU"/>
        </w:rPr>
        <w:t>Parliamentary Service Act 1999</w:t>
      </w:r>
      <w:r>
        <w:rPr>
          <w:lang w:eastAsia="en-AU"/>
        </w:rPr>
        <w:t xml:space="preserve"> was </w:t>
      </w:r>
      <w:r w:rsidR="00096B79" w:rsidRPr="002852A0">
        <w:rPr>
          <w:lang w:eastAsia="en-AU"/>
        </w:rPr>
        <w:t>c</w:t>
      </w:r>
      <w:r w:rsidR="00096B79">
        <w:rPr>
          <w:lang w:eastAsia="en-AU"/>
        </w:rPr>
        <w:t>ompleted in March 2017 and made 16 recommendations</w:t>
      </w:r>
      <w:r>
        <w:rPr>
          <w:lang w:eastAsia="en-AU"/>
        </w:rPr>
        <w:t>.</w:t>
      </w:r>
      <w:r w:rsidR="00096B79">
        <w:rPr>
          <w:lang w:eastAsia="en-AU"/>
        </w:rPr>
        <w:t xml:space="preserve">  The recomme</w:t>
      </w:r>
      <w:r w:rsidR="002852A0">
        <w:rPr>
          <w:lang w:eastAsia="en-AU"/>
        </w:rPr>
        <w:t xml:space="preserve">ndations and our responses are </w:t>
      </w:r>
      <w:r w:rsidR="006C1C6C">
        <w:rPr>
          <w:lang w:eastAsia="en-AU"/>
        </w:rPr>
        <w:t xml:space="preserve">outlined </w:t>
      </w:r>
      <w:r w:rsidR="002852A0">
        <w:rPr>
          <w:lang w:eastAsia="en-AU"/>
        </w:rPr>
        <w:t>at</w:t>
      </w:r>
      <w:r w:rsidR="00096B79">
        <w:rPr>
          <w:lang w:eastAsia="en-AU"/>
        </w:rPr>
        <w:t xml:space="preserve"> </w:t>
      </w:r>
      <w:r w:rsidR="002852A0">
        <w:rPr>
          <w:lang w:eastAsia="en-AU"/>
        </w:rPr>
        <w:t>A</w:t>
      </w:r>
      <w:r w:rsidR="00096B79">
        <w:rPr>
          <w:lang w:eastAsia="en-AU"/>
        </w:rPr>
        <w:t>ttachment A.</w:t>
      </w:r>
    </w:p>
    <w:p w:rsidR="007D65A5" w:rsidRDefault="007D65A5" w:rsidP="00E60E7C">
      <w:pPr>
        <w:pStyle w:val="PBOheading2"/>
      </w:pPr>
      <w:r w:rsidRPr="00A55569">
        <w:t xml:space="preserve">Requests from </w:t>
      </w:r>
      <w:r w:rsidR="00B23802">
        <w:t>p</w:t>
      </w:r>
      <w:r w:rsidRPr="00A55569">
        <w:t>arliamentarians</w:t>
      </w:r>
      <w:r w:rsidR="00B23802">
        <w:t xml:space="preserve"> and parliamentary parties</w:t>
      </w:r>
    </w:p>
    <w:p w:rsidR="0012673C" w:rsidRPr="00703057" w:rsidRDefault="007C2C9C" w:rsidP="00E60E7C">
      <w:pPr>
        <w:pStyle w:val="PBOtext"/>
      </w:pPr>
      <w:r w:rsidRPr="00703057">
        <w:t>In the first quarter of 2017–18</w:t>
      </w:r>
      <w:r w:rsidR="00467845" w:rsidRPr="00703057">
        <w:t xml:space="preserve">, the PBO </w:t>
      </w:r>
      <w:r w:rsidR="00183893" w:rsidRPr="00703057">
        <w:t xml:space="preserve">received 448 requests from parliamentarians for costings and analysis </w:t>
      </w:r>
      <w:r w:rsidR="00467845" w:rsidRPr="00703057">
        <w:t xml:space="preserve">responded to </w:t>
      </w:r>
      <w:r w:rsidR="00511CB4" w:rsidRPr="00703057">
        <w:t>479</w:t>
      </w:r>
      <w:r w:rsidR="002E15C4" w:rsidRPr="00703057">
        <w:t xml:space="preserve"> </w:t>
      </w:r>
      <w:r w:rsidR="00467845" w:rsidRPr="00703057">
        <w:t>requests</w:t>
      </w:r>
      <w:r w:rsidR="0048170C" w:rsidRPr="00703057">
        <w:t xml:space="preserve"> </w:t>
      </w:r>
      <w:r w:rsidR="00467845" w:rsidRPr="00703057">
        <w:t xml:space="preserve">at an average turnaround time of </w:t>
      </w:r>
      <w:r w:rsidR="00511CB4" w:rsidRPr="00703057">
        <w:t>22</w:t>
      </w:r>
      <w:r w:rsidR="00527D41" w:rsidRPr="00703057">
        <w:t xml:space="preserve"> </w:t>
      </w:r>
      <w:r w:rsidR="00467845" w:rsidRPr="00703057">
        <w:t xml:space="preserve">business days and a median time to completion of </w:t>
      </w:r>
      <w:r w:rsidR="00511CB4" w:rsidRPr="00703057">
        <w:t xml:space="preserve">12 </w:t>
      </w:r>
      <w:r w:rsidR="00467845" w:rsidRPr="00703057">
        <w:t>business days (refer to Table</w:t>
      </w:r>
      <w:r w:rsidR="00B55D14" w:rsidRPr="00703057">
        <w:t> </w:t>
      </w:r>
      <w:r w:rsidR="00467845" w:rsidRPr="00703057">
        <w:t>1).</w:t>
      </w:r>
      <w:r w:rsidR="002A569E" w:rsidRPr="00703057">
        <w:t xml:space="preserve">  </w:t>
      </w:r>
      <w:r w:rsidR="00183893" w:rsidRPr="00703057">
        <w:t>The number of requests outstanding declined in the quarter, from 180 at the start to 108 at the end.</w:t>
      </w:r>
    </w:p>
    <w:p w:rsidR="00101951" w:rsidRDefault="00152D5E" w:rsidP="00E60E7C">
      <w:pPr>
        <w:pStyle w:val="PBOtext"/>
      </w:pPr>
      <w:r w:rsidRPr="00703057">
        <w:t xml:space="preserve">In the </w:t>
      </w:r>
      <w:r w:rsidR="00986D03" w:rsidRPr="00703057">
        <w:t>same period</w:t>
      </w:r>
      <w:r w:rsidRPr="00703057">
        <w:t xml:space="preserve">, the PBO received </w:t>
      </w:r>
      <w:r w:rsidR="00511CB4" w:rsidRPr="00703057">
        <w:t xml:space="preserve">60 </w:t>
      </w:r>
      <w:r w:rsidR="007E6158" w:rsidRPr="00703057">
        <w:t xml:space="preserve">responses </w:t>
      </w:r>
      <w:r w:rsidR="009818CB" w:rsidRPr="00703057">
        <w:t xml:space="preserve">from Commonwealth agencies </w:t>
      </w:r>
      <w:r w:rsidR="007E6158" w:rsidRPr="00703057">
        <w:t xml:space="preserve">to information requests at an average turnaround time of </w:t>
      </w:r>
      <w:r w:rsidR="00511CB4" w:rsidRPr="00703057">
        <w:t>16</w:t>
      </w:r>
      <w:r w:rsidR="00DA19EE" w:rsidRPr="00703057">
        <w:t xml:space="preserve"> </w:t>
      </w:r>
      <w:r w:rsidR="007E6158" w:rsidRPr="00703057">
        <w:t xml:space="preserve">business days </w:t>
      </w:r>
      <w:r w:rsidR="009818CB" w:rsidRPr="00703057">
        <w:t xml:space="preserve">with </w:t>
      </w:r>
      <w:r w:rsidR="00511CB4" w:rsidRPr="00703057">
        <w:t xml:space="preserve">requests being submitted, on average, one business day ahead of </w:t>
      </w:r>
      <w:r w:rsidR="00183893" w:rsidRPr="00703057">
        <w:t>the</w:t>
      </w:r>
      <w:r w:rsidR="00511CB4" w:rsidRPr="00703057">
        <w:t xml:space="preserve"> deadline</w:t>
      </w:r>
      <w:r w:rsidR="00183893" w:rsidRPr="00703057">
        <w:t xml:space="preserve"> set</w:t>
      </w:r>
      <w:r w:rsidR="009818CB" w:rsidRPr="00703057">
        <w:t xml:space="preserve"> </w:t>
      </w:r>
      <w:r w:rsidR="007E6158" w:rsidRPr="00703057">
        <w:t>(refer to Table 2).</w:t>
      </w:r>
      <w:r w:rsidR="00F45847" w:rsidRPr="00703057">
        <w:t xml:space="preserve">  Table 3 contains details of </w:t>
      </w:r>
      <w:r w:rsidR="0013683A" w:rsidRPr="00703057">
        <w:t>the</w:t>
      </w:r>
      <w:r w:rsidR="00F45847" w:rsidRPr="00703057">
        <w:t xml:space="preserve"> responsiveness </w:t>
      </w:r>
      <w:r w:rsidR="0013683A" w:rsidRPr="00703057">
        <w:t xml:space="preserve">of </w:t>
      </w:r>
      <w:r w:rsidR="00F45847" w:rsidRPr="00703057">
        <w:t xml:space="preserve">Commonwealth agencies </w:t>
      </w:r>
      <w:r w:rsidR="0013683A" w:rsidRPr="00703057">
        <w:t>to information requests during</w:t>
      </w:r>
      <w:r w:rsidR="00F45847" w:rsidRPr="00703057">
        <w:t xml:space="preserve"> </w:t>
      </w:r>
      <w:r w:rsidR="00967214" w:rsidRPr="00703057">
        <w:t>this period</w:t>
      </w:r>
      <w:r w:rsidR="00F45847" w:rsidRPr="00703057">
        <w:t>.</w:t>
      </w:r>
    </w:p>
    <w:p w:rsidR="00FA1577" w:rsidRDefault="00FA1577" w:rsidP="00E60E7C">
      <w:pPr>
        <w:pStyle w:val="PBOtext"/>
      </w:pPr>
      <w:r>
        <w:t xml:space="preserve">In the first quarter of 2017–18, </w:t>
      </w:r>
      <w:r w:rsidR="00557D8D">
        <w:t xml:space="preserve">nine </w:t>
      </w:r>
      <w:r>
        <w:t xml:space="preserve">policy announcements </w:t>
      </w:r>
      <w:r w:rsidR="008B3208">
        <w:t xml:space="preserve">that were </w:t>
      </w:r>
      <w:r>
        <w:t xml:space="preserve">made by parliamentarians or parliamentary parties </w:t>
      </w:r>
      <w:r w:rsidR="00557D8D">
        <w:t xml:space="preserve">included </w:t>
      </w:r>
      <w:r>
        <w:t>reference</w:t>
      </w:r>
      <w:r w:rsidR="00557D8D">
        <w:t>s</w:t>
      </w:r>
      <w:r>
        <w:t xml:space="preserve"> to PBO costings.  Three of these costings were subsequently publicly released (refer to Table 4).</w:t>
      </w:r>
    </w:p>
    <w:p w:rsidR="007D65A5" w:rsidRDefault="002852A0" w:rsidP="00E60E7C">
      <w:pPr>
        <w:pStyle w:val="PBOheading2"/>
      </w:pPr>
      <w:r>
        <w:t>R</w:t>
      </w:r>
      <w:r w:rsidR="00986D03" w:rsidRPr="0048170C">
        <w:t xml:space="preserve">esearch </w:t>
      </w:r>
      <w:r w:rsidR="007D65A5" w:rsidRPr="0048170C">
        <w:t>program</w:t>
      </w:r>
    </w:p>
    <w:p w:rsidR="007C2C9C" w:rsidRDefault="002852A0" w:rsidP="007C2C9C">
      <w:pPr>
        <w:pStyle w:val="PBOtext"/>
      </w:pPr>
      <w:r>
        <w:t>Details of our</w:t>
      </w:r>
      <w:r w:rsidR="007C2C9C">
        <w:t xml:space="preserve"> research program for 2017–18 are set out in our work plan that was published on 22</w:t>
      </w:r>
      <w:r w:rsidR="00FA1577">
        <w:t> </w:t>
      </w:r>
      <w:r w:rsidR="007C2C9C">
        <w:t>September</w:t>
      </w:r>
      <w:r w:rsidR="00FA1577">
        <w:t> </w:t>
      </w:r>
      <w:r w:rsidR="007C2C9C">
        <w:t>2017.</w:t>
      </w:r>
    </w:p>
    <w:p w:rsidR="005E7A3C" w:rsidRDefault="005179AC" w:rsidP="007C2C9C">
      <w:pPr>
        <w:pStyle w:val="PBOtext"/>
      </w:pPr>
      <w:r>
        <w:t>On 5 July 2017</w:t>
      </w:r>
      <w:r w:rsidR="00222F20">
        <w:t>,</w:t>
      </w:r>
      <w:r>
        <w:t xml:space="preserve"> the PBO released Report No. 02/2017 </w:t>
      </w:r>
      <w:r w:rsidRPr="00322AED">
        <w:rPr>
          <w:i/>
        </w:rPr>
        <w:t>2017</w:t>
      </w:r>
      <w:r w:rsidR="00322AED">
        <w:rPr>
          <w:i/>
        </w:rPr>
        <w:t>–</w:t>
      </w:r>
      <w:r w:rsidRPr="00322AED">
        <w:rPr>
          <w:i/>
        </w:rPr>
        <w:t>18 Budget: medium-term projections</w:t>
      </w:r>
      <w:r>
        <w:t>.  Th</w:t>
      </w:r>
      <w:r w:rsidR="00D075A1">
        <w:t>is</w:t>
      </w:r>
      <w:r>
        <w:t xml:space="preserve"> </w:t>
      </w:r>
      <w:r w:rsidR="00D075A1">
        <w:t xml:space="preserve">annual </w:t>
      </w:r>
      <w:r>
        <w:t>report provide</w:t>
      </w:r>
      <w:r w:rsidR="00D075A1">
        <w:t>s</w:t>
      </w:r>
      <w:r>
        <w:t xml:space="preserve"> detailed analysis and projections of receipts and payments over the forward estimates and the medium-term period to </w:t>
      </w:r>
      <w:r w:rsidR="005E7A3C">
        <w:t>explain</w:t>
      </w:r>
      <w:r>
        <w:t xml:space="preserve"> the drivers of the </w:t>
      </w:r>
      <w:r w:rsidR="005E7A3C">
        <w:t>Budget aggregates.</w:t>
      </w:r>
    </w:p>
    <w:p w:rsidR="00583436" w:rsidRDefault="00583436" w:rsidP="00583436">
      <w:pPr>
        <w:pStyle w:val="PBOtext"/>
      </w:pPr>
      <w:r>
        <w:t xml:space="preserve">On 13 September 2017, the PBO released Technical Note No. 01/2017 </w:t>
      </w:r>
      <w:r w:rsidRPr="00322AED">
        <w:rPr>
          <w:i/>
        </w:rPr>
        <w:t>Factors influencing the reliability of policy proposal costings</w:t>
      </w:r>
      <w:r>
        <w:t xml:space="preserve">.  This note </w:t>
      </w:r>
      <w:r w:rsidR="00530EC5" w:rsidRPr="00530EC5">
        <w:t>explains the factors that impact on the uncertainty in policy costings and the PBO’s approach to explaining uncertainty in its costing response documents</w:t>
      </w:r>
      <w:r>
        <w:t>.</w:t>
      </w:r>
    </w:p>
    <w:p w:rsidR="005E7A3C" w:rsidRDefault="005E7A3C" w:rsidP="007C2C9C">
      <w:pPr>
        <w:pStyle w:val="PBOtext"/>
      </w:pPr>
      <w:r>
        <w:t>On 11 October 2017</w:t>
      </w:r>
      <w:r w:rsidR="00222F20">
        <w:t>,</w:t>
      </w:r>
      <w:r>
        <w:t xml:space="preserve"> the PBO released Report No. 03/2017 </w:t>
      </w:r>
      <w:r w:rsidRPr="00322AED">
        <w:rPr>
          <w:i/>
        </w:rPr>
        <w:t>Changes in average personal income tax rates: distributional impacts</w:t>
      </w:r>
      <w:r>
        <w:t>.  The report analyse</w:t>
      </w:r>
      <w:r w:rsidR="00D075A1">
        <w:t>s</w:t>
      </w:r>
      <w:r>
        <w:t xml:space="preserve"> the projected increase in average tax rates for individuals in different parts of the taxable income distribution.</w:t>
      </w:r>
    </w:p>
    <w:p w:rsidR="00223DED" w:rsidRDefault="00D075A1" w:rsidP="007C2C9C">
      <w:pPr>
        <w:pStyle w:val="PBOtext"/>
      </w:pPr>
      <w:r>
        <w:lastRenderedPageBreak/>
        <w:t xml:space="preserve">The next annual </w:t>
      </w:r>
      <w:r w:rsidR="00583436">
        <w:t>report on the national fiscal outlook over the forward estimates period is expected to be published on 1</w:t>
      </w:r>
      <w:r w:rsidR="00473C55">
        <w:t>9</w:t>
      </w:r>
      <w:r w:rsidR="00583436">
        <w:t xml:space="preserve"> October 2017.  This report </w:t>
      </w:r>
      <w:r w:rsidR="00223DED">
        <w:t>provide</w:t>
      </w:r>
      <w:r>
        <w:t>s</w:t>
      </w:r>
      <w:r w:rsidR="00223DED">
        <w:t xml:space="preserve"> a </w:t>
      </w:r>
      <w:r w:rsidR="00557D8D">
        <w:t>national</w:t>
      </w:r>
      <w:r w:rsidR="00223DED">
        <w:t xml:space="preserve"> perspective on the fiscal outlook</w:t>
      </w:r>
      <w:r w:rsidR="00557D8D">
        <w:t>, examining outcomes</w:t>
      </w:r>
      <w:r w:rsidR="00223DED">
        <w:t xml:space="preserve"> across all levels of Australian government</w:t>
      </w:r>
      <w:r w:rsidR="00557D8D">
        <w:t xml:space="preserve"> on a consistent basis</w:t>
      </w:r>
      <w:r w:rsidR="00223DED">
        <w:t>.</w:t>
      </w:r>
    </w:p>
    <w:p w:rsidR="007C2C9C" w:rsidRDefault="007C2C9C" w:rsidP="007C2C9C">
      <w:pPr>
        <w:pStyle w:val="PBOtext"/>
      </w:pPr>
      <w:r>
        <w:t xml:space="preserve">The remaining reports </w:t>
      </w:r>
      <w:r w:rsidR="00557D8D">
        <w:t xml:space="preserve">foreshadowed </w:t>
      </w:r>
      <w:r>
        <w:t>in the work plan are expected to be published progressively over the course of the financial year.</w:t>
      </w:r>
    </w:p>
    <w:p w:rsidR="007D65A5" w:rsidRPr="00A55569" w:rsidRDefault="007D65A5" w:rsidP="00E60E7C">
      <w:pPr>
        <w:pStyle w:val="PBOheading2"/>
        <w:spacing w:after="120"/>
      </w:pPr>
      <w:r w:rsidRPr="00DD2991">
        <w:t xml:space="preserve">PBO </w:t>
      </w:r>
      <w:r w:rsidR="00742FB7" w:rsidRPr="00DD2991">
        <w:t>s</w:t>
      </w:r>
      <w:r w:rsidRPr="00DD2991">
        <w:t>taffing</w:t>
      </w:r>
    </w:p>
    <w:p w:rsidR="00392BA4" w:rsidRDefault="007D65A5" w:rsidP="00E60E7C">
      <w:pPr>
        <w:pStyle w:val="PBOtext"/>
      </w:pPr>
      <w:r>
        <w:t>The PBO</w:t>
      </w:r>
      <w:r w:rsidR="00557D8D">
        <w:t xml:space="preserve"> is allocated a budget that supports</w:t>
      </w:r>
      <w:r w:rsidR="0013683A">
        <w:t xml:space="preserve"> </w:t>
      </w:r>
      <w:r w:rsidR="00583436">
        <w:t>around</w:t>
      </w:r>
      <w:r w:rsidR="00E401D9">
        <w:t xml:space="preserve"> 40 </w:t>
      </w:r>
      <w:r w:rsidR="00557D8D">
        <w:t>staff</w:t>
      </w:r>
      <w:r>
        <w:t xml:space="preserve"> and </w:t>
      </w:r>
      <w:r w:rsidR="0013683A">
        <w:t xml:space="preserve">receives additional funding every third year in the lead up to a general election to boost its staffing.  </w:t>
      </w:r>
      <w:r w:rsidR="00EE54F2">
        <w:t xml:space="preserve">At </w:t>
      </w:r>
      <w:r w:rsidR="00096B79">
        <w:t>30</w:t>
      </w:r>
      <w:r w:rsidR="00FA1577">
        <w:t> </w:t>
      </w:r>
      <w:r w:rsidR="00096B79">
        <w:t>September</w:t>
      </w:r>
      <w:r w:rsidR="00FA1577">
        <w:t> </w:t>
      </w:r>
      <w:r w:rsidR="00DC430D">
        <w:t>2017</w:t>
      </w:r>
      <w:r w:rsidR="00EE54F2">
        <w:t xml:space="preserve">, the PBO had </w:t>
      </w:r>
      <w:r w:rsidR="00DE2FBE">
        <w:t>4</w:t>
      </w:r>
      <w:r w:rsidR="00347681">
        <w:t>1</w:t>
      </w:r>
      <w:r w:rsidR="00FA1577">
        <w:t> </w:t>
      </w:r>
      <w:r w:rsidR="00EE54F2">
        <w:t xml:space="preserve">staff (refer to Table </w:t>
      </w:r>
      <w:r w:rsidR="00583436">
        <w:t>5</w:t>
      </w:r>
      <w:r w:rsidR="00EE54F2">
        <w:t>)</w:t>
      </w:r>
      <w:r w:rsidR="00583436">
        <w:t>, including one secondee under</w:t>
      </w:r>
      <w:r w:rsidR="005B325D">
        <w:t xml:space="preserve"> the 201</w:t>
      </w:r>
      <w:r w:rsidR="002A56BE">
        <w:t>7</w:t>
      </w:r>
      <w:r w:rsidR="005B325D">
        <w:t xml:space="preserve"> Parliament of Australia graduate program.</w:t>
      </w:r>
    </w:p>
    <w:p w:rsidR="00440916" w:rsidRPr="00626105" w:rsidRDefault="00440916" w:rsidP="00E60E7C">
      <w:pPr>
        <w:pStyle w:val="PBOtext"/>
      </w:pPr>
      <w:r w:rsidRPr="00626105">
        <w:br w:type="page"/>
      </w:r>
    </w:p>
    <w:p w:rsidR="00EE10A1" w:rsidRPr="008C72D3" w:rsidRDefault="005D002A" w:rsidP="00E60E7C">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6304F">
        <w:rPr>
          <w:rFonts w:asciiTheme="minorHAnsi" w:eastAsiaTheme="minorHAnsi" w:hAnsiTheme="minorHAnsi" w:cstheme="minorBidi"/>
          <w:color w:val="1F497D" w:themeColor="text2"/>
          <w:spacing w:val="-4"/>
          <w:sz w:val="20"/>
          <w:lang w:eastAsia="en-US"/>
        </w:rPr>
        <w:br/>
      </w:r>
      <w:r w:rsidR="00096B79">
        <w:rPr>
          <w:rFonts w:asciiTheme="minorHAnsi" w:eastAsiaTheme="minorHAnsi" w:hAnsiTheme="minorHAnsi" w:cstheme="minorBidi"/>
          <w:color w:val="1F497D" w:themeColor="text2"/>
          <w:spacing w:val="-4"/>
          <w:sz w:val="20"/>
          <w:lang w:eastAsia="en-US"/>
        </w:rPr>
        <w:t>3</w:t>
      </w:r>
      <w:r w:rsidR="00DE0325">
        <w:rPr>
          <w:rFonts w:asciiTheme="minorHAnsi" w:eastAsiaTheme="minorHAnsi" w:hAnsiTheme="minorHAnsi" w:cstheme="minorBidi"/>
          <w:color w:val="1F497D" w:themeColor="text2"/>
          <w:spacing w:val="-4"/>
          <w:sz w:val="20"/>
          <w:lang w:eastAsia="en-US"/>
        </w:rPr>
        <w:t>0 September</w:t>
      </w:r>
      <w:r w:rsidR="00DC430D">
        <w:rPr>
          <w:rFonts w:asciiTheme="minorHAnsi" w:eastAsiaTheme="minorHAnsi" w:hAnsiTheme="minorHAnsi" w:cstheme="minorBidi"/>
          <w:color w:val="1F497D" w:themeColor="text2"/>
          <w:spacing w:val="-4"/>
          <w:sz w:val="20"/>
          <w:lang w:eastAsia="en-US"/>
        </w:rPr>
        <w:t xml:space="preserve"> 2017</w:t>
      </w:r>
    </w:p>
    <w:tbl>
      <w:tblPr>
        <w:tblStyle w:val="TableGrid11"/>
        <w:tblpPr w:leftFromText="180" w:rightFromText="180" w:bottomFromText="155" w:vertAnchor="text"/>
        <w:tblW w:w="4869" w:type="pct"/>
        <w:tblLayout w:type="fixed"/>
        <w:tblLook w:val="04A0" w:firstRow="1" w:lastRow="0" w:firstColumn="1" w:lastColumn="0" w:noHBand="0" w:noVBand="1"/>
      </w:tblPr>
      <w:tblGrid>
        <w:gridCol w:w="3260"/>
        <w:gridCol w:w="1106"/>
        <w:gridCol w:w="1106"/>
        <w:gridCol w:w="1106"/>
        <w:gridCol w:w="1106"/>
        <w:gridCol w:w="1106"/>
      </w:tblGrid>
      <w:tr w:rsidR="00583436" w:rsidRPr="00764FC5" w:rsidTr="00583436">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855" w:type="pct"/>
            <w:noWrap/>
          </w:tcPr>
          <w:p w:rsidR="00583436" w:rsidRPr="00764FC5" w:rsidRDefault="00583436" w:rsidP="00660E2F">
            <w:pPr>
              <w:keepNext/>
              <w:keepLines/>
              <w:spacing w:before="0" w:after="200" w:line="240" w:lineRule="auto"/>
              <w:ind w:left="0" w:right="0"/>
              <w:rPr>
                <w:rFonts w:eastAsia="Calibri"/>
                <w:b/>
                <w:color w:val="auto"/>
                <w:sz w:val="18"/>
                <w:szCs w:val="18"/>
                <w:lang w:eastAsia="en-US"/>
              </w:rPr>
            </w:pPr>
          </w:p>
        </w:tc>
        <w:tc>
          <w:tcPr>
            <w:tcW w:w="629" w:type="pct"/>
          </w:tcPr>
          <w:p w:rsidR="00583436" w:rsidRPr="001244FE"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583436" w:rsidRPr="00764FC5"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p>
        </w:tc>
        <w:tc>
          <w:tcPr>
            <w:tcW w:w="629" w:type="pct"/>
          </w:tcPr>
          <w:p w:rsidR="00583436" w:rsidRPr="00D77CDE"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583436" w:rsidRPr="001244FE"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629" w:type="pct"/>
          </w:tcPr>
          <w:p w:rsidR="00583436" w:rsidRPr="001244FE"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583436" w:rsidRPr="001E1EE2"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c>
          <w:tcPr>
            <w:tcW w:w="629" w:type="pct"/>
          </w:tcPr>
          <w:p w:rsidR="00583436" w:rsidRPr="00B40746"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2016–17</w:t>
            </w:r>
          </w:p>
          <w:p w:rsidR="00583436" w:rsidRPr="001E1EE2" w:rsidDel="00660E2F"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40746">
              <w:rPr>
                <w:rFonts w:asciiTheme="minorHAnsi" w:hAnsiTheme="minorHAnsi"/>
                <w:b/>
                <w:sz w:val="18"/>
                <w:szCs w:val="18"/>
              </w:rPr>
              <w:t>Total</w:t>
            </w:r>
          </w:p>
        </w:tc>
        <w:tc>
          <w:tcPr>
            <w:tcW w:w="629" w:type="pct"/>
          </w:tcPr>
          <w:p w:rsidR="00583436" w:rsidRPr="00B40746"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w:t>
            </w:r>
            <w:r>
              <w:rPr>
                <w:rFonts w:asciiTheme="minorHAnsi" w:hAnsiTheme="minorHAnsi"/>
                <w:b/>
                <w:sz w:val="18"/>
                <w:szCs w:val="18"/>
              </w:rPr>
              <w:t>7</w:t>
            </w:r>
            <w:r w:rsidRPr="00B40746">
              <w:rPr>
                <w:rFonts w:asciiTheme="minorHAnsi" w:hAnsiTheme="minorHAnsi"/>
                <w:b/>
                <w:sz w:val="18"/>
                <w:szCs w:val="18"/>
              </w:rPr>
              <w:t>–1</w:t>
            </w:r>
            <w:r>
              <w:rPr>
                <w:rFonts w:asciiTheme="minorHAnsi" w:hAnsiTheme="minorHAnsi"/>
                <w:b/>
                <w:sz w:val="18"/>
                <w:szCs w:val="18"/>
              </w:rPr>
              <w:t>8</w:t>
            </w:r>
          </w:p>
          <w:p w:rsidR="00583436" w:rsidRPr="001244FE"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Q1</w:t>
            </w:r>
            <w:r w:rsidRPr="001E1EE2" w:rsidDel="00660E2F">
              <w:rPr>
                <w:rFonts w:asciiTheme="minorHAnsi" w:hAnsiTheme="minorHAnsi"/>
                <w:sz w:val="18"/>
                <w:szCs w:val="18"/>
              </w:rPr>
              <w:t xml:space="preserve"> </w:t>
            </w:r>
          </w:p>
        </w:tc>
      </w:tr>
      <w:tr w:rsidR="00583436" w:rsidRPr="00491308" w:rsidTr="0058343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491308" w:rsidRDefault="00583436" w:rsidP="00660E2F">
            <w:pPr>
              <w:rPr>
                <w:rFonts w:cs="Arial"/>
                <w:bCs/>
                <w:sz w:val="18"/>
                <w:szCs w:val="18"/>
              </w:rPr>
            </w:pPr>
            <w:r w:rsidRPr="00491308">
              <w:rPr>
                <w:rFonts w:cs="Arial"/>
                <w:bCs/>
                <w:sz w:val="18"/>
                <w:szCs w:val="18"/>
              </w:rPr>
              <w:t>Requests outstanding at start of period</w:t>
            </w:r>
          </w:p>
        </w:tc>
        <w:tc>
          <w:tcPr>
            <w:tcW w:w="629" w:type="pct"/>
            <w:noWrap/>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463</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76</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629" w:type="pct"/>
          </w:tcPr>
          <w:p w:rsidR="00583436" w:rsidRPr="00583436" w:rsidDel="00660E2F"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629" w:type="pct"/>
          </w:tcPr>
          <w:p w:rsidR="00583436" w:rsidRPr="00491308"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r>
      <w:tr w:rsidR="00583436" w:rsidRPr="00491308" w:rsidTr="00583436">
        <w:trPr>
          <w:trHeight w:val="459"/>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491308" w:rsidRDefault="00583436" w:rsidP="00660E2F">
            <w:pPr>
              <w:rPr>
                <w:rFonts w:cs="Arial"/>
                <w:bCs/>
                <w:sz w:val="18"/>
                <w:szCs w:val="18"/>
              </w:rPr>
            </w:pPr>
            <w:r w:rsidRPr="00491308">
              <w:rPr>
                <w:rFonts w:cs="Arial"/>
                <w:bCs/>
                <w:sz w:val="18"/>
                <w:szCs w:val="18"/>
              </w:rPr>
              <w:t>Requests received in period</w:t>
            </w:r>
          </w:p>
        </w:tc>
        <w:tc>
          <w:tcPr>
            <w:tcW w:w="629" w:type="pct"/>
            <w:noWrap/>
            <w:hideMark/>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1,297</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973</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4,146</w:t>
            </w:r>
          </w:p>
        </w:tc>
        <w:tc>
          <w:tcPr>
            <w:tcW w:w="629" w:type="pct"/>
          </w:tcPr>
          <w:p w:rsidR="00583436" w:rsidRPr="00583436" w:rsidDel="00660E2F" w:rsidRDefault="00583436" w:rsidP="00C750B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2,</w:t>
            </w:r>
            <w:r w:rsidR="00C750B9">
              <w:rPr>
                <w:rFonts w:cs="Arial"/>
                <w:bCs/>
                <w:sz w:val="18"/>
                <w:szCs w:val="18"/>
              </w:rPr>
              <w:t>572</w:t>
            </w:r>
          </w:p>
        </w:tc>
        <w:tc>
          <w:tcPr>
            <w:tcW w:w="629" w:type="pct"/>
          </w:tcPr>
          <w:p w:rsidR="00583436" w:rsidRPr="00491308" w:rsidRDefault="00C750B9"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448</w:t>
            </w:r>
          </w:p>
        </w:tc>
      </w:tr>
      <w:tr w:rsidR="00583436" w:rsidRPr="00491308" w:rsidTr="0058343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491308" w:rsidRDefault="00583436" w:rsidP="00660E2F">
            <w:pPr>
              <w:rPr>
                <w:rFonts w:cs="Arial"/>
                <w:bCs/>
                <w:sz w:val="18"/>
                <w:szCs w:val="18"/>
              </w:rPr>
            </w:pPr>
            <w:r w:rsidRPr="00491308">
              <w:rPr>
                <w:rFonts w:cs="Arial"/>
                <w:bCs/>
                <w:sz w:val="18"/>
                <w:szCs w:val="18"/>
              </w:rPr>
              <w:t>Requests withdrawn in period</w:t>
            </w:r>
          </w:p>
        </w:tc>
        <w:tc>
          <w:tcPr>
            <w:tcW w:w="629" w:type="pct"/>
            <w:noWrap/>
            <w:hideMark/>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162</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42</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1,013</w:t>
            </w:r>
          </w:p>
        </w:tc>
        <w:tc>
          <w:tcPr>
            <w:tcW w:w="629" w:type="pct"/>
          </w:tcPr>
          <w:p w:rsidR="00583436" w:rsidRPr="00583436" w:rsidDel="00660E2F"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524</w:t>
            </w:r>
          </w:p>
        </w:tc>
        <w:tc>
          <w:tcPr>
            <w:tcW w:w="629" w:type="pct"/>
          </w:tcPr>
          <w:p w:rsidR="00583436" w:rsidRPr="00491308"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41</w:t>
            </w:r>
          </w:p>
        </w:tc>
      </w:tr>
      <w:tr w:rsidR="00583436" w:rsidRPr="00491308" w:rsidTr="00583436">
        <w:trPr>
          <w:trHeight w:val="459"/>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491308" w:rsidRDefault="00583436" w:rsidP="00660E2F">
            <w:pPr>
              <w:rPr>
                <w:rFonts w:cs="Arial"/>
                <w:bCs/>
                <w:sz w:val="18"/>
                <w:szCs w:val="18"/>
              </w:rPr>
            </w:pPr>
            <w:r w:rsidRPr="00491308">
              <w:rPr>
                <w:rFonts w:cs="Arial"/>
                <w:bCs/>
                <w:sz w:val="18"/>
                <w:szCs w:val="18"/>
              </w:rPr>
              <w:t>Requests completed in period</w:t>
            </w:r>
          </w:p>
        </w:tc>
        <w:tc>
          <w:tcPr>
            <w:tcW w:w="629" w:type="pct"/>
            <w:noWrap/>
            <w:hideMark/>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1,522</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869</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3,251</w:t>
            </w:r>
          </w:p>
        </w:tc>
        <w:tc>
          <w:tcPr>
            <w:tcW w:w="629" w:type="pct"/>
          </w:tcPr>
          <w:p w:rsidR="00583436" w:rsidRPr="00583436" w:rsidDel="00660E2F" w:rsidRDefault="00C750B9"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1,888</w:t>
            </w:r>
          </w:p>
        </w:tc>
        <w:tc>
          <w:tcPr>
            <w:tcW w:w="629" w:type="pct"/>
          </w:tcPr>
          <w:p w:rsidR="00583436" w:rsidRPr="00491308" w:rsidRDefault="00C750B9"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479</w:t>
            </w:r>
          </w:p>
        </w:tc>
      </w:tr>
      <w:tr w:rsidR="00583436" w:rsidRPr="00491308" w:rsidTr="0058343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491308" w:rsidRDefault="00583436" w:rsidP="00660E2F">
            <w:pPr>
              <w:rPr>
                <w:rFonts w:cs="Arial"/>
                <w:bCs/>
                <w:sz w:val="18"/>
                <w:szCs w:val="18"/>
              </w:rPr>
            </w:pPr>
            <w:r w:rsidRPr="00491308">
              <w:rPr>
                <w:rFonts w:cs="Arial"/>
                <w:bCs/>
                <w:sz w:val="18"/>
                <w:szCs w:val="18"/>
              </w:rPr>
              <w:t>Average time to completion (business days)</w:t>
            </w:r>
          </w:p>
        </w:tc>
        <w:tc>
          <w:tcPr>
            <w:tcW w:w="629" w:type="pct"/>
            <w:noWrap/>
            <w:hideMark/>
          </w:tcPr>
          <w:p w:rsidR="00583436" w:rsidRPr="00583436"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w:t>
            </w:r>
          </w:p>
        </w:tc>
        <w:tc>
          <w:tcPr>
            <w:tcW w:w="629" w:type="pct"/>
          </w:tcPr>
          <w:p w:rsidR="00583436" w:rsidRPr="00583436"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629" w:type="pct"/>
          </w:tcPr>
          <w:p w:rsidR="00583436" w:rsidRPr="00583436"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19</w:t>
            </w:r>
          </w:p>
        </w:tc>
        <w:tc>
          <w:tcPr>
            <w:tcW w:w="629" w:type="pct"/>
          </w:tcPr>
          <w:p w:rsidR="00583436" w:rsidRPr="00583436" w:rsidDel="00660E2F" w:rsidRDefault="00473C55" w:rsidP="00473C55">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629" w:type="pct"/>
          </w:tcPr>
          <w:p w:rsidR="00583436" w:rsidRPr="00491308"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22</w:t>
            </w:r>
          </w:p>
        </w:tc>
      </w:tr>
      <w:tr w:rsidR="00583436" w:rsidRPr="00764FC5" w:rsidTr="00583436">
        <w:trPr>
          <w:trHeight w:val="459"/>
        </w:trPr>
        <w:tc>
          <w:tcPr>
            <w:cnfStyle w:val="001000000000" w:firstRow="0" w:lastRow="0" w:firstColumn="1" w:lastColumn="0" w:oddVBand="0" w:evenVBand="0" w:oddHBand="0" w:evenHBand="0" w:firstRowFirstColumn="0" w:firstRowLastColumn="0" w:lastRowFirstColumn="0" w:lastRowLastColumn="0"/>
            <w:tcW w:w="1855" w:type="pct"/>
            <w:noWrap/>
          </w:tcPr>
          <w:p w:rsidR="00583436" w:rsidRPr="00764FC5" w:rsidRDefault="00583436" w:rsidP="00660E2F">
            <w:pPr>
              <w:rPr>
                <w:rFonts w:eastAsia="Calibri"/>
                <w:sz w:val="18"/>
                <w:szCs w:val="18"/>
              </w:rPr>
            </w:pPr>
            <w:r>
              <w:rPr>
                <w:rFonts w:eastAsia="Calibri"/>
                <w:sz w:val="18"/>
                <w:szCs w:val="18"/>
              </w:rPr>
              <w:t>Median time to completion (business days)</w:t>
            </w:r>
          </w:p>
        </w:tc>
        <w:tc>
          <w:tcPr>
            <w:tcW w:w="629" w:type="pct"/>
            <w:noWrap/>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6</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12</w:t>
            </w:r>
          </w:p>
        </w:tc>
        <w:tc>
          <w:tcPr>
            <w:tcW w:w="629" w:type="pct"/>
          </w:tcPr>
          <w:p w:rsidR="00583436" w:rsidRPr="00583436" w:rsidRDefault="00583436"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16</w:t>
            </w:r>
          </w:p>
        </w:tc>
        <w:tc>
          <w:tcPr>
            <w:tcW w:w="629" w:type="pct"/>
          </w:tcPr>
          <w:p w:rsidR="00583436" w:rsidRPr="00583436" w:rsidDel="00660E2F" w:rsidRDefault="00C750B9"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c>
          <w:tcPr>
            <w:tcW w:w="629" w:type="pct"/>
          </w:tcPr>
          <w:p w:rsidR="00583436" w:rsidRPr="00491308" w:rsidRDefault="00C750B9" w:rsidP="00660E2F">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r>
      <w:tr w:rsidR="00583436" w:rsidRPr="00764FC5" w:rsidTr="0058343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55" w:type="pct"/>
            <w:noWrap/>
          </w:tcPr>
          <w:p w:rsidR="00583436" w:rsidRDefault="00583436" w:rsidP="00660E2F">
            <w:pPr>
              <w:rPr>
                <w:rFonts w:eastAsia="Calibri"/>
                <w:sz w:val="18"/>
                <w:szCs w:val="18"/>
              </w:rPr>
            </w:pPr>
            <w:r w:rsidRPr="00764FC5">
              <w:rPr>
                <w:rFonts w:eastAsia="Calibri"/>
                <w:sz w:val="18"/>
                <w:szCs w:val="18"/>
              </w:rPr>
              <w:t>Requests outstanding at end of period</w:t>
            </w:r>
          </w:p>
        </w:tc>
        <w:tc>
          <w:tcPr>
            <w:tcW w:w="629" w:type="pct"/>
            <w:noWrap/>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76</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629" w:type="pct"/>
          </w:tcPr>
          <w:p w:rsidR="00583436" w:rsidRPr="00583436" w:rsidRDefault="00583436"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629" w:type="pct"/>
          </w:tcPr>
          <w:p w:rsidR="00583436" w:rsidRPr="00583436" w:rsidDel="00660E2F"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c>
          <w:tcPr>
            <w:tcW w:w="629" w:type="pct"/>
          </w:tcPr>
          <w:p w:rsidR="00583436" w:rsidRPr="00491308" w:rsidRDefault="00C750B9" w:rsidP="00660E2F">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w:t>
            </w:r>
          </w:p>
        </w:tc>
      </w:tr>
    </w:tbl>
    <w:p w:rsidR="004940D8" w:rsidRPr="00255C1E" w:rsidRDefault="000B288A" w:rsidP="00E60E7C">
      <w:pPr>
        <w:pStyle w:val="TableText"/>
        <w:rPr>
          <w:sz w:val="18"/>
          <w:szCs w:val="18"/>
        </w:rPr>
      </w:pPr>
      <w:r w:rsidRPr="00255C1E">
        <w:rPr>
          <w:sz w:val="18"/>
          <w:szCs w:val="18"/>
        </w:rPr>
        <w:t>Note:  The table identifies</w:t>
      </w:r>
      <w:r w:rsidR="00166823" w:rsidRPr="00255C1E">
        <w:rPr>
          <w:sz w:val="18"/>
          <w:szCs w:val="18"/>
        </w:rPr>
        <w:t xml:space="preserve"> the number of ‘options’ received by the PBO, noting </w:t>
      </w:r>
      <w:r w:rsidR="00D537C5" w:rsidRPr="00255C1E">
        <w:rPr>
          <w:sz w:val="18"/>
          <w:szCs w:val="18"/>
        </w:rPr>
        <w:t>that</w:t>
      </w:r>
      <w:r w:rsidR="00166823" w:rsidRPr="00255C1E">
        <w:rPr>
          <w:sz w:val="18"/>
          <w:szCs w:val="18"/>
        </w:rPr>
        <w:t xml:space="preserve"> a single request can contain multiple options.</w:t>
      </w:r>
    </w:p>
    <w:p w:rsidR="00F36BEB" w:rsidRDefault="00F36BE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1244FE">
        <w:rPr>
          <w:rFonts w:asciiTheme="minorHAnsi" w:eastAsiaTheme="minorHAnsi" w:hAnsiTheme="minorHAnsi" w:cstheme="minorBidi"/>
          <w:color w:val="1F497D" w:themeColor="text2"/>
          <w:spacing w:val="-4"/>
          <w:sz w:val="20"/>
          <w:lang w:eastAsia="en-US"/>
        </w:rPr>
        <w:t xml:space="preserve"> to </w:t>
      </w:r>
      <w:r w:rsidR="00096B79">
        <w:rPr>
          <w:rFonts w:asciiTheme="minorHAnsi" w:eastAsiaTheme="minorHAnsi" w:hAnsiTheme="minorHAnsi" w:cstheme="minorBidi"/>
          <w:color w:val="1F497D" w:themeColor="text2"/>
          <w:spacing w:val="-4"/>
          <w:sz w:val="20"/>
          <w:lang w:eastAsia="en-US"/>
        </w:rPr>
        <w:t xml:space="preserve">30 September </w:t>
      </w:r>
      <w:r w:rsidR="0046029E">
        <w:rPr>
          <w:rFonts w:asciiTheme="minorHAnsi" w:eastAsiaTheme="minorHAnsi" w:hAnsiTheme="minorHAnsi" w:cstheme="minorBidi"/>
          <w:color w:val="1F497D" w:themeColor="text2"/>
          <w:spacing w:val="-4"/>
          <w:sz w:val="20"/>
          <w:lang w:eastAsia="en-US"/>
        </w:rPr>
        <w:t>2017</w:t>
      </w:r>
    </w:p>
    <w:p w:rsidR="003553BD" w:rsidRDefault="00C750B9" w:rsidP="00E60E7C">
      <w:pPr>
        <w:pStyle w:val="PBOtext"/>
      </w:pPr>
      <w:r>
        <w:rPr>
          <w:noProof/>
        </w:rPr>
        <w:drawing>
          <wp:inline distT="0" distB="0" distL="0" distR="0" wp14:anchorId="346620A8" wp14:editId="4CFF8DFE">
            <wp:extent cx="5731510" cy="2832076"/>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832076"/>
                    </a:xfrm>
                    <a:prstGeom prst="rect">
                      <a:avLst/>
                    </a:prstGeom>
                  </pic:spPr>
                </pic:pic>
              </a:graphicData>
            </a:graphic>
          </wp:inline>
        </w:drawing>
      </w:r>
    </w:p>
    <w:p w:rsidR="003553BD" w:rsidRPr="003553BD" w:rsidRDefault="003553BD" w:rsidP="00E60E7C">
      <w:pPr>
        <w:pStyle w:val="PBOtext"/>
      </w:pPr>
      <w:r>
        <w:br w:type="page"/>
      </w:r>
    </w:p>
    <w:p w:rsidR="007432E3" w:rsidRDefault="007432E3" w:rsidP="00E60E7C">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Information requests to agencies</w:t>
      </w:r>
      <w:r w:rsidR="006F770F">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DE0325">
        <w:rPr>
          <w:rFonts w:asciiTheme="minorHAnsi" w:eastAsiaTheme="minorHAnsi" w:hAnsiTheme="minorHAnsi" w:cstheme="minorBidi"/>
          <w:color w:val="1F497D" w:themeColor="text2"/>
          <w:spacing w:val="-4"/>
          <w:sz w:val="20"/>
          <w:lang w:eastAsia="en-US"/>
        </w:rPr>
        <w:t>30 September</w:t>
      </w:r>
      <w:r w:rsidR="00DC430D">
        <w:rPr>
          <w:rFonts w:asciiTheme="minorHAnsi" w:eastAsiaTheme="minorHAnsi" w:hAnsiTheme="minorHAnsi" w:cstheme="minorBidi"/>
          <w:color w:val="1F497D" w:themeColor="text2"/>
          <w:spacing w:val="-4"/>
          <w:sz w:val="20"/>
          <w:lang w:eastAsia="en-US"/>
        </w:rPr>
        <w:t xml:space="preserve"> 2017</w:t>
      </w:r>
    </w:p>
    <w:tbl>
      <w:tblPr>
        <w:tblStyle w:val="TableGrid21"/>
        <w:tblW w:w="4869" w:type="pct"/>
        <w:tblLayout w:type="fixed"/>
        <w:tblLook w:val="04A0" w:firstRow="1" w:lastRow="0" w:firstColumn="1" w:lastColumn="0" w:noHBand="0" w:noVBand="1"/>
      </w:tblPr>
      <w:tblGrid>
        <w:gridCol w:w="3260"/>
        <w:gridCol w:w="1106"/>
        <w:gridCol w:w="1106"/>
        <w:gridCol w:w="1106"/>
        <w:gridCol w:w="1106"/>
        <w:gridCol w:w="1106"/>
      </w:tblGrid>
      <w:tr w:rsidR="00530EC5" w:rsidRPr="001244FE" w:rsidTr="005834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5" w:type="pct"/>
            <w:noWrap/>
            <w:hideMark/>
          </w:tcPr>
          <w:p w:rsidR="00583436" w:rsidRPr="001244FE" w:rsidRDefault="00583436" w:rsidP="00E60E7C">
            <w:pPr>
              <w:keepNext/>
              <w:keepLines/>
              <w:rPr>
                <w:rFonts w:asciiTheme="minorHAnsi" w:hAnsiTheme="minorHAnsi"/>
                <w:b/>
                <w:sz w:val="18"/>
                <w:szCs w:val="18"/>
              </w:rPr>
            </w:pPr>
          </w:p>
        </w:tc>
        <w:tc>
          <w:tcPr>
            <w:tcW w:w="629" w:type="pct"/>
            <w:noWrap/>
            <w:hideMark/>
          </w:tcPr>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2013–14</w:t>
            </w:r>
          </w:p>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629" w:type="pct"/>
          </w:tcPr>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2014–15</w:t>
            </w:r>
          </w:p>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629" w:type="pct"/>
          </w:tcPr>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2015–16</w:t>
            </w:r>
          </w:p>
          <w:p w:rsidR="00583436" w:rsidRPr="00A14D88"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629" w:type="pct"/>
          </w:tcPr>
          <w:p w:rsidR="00583436" w:rsidRPr="00A14D88" w:rsidRDefault="00583436" w:rsidP="005E7A3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2016–17</w:t>
            </w:r>
          </w:p>
          <w:p w:rsidR="00583436" w:rsidRPr="00A14D88" w:rsidDel="00660E2F"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629" w:type="pct"/>
          </w:tcPr>
          <w:p w:rsidR="00583436" w:rsidRPr="00A14D88" w:rsidRDefault="00583436"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583436" w:rsidRPr="003B1E80" w:rsidRDefault="00583436"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Q1</w:t>
            </w:r>
          </w:p>
        </w:tc>
      </w:tr>
      <w:tr w:rsidR="00530EC5" w:rsidRPr="00B6426B" w:rsidTr="000D5446">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855" w:type="pct"/>
            <w:shd w:val="clear" w:color="auto" w:fill="2B3B5F"/>
            <w:noWrap/>
          </w:tcPr>
          <w:p w:rsidR="00583436" w:rsidRPr="00D00268" w:rsidRDefault="00583436" w:rsidP="00D00268">
            <w:pPr>
              <w:spacing w:line="240" w:lineRule="auto"/>
              <w:ind w:left="0"/>
              <w:rPr>
                <w:rFonts w:eastAsia="Calibri"/>
                <w:sz w:val="4"/>
                <w:szCs w:val="4"/>
              </w:rPr>
            </w:pPr>
          </w:p>
        </w:tc>
        <w:tc>
          <w:tcPr>
            <w:tcW w:w="629" w:type="pct"/>
            <w:shd w:val="clear" w:color="auto" w:fill="2B3B5F"/>
            <w:noWrap/>
          </w:tcPr>
          <w:p w:rsidR="00583436" w:rsidRPr="00583436" w:rsidRDefault="00583436"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629" w:type="pct"/>
            <w:shd w:val="clear" w:color="auto" w:fill="2B3B5F"/>
          </w:tcPr>
          <w:p w:rsidR="00583436" w:rsidRPr="00583436" w:rsidRDefault="00583436" w:rsidP="00D002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4"/>
                <w:szCs w:val="4"/>
              </w:rPr>
            </w:pPr>
          </w:p>
        </w:tc>
        <w:tc>
          <w:tcPr>
            <w:tcW w:w="629" w:type="pct"/>
            <w:shd w:val="clear" w:color="auto" w:fill="2B3B5F"/>
          </w:tcPr>
          <w:p w:rsidR="00583436" w:rsidRPr="00583436" w:rsidRDefault="00583436"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629" w:type="pct"/>
            <w:shd w:val="clear" w:color="auto" w:fill="2B3B5F"/>
          </w:tcPr>
          <w:p w:rsidR="00583436" w:rsidRPr="00583436" w:rsidRDefault="00583436"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629" w:type="pct"/>
            <w:shd w:val="clear" w:color="auto" w:fill="2B3B5F"/>
          </w:tcPr>
          <w:p w:rsidR="00583436" w:rsidRPr="00D00268" w:rsidRDefault="00583436"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r>
      <w:tr w:rsidR="00530EC5" w:rsidRPr="00B6426B" w:rsidTr="00583436">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E60E7C">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629" w:type="pct"/>
            <w:noWrap/>
            <w:hideMark/>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28</w:t>
            </w:r>
          </w:p>
        </w:tc>
        <w:tc>
          <w:tcPr>
            <w:tcW w:w="629" w:type="pct"/>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16</w:t>
            </w:r>
          </w:p>
        </w:tc>
        <w:tc>
          <w:tcPr>
            <w:tcW w:w="629" w:type="pct"/>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3</w:t>
            </w:r>
          </w:p>
        </w:tc>
        <w:tc>
          <w:tcPr>
            <w:tcW w:w="629" w:type="pct"/>
          </w:tcPr>
          <w:p w:rsidR="00583436" w:rsidRPr="00583436" w:rsidDel="00660E2F" w:rsidRDefault="0058343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583436">
              <w:rPr>
                <w:bCs/>
                <w:color w:val="000000"/>
                <w:sz w:val="18"/>
                <w:szCs w:val="18"/>
              </w:rPr>
              <w:t>1</w:t>
            </w:r>
          </w:p>
        </w:tc>
        <w:tc>
          <w:tcPr>
            <w:tcW w:w="629" w:type="pct"/>
          </w:tcPr>
          <w:p w:rsidR="00583436" w:rsidRPr="007C1A69"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r>
      <w:tr w:rsidR="00530EC5" w:rsidRPr="00B6426B" w:rsidTr="0058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E60E7C">
            <w:pPr>
              <w:rPr>
                <w:rFonts w:asciiTheme="minorHAnsi" w:hAnsiTheme="minorHAnsi"/>
                <w:sz w:val="18"/>
                <w:szCs w:val="18"/>
              </w:rPr>
            </w:pPr>
            <w:r w:rsidRPr="001244FE">
              <w:rPr>
                <w:rFonts w:asciiTheme="minorHAnsi" w:hAnsiTheme="minorHAnsi"/>
                <w:sz w:val="18"/>
                <w:szCs w:val="18"/>
              </w:rPr>
              <w:t>Requests sent in period</w:t>
            </w:r>
          </w:p>
        </w:tc>
        <w:tc>
          <w:tcPr>
            <w:tcW w:w="629" w:type="pct"/>
            <w:noWrap/>
            <w:hideMark/>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388</w:t>
            </w:r>
          </w:p>
        </w:tc>
        <w:tc>
          <w:tcPr>
            <w:tcW w:w="629" w:type="pct"/>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203</w:t>
            </w:r>
          </w:p>
        </w:tc>
        <w:tc>
          <w:tcPr>
            <w:tcW w:w="629" w:type="pct"/>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743</w:t>
            </w:r>
          </w:p>
        </w:tc>
        <w:tc>
          <w:tcPr>
            <w:tcW w:w="629" w:type="pct"/>
          </w:tcPr>
          <w:p w:rsidR="00583436" w:rsidRPr="00583436" w:rsidDel="00660E2F"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523</w:t>
            </w:r>
          </w:p>
        </w:tc>
        <w:tc>
          <w:tcPr>
            <w:tcW w:w="629" w:type="pct"/>
          </w:tcPr>
          <w:p w:rsidR="00583436" w:rsidRPr="007C1A69"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57</w:t>
            </w:r>
          </w:p>
        </w:tc>
      </w:tr>
      <w:tr w:rsidR="00530EC5" w:rsidRPr="00B6426B" w:rsidTr="00583436">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E60E7C">
            <w:pPr>
              <w:rPr>
                <w:rFonts w:asciiTheme="minorHAnsi" w:hAnsiTheme="minorHAnsi"/>
                <w:sz w:val="18"/>
                <w:szCs w:val="18"/>
              </w:rPr>
            </w:pPr>
            <w:r w:rsidRPr="001244FE">
              <w:rPr>
                <w:rFonts w:asciiTheme="minorHAnsi" w:hAnsiTheme="minorHAnsi"/>
                <w:sz w:val="18"/>
                <w:szCs w:val="18"/>
              </w:rPr>
              <w:t>Requests received in period</w:t>
            </w:r>
          </w:p>
        </w:tc>
        <w:tc>
          <w:tcPr>
            <w:tcW w:w="629" w:type="pct"/>
            <w:noWrap/>
            <w:hideMark/>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400</w:t>
            </w:r>
          </w:p>
        </w:tc>
        <w:tc>
          <w:tcPr>
            <w:tcW w:w="629" w:type="pct"/>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216</w:t>
            </w:r>
          </w:p>
        </w:tc>
        <w:tc>
          <w:tcPr>
            <w:tcW w:w="629" w:type="pct"/>
          </w:tcPr>
          <w:p w:rsidR="00583436" w:rsidRPr="00583436"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745</w:t>
            </w:r>
          </w:p>
        </w:tc>
        <w:tc>
          <w:tcPr>
            <w:tcW w:w="629" w:type="pct"/>
          </w:tcPr>
          <w:p w:rsidR="00583436" w:rsidRPr="00583436" w:rsidDel="00660E2F"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508</w:t>
            </w:r>
          </w:p>
        </w:tc>
        <w:tc>
          <w:tcPr>
            <w:tcW w:w="629" w:type="pct"/>
          </w:tcPr>
          <w:p w:rsidR="00583436" w:rsidRPr="007C1A69"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60</w:t>
            </w:r>
          </w:p>
        </w:tc>
      </w:tr>
      <w:tr w:rsidR="00530EC5" w:rsidRPr="00B6426B" w:rsidTr="0058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A14D88" w:rsidRDefault="00583436" w:rsidP="00E60E7C">
            <w:pPr>
              <w:ind w:left="426"/>
              <w:rPr>
                <w:rFonts w:asciiTheme="minorHAnsi" w:hAnsiTheme="minorHAnsi"/>
                <w:sz w:val="18"/>
                <w:szCs w:val="18"/>
              </w:rPr>
            </w:pPr>
            <w:r w:rsidRPr="00A14D88">
              <w:rPr>
                <w:rFonts w:asciiTheme="minorHAnsi" w:hAnsiTheme="minorHAnsi"/>
                <w:sz w:val="18"/>
                <w:szCs w:val="18"/>
              </w:rPr>
              <w:t>Requests received by due date</w:t>
            </w:r>
          </w:p>
        </w:tc>
        <w:tc>
          <w:tcPr>
            <w:tcW w:w="629" w:type="pct"/>
            <w:noWrap/>
            <w:hideMark/>
          </w:tcPr>
          <w:p w:rsidR="00583436" w:rsidRPr="00A14D88"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bCs/>
                <w:iCs/>
                <w:color w:val="000000"/>
                <w:sz w:val="18"/>
                <w:szCs w:val="18"/>
              </w:rPr>
              <w:t>209</w:t>
            </w:r>
          </w:p>
        </w:tc>
        <w:tc>
          <w:tcPr>
            <w:tcW w:w="629" w:type="pct"/>
          </w:tcPr>
          <w:p w:rsidR="00583436" w:rsidRPr="00A14D88"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147</w:t>
            </w:r>
          </w:p>
        </w:tc>
        <w:tc>
          <w:tcPr>
            <w:tcW w:w="629" w:type="pct"/>
          </w:tcPr>
          <w:p w:rsidR="00583436" w:rsidRPr="00A14D88"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bCs/>
                <w:color w:val="000000"/>
                <w:sz w:val="18"/>
                <w:szCs w:val="18"/>
              </w:rPr>
              <w:t>695</w:t>
            </w:r>
          </w:p>
        </w:tc>
        <w:tc>
          <w:tcPr>
            <w:tcW w:w="629" w:type="pct"/>
          </w:tcPr>
          <w:p w:rsidR="00583436" w:rsidRPr="00A14D88" w:rsidDel="00660E2F"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499</w:t>
            </w:r>
          </w:p>
        </w:tc>
        <w:tc>
          <w:tcPr>
            <w:tcW w:w="629" w:type="pct"/>
          </w:tcPr>
          <w:p w:rsidR="00583436" w:rsidRPr="00A14D88"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57</w:t>
            </w:r>
          </w:p>
        </w:tc>
      </w:tr>
      <w:tr w:rsidR="00530EC5" w:rsidRPr="00B6426B" w:rsidTr="00583436">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A14D88" w:rsidRDefault="00583436" w:rsidP="00E60E7C">
            <w:pPr>
              <w:ind w:left="426"/>
              <w:rPr>
                <w:rFonts w:asciiTheme="minorHAnsi" w:hAnsiTheme="minorHAnsi"/>
                <w:sz w:val="18"/>
                <w:szCs w:val="18"/>
              </w:rPr>
            </w:pPr>
            <w:r w:rsidRPr="00A14D88">
              <w:rPr>
                <w:rFonts w:asciiTheme="minorHAnsi" w:hAnsiTheme="minorHAnsi"/>
                <w:sz w:val="18"/>
                <w:szCs w:val="18"/>
              </w:rPr>
              <w:t>Requests received after due date</w:t>
            </w:r>
          </w:p>
        </w:tc>
        <w:tc>
          <w:tcPr>
            <w:tcW w:w="629" w:type="pct"/>
            <w:noWrap/>
            <w:hideMark/>
          </w:tcPr>
          <w:p w:rsidR="00583436" w:rsidRPr="00A14D88"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A14D88">
              <w:rPr>
                <w:bCs/>
                <w:iCs/>
                <w:color w:val="000000"/>
                <w:sz w:val="18"/>
                <w:szCs w:val="18"/>
              </w:rPr>
              <w:t>191</w:t>
            </w:r>
          </w:p>
        </w:tc>
        <w:tc>
          <w:tcPr>
            <w:tcW w:w="629" w:type="pct"/>
          </w:tcPr>
          <w:p w:rsidR="00583436" w:rsidRPr="00A14D88" w:rsidRDefault="00583436"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69</w:t>
            </w:r>
          </w:p>
        </w:tc>
        <w:tc>
          <w:tcPr>
            <w:tcW w:w="629" w:type="pct"/>
          </w:tcPr>
          <w:p w:rsidR="00583436" w:rsidRPr="00A14D88" w:rsidRDefault="0058343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50</w:t>
            </w:r>
          </w:p>
        </w:tc>
        <w:tc>
          <w:tcPr>
            <w:tcW w:w="629" w:type="pct"/>
          </w:tcPr>
          <w:p w:rsidR="00583436" w:rsidRPr="00A14D88" w:rsidDel="00660E2F"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9</w:t>
            </w:r>
          </w:p>
        </w:tc>
        <w:tc>
          <w:tcPr>
            <w:tcW w:w="629" w:type="pct"/>
          </w:tcPr>
          <w:p w:rsidR="00583436" w:rsidRPr="00A14D88"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3</w:t>
            </w:r>
          </w:p>
        </w:tc>
      </w:tr>
      <w:tr w:rsidR="00530EC5" w:rsidRPr="00B6426B" w:rsidTr="0058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noWrap/>
          </w:tcPr>
          <w:p w:rsidR="00583436" w:rsidRPr="001244FE" w:rsidRDefault="00583436" w:rsidP="00E60E7C">
            <w:pPr>
              <w:ind w:left="142"/>
              <w:rPr>
                <w:rFonts w:asciiTheme="minorHAnsi" w:hAnsiTheme="minorHAnsi"/>
                <w:sz w:val="18"/>
                <w:szCs w:val="18"/>
              </w:rPr>
            </w:pPr>
            <w:r>
              <w:rPr>
                <w:rFonts w:asciiTheme="minorHAnsi" w:hAnsiTheme="minorHAnsi"/>
                <w:sz w:val="18"/>
                <w:szCs w:val="18"/>
              </w:rPr>
              <w:t>Percentage late</w:t>
            </w:r>
            <w:r w:rsidR="00557D8D">
              <w:rPr>
                <w:rFonts w:asciiTheme="minorHAnsi" w:hAnsiTheme="minorHAnsi"/>
                <w:sz w:val="18"/>
                <w:szCs w:val="18"/>
              </w:rPr>
              <w:t xml:space="preserve"> (%)</w:t>
            </w:r>
          </w:p>
        </w:tc>
        <w:tc>
          <w:tcPr>
            <w:tcW w:w="629" w:type="pct"/>
            <w:noWrap/>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48</w:t>
            </w:r>
          </w:p>
        </w:tc>
        <w:tc>
          <w:tcPr>
            <w:tcW w:w="629" w:type="pct"/>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32</w:t>
            </w:r>
          </w:p>
        </w:tc>
        <w:tc>
          <w:tcPr>
            <w:tcW w:w="629" w:type="pct"/>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w:t>
            </w:r>
          </w:p>
        </w:tc>
        <w:tc>
          <w:tcPr>
            <w:tcW w:w="629" w:type="pct"/>
          </w:tcPr>
          <w:p w:rsidR="00583436" w:rsidRPr="00583436" w:rsidDel="00660E2F"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629" w:type="pct"/>
          </w:tcPr>
          <w:p w:rsidR="00583436" w:rsidRPr="007C1A69"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w:t>
            </w:r>
          </w:p>
        </w:tc>
      </w:tr>
      <w:tr w:rsidR="00530EC5" w:rsidRPr="00B6426B" w:rsidTr="00583436">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583436">
            <w:pPr>
              <w:rPr>
                <w:rFonts w:asciiTheme="minorHAnsi" w:hAnsiTheme="minorHAnsi"/>
                <w:sz w:val="18"/>
                <w:szCs w:val="18"/>
              </w:rPr>
            </w:pPr>
            <w:r w:rsidRPr="001244FE">
              <w:rPr>
                <w:rFonts w:asciiTheme="minorHAnsi" w:hAnsiTheme="minorHAnsi"/>
                <w:sz w:val="18"/>
                <w:szCs w:val="18"/>
              </w:rPr>
              <w:t>Average time taken to respond</w:t>
            </w:r>
            <w:r>
              <w:rPr>
                <w:rFonts w:asciiTheme="minorHAnsi" w:hAnsiTheme="minorHAnsi"/>
                <w:sz w:val="18"/>
                <w:szCs w:val="18"/>
              </w:rPr>
              <w:br/>
            </w:r>
            <w:r w:rsidRPr="001244FE">
              <w:rPr>
                <w:rFonts w:asciiTheme="minorHAnsi" w:hAnsiTheme="minorHAnsi"/>
                <w:sz w:val="18"/>
                <w:szCs w:val="18"/>
              </w:rPr>
              <w:t>(business days)</w:t>
            </w:r>
          </w:p>
        </w:tc>
        <w:tc>
          <w:tcPr>
            <w:tcW w:w="629" w:type="pct"/>
            <w:noWrap/>
            <w:hideMark/>
          </w:tcPr>
          <w:p w:rsidR="00583436" w:rsidRPr="00583436" w:rsidRDefault="00C750B9"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bCs/>
                <w:color w:val="000000"/>
                <w:sz w:val="18"/>
                <w:szCs w:val="18"/>
              </w:rPr>
              <w:t>13</w:t>
            </w:r>
          </w:p>
        </w:tc>
        <w:tc>
          <w:tcPr>
            <w:tcW w:w="629" w:type="pct"/>
          </w:tcPr>
          <w:p w:rsidR="00583436" w:rsidRPr="00583436" w:rsidRDefault="00C750B9"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13</w:t>
            </w:r>
          </w:p>
        </w:tc>
        <w:tc>
          <w:tcPr>
            <w:tcW w:w="629" w:type="pct"/>
          </w:tcPr>
          <w:p w:rsidR="00583436" w:rsidRPr="00583436"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629" w:type="pct"/>
          </w:tcPr>
          <w:p w:rsidR="00583436" w:rsidRPr="00583436" w:rsidDel="00660E2F"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8</w:t>
            </w:r>
          </w:p>
        </w:tc>
        <w:tc>
          <w:tcPr>
            <w:tcW w:w="629" w:type="pct"/>
          </w:tcPr>
          <w:p w:rsidR="00583436" w:rsidRPr="007C1A69"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r>
      <w:tr w:rsidR="00530EC5" w:rsidRPr="00B6426B" w:rsidTr="0058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583436">
            <w:pPr>
              <w:rPr>
                <w:rFonts w:asciiTheme="minorHAnsi" w:hAnsiTheme="minorHAnsi"/>
                <w:sz w:val="18"/>
                <w:szCs w:val="18"/>
              </w:rPr>
            </w:pPr>
            <w:r w:rsidRPr="001244FE">
              <w:rPr>
                <w:rFonts w:asciiTheme="minorHAnsi" w:hAnsiTheme="minorHAnsi"/>
                <w:sz w:val="18"/>
                <w:szCs w:val="18"/>
              </w:rPr>
              <w:t>Average punctuality</w:t>
            </w:r>
            <w:r>
              <w:rPr>
                <w:rFonts w:asciiTheme="minorHAnsi" w:hAnsiTheme="minorHAnsi"/>
                <w:sz w:val="18"/>
                <w:szCs w:val="18"/>
              </w:rPr>
              <w:br/>
            </w:r>
            <w:r w:rsidRPr="001244FE">
              <w:rPr>
                <w:rFonts w:asciiTheme="minorHAnsi" w:hAnsiTheme="minorHAnsi"/>
                <w:sz w:val="18"/>
                <w:szCs w:val="18"/>
              </w:rPr>
              <w:t>(business days late)</w:t>
            </w:r>
          </w:p>
        </w:tc>
        <w:tc>
          <w:tcPr>
            <w:tcW w:w="629" w:type="pct"/>
            <w:noWrap/>
            <w:hideMark/>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bCs/>
                <w:color w:val="000000"/>
                <w:sz w:val="18"/>
                <w:szCs w:val="18"/>
              </w:rPr>
              <w:t>5</w:t>
            </w:r>
          </w:p>
        </w:tc>
        <w:tc>
          <w:tcPr>
            <w:tcW w:w="629" w:type="pct"/>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w:t>
            </w:r>
          </w:p>
        </w:tc>
        <w:tc>
          <w:tcPr>
            <w:tcW w:w="629" w:type="pct"/>
          </w:tcPr>
          <w:p w:rsidR="00583436" w:rsidRPr="00583436"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629" w:type="pct"/>
          </w:tcPr>
          <w:p w:rsidR="00583436" w:rsidRPr="00583436" w:rsidDel="00660E2F" w:rsidRDefault="00C750B9"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629" w:type="pct"/>
          </w:tcPr>
          <w:p w:rsidR="00583436" w:rsidRPr="007C1A69"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r>
      <w:tr w:rsidR="00530EC5" w:rsidRPr="00B6426B" w:rsidTr="00583436">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583436">
            <w:pPr>
              <w:rPr>
                <w:rFonts w:asciiTheme="minorHAnsi" w:hAnsiTheme="minorHAnsi"/>
                <w:sz w:val="18"/>
                <w:szCs w:val="18"/>
              </w:rPr>
            </w:pPr>
            <w:r w:rsidRPr="001244FE">
              <w:rPr>
                <w:rFonts w:asciiTheme="minorHAnsi" w:hAnsiTheme="minorHAnsi"/>
                <w:sz w:val="18"/>
                <w:szCs w:val="18"/>
              </w:rPr>
              <w:t>Average lateness of late requests</w:t>
            </w:r>
            <w:r>
              <w:rPr>
                <w:rFonts w:asciiTheme="minorHAnsi" w:hAnsiTheme="minorHAnsi"/>
                <w:sz w:val="18"/>
                <w:szCs w:val="18"/>
              </w:rPr>
              <w:br/>
            </w:r>
            <w:r w:rsidRPr="001244FE">
              <w:rPr>
                <w:rFonts w:asciiTheme="minorHAnsi" w:hAnsiTheme="minorHAnsi"/>
                <w:sz w:val="18"/>
                <w:szCs w:val="18"/>
              </w:rPr>
              <w:t>(business</w:t>
            </w:r>
            <w:r>
              <w:rPr>
                <w:rFonts w:asciiTheme="minorHAnsi" w:hAnsiTheme="minorHAnsi"/>
                <w:sz w:val="18"/>
                <w:szCs w:val="18"/>
              </w:rPr>
              <w:t> </w:t>
            </w:r>
            <w:r w:rsidRPr="001244FE">
              <w:rPr>
                <w:rFonts w:asciiTheme="minorHAnsi" w:hAnsiTheme="minorHAnsi"/>
                <w:sz w:val="18"/>
                <w:szCs w:val="18"/>
              </w:rPr>
              <w:t>days)</w:t>
            </w:r>
          </w:p>
        </w:tc>
        <w:tc>
          <w:tcPr>
            <w:tcW w:w="629" w:type="pct"/>
            <w:noWrap/>
            <w:hideMark/>
          </w:tcPr>
          <w:p w:rsidR="00583436" w:rsidRPr="00583436" w:rsidRDefault="00C750B9"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bCs/>
                <w:color w:val="000000"/>
                <w:sz w:val="18"/>
                <w:szCs w:val="18"/>
              </w:rPr>
              <w:t>12</w:t>
            </w:r>
          </w:p>
        </w:tc>
        <w:tc>
          <w:tcPr>
            <w:tcW w:w="629" w:type="pct"/>
          </w:tcPr>
          <w:p w:rsidR="00583436" w:rsidRPr="00583436" w:rsidRDefault="00583436"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11</w:t>
            </w:r>
          </w:p>
        </w:tc>
        <w:tc>
          <w:tcPr>
            <w:tcW w:w="629" w:type="pct"/>
          </w:tcPr>
          <w:p w:rsidR="00583436" w:rsidRPr="00583436"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629" w:type="pct"/>
          </w:tcPr>
          <w:p w:rsidR="00583436" w:rsidRPr="00583436" w:rsidDel="00660E2F" w:rsidRDefault="00C750B9" w:rsidP="00C750B9">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629" w:type="pct"/>
          </w:tcPr>
          <w:p w:rsidR="00583436" w:rsidRPr="007C1A69" w:rsidRDefault="00C750B9"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2</w:t>
            </w:r>
          </w:p>
        </w:tc>
      </w:tr>
      <w:tr w:rsidR="00530EC5" w:rsidRPr="00B6426B" w:rsidTr="00583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pct"/>
            <w:noWrap/>
            <w:hideMark/>
          </w:tcPr>
          <w:p w:rsidR="00583436" w:rsidRPr="001244FE" w:rsidRDefault="00583436" w:rsidP="00E60E7C">
            <w:pPr>
              <w:rPr>
                <w:rFonts w:asciiTheme="minorHAnsi" w:hAnsiTheme="minorHAnsi"/>
                <w:sz w:val="18"/>
                <w:szCs w:val="18"/>
              </w:rPr>
            </w:pPr>
            <w:r w:rsidRPr="001244FE">
              <w:rPr>
                <w:rFonts w:asciiTheme="minorHAnsi" w:hAnsiTheme="minorHAnsi"/>
                <w:sz w:val="18"/>
                <w:szCs w:val="18"/>
              </w:rPr>
              <w:t>Requests outstanding at end of period</w:t>
            </w:r>
          </w:p>
        </w:tc>
        <w:tc>
          <w:tcPr>
            <w:tcW w:w="629" w:type="pct"/>
            <w:noWrap/>
            <w:hideMark/>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16</w:t>
            </w:r>
          </w:p>
        </w:tc>
        <w:tc>
          <w:tcPr>
            <w:tcW w:w="629" w:type="pct"/>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3</w:t>
            </w:r>
          </w:p>
        </w:tc>
        <w:tc>
          <w:tcPr>
            <w:tcW w:w="629" w:type="pct"/>
          </w:tcPr>
          <w:p w:rsidR="00583436" w:rsidRPr="00583436" w:rsidRDefault="0058343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p>
        </w:tc>
        <w:tc>
          <w:tcPr>
            <w:tcW w:w="629" w:type="pct"/>
          </w:tcPr>
          <w:p w:rsidR="00583436" w:rsidRPr="00583436" w:rsidDel="00660E2F" w:rsidRDefault="00583436"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r w:rsidR="00C750B9">
              <w:rPr>
                <w:bCs/>
                <w:color w:val="000000"/>
                <w:sz w:val="18"/>
                <w:szCs w:val="18"/>
              </w:rPr>
              <w:t>6</w:t>
            </w:r>
          </w:p>
        </w:tc>
        <w:tc>
          <w:tcPr>
            <w:tcW w:w="629" w:type="pct"/>
          </w:tcPr>
          <w:p w:rsidR="00583436" w:rsidRPr="007C1A69" w:rsidRDefault="00C750B9"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w:t>
            </w:r>
          </w:p>
        </w:tc>
      </w:tr>
    </w:tbl>
    <w:p w:rsidR="007432E3" w:rsidRPr="00543268" w:rsidRDefault="007432E3" w:rsidP="00E60E7C">
      <w:pPr>
        <w:pStyle w:val="PBOtext"/>
        <w:spacing w:before="340"/>
      </w:pPr>
      <w:r>
        <w:t>As at</w:t>
      </w:r>
      <w:r w:rsidR="00BB03B4">
        <w:t xml:space="preserve"> </w:t>
      </w:r>
      <w:r w:rsidR="00096B79">
        <w:t>3</w:t>
      </w:r>
      <w:r w:rsidR="00DE0325">
        <w:t>0</w:t>
      </w:r>
      <w:r w:rsidR="00DC430D">
        <w:t xml:space="preserve"> </w:t>
      </w:r>
      <w:r w:rsidR="00DE0325">
        <w:t xml:space="preserve">September </w:t>
      </w:r>
      <w:r w:rsidR="00DC430D">
        <w:t>2017</w:t>
      </w:r>
      <w:r w:rsidRPr="00A87BFA">
        <w:t xml:space="preserve">, </w:t>
      </w:r>
      <w:r w:rsidRPr="00C5760A">
        <w:t>no</w:t>
      </w:r>
      <w:r>
        <w:t xml:space="preserve"> requests were overdue.</w:t>
      </w:r>
    </w:p>
    <w:p w:rsidR="007432E3" w:rsidRDefault="007432E3" w:rsidP="00E60E7C">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Pr>
          <w:rFonts w:asciiTheme="minorHAnsi" w:eastAsiaTheme="minorHAnsi" w:hAnsiTheme="minorHAnsi" w:cstheme="minorBidi"/>
          <w:color w:val="1F497D" w:themeColor="text2"/>
          <w:spacing w:val="-4"/>
          <w:sz w:val="20"/>
          <w:lang w:eastAsia="en-US"/>
        </w:rPr>
        <w:t>Agencies’</w:t>
      </w:r>
      <w:r w:rsidRPr="005D002A">
        <w:rPr>
          <w:rFonts w:asciiTheme="minorHAnsi" w:eastAsiaTheme="minorHAnsi" w:hAnsiTheme="minorHAnsi" w:cstheme="minorBidi"/>
          <w:color w:val="1F497D" w:themeColor="text2"/>
          <w:spacing w:val="-4"/>
          <w:sz w:val="20"/>
          <w:lang w:eastAsia="en-US"/>
        </w:rPr>
        <w:t xml:space="preserve"> response time</w:t>
      </w:r>
      <w:r>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for completed information requests</w:t>
      </w:r>
      <w:r>
        <w:rPr>
          <w:rFonts w:asciiTheme="minorHAnsi" w:eastAsiaTheme="minorHAnsi" w:hAnsiTheme="minorHAnsi" w:cstheme="minorBidi"/>
          <w:color w:val="1F497D" w:themeColor="text2"/>
          <w:spacing w:val="-4"/>
          <w:sz w:val="20"/>
          <w:lang w:eastAsia="en-US"/>
        </w:rPr>
        <w:t xml:space="preserve"> in </w:t>
      </w:r>
      <w:r w:rsidR="005B0A14">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Pr>
          <w:rFonts w:asciiTheme="minorHAnsi" w:eastAsiaTheme="minorHAnsi" w:hAnsiTheme="minorHAnsi" w:cstheme="minorBidi"/>
          <w:color w:val="1F497D" w:themeColor="text2"/>
          <w:spacing w:val="-4"/>
          <w:sz w:val="20"/>
          <w:lang w:eastAsia="en-US"/>
        </w:rPr>
        <w:t>–</w:t>
      </w:r>
      <w:r w:rsidR="005B0A14">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5B0A14">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096B79">
        <w:rPr>
          <w:rFonts w:asciiTheme="minorHAnsi" w:eastAsiaTheme="minorHAnsi" w:hAnsiTheme="minorHAnsi" w:cstheme="minorBidi"/>
          <w:color w:val="1F497D" w:themeColor="text2"/>
          <w:spacing w:val="-4"/>
          <w:sz w:val="20"/>
          <w:lang w:eastAsia="en-US"/>
        </w:rPr>
        <w:t xml:space="preserve">30 September </w:t>
      </w:r>
      <w:r w:rsidR="00DC430D">
        <w:rPr>
          <w:rFonts w:asciiTheme="minorHAnsi" w:eastAsiaTheme="minorHAnsi" w:hAnsiTheme="minorHAnsi" w:cstheme="minorBidi"/>
          <w:color w:val="1F497D" w:themeColor="text2"/>
          <w:spacing w:val="-4"/>
          <w:sz w:val="20"/>
          <w:lang w:eastAsia="en-US"/>
        </w:rPr>
        <w:t>2017</w:t>
      </w:r>
    </w:p>
    <w:p w:rsidR="00A523DC" w:rsidRPr="00A523DC" w:rsidRDefault="00B4619B" w:rsidP="00E60E7C">
      <w:r>
        <w:rPr>
          <w:noProof/>
          <w:lang w:eastAsia="en-AU"/>
        </w:rPr>
        <w:drawing>
          <wp:inline distT="0" distB="0" distL="0" distR="0" wp14:anchorId="02F735A0" wp14:editId="60D0E143">
            <wp:extent cx="5731510" cy="242854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28544"/>
                    </a:xfrm>
                    <a:prstGeom prst="rect">
                      <a:avLst/>
                    </a:prstGeom>
                  </pic:spPr>
                </pic:pic>
              </a:graphicData>
            </a:graphic>
          </wp:inline>
        </w:drawing>
      </w:r>
    </w:p>
    <w:p w:rsidR="00A523DC"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mation requests in 201</w:t>
      </w:r>
      <w:r w:rsidR="00DE0325">
        <w:rPr>
          <w:rFonts w:asciiTheme="minorHAnsi" w:eastAsiaTheme="minorHAnsi" w:hAnsiTheme="minorHAnsi" w:cstheme="minorBidi"/>
          <w:color w:val="1F497D" w:themeColor="text2"/>
          <w:spacing w:val="-4"/>
          <w:sz w:val="20"/>
          <w:lang w:val="en-US" w:eastAsia="en-US"/>
        </w:rPr>
        <w:t>7</w:t>
      </w:r>
      <w:r>
        <w:rPr>
          <w:rFonts w:asciiTheme="minorHAnsi" w:eastAsiaTheme="minorHAnsi" w:hAnsiTheme="minorHAnsi" w:cstheme="minorBidi"/>
          <w:color w:val="1F497D" w:themeColor="text2"/>
          <w:spacing w:val="-4"/>
          <w:sz w:val="20"/>
          <w:lang w:val="en-US" w:eastAsia="en-US"/>
        </w:rPr>
        <w:t>–1</w:t>
      </w:r>
      <w:r w:rsidR="00DE0325">
        <w:rPr>
          <w:rFonts w:asciiTheme="minorHAnsi" w:eastAsiaTheme="minorHAnsi" w:hAnsiTheme="minorHAnsi" w:cstheme="minorBidi"/>
          <w:color w:val="1F497D" w:themeColor="text2"/>
          <w:spacing w:val="-4"/>
          <w:sz w:val="20"/>
          <w:lang w:val="en-US" w:eastAsia="en-US"/>
        </w:rPr>
        <w:t>8</w:t>
      </w:r>
      <w:r>
        <w:rPr>
          <w:rFonts w:asciiTheme="minorHAnsi" w:eastAsiaTheme="minorHAnsi" w:hAnsiTheme="minorHAnsi" w:cstheme="minorBidi"/>
          <w:color w:val="1F497D" w:themeColor="text2"/>
          <w:spacing w:val="-4"/>
          <w:sz w:val="20"/>
          <w:lang w:val="en-US" w:eastAsia="en-US"/>
        </w:rPr>
        <w:t xml:space="preserve"> to </w:t>
      </w:r>
      <w:r w:rsidR="00096B79">
        <w:rPr>
          <w:rFonts w:asciiTheme="minorHAnsi" w:eastAsiaTheme="minorHAnsi" w:hAnsiTheme="minorHAnsi" w:cstheme="minorBidi"/>
          <w:color w:val="1F497D" w:themeColor="text2"/>
          <w:spacing w:val="-4"/>
          <w:sz w:val="20"/>
          <w:lang w:eastAsia="en-US"/>
        </w:rPr>
        <w:t>3</w:t>
      </w:r>
      <w:r w:rsidR="00DE0325">
        <w:rPr>
          <w:rFonts w:asciiTheme="minorHAnsi" w:eastAsiaTheme="minorHAnsi" w:hAnsiTheme="minorHAnsi" w:cstheme="minorBidi"/>
          <w:color w:val="1F497D" w:themeColor="text2"/>
          <w:spacing w:val="-4"/>
          <w:sz w:val="20"/>
          <w:lang w:eastAsia="en-US"/>
        </w:rPr>
        <w:t>0 September</w:t>
      </w:r>
      <w:r w:rsidR="00DC430D">
        <w:rPr>
          <w:rFonts w:asciiTheme="minorHAnsi" w:eastAsiaTheme="minorHAnsi" w:hAnsiTheme="minorHAnsi" w:cstheme="minorBidi"/>
          <w:color w:val="1F497D" w:themeColor="text2"/>
          <w:spacing w:val="-4"/>
          <w:sz w:val="20"/>
          <w:lang w:eastAsia="en-US"/>
        </w:rPr>
        <w:t xml:space="preserve"> 2017</w:t>
      </w:r>
    </w:p>
    <w:p w:rsidR="007432E3" w:rsidRPr="0046029E" w:rsidRDefault="00D66679" w:rsidP="00623619">
      <w:pPr>
        <w:pStyle w:val="PBOtext"/>
        <w:rPr>
          <w:sz w:val="18"/>
          <w:szCs w:val="18"/>
        </w:rPr>
      </w:pPr>
      <w:r>
        <w:rPr>
          <w:noProof/>
        </w:rPr>
        <w:drawing>
          <wp:inline distT="0" distB="0" distL="0" distR="0" wp14:anchorId="485EB2A4" wp14:editId="73F80C40">
            <wp:extent cx="5731510" cy="2584691"/>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84691"/>
                    </a:xfrm>
                    <a:prstGeom prst="rect">
                      <a:avLst/>
                    </a:prstGeom>
                  </pic:spPr>
                </pic:pic>
              </a:graphicData>
            </a:graphic>
          </wp:inline>
        </w:drawing>
      </w:r>
      <w:r w:rsidR="0046029E">
        <w:rPr>
          <w:sz w:val="18"/>
          <w:szCs w:val="18"/>
        </w:rPr>
        <w:t xml:space="preserve">Note:  </w:t>
      </w:r>
      <w:r w:rsidR="007432E3" w:rsidRPr="0046029E">
        <w:rPr>
          <w:sz w:val="18"/>
          <w:szCs w:val="18"/>
        </w:rPr>
        <w:t>‘On time’ responses include responses provided before the due date.</w:t>
      </w:r>
    </w:p>
    <w:p w:rsidR="007432E3" w:rsidRPr="00AD58FE" w:rsidRDefault="007432E3" w:rsidP="00E60E7C">
      <w:pPr>
        <w:pStyle w:val="PBOtext"/>
        <w:spacing w:before="340"/>
      </w:pPr>
    </w:p>
    <w:p w:rsidR="007432E3" w:rsidRPr="00AD58FE" w:rsidRDefault="007432E3" w:rsidP="00E60E7C">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7432E3" w:rsidRDefault="007432E3" w:rsidP="00E60E7C">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 xml:space="preserve">by agencies 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Pr>
          <w:rFonts w:asciiTheme="minorHAnsi" w:eastAsiaTheme="minorHAnsi" w:hAnsiTheme="minorHAnsi" w:cstheme="minorBidi"/>
          <w:color w:val="1F497D" w:themeColor="text2"/>
          <w:spacing w:val="-4"/>
          <w:sz w:val="20"/>
          <w:lang w:eastAsia="en-US"/>
        </w:rPr>
        <w:t>–</w:t>
      </w:r>
      <w:r w:rsidR="00357D9F">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357D9F" w:rsidRPr="00B95846">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sidR="00096B79">
        <w:rPr>
          <w:rFonts w:asciiTheme="minorHAnsi" w:eastAsiaTheme="minorHAnsi" w:hAnsiTheme="minorHAnsi" w:cstheme="minorBidi"/>
          <w:color w:val="1F497D" w:themeColor="text2"/>
          <w:spacing w:val="-4"/>
          <w:sz w:val="20"/>
          <w:lang w:eastAsia="en-US"/>
        </w:rPr>
        <w:t xml:space="preserve">30 September </w:t>
      </w:r>
      <w:r w:rsidR="00DC430D">
        <w:rPr>
          <w:rFonts w:asciiTheme="minorHAnsi" w:eastAsiaTheme="minorHAnsi" w:hAnsiTheme="minorHAnsi" w:cstheme="minorBidi"/>
          <w:color w:val="1F497D" w:themeColor="text2"/>
          <w:spacing w:val="-4"/>
          <w:sz w:val="20"/>
          <w:lang w:eastAsia="en-US"/>
        </w:rPr>
        <w:t>2017</w:t>
      </w:r>
    </w:p>
    <w:p w:rsidR="00A14D88" w:rsidRDefault="00D653B6" w:rsidP="00E60E7C">
      <w:r>
        <w:rPr>
          <w:noProof/>
          <w:lang w:eastAsia="en-AU"/>
        </w:rPr>
        <w:drawing>
          <wp:inline distT="0" distB="0" distL="0" distR="0" wp14:anchorId="0DFAE8D1" wp14:editId="6DC24D40">
            <wp:extent cx="8768083" cy="413205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768083" cy="4132053"/>
                    </a:xfrm>
                    <a:prstGeom prst="rect">
                      <a:avLst/>
                    </a:prstGeom>
                  </pic:spPr>
                </pic:pic>
              </a:graphicData>
            </a:graphic>
          </wp:inline>
        </w:drawing>
      </w:r>
    </w:p>
    <w:p w:rsidR="00557D8D" w:rsidRPr="0046029E" w:rsidRDefault="00557D8D" w:rsidP="00557D8D">
      <w:pPr>
        <w:pStyle w:val="PBOtext"/>
        <w:rPr>
          <w:sz w:val="18"/>
          <w:szCs w:val="18"/>
        </w:rPr>
      </w:pPr>
      <w:proofErr w:type="gramStart"/>
      <w:r w:rsidRPr="00557D8D">
        <w:rPr>
          <w:sz w:val="18"/>
          <w:szCs w:val="18"/>
          <w:vertAlign w:val="superscript"/>
        </w:rPr>
        <w:t>1</w:t>
      </w:r>
      <w:r>
        <w:rPr>
          <w:sz w:val="18"/>
          <w:szCs w:val="18"/>
        </w:rPr>
        <w:t xml:space="preserve">  </w:t>
      </w:r>
      <w:r w:rsidR="00D075A1" w:rsidRPr="00D075A1">
        <w:rPr>
          <w:sz w:val="18"/>
          <w:szCs w:val="18"/>
        </w:rPr>
        <w:t>The</w:t>
      </w:r>
      <w:proofErr w:type="gramEnd"/>
      <w:r w:rsidR="00D075A1" w:rsidRPr="00D075A1">
        <w:rPr>
          <w:sz w:val="18"/>
          <w:szCs w:val="18"/>
        </w:rPr>
        <w:t xml:space="preserve"> average timeframes for responses from these agencies are affected by the provision of updates to complex models to incorporate measures from the most recent economic and fiscal update. The provision of these updates has been agreed in standing information request arrangements and do not relate to specific requests from parliamentarians</w:t>
      </w:r>
      <w:r w:rsidR="00D075A1">
        <w:rPr>
          <w:sz w:val="18"/>
          <w:szCs w:val="18"/>
        </w:rPr>
        <w:t>.</w:t>
      </w:r>
    </w:p>
    <w:p w:rsidR="00A14D88" w:rsidRDefault="00A14D88" w:rsidP="00A14D88">
      <w:pPr>
        <w:pStyle w:val="Subtitle"/>
      </w:pPr>
      <w:r>
        <w:br w:type="page"/>
      </w:r>
    </w:p>
    <w:p w:rsidR="00A14D88" w:rsidRDefault="00A14D88" w:rsidP="00A14D88">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4</w:t>
      </w:r>
      <w:r w:rsidRPr="005D002A">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P</w:t>
      </w:r>
      <w:r w:rsidR="00FA1577">
        <w:rPr>
          <w:rFonts w:asciiTheme="minorHAnsi" w:eastAsiaTheme="minorHAnsi" w:hAnsiTheme="minorHAnsi" w:cstheme="minorBidi"/>
          <w:color w:val="1F497D" w:themeColor="text2"/>
          <w:spacing w:val="-4"/>
          <w:sz w:val="20"/>
          <w:lang w:eastAsia="en-US"/>
        </w:rPr>
        <w:t xml:space="preserve">olicy announcements with reference to PBO costings </w:t>
      </w:r>
      <w:r>
        <w:rPr>
          <w:rFonts w:asciiTheme="minorHAnsi" w:eastAsiaTheme="minorHAnsi" w:hAnsiTheme="minorHAnsi" w:cstheme="minorBidi"/>
          <w:color w:val="1F497D" w:themeColor="text2"/>
          <w:spacing w:val="-4"/>
          <w:sz w:val="20"/>
          <w:lang w:eastAsia="en-US"/>
        </w:rPr>
        <w:t xml:space="preserve">in 2017–18:  1 July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Pr>
          <w:rFonts w:asciiTheme="minorHAnsi" w:eastAsiaTheme="minorHAnsi" w:hAnsiTheme="minorHAnsi" w:cstheme="minorBidi"/>
          <w:color w:val="1F497D" w:themeColor="text2"/>
          <w:spacing w:val="-4"/>
          <w:sz w:val="20"/>
          <w:lang w:eastAsia="en-US"/>
        </w:rPr>
        <w:t>30 September 2017</w:t>
      </w:r>
    </w:p>
    <w:tbl>
      <w:tblPr>
        <w:tblStyle w:val="TableGrid3"/>
        <w:tblW w:w="14040" w:type="dxa"/>
        <w:tblLayout w:type="fixed"/>
        <w:tblLook w:val="04A0" w:firstRow="1" w:lastRow="0" w:firstColumn="1" w:lastColumn="0" w:noHBand="0" w:noVBand="1"/>
      </w:tblPr>
      <w:tblGrid>
        <w:gridCol w:w="3119"/>
        <w:gridCol w:w="2126"/>
        <w:gridCol w:w="2552"/>
        <w:gridCol w:w="1417"/>
        <w:gridCol w:w="992"/>
        <w:gridCol w:w="3834"/>
      </w:tblGrid>
      <w:tr w:rsidR="00762006" w:rsidRPr="00762006" w:rsidTr="000D5446">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3119" w:type="dxa"/>
            <w:hideMark/>
          </w:tcPr>
          <w:p w:rsidR="00762006" w:rsidRPr="00762006" w:rsidRDefault="00762006" w:rsidP="000D5446">
            <w:pPr>
              <w:spacing w:before="60" w:after="60"/>
              <w:rPr>
                <w:rFonts w:cs="Calibri"/>
                <w:b/>
                <w:bCs/>
                <w:sz w:val="18"/>
                <w:szCs w:val="18"/>
              </w:rPr>
            </w:pPr>
            <w:r w:rsidRPr="00762006">
              <w:rPr>
                <w:rFonts w:cs="Calibri"/>
                <w:b/>
                <w:bCs/>
                <w:sz w:val="18"/>
                <w:szCs w:val="18"/>
              </w:rPr>
              <w:t>Des</w:t>
            </w:r>
            <w:r>
              <w:rPr>
                <w:rFonts w:cs="Calibri"/>
                <w:b/>
                <w:bCs/>
                <w:sz w:val="18"/>
                <w:szCs w:val="18"/>
              </w:rPr>
              <w:t>cription of policy announcement</w:t>
            </w:r>
          </w:p>
        </w:tc>
        <w:tc>
          <w:tcPr>
            <w:tcW w:w="2126"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 xml:space="preserve">Party or Parliamentarian </w:t>
            </w:r>
            <w:r>
              <w:rPr>
                <w:rFonts w:cs="Calibri"/>
                <w:b/>
                <w:bCs/>
                <w:sz w:val="18"/>
                <w:szCs w:val="18"/>
              </w:rPr>
              <w:t>a</w:t>
            </w:r>
            <w:r w:rsidRPr="00762006">
              <w:rPr>
                <w:rFonts w:cs="Calibri"/>
                <w:b/>
                <w:bCs/>
                <w:sz w:val="18"/>
                <w:szCs w:val="18"/>
              </w:rPr>
              <w:t>nnouncing policy</w:t>
            </w:r>
          </w:p>
        </w:tc>
        <w:tc>
          <w:tcPr>
            <w:tcW w:w="255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Method of Announcement</w:t>
            </w:r>
          </w:p>
        </w:tc>
        <w:tc>
          <w:tcPr>
            <w:tcW w:w="1417"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announcement</w:t>
            </w:r>
          </w:p>
        </w:tc>
        <w:tc>
          <w:tcPr>
            <w:tcW w:w="99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Pr>
                <w:rFonts w:cs="Calibri"/>
                <w:b/>
                <w:bCs/>
                <w:sz w:val="18"/>
                <w:szCs w:val="18"/>
              </w:rPr>
              <w:t>C</w:t>
            </w:r>
            <w:r w:rsidRPr="00762006">
              <w:rPr>
                <w:rFonts w:cs="Calibri"/>
                <w:b/>
                <w:bCs/>
                <w:sz w:val="18"/>
                <w:szCs w:val="18"/>
              </w:rPr>
              <w:t>osting minute released</w:t>
            </w:r>
            <w:r>
              <w:rPr>
                <w:rFonts w:cs="Calibri"/>
                <w:b/>
                <w:bCs/>
                <w:sz w:val="18"/>
                <w:szCs w:val="18"/>
              </w:rPr>
              <w:t>?</w:t>
            </w:r>
          </w:p>
        </w:tc>
        <w:tc>
          <w:tcPr>
            <w:tcW w:w="3834"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release of costing minute</w:t>
            </w:r>
          </w:p>
        </w:tc>
      </w:tr>
      <w:tr w:rsidR="00762006" w:rsidRPr="00762006" w:rsidTr="000D54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Alternative ways for funding the NDIS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2/07/2017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0D5446">
        <w:trPr>
          <w:trHeight w:val="1218"/>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Helping State and Territory Governments replace Stamp Duty with Land Tax</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r w:rsidRPr="00762006">
              <w:rPr>
                <w:rFonts w:cs="Calibri"/>
                <w:color w:val="000000"/>
                <w:sz w:val="18"/>
                <w:szCs w:val="18"/>
              </w:rPr>
              <w:br/>
              <w:t>Costing minute released on Sydney Morning Herald hosted site at:  http://www.smh.com.au/cqstatic/gv3wim/AustralianGreensPolicyCostingStampDuty.pdf</w:t>
            </w:r>
          </w:p>
        </w:tc>
      </w:tr>
      <w:tr w:rsidR="00762006" w:rsidRPr="00762006" w:rsidTr="000D544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Housing for young people: Freeing up investment properties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29/07/2017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0D5446">
        <w:trPr>
          <w:trHeight w:val="72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Introduce a standard minimum 30 per cent tax rate for discretionary trust distributions to mature beneficiaries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release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30/07/2</w:t>
            </w:r>
            <w:r>
              <w:rPr>
                <w:rFonts w:cs="Calibri"/>
                <w:color w:val="000000"/>
                <w:sz w:val="18"/>
                <w:szCs w:val="18"/>
              </w:rPr>
              <w:t>0</w:t>
            </w:r>
            <w:r w:rsidRPr="00762006">
              <w:rPr>
                <w:rFonts w:cs="Calibri"/>
                <w:color w:val="000000"/>
                <w:sz w:val="18"/>
                <w:szCs w:val="18"/>
              </w:rPr>
              <w:t>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0D5446">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GST-Free Electricity</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Senator David Leyonhjelm</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Introduction of </w:t>
            </w:r>
            <w:r>
              <w:rPr>
                <w:rFonts w:cs="Calibri"/>
                <w:color w:val="000000"/>
                <w:sz w:val="18"/>
                <w:szCs w:val="18"/>
              </w:rPr>
              <w:t>B</w:t>
            </w:r>
            <w:r w:rsidRPr="00762006">
              <w:rPr>
                <w:rFonts w:cs="Calibri"/>
                <w:color w:val="000000"/>
                <w:sz w:val="18"/>
                <w:szCs w:val="18"/>
              </w:rPr>
              <w:t xml:space="preserve">ill into </w:t>
            </w:r>
            <w:r>
              <w:rPr>
                <w:rFonts w:cs="Calibri"/>
                <w:color w:val="000000"/>
                <w:sz w:val="18"/>
                <w:szCs w:val="18"/>
              </w:rPr>
              <w:t>P</w:t>
            </w:r>
            <w:r w:rsidRPr="00762006">
              <w:rPr>
                <w:rFonts w:cs="Calibri"/>
                <w:color w:val="000000"/>
                <w:sz w:val="18"/>
                <w:szCs w:val="18"/>
              </w:rPr>
              <w:t>arliament</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5/09/2017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05/09/2017</w:t>
            </w:r>
            <w:r w:rsidRPr="00762006">
              <w:rPr>
                <w:rFonts w:cs="Calibri"/>
                <w:color w:val="000000"/>
                <w:sz w:val="18"/>
                <w:szCs w:val="18"/>
              </w:rPr>
              <w:br/>
              <w:t xml:space="preserve">Costing included in explanatory memorandum to </w:t>
            </w:r>
            <w:r w:rsidR="00FA1577">
              <w:rPr>
                <w:rFonts w:cs="Calibri"/>
                <w:color w:val="000000"/>
                <w:sz w:val="18"/>
                <w:szCs w:val="18"/>
              </w:rPr>
              <w:t>B</w:t>
            </w:r>
            <w:r w:rsidRPr="00762006">
              <w:rPr>
                <w:rFonts w:cs="Calibri"/>
                <w:color w:val="000000"/>
                <w:sz w:val="18"/>
                <w:szCs w:val="18"/>
              </w:rPr>
              <w:t>ill and posted on PBO website.</w:t>
            </w:r>
          </w:p>
        </w:tc>
      </w:tr>
      <w:tr w:rsidR="00762006" w:rsidRPr="00762006" w:rsidTr="000D5446">
        <w:trPr>
          <w:trHeight w:val="12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Higher threshold for Regional Student HELP repayments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Ms Cathy McGowan AO MP</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Moving amendment to </w:t>
            </w:r>
            <w:r w:rsidRPr="00762006">
              <w:rPr>
                <w:rFonts w:cs="Calibri"/>
                <w:iCs/>
                <w:color w:val="000000"/>
                <w:sz w:val="18"/>
                <w:szCs w:val="18"/>
              </w:rPr>
              <w:t>Higher Education Support Legislation</w:t>
            </w:r>
            <w:r w:rsidR="00FA1577" w:rsidRPr="00FA1577">
              <w:rPr>
                <w:rFonts w:cs="Calibri"/>
                <w:iCs/>
                <w:color w:val="000000"/>
                <w:sz w:val="18"/>
                <w:szCs w:val="18"/>
              </w:rPr>
              <w:t xml:space="preserve"> </w:t>
            </w:r>
            <w:r w:rsidRPr="00762006">
              <w:rPr>
                <w:rFonts w:cs="Calibri"/>
                <w:iCs/>
                <w:color w:val="000000"/>
                <w:sz w:val="18"/>
                <w:szCs w:val="18"/>
              </w:rPr>
              <w:t>Amendment (A</w:t>
            </w:r>
            <w:r w:rsidR="00FA1577" w:rsidRPr="00FA1577">
              <w:rPr>
                <w:rFonts w:cs="Calibri"/>
                <w:iCs/>
                <w:color w:val="000000"/>
                <w:sz w:val="18"/>
                <w:szCs w:val="18"/>
              </w:rPr>
              <w:t> </w:t>
            </w:r>
            <w:r w:rsidRPr="00762006">
              <w:rPr>
                <w:rFonts w:cs="Calibri"/>
                <w:iCs/>
                <w:color w:val="000000"/>
                <w:sz w:val="18"/>
                <w:szCs w:val="18"/>
              </w:rPr>
              <w:t>More Sustainable,</w:t>
            </w:r>
            <w:r w:rsidR="00FA1577" w:rsidRPr="00FA1577">
              <w:rPr>
                <w:rFonts w:cs="Calibri"/>
                <w:iCs/>
                <w:color w:val="000000"/>
                <w:sz w:val="18"/>
                <w:szCs w:val="18"/>
              </w:rPr>
              <w:t xml:space="preserve"> </w:t>
            </w:r>
            <w:r w:rsidRPr="00762006">
              <w:rPr>
                <w:rFonts w:cs="Calibri"/>
                <w:iCs/>
                <w:color w:val="000000"/>
                <w:sz w:val="18"/>
                <w:szCs w:val="18"/>
              </w:rPr>
              <w:t>Responsive and Transparent</w:t>
            </w:r>
            <w:r w:rsidR="00FA1577" w:rsidRPr="00FA1577">
              <w:rPr>
                <w:rFonts w:cs="Calibri"/>
                <w:iCs/>
                <w:color w:val="000000"/>
                <w:sz w:val="18"/>
                <w:szCs w:val="18"/>
              </w:rPr>
              <w:t xml:space="preserve"> </w:t>
            </w:r>
            <w:r w:rsidRPr="00762006">
              <w:rPr>
                <w:rFonts w:cs="Calibri"/>
                <w:iCs/>
                <w:color w:val="000000"/>
                <w:sz w:val="18"/>
                <w:szCs w:val="18"/>
              </w:rPr>
              <w:t>Higher Education System) Bill 2017</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13/09/2017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r w:rsidRPr="00762006">
              <w:rPr>
                <w:rFonts w:cs="Calibri"/>
                <w:color w:val="000000"/>
                <w:sz w:val="18"/>
                <w:szCs w:val="18"/>
              </w:rPr>
              <w:br/>
              <w:t>Costing posted on PBO website.</w:t>
            </w:r>
          </w:p>
        </w:tc>
      </w:tr>
      <w:tr w:rsidR="00762006" w:rsidRPr="00762006" w:rsidTr="000D544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Addressing fraudulent phoenix activity</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Hon Dr Andrew Leigh MP</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Parliamentary </w:t>
            </w:r>
            <w:r w:rsidR="00FA1577">
              <w:rPr>
                <w:rFonts w:cs="Calibri"/>
                <w:color w:val="000000"/>
                <w:sz w:val="18"/>
                <w:szCs w:val="18"/>
              </w:rPr>
              <w:t>s</w:t>
            </w:r>
            <w:r w:rsidRPr="00762006">
              <w:rPr>
                <w:rFonts w:cs="Calibri"/>
                <w:color w:val="000000"/>
                <w:sz w:val="18"/>
                <w:szCs w:val="18"/>
              </w:rPr>
              <w:t>peech</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0D5446">
        <w:trPr>
          <w:trHeight w:val="6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Restore Australian Federal Police presence at Hobart Airport</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15/09/2017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0D544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Funding for a National Space Agency</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Senator </w:t>
            </w:r>
            <w:r w:rsidR="00FA1577">
              <w:rPr>
                <w:rFonts w:cs="Calibri"/>
                <w:color w:val="000000"/>
                <w:sz w:val="18"/>
                <w:szCs w:val="18"/>
              </w:rPr>
              <w:t xml:space="preserve">the </w:t>
            </w:r>
            <w:r w:rsidRPr="00762006">
              <w:rPr>
                <w:rFonts w:cs="Calibri"/>
                <w:color w:val="000000"/>
                <w:sz w:val="18"/>
                <w:szCs w:val="18"/>
              </w:rPr>
              <w:t>Hon Kim Carr</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25/09/2017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bl>
    <w:p w:rsidR="00C1317A" w:rsidRDefault="00C1317A" w:rsidP="00E60E7C">
      <w:pPr>
        <w:keepNext/>
        <w:keepLines/>
        <w:tabs>
          <w:tab w:val="left" w:pos="142"/>
        </w:tabs>
        <w:spacing w:after="120"/>
        <w:rPr>
          <w:rFonts w:asciiTheme="minorHAnsi" w:hAnsiTheme="minorHAnsi"/>
          <w:sz w:val="16"/>
        </w:rPr>
      </w:pPr>
    </w:p>
    <w:p w:rsidR="003553BD" w:rsidRPr="007C1434" w:rsidRDefault="003553BD" w:rsidP="00E60E7C">
      <w:pPr>
        <w:keepNext/>
        <w:keepLines/>
        <w:tabs>
          <w:tab w:val="left" w:pos="142"/>
        </w:tabs>
        <w:spacing w:after="120"/>
        <w:rPr>
          <w:rFonts w:asciiTheme="minorHAnsi" w:hAnsiTheme="minorHAnsi"/>
          <w:sz w:val="16"/>
        </w:rPr>
        <w:sectPr w:rsidR="003553BD" w:rsidRPr="007C1434" w:rsidSect="00A734A7">
          <w:footerReference w:type="default" r:id="rId15"/>
          <w:pgSz w:w="16838" w:h="11906" w:orient="landscape"/>
          <w:pgMar w:top="1440" w:right="1440" w:bottom="1440" w:left="1440" w:header="709" w:footer="709" w:gutter="0"/>
          <w:cols w:space="708"/>
          <w:docGrid w:linePitch="360"/>
        </w:sectPr>
      </w:pPr>
    </w:p>
    <w:p w:rsidR="009A5648" w:rsidRDefault="00AA3A52" w:rsidP="00E60E7C">
      <w:pPr>
        <w:pStyle w:val="PBOheading1"/>
      </w:pPr>
      <w:r>
        <w:lastRenderedPageBreak/>
        <w:t xml:space="preserve">PBO staff by function and </w:t>
      </w:r>
      <w:r w:rsidR="00E8002B">
        <w:t>employment level</w:t>
      </w:r>
    </w:p>
    <w:p w:rsidR="000743AC" w:rsidRDefault="00543268"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674E11">
        <w:rPr>
          <w:rFonts w:asciiTheme="minorHAnsi" w:eastAsiaTheme="minorHAnsi" w:hAnsiTheme="minorHAnsi" w:cstheme="minorBidi"/>
          <w:color w:val="1F497D" w:themeColor="text2"/>
          <w:spacing w:val="-4"/>
          <w:sz w:val="20"/>
          <w:lang w:eastAsia="en-US"/>
        </w:rPr>
        <w:t>5</w:t>
      </w:r>
      <w:r w:rsidRPr="005D002A">
        <w:rPr>
          <w:rFonts w:asciiTheme="minorHAnsi" w:eastAsiaTheme="minorHAnsi" w:hAnsiTheme="minorHAnsi" w:cstheme="minorBidi"/>
          <w:color w:val="1F497D" w:themeColor="text2"/>
          <w:spacing w:val="-4"/>
          <w:sz w:val="20"/>
          <w:lang w:eastAsia="en-US"/>
        </w:rPr>
        <w:t xml:space="preserve">: PBO staff by function and employment level as at </w:t>
      </w:r>
      <w:r w:rsidR="00096B79">
        <w:rPr>
          <w:rFonts w:asciiTheme="minorHAnsi" w:eastAsiaTheme="minorHAnsi" w:hAnsiTheme="minorHAnsi" w:cstheme="minorBidi"/>
          <w:color w:val="1F497D" w:themeColor="text2"/>
          <w:spacing w:val="-4"/>
          <w:sz w:val="20"/>
          <w:lang w:eastAsia="en-US"/>
        </w:rPr>
        <w:t xml:space="preserve">30 September </w:t>
      </w:r>
      <w:r w:rsidR="00DC430D">
        <w:rPr>
          <w:rFonts w:asciiTheme="minorHAnsi" w:eastAsiaTheme="minorHAnsi" w:hAnsiTheme="minorHAnsi" w:cstheme="minorBidi"/>
          <w:color w:val="1F497D" w:themeColor="text2"/>
          <w:spacing w:val="-4"/>
          <w:sz w:val="20"/>
          <w:lang w:eastAsia="en-US"/>
        </w:rPr>
        <w:t>2017</w:t>
      </w:r>
    </w:p>
    <w:tbl>
      <w:tblPr>
        <w:tblStyle w:val="PBOtable"/>
        <w:tblW w:w="9322" w:type="dxa"/>
        <w:tblLayout w:type="fixed"/>
        <w:tblLook w:val="04A0" w:firstRow="1" w:lastRow="0" w:firstColumn="1" w:lastColumn="0" w:noHBand="0" w:noVBand="1"/>
      </w:tblPr>
      <w:tblGrid>
        <w:gridCol w:w="3510"/>
        <w:gridCol w:w="1162"/>
        <w:gridCol w:w="1162"/>
        <w:gridCol w:w="1163"/>
        <w:gridCol w:w="1162"/>
        <w:gridCol w:w="1163"/>
      </w:tblGrid>
      <w:tr w:rsidR="00743ECF" w:rsidRPr="00743ECF" w:rsidTr="00AD076F">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10" w:type="dxa"/>
            <w:shd w:val="clear" w:color="auto" w:fill="2B3B5F"/>
            <w:noWrap/>
            <w:hideMark/>
          </w:tcPr>
          <w:p w:rsidR="00743ECF" w:rsidRPr="00743ECF" w:rsidRDefault="00743ECF" w:rsidP="00E60E7C">
            <w:pPr>
              <w:jc w:val="left"/>
              <w:rPr>
                <w:rFonts w:eastAsia="Times New Roman"/>
                <w:bCs/>
                <w:color w:val="FFFFFF"/>
                <w:szCs w:val="18"/>
              </w:rPr>
            </w:pPr>
            <w:r w:rsidRPr="00743ECF">
              <w:rPr>
                <w:rFonts w:eastAsia="Times New Roman"/>
                <w:bCs/>
                <w:color w:val="FFFFFF"/>
                <w:szCs w:val="18"/>
              </w:rPr>
              <w:t>Classification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63"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63" w:type="dxa"/>
            <w:shd w:val="clear" w:color="auto" w:fill="2B3B5F"/>
            <w:hideMark/>
          </w:tcPr>
          <w:p w:rsidR="00743ECF" w:rsidRPr="00743ECF" w:rsidRDefault="00743ECF" w:rsidP="00D873D2">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CE14D3" w:rsidRPr="00743ECF" w:rsidTr="00CE14D3">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noWrap/>
          </w:tcPr>
          <w:p w:rsidR="00CE14D3" w:rsidRPr="00A01C65" w:rsidRDefault="00CE14D3" w:rsidP="00E60E7C">
            <w:pPr>
              <w:rPr>
                <w:rFonts w:eastAsia="Times New Roman"/>
                <w:b w:val="0"/>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3"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2"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3" w:type="dxa"/>
            <w:shd w:val="clear" w:color="auto" w:fill="auto"/>
            <w:noWrap/>
          </w:tcPr>
          <w:p w:rsidR="00CE14D3" w:rsidRDefault="00CE14D3"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Budget Officer (PBO)</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Senior Executive Service Band 2 (SES B2)</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Senior Executive Service Band 1 (SES B1)</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Executive Level 2 (PEL2)</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4</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8</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930BF2">
            <w:pPr>
              <w:rPr>
                <w:rFonts w:eastAsia="Times New Roman"/>
                <w:b w:val="0"/>
                <w:color w:val="000000"/>
                <w:szCs w:val="18"/>
              </w:rPr>
            </w:pPr>
            <w:r w:rsidRPr="00A01C65">
              <w:rPr>
                <w:rFonts w:eastAsia="Times New Roman"/>
                <w:b w:val="0"/>
                <w:color w:val="000000"/>
                <w:szCs w:val="18"/>
              </w:rPr>
              <w:t>Parliamentary Executive Level 1 (PEL1)</w:t>
            </w:r>
            <w:r w:rsidR="00AA19A6" w:rsidRPr="00A01C65">
              <w:rPr>
                <w:rFonts w:eastAsia="Times New Roman"/>
                <w:b w:val="0"/>
                <w:color w:val="000000"/>
                <w:szCs w:val="18"/>
              </w:rPr>
              <w:t xml:space="preserve"> </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6F3D6C" w:rsidP="00930BF2">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r w:rsidR="00660E2F">
              <w:rPr>
                <w:rFonts w:eastAsia="Times New Roman"/>
                <w:color w:val="000000"/>
                <w:szCs w:val="18"/>
              </w:rPr>
              <w:t>0</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4</w:t>
            </w:r>
          </w:p>
        </w:tc>
        <w:tc>
          <w:tcPr>
            <w:tcW w:w="1162" w:type="dxa"/>
            <w:noWrap/>
          </w:tcPr>
          <w:p w:rsidR="00743ECF" w:rsidRPr="00743ECF"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15</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Parliamentary Service Level 6 (PSL6)</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8F2B9E"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4</w:t>
            </w:r>
          </w:p>
        </w:tc>
        <w:tc>
          <w:tcPr>
            <w:tcW w:w="1163" w:type="dxa"/>
            <w:noWrap/>
          </w:tcPr>
          <w:p w:rsidR="00743ECF" w:rsidRPr="00743ECF" w:rsidRDefault="00743E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p>
        </w:tc>
        <w:tc>
          <w:tcPr>
            <w:tcW w:w="1162"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8F2B9E"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5</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930BF2">
            <w:pPr>
              <w:rPr>
                <w:rFonts w:eastAsia="Times New Roman"/>
                <w:b w:val="0"/>
                <w:color w:val="000000"/>
                <w:szCs w:val="18"/>
              </w:rPr>
            </w:pPr>
            <w:r w:rsidRPr="00A01C65">
              <w:rPr>
                <w:rFonts w:eastAsia="Times New Roman"/>
                <w:b w:val="0"/>
                <w:color w:val="000000"/>
                <w:szCs w:val="18"/>
              </w:rPr>
              <w:t>Parliamentary Service Level 5 (PSL5)</w:t>
            </w:r>
            <w:r w:rsidR="002E3D70">
              <w:rPr>
                <w:rFonts w:eastAsia="Times New Roman"/>
                <w:b w:val="0"/>
                <w:color w:val="000000"/>
                <w:szCs w:val="18"/>
              </w:rPr>
              <w:t xml:space="preserve"> </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A17D76"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A17D76"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575B0B">
            <w:pPr>
              <w:rPr>
                <w:rFonts w:eastAsia="Times New Roman"/>
                <w:b w:val="0"/>
                <w:color w:val="000000"/>
                <w:szCs w:val="18"/>
              </w:rPr>
            </w:pPr>
            <w:r w:rsidRPr="00A01C65">
              <w:rPr>
                <w:rFonts w:eastAsia="Times New Roman"/>
                <w:b w:val="0"/>
                <w:color w:val="000000"/>
                <w:szCs w:val="18"/>
              </w:rPr>
              <w:t>Parliamentary Service Level 4 (PSL4)</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C53944"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B57CD1"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8F2B9E" w:rsidRPr="00530EC5"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tcPr>
          <w:p w:rsidR="008F2B9E" w:rsidRPr="00530EC5" w:rsidRDefault="00530EC5" w:rsidP="00D873D2">
            <w:pPr>
              <w:rPr>
                <w:rFonts w:eastAsia="Times New Roman"/>
                <w:b w:val="0"/>
                <w:bCs/>
                <w:color w:val="000000"/>
                <w:szCs w:val="18"/>
              </w:rPr>
            </w:pPr>
            <w:r w:rsidRPr="00530EC5">
              <w:rPr>
                <w:rFonts w:eastAsia="Times New Roman"/>
                <w:b w:val="0"/>
                <w:bCs/>
                <w:color w:val="000000"/>
                <w:szCs w:val="18"/>
              </w:rPr>
              <w:t>Secondees</w:t>
            </w:r>
          </w:p>
        </w:tc>
        <w:tc>
          <w:tcPr>
            <w:tcW w:w="1162" w:type="dxa"/>
            <w:noWrap/>
          </w:tcPr>
          <w:p w:rsidR="008F2B9E" w:rsidRPr="00530EC5" w:rsidRDefault="008F2B9E" w:rsidP="00E60E7C">
            <w:pPr>
              <w:cnfStyle w:val="000000010000" w:firstRow="0" w:lastRow="0" w:firstColumn="0" w:lastColumn="0" w:oddVBand="0" w:evenVBand="0" w:oddHBand="0" w:evenHBand="1" w:firstRowFirstColumn="0" w:firstRowLastColumn="0" w:lastRowFirstColumn="0" w:lastRowLastColumn="0"/>
              <w:rPr>
                <w:rFonts w:eastAsia="Times New Roman"/>
                <w:bCs/>
                <w:color w:val="000000"/>
                <w:szCs w:val="18"/>
              </w:rPr>
            </w:pPr>
            <w:r w:rsidRPr="00530EC5">
              <w:rPr>
                <w:rFonts w:eastAsia="Times New Roman"/>
                <w:bCs/>
                <w:color w:val="000000"/>
                <w:szCs w:val="18"/>
              </w:rPr>
              <w:t>-</w:t>
            </w:r>
          </w:p>
        </w:tc>
        <w:tc>
          <w:tcPr>
            <w:tcW w:w="1162" w:type="dxa"/>
            <w:noWrap/>
          </w:tcPr>
          <w:p w:rsidR="008F2B9E" w:rsidRPr="00530EC5" w:rsidRDefault="008F2B9E" w:rsidP="008305AB">
            <w:pPr>
              <w:cnfStyle w:val="000000010000" w:firstRow="0" w:lastRow="0" w:firstColumn="0" w:lastColumn="0" w:oddVBand="0" w:evenVBand="0" w:oddHBand="0" w:evenHBand="1" w:firstRowFirstColumn="0" w:firstRowLastColumn="0" w:lastRowFirstColumn="0" w:lastRowLastColumn="0"/>
              <w:rPr>
                <w:rFonts w:eastAsia="Times New Roman"/>
                <w:bCs/>
                <w:color w:val="000000"/>
                <w:szCs w:val="18"/>
              </w:rPr>
            </w:pPr>
            <w:r w:rsidRPr="00530EC5">
              <w:rPr>
                <w:rFonts w:eastAsia="Times New Roman"/>
                <w:bCs/>
                <w:color w:val="000000"/>
                <w:szCs w:val="18"/>
              </w:rPr>
              <w:t>1</w:t>
            </w:r>
          </w:p>
        </w:tc>
        <w:tc>
          <w:tcPr>
            <w:tcW w:w="1163" w:type="dxa"/>
            <w:noWrap/>
          </w:tcPr>
          <w:p w:rsidR="008F2B9E" w:rsidRPr="00530EC5" w:rsidRDefault="004B18F4"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530EC5">
              <w:rPr>
                <w:rFonts w:eastAsia="Times New Roman"/>
                <w:color w:val="000000"/>
                <w:szCs w:val="18"/>
              </w:rPr>
              <w:t>-</w:t>
            </w:r>
          </w:p>
        </w:tc>
        <w:tc>
          <w:tcPr>
            <w:tcW w:w="1162" w:type="dxa"/>
            <w:noWrap/>
          </w:tcPr>
          <w:p w:rsidR="008F2B9E" w:rsidRPr="00530EC5" w:rsidRDefault="004B18F4" w:rsidP="00E60E7C">
            <w:pPr>
              <w:cnfStyle w:val="000000010000" w:firstRow="0" w:lastRow="0" w:firstColumn="0" w:lastColumn="0" w:oddVBand="0" w:evenVBand="0" w:oddHBand="0" w:evenHBand="1" w:firstRowFirstColumn="0" w:firstRowLastColumn="0" w:lastRowFirstColumn="0" w:lastRowLastColumn="0"/>
              <w:rPr>
                <w:rFonts w:eastAsia="Times New Roman"/>
                <w:bCs/>
                <w:color w:val="000000"/>
                <w:szCs w:val="18"/>
              </w:rPr>
            </w:pPr>
            <w:r w:rsidRPr="00530EC5">
              <w:rPr>
                <w:rFonts w:eastAsia="Times New Roman"/>
                <w:bCs/>
                <w:color w:val="000000"/>
                <w:szCs w:val="18"/>
              </w:rPr>
              <w:t>-</w:t>
            </w:r>
          </w:p>
        </w:tc>
        <w:tc>
          <w:tcPr>
            <w:tcW w:w="1163" w:type="dxa"/>
            <w:noWrap/>
          </w:tcPr>
          <w:p w:rsidR="008F2B9E" w:rsidRPr="002376ED" w:rsidDel="008F2B9E" w:rsidRDefault="008B048A"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sidRPr="002376ED">
              <w:rPr>
                <w:rFonts w:eastAsia="Times New Roman"/>
                <w:b/>
                <w:bCs/>
                <w:color w:val="000000"/>
                <w:szCs w:val="18"/>
              </w:rPr>
              <w:t>1</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743ECF" w:rsidRDefault="00743ECF" w:rsidP="00D873D2">
            <w:pPr>
              <w:rPr>
                <w:rFonts w:eastAsia="Times New Roman"/>
                <w:bCs/>
                <w:color w:val="000000"/>
                <w:szCs w:val="18"/>
              </w:rPr>
            </w:pPr>
            <w:r w:rsidRPr="00743ECF">
              <w:rPr>
                <w:rFonts w:eastAsia="Times New Roman"/>
                <w:bCs/>
                <w:color w:val="000000"/>
                <w:szCs w:val="18"/>
              </w:rPr>
              <w:t xml:space="preserve">Total </w:t>
            </w:r>
            <w:r w:rsidR="00A62104">
              <w:rPr>
                <w:rFonts w:eastAsia="Times New Roman"/>
                <w:bCs/>
                <w:color w:val="000000"/>
                <w:szCs w:val="18"/>
              </w:rPr>
              <w:t>s</w:t>
            </w:r>
            <w:r w:rsidRPr="00743ECF">
              <w:rPr>
                <w:rFonts w:eastAsia="Times New Roman"/>
                <w:bCs/>
                <w:color w:val="000000"/>
                <w:szCs w:val="18"/>
              </w:rPr>
              <w:t>taff</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p>
        </w:tc>
        <w:tc>
          <w:tcPr>
            <w:tcW w:w="1162" w:type="dxa"/>
            <w:noWrap/>
          </w:tcPr>
          <w:p w:rsidR="00743ECF" w:rsidRPr="00743ECF" w:rsidRDefault="008B048A" w:rsidP="008305A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23</w:t>
            </w:r>
          </w:p>
        </w:tc>
        <w:tc>
          <w:tcPr>
            <w:tcW w:w="1163" w:type="dxa"/>
            <w:noWrap/>
          </w:tcPr>
          <w:p w:rsidR="00743ECF" w:rsidRPr="00596C26" w:rsidRDefault="008305AB" w:rsidP="00E60E7C">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18"/>
              </w:rPr>
            </w:pPr>
            <w:r>
              <w:rPr>
                <w:rFonts w:eastAsia="Times New Roman"/>
                <w:b/>
                <w:color w:val="000000"/>
                <w:szCs w:val="18"/>
              </w:rPr>
              <w:t>9</w:t>
            </w:r>
          </w:p>
        </w:tc>
        <w:tc>
          <w:tcPr>
            <w:tcW w:w="1162" w:type="dxa"/>
            <w:noWrap/>
          </w:tcPr>
          <w:p w:rsidR="00743ECF" w:rsidRPr="00743ECF" w:rsidRDefault="00B57CD1"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7</w:t>
            </w:r>
          </w:p>
        </w:tc>
        <w:tc>
          <w:tcPr>
            <w:tcW w:w="1163" w:type="dxa"/>
            <w:noWrap/>
          </w:tcPr>
          <w:p w:rsidR="00743ECF" w:rsidRPr="00743ECF" w:rsidRDefault="008F2B9E"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r w:rsidR="008B048A">
              <w:rPr>
                <w:rFonts w:eastAsia="Times New Roman"/>
                <w:b/>
                <w:bCs/>
                <w:color w:val="000000"/>
                <w:szCs w:val="18"/>
              </w:rPr>
              <w:t>1</w:t>
            </w:r>
          </w:p>
        </w:tc>
      </w:tr>
    </w:tbl>
    <w:p w:rsidR="00D873D2" w:rsidRDefault="00575B0B" w:rsidP="00E60E7C">
      <w:pPr>
        <w:pStyle w:val="PBOtext"/>
        <w:tabs>
          <w:tab w:val="left" w:pos="142"/>
        </w:tabs>
        <w:rPr>
          <w:sz w:val="16"/>
          <w:szCs w:val="16"/>
        </w:rPr>
      </w:pPr>
      <w:r>
        <w:rPr>
          <w:sz w:val="16"/>
          <w:szCs w:val="16"/>
        </w:rPr>
        <w:t xml:space="preserve">Note:  </w:t>
      </w:r>
      <w:r w:rsidR="00543268" w:rsidRPr="00BA18F0">
        <w:rPr>
          <w:sz w:val="16"/>
          <w:szCs w:val="16"/>
        </w:rPr>
        <w:t>One SES B1</w:t>
      </w:r>
      <w:r w:rsidR="00B40746" w:rsidRPr="00BA18F0">
        <w:rPr>
          <w:sz w:val="16"/>
          <w:szCs w:val="16"/>
        </w:rPr>
        <w:t>,</w:t>
      </w:r>
      <w:r w:rsidR="00BA18F0" w:rsidRPr="008D181D">
        <w:rPr>
          <w:sz w:val="16"/>
          <w:szCs w:val="16"/>
        </w:rPr>
        <w:t xml:space="preserve"> </w:t>
      </w:r>
      <w:r w:rsidR="00DE2FBE" w:rsidRPr="008D181D">
        <w:rPr>
          <w:sz w:val="16"/>
          <w:szCs w:val="16"/>
        </w:rPr>
        <w:t xml:space="preserve">one </w:t>
      </w:r>
      <w:r w:rsidR="00F03016">
        <w:rPr>
          <w:sz w:val="16"/>
          <w:szCs w:val="16"/>
        </w:rPr>
        <w:t>PSL6</w:t>
      </w:r>
      <w:r w:rsidR="00F03016" w:rsidRPr="00BA18F0">
        <w:rPr>
          <w:sz w:val="16"/>
          <w:szCs w:val="16"/>
        </w:rPr>
        <w:t xml:space="preserve"> </w:t>
      </w:r>
      <w:r w:rsidR="00B40746" w:rsidRPr="00BA18F0">
        <w:rPr>
          <w:sz w:val="16"/>
          <w:szCs w:val="16"/>
        </w:rPr>
        <w:t xml:space="preserve">and one PSL4 ongoing </w:t>
      </w:r>
      <w:r w:rsidR="005B325D" w:rsidRPr="00BA18F0">
        <w:rPr>
          <w:sz w:val="16"/>
          <w:szCs w:val="16"/>
        </w:rPr>
        <w:t xml:space="preserve">employees </w:t>
      </w:r>
      <w:r w:rsidR="005323C2" w:rsidRPr="00BA18F0">
        <w:rPr>
          <w:sz w:val="16"/>
          <w:szCs w:val="16"/>
        </w:rPr>
        <w:t>are</w:t>
      </w:r>
      <w:r w:rsidR="00543268" w:rsidRPr="00BA18F0">
        <w:rPr>
          <w:sz w:val="16"/>
          <w:szCs w:val="16"/>
        </w:rPr>
        <w:t xml:space="preserve"> on long term leave</w:t>
      </w:r>
      <w:r w:rsidR="00502E21">
        <w:rPr>
          <w:sz w:val="16"/>
          <w:szCs w:val="16"/>
        </w:rPr>
        <w:t xml:space="preserve"> without pay</w:t>
      </w:r>
      <w:r w:rsidR="00543268" w:rsidRPr="00BA18F0">
        <w:rPr>
          <w:sz w:val="16"/>
          <w:szCs w:val="16"/>
        </w:rPr>
        <w:t xml:space="preserve"> and </w:t>
      </w:r>
      <w:r w:rsidR="005323C2" w:rsidRPr="00BA18F0">
        <w:rPr>
          <w:sz w:val="16"/>
          <w:szCs w:val="16"/>
        </w:rPr>
        <w:t xml:space="preserve">are </w:t>
      </w:r>
      <w:r w:rsidR="00543268" w:rsidRPr="00BA18F0">
        <w:rPr>
          <w:sz w:val="16"/>
          <w:szCs w:val="16"/>
        </w:rPr>
        <w:t>not included in these totals.</w:t>
      </w:r>
      <w:r w:rsidR="00DE0A52" w:rsidRPr="00BA18F0">
        <w:rPr>
          <w:sz w:val="16"/>
          <w:szCs w:val="16"/>
        </w:rPr>
        <w:br/>
      </w:r>
      <w:r w:rsidR="005323C2" w:rsidRPr="00BA18F0">
        <w:rPr>
          <w:sz w:val="16"/>
          <w:szCs w:val="16"/>
        </w:rPr>
        <w:t>In addition</w:t>
      </w:r>
      <w:r w:rsidR="005B325D" w:rsidRPr="00BA18F0">
        <w:rPr>
          <w:sz w:val="16"/>
          <w:szCs w:val="16"/>
        </w:rPr>
        <w:t>,</w:t>
      </w:r>
      <w:r w:rsidR="005323C2" w:rsidRPr="00BA18F0">
        <w:rPr>
          <w:sz w:val="16"/>
          <w:szCs w:val="16"/>
        </w:rPr>
        <w:t xml:space="preserve"> one </w:t>
      </w:r>
      <w:r w:rsidR="005B325D" w:rsidRPr="00BA18F0">
        <w:rPr>
          <w:sz w:val="16"/>
          <w:szCs w:val="16"/>
        </w:rPr>
        <w:t>PEL1</w:t>
      </w:r>
      <w:r w:rsidR="00B83141" w:rsidRPr="00BA18F0">
        <w:rPr>
          <w:sz w:val="16"/>
          <w:szCs w:val="16"/>
        </w:rPr>
        <w:t xml:space="preserve"> </w:t>
      </w:r>
      <w:r w:rsidR="005323C2" w:rsidRPr="00BA18F0">
        <w:rPr>
          <w:sz w:val="16"/>
          <w:szCs w:val="16"/>
        </w:rPr>
        <w:t xml:space="preserve">employee </w:t>
      </w:r>
      <w:r w:rsidR="00EC09B2" w:rsidRPr="00BA18F0">
        <w:rPr>
          <w:sz w:val="16"/>
          <w:szCs w:val="16"/>
        </w:rPr>
        <w:t xml:space="preserve">is on </w:t>
      </w:r>
      <w:r w:rsidR="005323C2" w:rsidRPr="00BA18F0">
        <w:rPr>
          <w:sz w:val="16"/>
          <w:szCs w:val="16"/>
        </w:rPr>
        <w:t>second</w:t>
      </w:r>
      <w:r w:rsidR="00EC09B2" w:rsidRPr="00BA18F0">
        <w:rPr>
          <w:sz w:val="16"/>
          <w:szCs w:val="16"/>
        </w:rPr>
        <w:t>ment</w:t>
      </w:r>
      <w:r w:rsidR="00AD2887" w:rsidRPr="00BA18F0">
        <w:rPr>
          <w:sz w:val="16"/>
          <w:szCs w:val="16"/>
        </w:rPr>
        <w:t xml:space="preserve"> to </w:t>
      </w:r>
      <w:r w:rsidR="005323C2" w:rsidRPr="00BA18F0">
        <w:rPr>
          <w:sz w:val="16"/>
          <w:szCs w:val="16"/>
        </w:rPr>
        <w:t>the Australian Taxation Office</w:t>
      </w:r>
      <w:r w:rsidR="00EC09B2" w:rsidRPr="00BA18F0">
        <w:rPr>
          <w:sz w:val="16"/>
          <w:szCs w:val="16"/>
        </w:rPr>
        <w:t xml:space="preserve"> and is not included in the above to</w:t>
      </w:r>
      <w:r w:rsidR="00EC09B2" w:rsidRPr="008D181D">
        <w:rPr>
          <w:sz w:val="16"/>
          <w:szCs w:val="16"/>
        </w:rPr>
        <w:t>tals</w:t>
      </w:r>
      <w:r w:rsidR="00AD2887" w:rsidRPr="008D181D">
        <w:rPr>
          <w:sz w:val="16"/>
          <w:szCs w:val="16"/>
        </w:rPr>
        <w:t>.</w:t>
      </w:r>
    </w:p>
    <w:p w:rsidR="002852A0" w:rsidRDefault="002852A0" w:rsidP="00530EC5">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p>
    <w:p w:rsidR="00530EC5" w:rsidRPr="00530EC5" w:rsidRDefault="00530EC5" w:rsidP="00530EC5">
      <w:pPr>
        <w:sectPr w:rsidR="00530EC5" w:rsidRPr="00530EC5" w:rsidSect="00A734A7">
          <w:footerReference w:type="default" r:id="rId16"/>
          <w:pgSz w:w="11906" w:h="16838"/>
          <w:pgMar w:top="1440" w:right="1440" w:bottom="1440" w:left="1440" w:header="709" w:footer="709" w:gutter="0"/>
          <w:cols w:space="708"/>
          <w:docGrid w:linePitch="360"/>
        </w:sectPr>
      </w:pPr>
    </w:p>
    <w:p w:rsidR="002852A0" w:rsidRPr="006C1C6C" w:rsidRDefault="002852A0" w:rsidP="006C1C6C">
      <w:pPr>
        <w:keepNext/>
        <w:keepLines/>
        <w:tabs>
          <w:tab w:val="num" w:pos="0"/>
          <w:tab w:val="right" w:pos="1418"/>
          <w:tab w:val="right" w:pos="1701"/>
          <w:tab w:val="right" w:pos="1985"/>
        </w:tabs>
        <w:spacing w:before="470" w:after="260"/>
        <w:outlineLvl w:val="0"/>
        <w:rPr>
          <w:rFonts w:ascii="Georgia" w:eastAsia="Calibri" w:hAnsi="Georgia"/>
          <w:bCs/>
          <w:color w:val="2B3B5F"/>
          <w:spacing w:val="-6"/>
          <w:kern w:val="32"/>
          <w:sz w:val="34"/>
          <w:szCs w:val="32"/>
        </w:rPr>
      </w:pPr>
      <w:r w:rsidRPr="006C1C6C">
        <w:rPr>
          <w:rFonts w:ascii="Georgia" w:eastAsia="Calibri" w:hAnsi="Georgia"/>
          <w:bCs/>
          <w:color w:val="2B3B5F"/>
          <w:spacing w:val="-6"/>
          <w:kern w:val="32"/>
          <w:sz w:val="34"/>
          <w:szCs w:val="32"/>
        </w:rPr>
        <w:lastRenderedPageBreak/>
        <w:t>Attachment A</w:t>
      </w:r>
    </w:p>
    <w:p w:rsidR="002852A0" w:rsidRPr="002852A0" w:rsidRDefault="002852A0" w:rsidP="002852A0">
      <w:pPr>
        <w:keepNext/>
        <w:keepLines/>
        <w:numPr>
          <w:ilvl w:val="2"/>
          <w:numId w:val="0"/>
        </w:numPr>
        <w:tabs>
          <w:tab w:val="num" w:pos="0"/>
          <w:tab w:val="left" w:pos="1418"/>
          <w:tab w:val="left" w:pos="1701"/>
          <w:tab w:val="left" w:pos="1985"/>
        </w:tabs>
        <w:spacing w:before="400" w:after="170" w:line="250" w:lineRule="atLeast"/>
        <w:outlineLvl w:val="2"/>
        <w:rPr>
          <w:rFonts w:eastAsia="Calibri"/>
          <w:b/>
          <w:color w:val="2B3B5F"/>
          <w:sz w:val="24"/>
          <w:szCs w:val="20"/>
        </w:rPr>
      </w:pPr>
      <w:r w:rsidRPr="002852A0">
        <w:rPr>
          <w:rFonts w:eastAsia="Calibri"/>
          <w:b/>
          <w:color w:val="2B3B5F"/>
          <w:sz w:val="24"/>
          <w:szCs w:val="20"/>
        </w:rPr>
        <w:t>Parliamentary Budget Office Review 2016–17</w:t>
      </w:r>
      <w:r w:rsidRPr="002852A0">
        <w:rPr>
          <w:rFonts w:eastAsia="Calibri"/>
          <w:b/>
          <w:color w:val="2B3B5F"/>
          <w:sz w:val="24"/>
          <w:szCs w:val="20"/>
        </w:rPr>
        <w:br/>
        <w:t>Recommendations from the report of the independent review panel</w:t>
      </w:r>
    </w:p>
    <w:p w:rsidR="002852A0" w:rsidRPr="002852A0" w:rsidRDefault="002852A0" w:rsidP="002852A0">
      <w:pPr>
        <w:spacing w:before="113" w:after="113" w:line="250" w:lineRule="atLeast"/>
        <w:rPr>
          <w:rFonts w:eastAsia="Calibri"/>
          <w:spacing w:val="-1"/>
          <w:sz w:val="20"/>
          <w:szCs w:val="20"/>
        </w:rPr>
      </w:pPr>
      <w:r w:rsidRPr="002852A0">
        <w:rPr>
          <w:rFonts w:eastAsia="Calibri"/>
          <w:spacing w:val="-1"/>
          <w:sz w:val="20"/>
          <w:szCs w:val="20"/>
        </w:rPr>
        <w:t xml:space="preserve">Section 64T of the </w:t>
      </w:r>
      <w:r w:rsidRPr="00530EC5">
        <w:rPr>
          <w:rFonts w:eastAsia="Calibri"/>
          <w:i/>
          <w:spacing w:val="-1"/>
          <w:sz w:val="20"/>
          <w:szCs w:val="20"/>
        </w:rPr>
        <w:t xml:space="preserve">Parliamentary Service Act </w:t>
      </w:r>
      <w:r w:rsidR="00530EC5" w:rsidRPr="00530EC5">
        <w:rPr>
          <w:rFonts w:eastAsia="Calibri"/>
          <w:i/>
          <w:spacing w:val="-1"/>
          <w:sz w:val="20"/>
          <w:szCs w:val="20"/>
        </w:rPr>
        <w:t>1999</w:t>
      </w:r>
      <w:r w:rsidR="00530EC5">
        <w:rPr>
          <w:rFonts w:eastAsia="Calibri"/>
          <w:spacing w:val="-1"/>
          <w:sz w:val="20"/>
          <w:szCs w:val="20"/>
        </w:rPr>
        <w:t xml:space="preserve"> </w:t>
      </w:r>
      <w:r w:rsidRPr="002852A0">
        <w:rPr>
          <w:rFonts w:eastAsia="Calibri"/>
          <w:spacing w:val="-1"/>
          <w:sz w:val="20"/>
          <w:szCs w:val="20"/>
        </w:rPr>
        <w:t>enables the JCPAA to seek an independent review of the PBO after a general election.  On 14 November 2016 the Committee announced a review to focus on how the PBO could continue to strengthen its abilities.  In particular, the review examined, reported and made recommendations on the scope for the PBO to build on the foundations it has established and continue to strengthen its ability to achieve its aims of:</w:t>
      </w:r>
    </w:p>
    <w:p w:rsidR="002852A0" w:rsidRPr="006C1C6C" w:rsidRDefault="002852A0" w:rsidP="006C1C6C">
      <w:pPr>
        <w:pStyle w:val="ListParagraph"/>
        <w:numPr>
          <w:ilvl w:val="0"/>
          <w:numId w:val="31"/>
        </w:numPr>
        <w:spacing w:before="113" w:after="113" w:line="250" w:lineRule="atLeast"/>
        <w:ind w:left="794" w:hanging="397"/>
        <w:rPr>
          <w:rFonts w:eastAsia="Calibri"/>
          <w:spacing w:val="-1"/>
          <w:sz w:val="20"/>
          <w:szCs w:val="20"/>
        </w:rPr>
      </w:pPr>
      <w:r w:rsidRPr="006C1C6C">
        <w:rPr>
          <w:rFonts w:eastAsia="Calibri"/>
          <w:spacing w:val="-1"/>
          <w:sz w:val="20"/>
          <w:szCs w:val="20"/>
        </w:rPr>
        <w:t>providing a more level playing field for all parliamentarians in their access to publicly funded policy costings and budget analyses</w:t>
      </w:r>
    </w:p>
    <w:p w:rsidR="002852A0" w:rsidRPr="006C1C6C" w:rsidRDefault="002852A0" w:rsidP="006C1C6C">
      <w:pPr>
        <w:pStyle w:val="ListParagraph"/>
        <w:numPr>
          <w:ilvl w:val="0"/>
          <w:numId w:val="31"/>
        </w:numPr>
        <w:spacing w:before="113" w:after="113" w:line="250" w:lineRule="atLeast"/>
        <w:ind w:left="794" w:hanging="397"/>
        <w:rPr>
          <w:rFonts w:eastAsia="Calibri"/>
          <w:spacing w:val="-1"/>
          <w:sz w:val="20"/>
          <w:szCs w:val="20"/>
        </w:rPr>
      </w:pPr>
      <w:r w:rsidRPr="006C1C6C">
        <w:rPr>
          <w:rFonts w:eastAsia="Calibri"/>
          <w:spacing w:val="-1"/>
          <w:sz w:val="20"/>
          <w:szCs w:val="20"/>
        </w:rPr>
        <w:t>improving the accuracy of costings of election commitments</w:t>
      </w:r>
    </w:p>
    <w:p w:rsidR="002852A0" w:rsidRPr="006C1C6C" w:rsidRDefault="002852A0" w:rsidP="006C1C6C">
      <w:pPr>
        <w:pStyle w:val="ListParagraph"/>
        <w:numPr>
          <w:ilvl w:val="0"/>
          <w:numId w:val="31"/>
        </w:numPr>
        <w:spacing w:before="113" w:after="113" w:line="250" w:lineRule="atLeast"/>
        <w:ind w:left="794" w:hanging="397"/>
        <w:rPr>
          <w:rFonts w:eastAsia="Calibri"/>
          <w:spacing w:val="-1"/>
          <w:sz w:val="20"/>
          <w:szCs w:val="20"/>
        </w:rPr>
      </w:pPr>
      <w:proofErr w:type="gramStart"/>
      <w:r w:rsidRPr="006C1C6C">
        <w:rPr>
          <w:rFonts w:eastAsia="Calibri"/>
          <w:spacing w:val="-1"/>
          <w:sz w:val="20"/>
          <w:szCs w:val="20"/>
        </w:rPr>
        <w:t>enhancing</w:t>
      </w:r>
      <w:proofErr w:type="gramEnd"/>
      <w:r w:rsidRPr="006C1C6C">
        <w:rPr>
          <w:rFonts w:eastAsia="Calibri"/>
          <w:spacing w:val="-1"/>
          <w:sz w:val="20"/>
          <w:szCs w:val="20"/>
        </w:rPr>
        <w:t xml:space="preserve"> the transparency and public understanding of budget information and fiscal policy settings.</w:t>
      </w:r>
    </w:p>
    <w:p w:rsidR="002852A0" w:rsidRDefault="002852A0" w:rsidP="002852A0">
      <w:pPr>
        <w:spacing w:before="113" w:after="113" w:line="250" w:lineRule="atLeast"/>
        <w:rPr>
          <w:rFonts w:eastAsia="Calibri"/>
          <w:spacing w:val="-1"/>
          <w:sz w:val="20"/>
          <w:szCs w:val="20"/>
        </w:rPr>
      </w:pPr>
      <w:r w:rsidRPr="002852A0">
        <w:rPr>
          <w:rFonts w:eastAsia="Calibri"/>
          <w:spacing w:val="-1"/>
          <w:sz w:val="20"/>
          <w:szCs w:val="20"/>
        </w:rPr>
        <w:t>The review was completed in March 2017 and made 16 recommendations.  The recommendations and our responses are outlined below.</w:t>
      </w:r>
    </w:p>
    <w:p w:rsidR="00674E11" w:rsidRPr="002852A0" w:rsidRDefault="00674E11" w:rsidP="002852A0">
      <w:pPr>
        <w:spacing w:before="113" w:after="113" w:line="250" w:lineRule="atLeast"/>
        <w:rPr>
          <w:rFonts w:eastAsia="Calibri"/>
          <w:spacing w:val="-1"/>
          <w:sz w:val="20"/>
          <w:szCs w:val="20"/>
        </w:rPr>
      </w:pPr>
    </w:p>
    <w:tbl>
      <w:tblPr>
        <w:tblStyle w:val="TableGrid3"/>
        <w:tblW w:w="8931" w:type="dxa"/>
        <w:tblLook w:val="04A0" w:firstRow="1" w:lastRow="0" w:firstColumn="1" w:lastColumn="0" w:noHBand="0" w:noVBand="1"/>
      </w:tblPr>
      <w:tblGrid>
        <w:gridCol w:w="619"/>
        <w:gridCol w:w="4156"/>
        <w:gridCol w:w="4156"/>
      </w:tblGrid>
      <w:tr w:rsidR="00530EC5" w:rsidRPr="002852A0" w:rsidTr="00530EC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19" w:type="dxa"/>
          </w:tcPr>
          <w:p w:rsidR="00530EC5" w:rsidRPr="002852A0" w:rsidRDefault="00530EC5" w:rsidP="006C1C6C">
            <w:pPr>
              <w:spacing w:before="113" w:after="113" w:line="250" w:lineRule="atLeast"/>
              <w:rPr>
                <w:b/>
                <w:spacing w:val="-1"/>
                <w:sz w:val="16"/>
                <w:szCs w:val="16"/>
              </w:rPr>
            </w:pPr>
            <w:r w:rsidRPr="002852A0">
              <w:rPr>
                <w:b/>
                <w:spacing w:val="-1"/>
                <w:sz w:val="16"/>
                <w:szCs w:val="16"/>
              </w:rPr>
              <w:t>No.</w:t>
            </w:r>
          </w:p>
        </w:tc>
        <w:tc>
          <w:tcPr>
            <w:tcW w:w="4156" w:type="dxa"/>
          </w:tcPr>
          <w:p w:rsidR="00530EC5" w:rsidRPr="002852A0" w:rsidRDefault="00530EC5" w:rsidP="006C1C6C">
            <w:pPr>
              <w:spacing w:before="113" w:after="113" w:line="250" w:lineRule="atLeast"/>
              <w:jc w:val="left"/>
              <w:cnfStyle w:val="100000000000" w:firstRow="1" w:lastRow="0" w:firstColumn="0" w:lastColumn="0" w:oddVBand="0" w:evenVBand="0" w:oddHBand="0" w:evenHBand="0" w:firstRowFirstColumn="0" w:firstRowLastColumn="0" w:lastRowFirstColumn="0" w:lastRowLastColumn="0"/>
              <w:rPr>
                <w:b/>
                <w:spacing w:val="-1"/>
                <w:sz w:val="16"/>
                <w:szCs w:val="16"/>
              </w:rPr>
            </w:pPr>
            <w:r w:rsidRPr="002852A0">
              <w:rPr>
                <w:b/>
                <w:spacing w:val="-1"/>
                <w:sz w:val="16"/>
                <w:szCs w:val="16"/>
              </w:rPr>
              <w:t>Description</w:t>
            </w:r>
          </w:p>
        </w:tc>
        <w:tc>
          <w:tcPr>
            <w:tcW w:w="4156" w:type="dxa"/>
          </w:tcPr>
          <w:p w:rsidR="00530EC5" w:rsidRPr="002852A0" w:rsidRDefault="00530EC5" w:rsidP="006C1C6C">
            <w:pPr>
              <w:spacing w:before="113" w:after="113" w:line="250" w:lineRule="atLeast"/>
              <w:jc w:val="left"/>
              <w:cnfStyle w:val="100000000000" w:firstRow="1" w:lastRow="0" w:firstColumn="0" w:lastColumn="0" w:oddVBand="0" w:evenVBand="0" w:oddHBand="0" w:evenHBand="0" w:firstRowFirstColumn="0" w:firstRowLastColumn="0" w:lastRowFirstColumn="0" w:lastRowLastColumn="0"/>
              <w:rPr>
                <w:b/>
                <w:spacing w:val="-1"/>
                <w:sz w:val="16"/>
                <w:szCs w:val="16"/>
              </w:rPr>
            </w:pPr>
            <w:r w:rsidRPr="002852A0">
              <w:rPr>
                <w:b/>
                <w:spacing w:val="-1"/>
                <w:sz w:val="16"/>
                <w:szCs w:val="16"/>
              </w:rPr>
              <w:t>Response</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Height w:hRule="exact" w:val="23"/>
        </w:trPr>
        <w:tc>
          <w:tcPr>
            <w:cnfStyle w:val="001000000000" w:firstRow="0" w:lastRow="0" w:firstColumn="1" w:lastColumn="0" w:oddVBand="0" w:evenVBand="0" w:oddHBand="0" w:evenHBand="0" w:firstRowFirstColumn="0" w:firstRowLastColumn="0" w:lastRowFirstColumn="0" w:lastRowLastColumn="0"/>
            <w:tcW w:w="619" w:type="dxa"/>
            <w:shd w:val="clear" w:color="auto" w:fill="auto"/>
            <w:vAlign w:val="top"/>
          </w:tcPr>
          <w:p w:rsidR="00530EC5" w:rsidRPr="002852A0" w:rsidRDefault="00530EC5" w:rsidP="002852A0">
            <w:pPr>
              <w:spacing w:before="113" w:after="113" w:line="250" w:lineRule="atLeast"/>
              <w:rPr>
                <w:spacing w:val="-1"/>
                <w:sz w:val="16"/>
                <w:szCs w:val="16"/>
              </w:rPr>
            </w:pPr>
          </w:p>
        </w:tc>
        <w:tc>
          <w:tcPr>
            <w:tcW w:w="4156" w:type="dxa"/>
            <w:shd w:val="clear" w:color="auto" w:fill="auto"/>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p>
        </w:tc>
        <w:tc>
          <w:tcPr>
            <w:tcW w:w="4156" w:type="dxa"/>
            <w:shd w:val="clear" w:color="auto" w:fill="auto"/>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replace the reliability rating in its costing response documents with a statement on the factors that can affect the uncertainty of that type of policy costing.  The PBO’s costing response documents should expand existing qualitative comments on reliability to highlight particularly uncertain elements of the specific policy when that is appropriate.</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 xml:space="preserve">Agreed.  The PBO issued Guidance: 01/2017 – </w:t>
            </w:r>
            <w:r w:rsidRPr="002852A0">
              <w:rPr>
                <w:i/>
                <w:spacing w:val="-1"/>
                <w:sz w:val="16"/>
                <w:szCs w:val="16"/>
              </w:rPr>
              <w:t>Replacement of reliability ratings in costing responses</w:t>
            </w:r>
            <w:r w:rsidRPr="002852A0">
              <w:rPr>
                <w:spacing w:val="-1"/>
                <w:sz w:val="16"/>
                <w:szCs w:val="16"/>
              </w:rPr>
              <w:t xml:space="preserve"> on 31 March 2017.  The PBO issued Technical note no. 02/2017 – </w:t>
            </w:r>
            <w:r w:rsidRPr="002852A0">
              <w:rPr>
                <w:i/>
                <w:spacing w:val="-1"/>
                <w:sz w:val="16"/>
                <w:szCs w:val="16"/>
              </w:rPr>
              <w:t>Factors influencing the reliability of policy proposal costings</w:t>
            </w:r>
            <w:r w:rsidRPr="002852A0">
              <w:rPr>
                <w:spacing w:val="-1"/>
                <w:sz w:val="16"/>
                <w:szCs w:val="16"/>
              </w:rPr>
              <w:t xml:space="preserve"> on 13 September 2017, which explains the factors that impact on the uncertainty in policy costings and the PBO’s approach to explaining uncertainty in its costing response documents.</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2</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further develop and publish principles and processes to help set priorities in relation to requests from parliamentarians for costings and budget analysis, having regard to:</w:t>
            </w:r>
          </w:p>
          <w:p w:rsidR="00530EC5" w:rsidRPr="006C1C6C" w:rsidRDefault="00530EC5" w:rsidP="006C1C6C">
            <w:pPr>
              <w:pStyle w:val="ListParagraph"/>
              <w:numPr>
                <w:ilvl w:val="0"/>
                <w:numId w:val="32"/>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6C1C6C">
              <w:rPr>
                <w:sz w:val="16"/>
                <w:szCs w:val="16"/>
              </w:rPr>
              <w:t>the relevance of the request to matters expected to be before the Parliament</w:t>
            </w:r>
          </w:p>
          <w:p w:rsidR="00530EC5" w:rsidRPr="002852A0" w:rsidRDefault="00530EC5" w:rsidP="006C1C6C">
            <w:pPr>
              <w:pStyle w:val="ListParagraph"/>
              <w:numPr>
                <w:ilvl w:val="0"/>
                <w:numId w:val="32"/>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2852A0">
              <w:rPr>
                <w:sz w:val="16"/>
                <w:szCs w:val="16"/>
              </w:rPr>
              <w:t>the level of representation of the requesting political party in Parliament</w:t>
            </w:r>
          </w:p>
          <w:p w:rsidR="00530EC5" w:rsidRPr="002852A0" w:rsidRDefault="00530EC5" w:rsidP="006C1C6C">
            <w:pPr>
              <w:pStyle w:val="ListParagraph"/>
              <w:numPr>
                <w:ilvl w:val="0"/>
                <w:numId w:val="32"/>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2852A0">
              <w:rPr>
                <w:sz w:val="16"/>
                <w:szCs w:val="16"/>
              </w:rPr>
              <w:t>the level of priority given to the request by the parliamentarian’s political party and/or the parliamentarian, and</w:t>
            </w:r>
          </w:p>
          <w:p w:rsidR="00530EC5" w:rsidRPr="002852A0" w:rsidRDefault="00530EC5" w:rsidP="006C1C6C">
            <w:pPr>
              <w:pStyle w:val="ListParagraph"/>
              <w:numPr>
                <w:ilvl w:val="0"/>
                <w:numId w:val="32"/>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pPr>
            <w:proofErr w:type="gramStart"/>
            <w:r w:rsidRPr="006C1C6C">
              <w:rPr>
                <w:sz w:val="16"/>
                <w:szCs w:val="16"/>
              </w:rPr>
              <w:t>the</w:t>
            </w:r>
            <w:proofErr w:type="gramEnd"/>
            <w:r w:rsidRPr="006C1C6C">
              <w:rPr>
                <w:sz w:val="16"/>
                <w:szCs w:val="16"/>
              </w:rPr>
              <w:t xml:space="preserve"> level of resources required to complete the request.</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The PBO will outline its principles and processes for setting priorities in a guidance note.</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lastRenderedPageBreak/>
              <w:t>3</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take action within its resource constraints to improve the quality and timeliness of its responses to parliamentarians’ requests for policy costings in peak periods, including:</w:t>
            </w:r>
          </w:p>
          <w:p w:rsidR="00530EC5" w:rsidRDefault="00530EC5" w:rsidP="006C1C6C">
            <w:pPr>
              <w:numPr>
                <w:ilvl w:val="1"/>
                <w:numId w:val="28"/>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r w:rsidRPr="002852A0">
              <w:rPr>
                <w:sz w:val="16"/>
                <w:szCs w:val="16"/>
              </w:rPr>
              <w:t>entering into secondment arrangements, including reciprocal  arrangements, with Government Departments and Agencies, and</w:t>
            </w:r>
          </w:p>
          <w:p w:rsidR="00530EC5" w:rsidRPr="006C1C6C" w:rsidRDefault="00530EC5" w:rsidP="006C1C6C">
            <w:pPr>
              <w:numPr>
                <w:ilvl w:val="1"/>
                <w:numId w:val="28"/>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6C1C6C">
              <w:rPr>
                <w:sz w:val="16"/>
                <w:szCs w:val="16"/>
              </w:rPr>
              <w:t>exploring</w:t>
            </w:r>
            <w:proofErr w:type="gramEnd"/>
            <w:r w:rsidRPr="006C1C6C">
              <w:rPr>
                <w:sz w:val="16"/>
                <w:szCs w:val="16"/>
              </w:rPr>
              <w:t xml:space="preserve"> other mechanisms, such as using technology to streamline the costing process, and increasing collaboration with Government Departments and Agencies on model development.</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is developing and implementing a strategy to expand our current secondment program.  The PBO is also actively exploring how technological improvements can improve processes.</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4</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establish a small, independent, expert advisory panel that it could consult on cross-cutting issues associated with policy costings and fiscal analysis.  This advisory panel would not be provided with information on confidential costings of parliamentarians and would have no direct role in their preparation and provision.</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The PBO will establish a panel of expert advisors that it can consult on policy costing and fiscal policy issues.</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5</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ensure that the JCPAA is provided with sufficient data to allow it to regularly monitor the provision of information to the PBO through the Memorandum of Understanding.</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will continue to provide its activity report to the JCPAA at the same time it is provided to the Senate Finance and Public Administration Legislation Committee in advance of each Senate estimates hearing.</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6</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continue to work collaboratively with Government Departments and Agencies on information requests and model development, consistent with maintaining the confidentiality of parliamentarians’ policy proposals. The PBO should ensure that it includes sufficient context to enable the provision of the most appropriate information in response.</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The PBO is continuing to maintain effective working relationships with agencies to facilitate the timely provision of information under the MOU.</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7</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periodically conduct an ex-post analysis of a limited selection of its policy costing estimates, to help identify areas for improvement in future costings, and report the results to the JCPAA.</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will develop an evaluation methodology to conduct ex-post analyses of policy costings estimates.</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lastRenderedPageBreak/>
              <w:t>8</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To improve the relevance of its self-initiated work, the PBO should:</w:t>
            </w:r>
          </w:p>
          <w:p w:rsidR="00530EC5" w:rsidRDefault="00530EC5" w:rsidP="006C1C6C">
            <w:pPr>
              <w:pStyle w:val="ListParagraph"/>
              <w:numPr>
                <w:ilvl w:val="0"/>
                <w:numId w:val="33"/>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2852A0">
              <w:rPr>
                <w:sz w:val="16"/>
                <w:szCs w:val="16"/>
              </w:rPr>
              <w:t>develop deeper and broader consultation with the JCPAA and other parliamentary committees</w:t>
            </w:r>
          </w:p>
          <w:p w:rsidR="00530EC5" w:rsidRDefault="00530EC5" w:rsidP="006C1C6C">
            <w:pPr>
              <w:pStyle w:val="ListParagraph"/>
              <w:numPr>
                <w:ilvl w:val="0"/>
                <w:numId w:val="33"/>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6C1C6C">
              <w:rPr>
                <w:sz w:val="16"/>
                <w:szCs w:val="16"/>
              </w:rPr>
              <w:t>align more closely its self-initiated work with, and help build the capacity of, PBO costing work, and</w:t>
            </w:r>
          </w:p>
          <w:p w:rsidR="00530EC5" w:rsidRDefault="00530EC5" w:rsidP="006C1C6C">
            <w:pPr>
              <w:pStyle w:val="ListParagraph"/>
              <w:numPr>
                <w:ilvl w:val="0"/>
                <w:numId w:val="33"/>
              </w:numPr>
              <w:spacing w:before="113" w:after="113" w:line="250" w:lineRule="atLeast"/>
              <w:ind w:left="426" w:hanging="284"/>
              <w:cnfStyle w:val="000000100000" w:firstRow="0" w:lastRow="0" w:firstColumn="0" w:lastColumn="0" w:oddVBand="0" w:evenVBand="0" w:oddHBand="1" w:evenHBand="0" w:firstRowFirstColumn="0" w:firstRowLastColumn="0" w:lastRowFirstColumn="0" w:lastRowLastColumn="0"/>
              <w:rPr>
                <w:sz w:val="16"/>
                <w:szCs w:val="16"/>
              </w:rPr>
            </w:pPr>
            <w:r w:rsidRPr="006C1C6C">
              <w:rPr>
                <w:sz w:val="16"/>
                <w:szCs w:val="16"/>
              </w:rPr>
              <w:t>consider a possible evolution of its self-initiated work program by:</w:t>
            </w:r>
          </w:p>
          <w:p w:rsidR="00530EC5" w:rsidRPr="006C1C6C" w:rsidRDefault="00530EC5" w:rsidP="00530EC5">
            <w:pPr>
              <w:pStyle w:val="ListParagraph"/>
              <w:numPr>
                <w:ilvl w:val="0"/>
                <w:numId w:val="34"/>
              </w:numPr>
              <w:spacing w:before="113" w:after="113" w:line="250" w:lineRule="atLeast"/>
              <w:ind w:left="681" w:hanging="166"/>
              <w:cnfStyle w:val="000000100000" w:firstRow="0" w:lastRow="0" w:firstColumn="0" w:lastColumn="0" w:oddVBand="0" w:evenVBand="0" w:oddHBand="1" w:evenHBand="0" w:firstRowFirstColumn="0" w:firstRowLastColumn="0" w:lastRowFirstColumn="0" w:lastRowLastColumn="0"/>
              <w:rPr>
                <w:sz w:val="16"/>
                <w:szCs w:val="16"/>
              </w:rPr>
            </w:pPr>
            <w:r w:rsidRPr="006C1C6C">
              <w:rPr>
                <w:sz w:val="16"/>
                <w:szCs w:val="16"/>
              </w:rPr>
              <w:t>expanding its existing focus on medium-term fiscal sustainability issues</w:t>
            </w:r>
          </w:p>
          <w:p w:rsidR="00530EC5" w:rsidRPr="002852A0" w:rsidRDefault="00530EC5" w:rsidP="00530EC5">
            <w:pPr>
              <w:pStyle w:val="ListParagraph"/>
              <w:numPr>
                <w:ilvl w:val="0"/>
                <w:numId w:val="34"/>
              </w:numPr>
              <w:spacing w:before="113" w:after="113" w:line="250" w:lineRule="atLeast"/>
              <w:ind w:left="681" w:hanging="166"/>
              <w:cnfStyle w:val="000000100000" w:firstRow="0" w:lastRow="0" w:firstColumn="0" w:lastColumn="0" w:oddVBand="0" w:evenVBand="0" w:oddHBand="1" w:evenHBand="0" w:firstRowFirstColumn="0" w:firstRowLastColumn="0" w:lastRowFirstColumn="0" w:lastRowLastColumn="0"/>
              <w:rPr>
                <w:sz w:val="16"/>
                <w:szCs w:val="16"/>
              </w:rPr>
            </w:pPr>
            <w:r w:rsidRPr="002852A0">
              <w:rPr>
                <w:sz w:val="16"/>
                <w:szCs w:val="16"/>
              </w:rPr>
              <w:t>building its capacity to analyse underlying drivers of the budget over the longer term, including, but not limited to, demographic analysis, and</w:t>
            </w:r>
          </w:p>
          <w:p w:rsidR="00530EC5" w:rsidRPr="002852A0" w:rsidRDefault="00530EC5" w:rsidP="00530EC5">
            <w:pPr>
              <w:pStyle w:val="ListParagraph"/>
              <w:numPr>
                <w:ilvl w:val="0"/>
                <w:numId w:val="34"/>
              </w:numPr>
              <w:spacing w:before="113" w:after="113" w:line="250" w:lineRule="atLeast"/>
              <w:ind w:left="681" w:hanging="166"/>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2852A0">
              <w:rPr>
                <w:sz w:val="16"/>
                <w:szCs w:val="16"/>
              </w:rPr>
              <w:t>ensuring</w:t>
            </w:r>
            <w:proofErr w:type="gramEnd"/>
            <w:r w:rsidRPr="002852A0">
              <w:rPr>
                <w:sz w:val="16"/>
                <w:szCs w:val="16"/>
              </w:rPr>
              <w:t xml:space="preserve"> it has the capacity to further develop its longer-term analytic  ability to allow consideration to be given to transferring responsibility for the next Intergenerational Report (scheduled for 2020) to the PBO.</w:t>
            </w:r>
          </w:p>
        </w:tc>
        <w:tc>
          <w:tcPr>
            <w:tcW w:w="4156" w:type="dxa"/>
            <w:vAlign w:val="top"/>
          </w:tcPr>
          <w:p w:rsidR="00530EC5" w:rsidRPr="002852A0" w:rsidRDefault="00530EC5" w:rsidP="00530EC5">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 xml:space="preserve">Agreed.  In developing </w:t>
            </w:r>
            <w:r>
              <w:rPr>
                <w:spacing w:val="-1"/>
                <w:sz w:val="16"/>
                <w:szCs w:val="16"/>
              </w:rPr>
              <w:t>the 2017–18</w:t>
            </w:r>
            <w:r w:rsidRPr="002852A0">
              <w:rPr>
                <w:spacing w:val="-1"/>
                <w:sz w:val="16"/>
                <w:szCs w:val="16"/>
              </w:rPr>
              <w:t xml:space="preserve"> work </w:t>
            </w:r>
            <w:proofErr w:type="gramStart"/>
            <w:r w:rsidRPr="002852A0">
              <w:rPr>
                <w:spacing w:val="-1"/>
                <w:sz w:val="16"/>
                <w:szCs w:val="16"/>
              </w:rPr>
              <w:t>plan</w:t>
            </w:r>
            <w:proofErr w:type="gramEnd"/>
            <w:r w:rsidRPr="002852A0">
              <w:rPr>
                <w:spacing w:val="-1"/>
                <w:sz w:val="16"/>
                <w:szCs w:val="16"/>
              </w:rPr>
              <w:t>, the PBO has broadened its consultation to include relevant parliamentary committees.  The PBO will engage more deeply with committees through briefings on our research work.</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9</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more fully explain the methodology underlying the policy costing process, including in a non-technical fashion.</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will publish information to more fully explain the methodology underlying the policy costing process.</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10</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publish regular data on the number of policy announcements made with reference to PBO costings, and whether or not, and when, the underlying PBO costing response document was released by the party or parliamentarian concerned.</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 xml:space="preserve">Agreed.  The PBO issued Guidance: 02/2017 – </w:t>
            </w:r>
            <w:r w:rsidRPr="002852A0">
              <w:rPr>
                <w:i/>
                <w:spacing w:val="-1"/>
                <w:sz w:val="16"/>
                <w:szCs w:val="16"/>
              </w:rPr>
              <w:t xml:space="preserve">PBO publication of responses that have been publicly released by parliamentarians </w:t>
            </w:r>
            <w:r w:rsidRPr="002852A0">
              <w:rPr>
                <w:spacing w:val="-1"/>
                <w:sz w:val="16"/>
                <w:szCs w:val="16"/>
              </w:rPr>
              <w:t>to give effect to this recommendation.  The PBO will publish the number of references in its activity report and annual report and, to enhance transparency, will publish those costings that have been publicly released on the PBO website.</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11</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Post-election Report of election commitments should include the financial impact over the medium term (in addition to the forward estimates period) of:</w:t>
            </w:r>
          </w:p>
          <w:p w:rsidR="00530EC5" w:rsidRDefault="00530EC5" w:rsidP="006C1C6C">
            <w:pPr>
              <w:numPr>
                <w:ilvl w:val="1"/>
                <w:numId w:val="30"/>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r w:rsidRPr="002852A0">
              <w:rPr>
                <w:sz w:val="16"/>
                <w:szCs w:val="16"/>
              </w:rPr>
              <w:t>the top ten policy proposals by dollar value</w:t>
            </w:r>
          </w:p>
          <w:p w:rsidR="00530EC5" w:rsidRDefault="00530EC5" w:rsidP="006C1C6C">
            <w:pPr>
              <w:numPr>
                <w:ilvl w:val="1"/>
                <w:numId w:val="30"/>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r w:rsidRPr="006C1C6C">
              <w:rPr>
                <w:sz w:val="16"/>
                <w:szCs w:val="16"/>
              </w:rPr>
              <w:t>any proposal with an impact of over $1 billion in a year</w:t>
            </w:r>
          </w:p>
          <w:p w:rsidR="00530EC5" w:rsidRDefault="00530EC5" w:rsidP="006C1C6C">
            <w:pPr>
              <w:numPr>
                <w:ilvl w:val="1"/>
                <w:numId w:val="30"/>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r w:rsidRPr="006C1C6C">
              <w:rPr>
                <w:sz w:val="16"/>
                <w:szCs w:val="16"/>
              </w:rPr>
              <w:t>proposals with a materially different impact beyond the forward estimates, and</w:t>
            </w:r>
          </w:p>
          <w:p w:rsidR="00530EC5" w:rsidRPr="006C1C6C" w:rsidRDefault="00530EC5" w:rsidP="006C1C6C">
            <w:pPr>
              <w:numPr>
                <w:ilvl w:val="1"/>
                <w:numId w:val="30"/>
              </w:numPr>
              <w:spacing w:before="113" w:after="113" w:line="250" w:lineRule="atLeast"/>
              <w:ind w:left="425"/>
              <w:cnfStyle w:val="000000000000" w:firstRow="0" w:lastRow="0" w:firstColumn="0" w:lastColumn="0" w:oddVBand="0" w:evenVBand="0" w:oddHBand="0" w:evenHBand="0" w:firstRowFirstColumn="0" w:firstRowLastColumn="0" w:lastRowFirstColumn="0" w:lastRowLastColumn="0"/>
              <w:rPr>
                <w:sz w:val="16"/>
                <w:szCs w:val="16"/>
              </w:rPr>
            </w:pPr>
            <w:proofErr w:type="gramStart"/>
            <w:r w:rsidRPr="006C1C6C">
              <w:rPr>
                <w:sz w:val="16"/>
                <w:szCs w:val="16"/>
              </w:rPr>
              <w:t>the</w:t>
            </w:r>
            <w:proofErr w:type="gramEnd"/>
            <w:r w:rsidRPr="006C1C6C">
              <w:rPr>
                <w:sz w:val="16"/>
                <w:szCs w:val="16"/>
              </w:rPr>
              <w:t xml:space="preserve"> overall election platform for each political party.</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This recommendation will be implemented in the next post-election report.</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12</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timing of the publication of the Post-election Report of election commitments should be delayed to the later of the first sitting day of Parliament following a general election or 30 days after the return of the writs from a general election.</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noting that legislative amendments would be required to give effect to this recommendation.</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13</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provide parliamentary political parties with fewer than five Members or Senators the option to have the financial impact of their election commitments included in the PBO’s Post-election Report of election commitments.</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will explore options to give effect to this recommendation.</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lastRenderedPageBreak/>
              <w:t>14</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consider the value of continuing to publish the chart pack following each fiscal update.</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The PBO will seek feedback on the value of the chart pack through the stakeholder survey (refer recommendation 16).</w:t>
            </w:r>
          </w:p>
        </w:tc>
      </w:tr>
      <w:tr w:rsidR="00530EC5" w:rsidRPr="002852A0" w:rsidTr="00530EC5">
        <w:trPr>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15</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The PBO should ensure that the JCPAA is regularly provided with sufficient information on the PBO’s workload, resource requirements and efficiency, to enable the JCPAA to monitor their impact on the level and timeliness of the PBO’s outputs.</w:t>
            </w:r>
          </w:p>
        </w:tc>
        <w:tc>
          <w:tcPr>
            <w:tcW w:w="4156" w:type="dxa"/>
            <w:vAlign w:val="top"/>
          </w:tcPr>
          <w:p w:rsidR="00530EC5" w:rsidRPr="002852A0" w:rsidRDefault="00530EC5" w:rsidP="002852A0">
            <w:pPr>
              <w:spacing w:before="113" w:after="113" w:line="250" w:lineRule="atLeast"/>
              <w:cnfStyle w:val="000000000000" w:firstRow="0" w:lastRow="0" w:firstColumn="0" w:lastColumn="0" w:oddVBand="0" w:evenVBand="0" w:oddHBand="0" w:evenHBand="0" w:firstRowFirstColumn="0" w:firstRowLastColumn="0" w:lastRowFirstColumn="0" w:lastRowLastColumn="0"/>
              <w:rPr>
                <w:spacing w:val="-1"/>
                <w:sz w:val="16"/>
                <w:szCs w:val="16"/>
              </w:rPr>
            </w:pPr>
            <w:r w:rsidRPr="002852A0">
              <w:rPr>
                <w:spacing w:val="-1"/>
                <w:sz w:val="16"/>
                <w:szCs w:val="16"/>
              </w:rPr>
              <w:t>Agreed.  The PBO will provide this information to the JCPAA when the PBO engages with the JCPAA throughout the year.</w:t>
            </w:r>
          </w:p>
        </w:tc>
      </w:tr>
      <w:tr w:rsidR="00530EC5" w:rsidRPr="002852A0" w:rsidTr="00530E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9" w:type="dxa"/>
            <w:vAlign w:val="top"/>
          </w:tcPr>
          <w:p w:rsidR="00530EC5" w:rsidRPr="002852A0" w:rsidRDefault="00530EC5" w:rsidP="002852A0">
            <w:pPr>
              <w:spacing w:before="113" w:after="113" w:line="250" w:lineRule="atLeast"/>
              <w:rPr>
                <w:spacing w:val="-1"/>
                <w:sz w:val="16"/>
                <w:szCs w:val="16"/>
              </w:rPr>
            </w:pPr>
            <w:r w:rsidRPr="002852A0">
              <w:rPr>
                <w:spacing w:val="-1"/>
                <w:sz w:val="16"/>
                <w:szCs w:val="16"/>
              </w:rPr>
              <w:t>16</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The PBO should conduct a survey once in each term of Parliament to get feedback on its performance from its stakeholders.</w:t>
            </w:r>
          </w:p>
        </w:tc>
        <w:tc>
          <w:tcPr>
            <w:tcW w:w="4156" w:type="dxa"/>
            <w:vAlign w:val="top"/>
          </w:tcPr>
          <w:p w:rsidR="00530EC5" w:rsidRPr="002852A0" w:rsidRDefault="00530EC5" w:rsidP="002852A0">
            <w:pPr>
              <w:spacing w:before="113" w:after="113" w:line="250" w:lineRule="atLeast"/>
              <w:cnfStyle w:val="000000100000" w:firstRow="0" w:lastRow="0" w:firstColumn="0" w:lastColumn="0" w:oddVBand="0" w:evenVBand="0" w:oddHBand="1" w:evenHBand="0" w:firstRowFirstColumn="0" w:firstRowLastColumn="0" w:lastRowFirstColumn="0" w:lastRowLastColumn="0"/>
              <w:rPr>
                <w:spacing w:val="-1"/>
                <w:sz w:val="16"/>
                <w:szCs w:val="16"/>
              </w:rPr>
            </w:pPr>
            <w:r w:rsidRPr="002852A0">
              <w:rPr>
                <w:spacing w:val="-1"/>
                <w:sz w:val="16"/>
                <w:szCs w:val="16"/>
              </w:rPr>
              <w:t>Agreed.  The PBO will conduct a stakeholder survey once in each term of Parliament.</w:t>
            </w:r>
          </w:p>
        </w:tc>
      </w:tr>
    </w:tbl>
    <w:p w:rsidR="00315623" w:rsidRDefault="00315623" w:rsidP="00E60E7C">
      <w:pPr>
        <w:rPr>
          <w:lang w:eastAsia="en-AU"/>
        </w:rPr>
      </w:pPr>
    </w:p>
    <w:sectPr w:rsidR="00315623" w:rsidSect="00A734A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77" w:rsidRDefault="00FA1577" w:rsidP="00770BB2">
      <w:pPr>
        <w:spacing w:after="0"/>
      </w:pPr>
      <w:r>
        <w:separator/>
      </w:r>
    </w:p>
  </w:endnote>
  <w:endnote w:type="continuationSeparator" w:id="0">
    <w:p w:rsidR="00FA1577" w:rsidRDefault="00FA1577"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7" w:rsidRPr="00201F77" w:rsidRDefault="00FA1577"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5D4ABB8C" wp14:editId="1709C700">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577" w:rsidRPr="00F36BEB" w:rsidRDefault="00FA1577"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13</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FA1577" w:rsidRPr="00F36BEB" w:rsidRDefault="00FA1577"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13</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18 October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7" w:rsidRPr="00F36BEB" w:rsidRDefault="00FA1577"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7DD144A6" wp14:editId="60438239">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577" w:rsidRPr="00F36BEB" w:rsidRDefault="00FA157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FA1577" w:rsidRPr="00F36BEB" w:rsidRDefault="00FA157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18 October2017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77" w:rsidRPr="00F36BEB" w:rsidRDefault="00FA1577"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375F3E8F" wp14:editId="5BEFC5C5">
              <wp:simplePos x="0" y="0"/>
              <wp:positionH relativeFrom="column">
                <wp:posOffset>4524284</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577" w:rsidRPr="00F36BEB" w:rsidRDefault="00FA157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13</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13</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56.25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" filled="f" stroked="f" strokeweight=".5pt">
              <v:textbox>
                <w:txbxContent>
                  <w:p w:rsidR="00FA1577" w:rsidRPr="00F36BEB" w:rsidRDefault="00FA157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E7C5E">
                      <w:rPr>
                        <w:rFonts w:asciiTheme="minorHAnsi" w:hAnsiTheme="minorHAnsi"/>
                        <w:bCs/>
                        <w:noProof/>
                        <w:sz w:val="18"/>
                        <w:szCs w:val="18"/>
                      </w:rPr>
                      <w:t>13</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5E7C5E">
                      <w:rPr>
                        <w:rFonts w:asciiTheme="minorHAnsi" w:hAnsiTheme="minorHAnsi"/>
                        <w:bCs/>
                        <w:noProof/>
                        <w:sz w:val="18"/>
                        <w:szCs w:val="18"/>
                      </w:rPr>
                      <w:t>13</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18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77" w:rsidRDefault="00FA1577" w:rsidP="00770BB2">
      <w:pPr>
        <w:spacing w:after="0"/>
      </w:pPr>
      <w:r>
        <w:separator/>
      </w:r>
    </w:p>
  </w:footnote>
  <w:footnote w:type="continuationSeparator" w:id="0">
    <w:p w:rsidR="00FA1577" w:rsidRDefault="00FA1577" w:rsidP="00770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4">
    <w:nsid w:val="53424CA9"/>
    <w:multiLevelType w:val="hybridMultilevel"/>
    <w:tmpl w:val="84A8A438"/>
    <w:lvl w:ilvl="0" w:tplc="C50254A4">
      <w:start w:val="1"/>
      <w:numFmt w:val="lowerLetter"/>
      <w:lvlText w:val="%1"/>
      <w:lvlJc w:val="left"/>
      <w:pPr>
        <w:ind w:left="11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15"/>
    <w:lvlOverride w:ilvl="0">
      <w:startOverride w:val="1"/>
    </w:lvlOverride>
  </w:num>
  <w:num w:numId="3">
    <w:abstractNumId w:val="19"/>
  </w:num>
  <w:num w:numId="4">
    <w:abstractNumId w:val="9"/>
  </w:num>
  <w:num w:numId="5">
    <w:abstractNumId w:val="8"/>
  </w:num>
  <w:num w:numId="6">
    <w:abstractNumId w:val="21"/>
  </w:num>
  <w:num w:numId="7">
    <w:abstractNumId w:val="0"/>
  </w:num>
  <w:num w:numId="8">
    <w:abstractNumId w:val="20"/>
  </w:num>
  <w:num w:numId="9">
    <w:abstractNumId w:val="22"/>
  </w:num>
  <w:num w:numId="10">
    <w:abstractNumId w:val="6"/>
  </w:num>
  <w:num w:numId="11">
    <w:abstractNumId w:val="11"/>
  </w:num>
  <w:num w:numId="12">
    <w:abstractNumId w:val="4"/>
  </w:num>
  <w:num w:numId="13">
    <w:abstractNumId w:val="28"/>
  </w:num>
  <w:num w:numId="14">
    <w:abstractNumId w:val="14"/>
  </w:num>
  <w:num w:numId="15">
    <w:abstractNumId w:val="2"/>
  </w:num>
  <w:num w:numId="16">
    <w:abstractNumId w:val="10"/>
  </w:num>
  <w:num w:numId="17">
    <w:abstractNumId w:val="19"/>
  </w:num>
  <w:num w:numId="18">
    <w:abstractNumId w:val="7"/>
  </w:num>
  <w:num w:numId="19">
    <w:abstractNumId w:val="12"/>
  </w:num>
  <w:num w:numId="20">
    <w:abstractNumId w:val="26"/>
  </w:num>
  <w:num w:numId="21">
    <w:abstractNumId w:val="25"/>
  </w:num>
  <w:num w:numId="22">
    <w:abstractNumId w:val="23"/>
  </w:num>
  <w:num w:numId="23">
    <w:abstractNumId w:val="1"/>
  </w:num>
  <w:num w:numId="24">
    <w:abstractNumId w:val="5"/>
  </w:num>
  <w:num w:numId="25">
    <w:abstractNumId w:val="3"/>
  </w:num>
  <w:num w:numId="26">
    <w:abstractNumId w:val="16"/>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8"/>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78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3C9A"/>
    <w:rsid w:val="00024E08"/>
    <w:rsid w:val="00030032"/>
    <w:rsid w:val="00030C3E"/>
    <w:rsid w:val="00035BEF"/>
    <w:rsid w:val="00036023"/>
    <w:rsid w:val="00041495"/>
    <w:rsid w:val="00043F5E"/>
    <w:rsid w:val="000444E8"/>
    <w:rsid w:val="000460BB"/>
    <w:rsid w:val="000464ED"/>
    <w:rsid w:val="00047F1B"/>
    <w:rsid w:val="000543DC"/>
    <w:rsid w:val="000547E2"/>
    <w:rsid w:val="000568B4"/>
    <w:rsid w:val="0007220A"/>
    <w:rsid w:val="00072B17"/>
    <w:rsid w:val="0007310B"/>
    <w:rsid w:val="00073713"/>
    <w:rsid w:val="000743AC"/>
    <w:rsid w:val="000748A6"/>
    <w:rsid w:val="00075898"/>
    <w:rsid w:val="00077AE6"/>
    <w:rsid w:val="00077F57"/>
    <w:rsid w:val="00082E34"/>
    <w:rsid w:val="000859A2"/>
    <w:rsid w:val="0008769A"/>
    <w:rsid w:val="00093D64"/>
    <w:rsid w:val="000957A1"/>
    <w:rsid w:val="00096A78"/>
    <w:rsid w:val="00096B79"/>
    <w:rsid w:val="00096F8F"/>
    <w:rsid w:val="000972BF"/>
    <w:rsid w:val="000A0B62"/>
    <w:rsid w:val="000A214A"/>
    <w:rsid w:val="000A241D"/>
    <w:rsid w:val="000A28C1"/>
    <w:rsid w:val="000A5B3D"/>
    <w:rsid w:val="000B288A"/>
    <w:rsid w:val="000B6429"/>
    <w:rsid w:val="000B6FE6"/>
    <w:rsid w:val="000C03A6"/>
    <w:rsid w:val="000C4681"/>
    <w:rsid w:val="000C4C73"/>
    <w:rsid w:val="000C4FC2"/>
    <w:rsid w:val="000C7000"/>
    <w:rsid w:val="000D14D5"/>
    <w:rsid w:val="000D1793"/>
    <w:rsid w:val="000D5446"/>
    <w:rsid w:val="000D5676"/>
    <w:rsid w:val="000E3775"/>
    <w:rsid w:val="000E73F0"/>
    <w:rsid w:val="000F0126"/>
    <w:rsid w:val="000F2752"/>
    <w:rsid w:val="000F5570"/>
    <w:rsid w:val="000F5904"/>
    <w:rsid w:val="000F6A98"/>
    <w:rsid w:val="000F74DB"/>
    <w:rsid w:val="0010051C"/>
    <w:rsid w:val="00100DF7"/>
    <w:rsid w:val="00101951"/>
    <w:rsid w:val="00103343"/>
    <w:rsid w:val="001036F8"/>
    <w:rsid w:val="001062D2"/>
    <w:rsid w:val="001074D8"/>
    <w:rsid w:val="00112379"/>
    <w:rsid w:val="0011504B"/>
    <w:rsid w:val="001244FE"/>
    <w:rsid w:val="001259CF"/>
    <w:rsid w:val="0012673C"/>
    <w:rsid w:val="0013142B"/>
    <w:rsid w:val="00133532"/>
    <w:rsid w:val="001345AD"/>
    <w:rsid w:val="0013536D"/>
    <w:rsid w:val="0013683A"/>
    <w:rsid w:val="00137B10"/>
    <w:rsid w:val="00140630"/>
    <w:rsid w:val="00140695"/>
    <w:rsid w:val="0014157F"/>
    <w:rsid w:val="00142A99"/>
    <w:rsid w:val="00142FD4"/>
    <w:rsid w:val="00144E33"/>
    <w:rsid w:val="00146D64"/>
    <w:rsid w:val="00147379"/>
    <w:rsid w:val="00150BBB"/>
    <w:rsid w:val="0015221D"/>
    <w:rsid w:val="00152D5E"/>
    <w:rsid w:val="00154F36"/>
    <w:rsid w:val="0015675B"/>
    <w:rsid w:val="0015676F"/>
    <w:rsid w:val="00166823"/>
    <w:rsid w:val="00166E45"/>
    <w:rsid w:val="001711B0"/>
    <w:rsid w:val="001730E4"/>
    <w:rsid w:val="00174EE0"/>
    <w:rsid w:val="00175AAE"/>
    <w:rsid w:val="00175D63"/>
    <w:rsid w:val="00183893"/>
    <w:rsid w:val="00191F7C"/>
    <w:rsid w:val="0019225A"/>
    <w:rsid w:val="001B0274"/>
    <w:rsid w:val="001B1928"/>
    <w:rsid w:val="001B266A"/>
    <w:rsid w:val="001B5004"/>
    <w:rsid w:val="001B6FDF"/>
    <w:rsid w:val="001B7989"/>
    <w:rsid w:val="001B7C84"/>
    <w:rsid w:val="001C245F"/>
    <w:rsid w:val="001C2558"/>
    <w:rsid w:val="001C4137"/>
    <w:rsid w:val="001C7180"/>
    <w:rsid w:val="001C71EB"/>
    <w:rsid w:val="001D0629"/>
    <w:rsid w:val="001D1EBA"/>
    <w:rsid w:val="001E0836"/>
    <w:rsid w:val="001E1EE2"/>
    <w:rsid w:val="001E4C23"/>
    <w:rsid w:val="001E7335"/>
    <w:rsid w:val="001F17AD"/>
    <w:rsid w:val="001F4A57"/>
    <w:rsid w:val="001F5325"/>
    <w:rsid w:val="001F790F"/>
    <w:rsid w:val="00201E63"/>
    <w:rsid w:val="00201F77"/>
    <w:rsid w:val="0020200A"/>
    <w:rsid w:val="00204FC3"/>
    <w:rsid w:val="00205EC3"/>
    <w:rsid w:val="002069FE"/>
    <w:rsid w:val="00210255"/>
    <w:rsid w:val="00222276"/>
    <w:rsid w:val="00222F20"/>
    <w:rsid w:val="00223815"/>
    <w:rsid w:val="00223DED"/>
    <w:rsid w:val="00224675"/>
    <w:rsid w:val="002250E8"/>
    <w:rsid w:val="00226B70"/>
    <w:rsid w:val="00230AE2"/>
    <w:rsid w:val="00232336"/>
    <w:rsid w:val="0023571D"/>
    <w:rsid w:val="00235BFF"/>
    <w:rsid w:val="0023734D"/>
    <w:rsid w:val="002376ED"/>
    <w:rsid w:val="00240CB2"/>
    <w:rsid w:val="00242999"/>
    <w:rsid w:val="0024486B"/>
    <w:rsid w:val="0024540B"/>
    <w:rsid w:val="00252A0E"/>
    <w:rsid w:val="00254CEE"/>
    <w:rsid w:val="002555D6"/>
    <w:rsid w:val="00255C1E"/>
    <w:rsid w:val="00256083"/>
    <w:rsid w:val="002565D1"/>
    <w:rsid w:val="00262C82"/>
    <w:rsid w:val="00263B04"/>
    <w:rsid w:val="00266714"/>
    <w:rsid w:val="00266A52"/>
    <w:rsid w:val="00277366"/>
    <w:rsid w:val="002818E2"/>
    <w:rsid w:val="0028359E"/>
    <w:rsid w:val="002852A0"/>
    <w:rsid w:val="0029275E"/>
    <w:rsid w:val="002943E7"/>
    <w:rsid w:val="002A569E"/>
    <w:rsid w:val="002A56BE"/>
    <w:rsid w:val="002A5B63"/>
    <w:rsid w:val="002A5FC5"/>
    <w:rsid w:val="002A615C"/>
    <w:rsid w:val="002A6F27"/>
    <w:rsid w:val="002A7029"/>
    <w:rsid w:val="002A70A4"/>
    <w:rsid w:val="002B33CD"/>
    <w:rsid w:val="002B642C"/>
    <w:rsid w:val="002B68F0"/>
    <w:rsid w:val="002B7E32"/>
    <w:rsid w:val="002C0665"/>
    <w:rsid w:val="002C17A9"/>
    <w:rsid w:val="002C272E"/>
    <w:rsid w:val="002C389C"/>
    <w:rsid w:val="002C4B2A"/>
    <w:rsid w:val="002C5EB3"/>
    <w:rsid w:val="002C6574"/>
    <w:rsid w:val="002D2A2F"/>
    <w:rsid w:val="002D3148"/>
    <w:rsid w:val="002D4CCA"/>
    <w:rsid w:val="002E019A"/>
    <w:rsid w:val="002E0C0E"/>
    <w:rsid w:val="002E15C4"/>
    <w:rsid w:val="002E3D70"/>
    <w:rsid w:val="002E44EE"/>
    <w:rsid w:val="002F27AB"/>
    <w:rsid w:val="002F3288"/>
    <w:rsid w:val="002F6577"/>
    <w:rsid w:val="002F73A7"/>
    <w:rsid w:val="002F7815"/>
    <w:rsid w:val="00300B75"/>
    <w:rsid w:val="003020C9"/>
    <w:rsid w:val="00302596"/>
    <w:rsid w:val="003054AE"/>
    <w:rsid w:val="0030595A"/>
    <w:rsid w:val="00310C2F"/>
    <w:rsid w:val="00313B97"/>
    <w:rsid w:val="00315623"/>
    <w:rsid w:val="00322AED"/>
    <w:rsid w:val="00342FB9"/>
    <w:rsid w:val="00344B8D"/>
    <w:rsid w:val="00346A3F"/>
    <w:rsid w:val="00347044"/>
    <w:rsid w:val="00347681"/>
    <w:rsid w:val="00353D66"/>
    <w:rsid w:val="003553BD"/>
    <w:rsid w:val="00355FEB"/>
    <w:rsid w:val="00356E41"/>
    <w:rsid w:val="00357D9F"/>
    <w:rsid w:val="00365B05"/>
    <w:rsid w:val="00365BD8"/>
    <w:rsid w:val="003660A2"/>
    <w:rsid w:val="003672D5"/>
    <w:rsid w:val="00374E27"/>
    <w:rsid w:val="00383C33"/>
    <w:rsid w:val="0038557B"/>
    <w:rsid w:val="00392811"/>
    <w:rsid w:val="00392BA4"/>
    <w:rsid w:val="003939C7"/>
    <w:rsid w:val="00394A72"/>
    <w:rsid w:val="00395A4E"/>
    <w:rsid w:val="00395B9D"/>
    <w:rsid w:val="0039778D"/>
    <w:rsid w:val="003A55BF"/>
    <w:rsid w:val="003A70C5"/>
    <w:rsid w:val="003B1CA0"/>
    <w:rsid w:val="003B1E80"/>
    <w:rsid w:val="003B25B9"/>
    <w:rsid w:val="003C19AE"/>
    <w:rsid w:val="003C319A"/>
    <w:rsid w:val="003C324C"/>
    <w:rsid w:val="003C4528"/>
    <w:rsid w:val="003C4948"/>
    <w:rsid w:val="003D37D2"/>
    <w:rsid w:val="003E0916"/>
    <w:rsid w:val="003E397A"/>
    <w:rsid w:val="003E3AC3"/>
    <w:rsid w:val="003F010B"/>
    <w:rsid w:val="003F0BF7"/>
    <w:rsid w:val="003F352A"/>
    <w:rsid w:val="003F3665"/>
    <w:rsid w:val="003F3CAB"/>
    <w:rsid w:val="003F4483"/>
    <w:rsid w:val="003F451F"/>
    <w:rsid w:val="003F4CA6"/>
    <w:rsid w:val="00401559"/>
    <w:rsid w:val="00406F5B"/>
    <w:rsid w:val="004172DE"/>
    <w:rsid w:val="00421CB6"/>
    <w:rsid w:val="00422DD3"/>
    <w:rsid w:val="00426D27"/>
    <w:rsid w:val="00427B34"/>
    <w:rsid w:val="00431AF9"/>
    <w:rsid w:val="00437752"/>
    <w:rsid w:val="00437E21"/>
    <w:rsid w:val="00440916"/>
    <w:rsid w:val="004512C4"/>
    <w:rsid w:val="004536BA"/>
    <w:rsid w:val="00453A83"/>
    <w:rsid w:val="00454EA4"/>
    <w:rsid w:val="0045600F"/>
    <w:rsid w:val="0046029E"/>
    <w:rsid w:val="00462B99"/>
    <w:rsid w:val="0046565C"/>
    <w:rsid w:val="0046646B"/>
    <w:rsid w:val="00466A51"/>
    <w:rsid w:val="00466E04"/>
    <w:rsid w:val="004670EA"/>
    <w:rsid w:val="00467845"/>
    <w:rsid w:val="00467943"/>
    <w:rsid w:val="0047021D"/>
    <w:rsid w:val="00470907"/>
    <w:rsid w:val="00472A73"/>
    <w:rsid w:val="00473C55"/>
    <w:rsid w:val="00473EE2"/>
    <w:rsid w:val="0047566C"/>
    <w:rsid w:val="0048170C"/>
    <w:rsid w:val="0048524C"/>
    <w:rsid w:val="00485CAD"/>
    <w:rsid w:val="00486DE7"/>
    <w:rsid w:val="00491308"/>
    <w:rsid w:val="0049189B"/>
    <w:rsid w:val="00492FE0"/>
    <w:rsid w:val="004931E7"/>
    <w:rsid w:val="004940D8"/>
    <w:rsid w:val="00495261"/>
    <w:rsid w:val="0049719C"/>
    <w:rsid w:val="004A68A3"/>
    <w:rsid w:val="004B18F4"/>
    <w:rsid w:val="004B6F4E"/>
    <w:rsid w:val="004C03BF"/>
    <w:rsid w:val="004C1A04"/>
    <w:rsid w:val="004C2CCC"/>
    <w:rsid w:val="004C5BA3"/>
    <w:rsid w:val="004C5CA5"/>
    <w:rsid w:val="004C5D3F"/>
    <w:rsid w:val="004C6768"/>
    <w:rsid w:val="004D1FA3"/>
    <w:rsid w:val="004E05ED"/>
    <w:rsid w:val="004E3576"/>
    <w:rsid w:val="004F18BE"/>
    <w:rsid w:val="004F1A32"/>
    <w:rsid w:val="004F75CA"/>
    <w:rsid w:val="0050190A"/>
    <w:rsid w:val="00502E21"/>
    <w:rsid w:val="005075D8"/>
    <w:rsid w:val="005076B6"/>
    <w:rsid w:val="00511CB4"/>
    <w:rsid w:val="00513538"/>
    <w:rsid w:val="005179AC"/>
    <w:rsid w:val="00520230"/>
    <w:rsid w:val="005204AE"/>
    <w:rsid w:val="005205A7"/>
    <w:rsid w:val="00526B22"/>
    <w:rsid w:val="00527D41"/>
    <w:rsid w:val="0053082C"/>
    <w:rsid w:val="00530EC5"/>
    <w:rsid w:val="00532111"/>
    <w:rsid w:val="005323C2"/>
    <w:rsid w:val="00533F06"/>
    <w:rsid w:val="00534836"/>
    <w:rsid w:val="005427A7"/>
    <w:rsid w:val="00543268"/>
    <w:rsid w:val="005459E8"/>
    <w:rsid w:val="00551248"/>
    <w:rsid w:val="00555133"/>
    <w:rsid w:val="0055561D"/>
    <w:rsid w:val="00557CBC"/>
    <w:rsid w:val="00557D8D"/>
    <w:rsid w:val="0056062B"/>
    <w:rsid w:val="005626CD"/>
    <w:rsid w:val="00562D92"/>
    <w:rsid w:val="0056304F"/>
    <w:rsid w:val="00565EA9"/>
    <w:rsid w:val="0056649D"/>
    <w:rsid w:val="0056682B"/>
    <w:rsid w:val="00567D8C"/>
    <w:rsid w:val="0057163C"/>
    <w:rsid w:val="00572FD7"/>
    <w:rsid w:val="00575B0B"/>
    <w:rsid w:val="005832A6"/>
    <w:rsid w:val="00583436"/>
    <w:rsid w:val="005836D4"/>
    <w:rsid w:val="00584E69"/>
    <w:rsid w:val="0058651A"/>
    <w:rsid w:val="00595E1E"/>
    <w:rsid w:val="00596C26"/>
    <w:rsid w:val="00597592"/>
    <w:rsid w:val="00597C53"/>
    <w:rsid w:val="005A1A88"/>
    <w:rsid w:val="005A3D26"/>
    <w:rsid w:val="005A417A"/>
    <w:rsid w:val="005B0A14"/>
    <w:rsid w:val="005B1701"/>
    <w:rsid w:val="005B325D"/>
    <w:rsid w:val="005C025F"/>
    <w:rsid w:val="005C2F9E"/>
    <w:rsid w:val="005C3F95"/>
    <w:rsid w:val="005C51F9"/>
    <w:rsid w:val="005D002A"/>
    <w:rsid w:val="005D0921"/>
    <w:rsid w:val="005D0AF3"/>
    <w:rsid w:val="005D11FA"/>
    <w:rsid w:val="005D23BB"/>
    <w:rsid w:val="005E4E21"/>
    <w:rsid w:val="005E7470"/>
    <w:rsid w:val="005E7A3C"/>
    <w:rsid w:val="005E7C5E"/>
    <w:rsid w:val="005F5278"/>
    <w:rsid w:val="005F6B98"/>
    <w:rsid w:val="006008B9"/>
    <w:rsid w:val="00605005"/>
    <w:rsid w:val="006051D3"/>
    <w:rsid w:val="00607190"/>
    <w:rsid w:val="0061043D"/>
    <w:rsid w:val="00620EC1"/>
    <w:rsid w:val="00622D7E"/>
    <w:rsid w:val="00623619"/>
    <w:rsid w:val="006258FC"/>
    <w:rsid w:val="00625EEB"/>
    <w:rsid w:val="00626105"/>
    <w:rsid w:val="006268EC"/>
    <w:rsid w:val="006312FA"/>
    <w:rsid w:val="00632F1C"/>
    <w:rsid w:val="00635B6F"/>
    <w:rsid w:val="006370B2"/>
    <w:rsid w:val="00643C9C"/>
    <w:rsid w:val="00644CCF"/>
    <w:rsid w:val="0065278E"/>
    <w:rsid w:val="006560F4"/>
    <w:rsid w:val="00660E2F"/>
    <w:rsid w:val="00667F30"/>
    <w:rsid w:val="00672C2B"/>
    <w:rsid w:val="006730FE"/>
    <w:rsid w:val="00674E11"/>
    <w:rsid w:val="00675F77"/>
    <w:rsid w:val="00681078"/>
    <w:rsid w:val="0068133D"/>
    <w:rsid w:val="00682921"/>
    <w:rsid w:val="006877FC"/>
    <w:rsid w:val="00691635"/>
    <w:rsid w:val="00695153"/>
    <w:rsid w:val="00695C4D"/>
    <w:rsid w:val="00696A51"/>
    <w:rsid w:val="00697D70"/>
    <w:rsid w:val="006A30F3"/>
    <w:rsid w:val="006A32C9"/>
    <w:rsid w:val="006A49DE"/>
    <w:rsid w:val="006A5732"/>
    <w:rsid w:val="006B089F"/>
    <w:rsid w:val="006B2FB8"/>
    <w:rsid w:val="006B4261"/>
    <w:rsid w:val="006B5A1D"/>
    <w:rsid w:val="006B6E81"/>
    <w:rsid w:val="006C0EB2"/>
    <w:rsid w:val="006C1C6C"/>
    <w:rsid w:val="006C2766"/>
    <w:rsid w:val="006C41C8"/>
    <w:rsid w:val="006D00B3"/>
    <w:rsid w:val="006D0C71"/>
    <w:rsid w:val="006D5F6E"/>
    <w:rsid w:val="006D6C53"/>
    <w:rsid w:val="006D76C7"/>
    <w:rsid w:val="006D7DCF"/>
    <w:rsid w:val="006E1A19"/>
    <w:rsid w:val="006E24BF"/>
    <w:rsid w:val="006E628A"/>
    <w:rsid w:val="006E6DF0"/>
    <w:rsid w:val="006E7C82"/>
    <w:rsid w:val="006F1461"/>
    <w:rsid w:val="006F3D6C"/>
    <w:rsid w:val="006F4966"/>
    <w:rsid w:val="006F4B7C"/>
    <w:rsid w:val="006F4E2B"/>
    <w:rsid w:val="006F5E29"/>
    <w:rsid w:val="006F770F"/>
    <w:rsid w:val="00702736"/>
    <w:rsid w:val="00703057"/>
    <w:rsid w:val="00704DD2"/>
    <w:rsid w:val="00705536"/>
    <w:rsid w:val="00707B27"/>
    <w:rsid w:val="00710364"/>
    <w:rsid w:val="00710DDB"/>
    <w:rsid w:val="00712D88"/>
    <w:rsid w:val="00715B09"/>
    <w:rsid w:val="00716256"/>
    <w:rsid w:val="007170EF"/>
    <w:rsid w:val="0072286B"/>
    <w:rsid w:val="00725639"/>
    <w:rsid w:val="00732136"/>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A4F"/>
    <w:rsid w:val="00772F3B"/>
    <w:rsid w:val="00775ACE"/>
    <w:rsid w:val="00776672"/>
    <w:rsid w:val="00782C24"/>
    <w:rsid w:val="007854A6"/>
    <w:rsid w:val="007905B7"/>
    <w:rsid w:val="0079356B"/>
    <w:rsid w:val="00794A2E"/>
    <w:rsid w:val="00797307"/>
    <w:rsid w:val="007A131A"/>
    <w:rsid w:val="007A4916"/>
    <w:rsid w:val="007B2889"/>
    <w:rsid w:val="007B3471"/>
    <w:rsid w:val="007B542B"/>
    <w:rsid w:val="007C1434"/>
    <w:rsid w:val="007C1745"/>
    <w:rsid w:val="007C1A69"/>
    <w:rsid w:val="007C2C9C"/>
    <w:rsid w:val="007C5284"/>
    <w:rsid w:val="007C5437"/>
    <w:rsid w:val="007C6FC5"/>
    <w:rsid w:val="007C7EE9"/>
    <w:rsid w:val="007D0365"/>
    <w:rsid w:val="007D65A5"/>
    <w:rsid w:val="007D7F35"/>
    <w:rsid w:val="007E086B"/>
    <w:rsid w:val="007E6158"/>
    <w:rsid w:val="007F0CC6"/>
    <w:rsid w:val="007F59BF"/>
    <w:rsid w:val="007F5ABA"/>
    <w:rsid w:val="007F5B8C"/>
    <w:rsid w:val="007F6A3A"/>
    <w:rsid w:val="007F7B83"/>
    <w:rsid w:val="007F7F9B"/>
    <w:rsid w:val="0080253F"/>
    <w:rsid w:val="00803296"/>
    <w:rsid w:val="00803A2F"/>
    <w:rsid w:val="0080431A"/>
    <w:rsid w:val="00804F1A"/>
    <w:rsid w:val="00807766"/>
    <w:rsid w:val="00807AF6"/>
    <w:rsid w:val="008133D6"/>
    <w:rsid w:val="00813F8A"/>
    <w:rsid w:val="008208A2"/>
    <w:rsid w:val="0082133E"/>
    <w:rsid w:val="008305AB"/>
    <w:rsid w:val="00846119"/>
    <w:rsid w:val="008461CD"/>
    <w:rsid w:val="008462F0"/>
    <w:rsid w:val="00846A1E"/>
    <w:rsid w:val="00850686"/>
    <w:rsid w:val="00850B1A"/>
    <w:rsid w:val="0085116E"/>
    <w:rsid w:val="00861202"/>
    <w:rsid w:val="00861DFD"/>
    <w:rsid w:val="00863749"/>
    <w:rsid w:val="00867C10"/>
    <w:rsid w:val="00873004"/>
    <w:rsid w:val="0087634F"/>
    <w:rsid w:val="00877B1D"/>
    <w:rsid w:val="00880D50"/>
    <w:rsid w:val="0088250F"/>
    <w:rsid w:val="00882F77"/>
    <w:rsid w:val="008842C2"/>
    <w:rsid w:val="0088677E"/>
    <w:rsid w:val="00890FEA"/>
    <w:rsid w:val="00891FC4"/>
    <w:rsid w:val="00893E67"/>
    <w:rsid w:val="00895A31"/>
    <w:rsid w:val="008A0D13"/>
    <w:rsid w:val="008A4655"/>
    <w:rsid w:val="008A5435"/>
    <w:rsid w:val="008A6B82"/>
    <w:rsid w:val="008A7AB4"/>
    <w:rsid w:val="008B048A"/>
    <w:rsid w:val="008B2C31"/>
    <w:rsid w:val="008B3208"/>
    <w:rsid w:val="008B7A3A"/>
    <w:rsid w:val="008C2518"/>
    <w:rsid w:val="008C4037"/>
    <w:rsid w:val="008C72D3"/>
    <w:rsid w:val="008C7B9F"/>
    <w:rsid w:val="008C7C99"/>
    <w:rsid w:val="008D181D"/>
    <w:rsid w:val="008D21A2"/>
    <w:rsid w:val="008D5F4B"/>
    <w:rsid w:val="008D6D22"/>
    <w:rsid w:val="008D7DE6"/>
    <w:rsid w:val="008E071E"/>
    <w:rsid w:val="008E4267"/>
    <w:rsid w:val="008F1DE7"/>
    <w:rsid w:val="008F2012"/>
    <w:rsid w:val="008F298A"/>
    <w:rsid w:val="008F2B9E"/>
    <w:rsid w:val="008F61B0"/>
    <w:rsid w:val="008F78C8"/>
    <w:rsid w:val="008F7972"/>
    <w:rsid w:val="00903042"/>
    <w:rsid w:val="009031F8"/>
    <w:rsid w:val="00907A5A"/>
    <w:rsid w:val="00912FAB"/>
    <w:rsid w:val="009148D5"/>
    <w:rsid w:val="00922018"/>
    <w:rsid w:val="00923904"/>
    <w:rsid w:val="00927976"/>
    <w:rsid w:val="00930BF2"/>
    <w:rsid w:val="00940B46"/>
    <w:rsid w:val="009440DC"/>
    <w:rsid w:val="00945C3B"/>
    <w:rsid w:val="00945CAF"/>
    <w:rsid w:val="0095244D"/>
    <w:rsid w:val="00957F8D"/>
    <w:rsid w:val="00962AAB"/>
    <w:rsid w:val="00967214"/>
    <w:rsid w:val="009706B0"/>
    <w:rsid w:val="00971390"/>
    <w:rsid w:val="009727BF"/>
    <w:rsid w:val="00977F99"/>
    <w:rsid w:val="009818CB"/>
    <w:rsid w:val="009820E0"/>
    <w:rsid w:val="009837E2"/>
    <w:rsid w:val="00986B21"/>
    <w:rsid w:val="00986D03"/>
    <w:rsid w:val="00993585"/>
    <w:rsid w:val="00994EA5"/>
    <w:rsid w:val="009A1D20"/>
    <w:rsid w:val="009A48CC"/>
    <w:rsid w:val="009A4DB4"/>
    <w:rsid w:val="009A5648"/>
    <w:rsid w:val="009A5B17"/>
    <w:rsid w:val="009B034C"/>
    <w:rsid w:val="009B0812"/>
    <w:rsid w:val="009B39C1"/>
    <w:rsid w:val="009B41DC"/>
    <w:rsid w:val="009B6788"/>
    <w:rsid w:val="009C4260"/>
    <w:rsid w:val="009C5F55"/>
    <w:rsid w:val="009D4447"/>
    <w:rsid w:val="009D4758"/>
    <w:rsid w:val="009E3577"/>
    <w:rsid w:val="009E6EB9"/>
    <w:rsid w:val="009F1D9B"/>
    <w:rsid w:val="009F51EE"/>
    <w:rsid w:val="00A01C65"/>
    <w:rsid w:val="00A02382"/>
    <w:rsid w:val="00A050FC"/>
    <w:rsid w:val="00A05B52"/>
    <w:rsid w:val="00A0618E"/>
    <w:rsid w:val="00A07FE0"/>
    <w:rsid w:val="00A103B6"/>
    <w:rsid w:val="00A14D88"/>
    <w:rsid w:val="00A17D76"/>
    <w:rsid w:val="00A22791"/>
    <w:rsid w:val="00A26717"/>
    <w:rsid w:val="00A273D8"/>
    <w:rsid w:val="00A333D4"/>
    <w:rsid w:val="00A431E6"/>
    <w:rsid w:val="00A4480B"/>
    <w:rsid w:val="00A461BE"/>
    <w:rsid w:val="00A5155B"/>
    <w:rsid w:val="00A523DC"/>
    <w:rsid w:val="00A55569"/>
    <w:rsid w:val="00A562BE"/>
    <w:rsid w:val="00A5637D"/>
    <w:rsid w:val="00A60511"/>
    <w:rsid w:val="00A62104"/>
    <w:rsid w:val="00A70698"/>
    <w:rsid w:val="00A711CD"/>
    <w:rsid w:val="00A73005"/>
    <w:rsid w:val="00A734A7"/>
    <w:rsid w:val="00A74074"/>
    <w:rsid w:val="00A819E5"/>
    <w:rsid w:val="00A8221D"/>
    <w:rsid w:val="00A82441"/>
    <w:rsid w:val="00A82FFF"/>
    <w:rsid w:val="00A87BFA"/>
    <w:rsid w:val="00A9651F"/>
    <w:rsid w:val="00A97790"/>
    <w:rsid w:val="00AA0818"/>
    <w:rsid w:val="00AA19A6"/>
    <w:rsid w:val="00AA3A52"/>
    <w:rsid w:val="00AA5AD6"/>
    <w:rsid w:val="00AA6683"/>
    <w:rsid w:val="00AB3CD0"/>
    <w:rsid w:val="00AB7368"/>
    <w:rsid w:val="00AC2EEF"/>
    <w:rsid w:val="00AC6C94"/>
    <w:rsid w:val="00AD076F"/>
    <w:rsid w:val="00AD1DBA"/>
    <w:rsid w:val="00AD2887"/>
    <w:rsid w:val="00AD55CE"/>
    <w:rsid w:val="00AD5836"/>
    <w:rsid w:val="00AD58FE"/>
    <w:rsid w:val="00AE149D"/>
    <w:rsid w:val="00AE5737"/>
    <w:rsid w:val="00AE7CB8"/>
    <w:rsid w:val="00AE7E32"/>
    <w:rsid w:val="00AF7309"/>
    <w:rsid w:val="00AF734A"/>
    <w:rsid w:val="00B00147"/>
    <w:rsid w:val="00B00A42"/>
    <w:rsid w:val="00B0348D"/>
    <w:rsid w:val="00B10E27"/>
    <w:rsid w:val="00B10F5D"/>
    <w:rsid w:val="00B14DA3"/>
    <w:rsid w:val="00B168E8"/>
    <w:rsid w:val="00B220A5"/>
    <w:rsid w:val="00B23802"/>
    <w:rsid w:val="00B2640F"/>
    <w:rsid w:val="00B2715B"/>
    <w:rsid w:val="00B306DA"/>
    <w:rsid w:val="00B31849"/>
    <w:rsid w:val="00B33DCF"/>
    <w:rsid w:val="00B36E44"/>
    <w:rsid w:val="00B40746"/>
    <w:rsid w:val="00B4295A"/>
    <w:rsid w:val="00B4619B"/>
    <w:rsid w:val="00B543DA"/>
    <w:rsid w:val="00B55D14"/>
    <w:rsid w:val="00B561C2"/>
    <w:rsid w:val="00B56F23"/>
    <w:rsid w:val="00B570AE"/>
    <w:rsid w:val="00B57CD1"/>
    <w:rsid w:val="00B6426B"/>
    <w:rsid w:val="00B64528"/>
    <w:rsid w:val="00B64D26"/>
    <w:rsid w:val="00B65A64"/>
    <w:rsid w:val="00B66D8D"/>
    <w:rsid w:val="00B731CD"/>
    <w:rsid w:val="00B8094C"/>
    <w:rsid w:val="00B80F68"/>
    <w:rsid w:val="00B83141"/>
    <w:rsid w:val="00B83FDB"/>
    <w:rsid w:val="00B86F49"/>
    <w:rsid w:val="00B87642"/>
    <w:rsid w:val="00B90C3F"/>
    <w:rsid w:val="00B95846"/>
    <w:rsid w:val="00B95CA3"/>
    <w:rsid w:val="00B96224"/>
    <w:rsid w:val="00BA18F0"/>
    <w:rsid w:val="00BA1924"/>
    <w:rsid w:val="00BA5E44"/>
    <w:rsid w:val="00BA7304"/>
    <w:rsid w:val="00BB03B4"/>
    <w:rsid w:val="00BB0585"/>
    <w:rsid w:val="00BB0ADB"/>
    <w:rsid w:val="00BB2352"/>
    <w:rsid w:val="00BC5BA9"/>
    <w:rsid w:val="00BC74B6"/>
    <w:rsid w:val="00BD75C2"/>
    <w:rsid w:val="00BE0BBB"/>
    <w:rsid w:val="00BF02F5"/>
    <w:rsid w:val="00BF2EA0"/>
    <w:rsid w:val="00BF3D64"/>
    <w:rsid w:val="00BF593B"/>
    <w:rsid w:val="00BF637E"/>
    <w:rsid w:val="00C0127A"/>
    <w:rsid w:val="00C012A1"/>
    <w:rsid w:val="00C0149D"/>
    <w:rsid w:val="00C062F7"/>
    <w:rsid w:val="00C073B5"/>
    <w:rsid w:val="00C10850"/>
    <w:rsid w:val="00C11AF3"/>
    <w:rsid w:val="00C1317A"/>
    <w:rsid w:val="00C14F1E"/>
    <w:rsid w:val="00C1616A"/>
    <w:rsid w:val="00C1632E"/>
    <w:rsid w:val="00C3189E"/>
    <w:rsid w:val="00C3772D"/>
    <w:rsid w:val="00C37A65"/>
    <w:rsid w:val="00C43339"/>
    <w:rsid w:val="00C44E71"/>
    <w:rsid w:val="00C503E9"/>
    <w:rsid w:val="00C516BB"/>
    <w:rsid w:val="00C53944"/>
    <w:rsid w:val="00C54E0D"/>
    <w:rsid w:val="00C568EB"/>
    <w:rsid w:val="00C5760A"/>
    <w:rsid w:val="00C57FCF"/>
    <w:rsid w:val="00C61DFA"/>
    <w:rsid w:val="00C62AF1"/>
    <w:rsid w:val="00C635A4"/>
    <w:rsid w:val="00C70094"/>
    <w:rsid w:val="00C70DC1"/>
    <w:rsid w:val="00C710A0"/>
    <w:rsid w:val="00C71962"/>
    <w:rsid w:val="00C72EF2"/>
    <w:rsid w:val="00C73F88"/>
    <w:rsid w:val="00C74806"/>
    <w:rsid w:val="00C750B9"/>
    <w:rsid w:val="00C75870"/>
    <w:rsid w:val="00C76131"/>
    <w:rsid w:val="00C77F0A"/>
    <w:rsid w:val="00C8309B"/>
    <w:rsid w:val="00C925CE"/>
    <w:rsid w:val="00C93BB4"/>
    <w:rsid w:val="00C942A2"/>
    <w:rsid w:val="00C9440A"/>
    <w:rsid w:val="00C947D1"/>
    <w:rsid w:val="00C965B0"/>
    <w:rsid w:val="00C97622"/>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42B9"/>
    <w:rsid w:val="00CD790A"/>
    <w:rsid w:val="00CE107A"/>
    <w:rsid w:val="00CE14D3"/>
    <w:rsid w:val="00CE526D"/>
    <w:rsid w:val="00CF0002"/>
    <w:rsid w:val="00CF0409"/>
    <w:rsid w:val="00CF0654"/>
    <w:rsid w:val="00CF1EF9"/>
    <w:rsid w:val="00CF2410"/>
    <w:rsid w:val="00CF59B2"/>
    <w:rsid w:val="00CF656D"/>
    <w:rsid w:val="00D00268"/>
    <w:rsid w:val="00D01FCB"/>
    <w:rsid w:val="00D0220B"/>
    <w:rsid w:val="00D0384D"/>
    <w:rsid w:val="00D039FA"/>
    <w:rsid w:val="00D05078"/>
    <w:rsid w:val="00D075A1"/>
    <w:rsid w:val="00D12287"/>
    <w:rsid w:val="00D20BD9"/>
    <w:rsid w:val="00D21073"/>
    <w:rsid w:val="00D22C5D"/>
    <w:rsid w:val="00D233C0"/>
    <w:rsid w:val="00D252D6"/>
    <w:rsid w:val="00D30E72"/>
    <w:rsid w:val="00D35EEF"/>
    <w:rsid w:val="00D363F4"/>
    <w:rsid w:val="00D411E7"/>
    <w:rsid w:val="00D434B8"/>
    <w:rsid w:val="00D43F79"/>
    <w:rsid w:val="00D45099"/>
    <w:rsid w:val="00D537C5"/>
    <w:rsid w:val="00D543A7"/>
    <w:rsid w:val="00D55C21"/>
    <w:rsid w:val="00D56CC2"/>
    <w:rsid w:val="00D62B2C"/>
    <w:rsid w:val="00D653B6"/>
    <w:rsid w:val="00D66679"/>
    <w:rsid w:val="00D72685"/>
    <w:rsid w:val="00D72CEF"/>
    <w:rsid w:val="00D72D3B"/>
    <w:rsid w:val="00D74C10"/>
    <w:rsid w:val="00D75406"/>
    <w:rsid w:val="00D773A0"/>
    <w:rsid w:val="00D7752E"/>
    <w:rsid w:val="00D8089D"/>
    <w:rsid w:val="00D82372"/>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2C8E"/>
    <w:rsid w:val="00DC430D"/>
    <w:rsid w:val="00DD1DE5"/>
    <w:rsid w:val="00DD2991"/>
    <w:rsid w:val="00DD2B51"/>
    <w:rsid w:val="00DD70D6"/>
    <w:rsid w:val="00DE0325"/>
    <w:rsid w:val="00DE0A52"/>
    <w:rsid w:val="00DE2FBE"/>
    <w:rsid w:val="00DE3E8C"/>
    <w:rsid w:val="00DF07FA"/>
    <w:rsid w:val="00DF23ED"/>
    <w:rsid w:val="00DF36E2"/>
    <w:rsid w:val="00DF3D61"/>
    <w:rsid w:val="00DF543B"/>
    <w:rsid w:val="00E00AE6"/>
    <w:rsid w:val="00E03431"/>
    <w:rsid w:val="00E04002"/>
    <w:rsid w:val="00E062F6"/>
    <w:rsid w:val="00E070A8"/>
    <w:rsid w:val="00E10490"/>
    <w:rsid w:val="00E12A06"/>
    <w:rsid w:val="00E13351"/>
    <w:rsid w:val="00E20BF5"/>
    <w:rsid w:val="00E23F6F"/>
    <w:rsid w:val="00E24734"/>
    <w:rsid w:val="00E24CBF"/>
    <w:rsid w:val="00E24EB7"/>
    <w:rsid w:val="00E30F46"/>
    <w:rsid w:val="00E343B7"/>
    <w:rsid w:val="00E37F6B"/>
    <w:rsid w:val="00E401D9"/>
    <w:rsid w:val="00E43091"/>
    <w:rsid w:val="00E45083"/>
    <w:rsid w:val="00E51A38"/>
    <w:rsid w:val="00E60E7C"/>
    <w:rsid w:val="00E67AD2"/>
    <w:rsid w:val="00E72735"/>
    <w:rsid w:val="00E72E06"/>
    <w:rsid w:val="00E73D58"/>
    <w:rsid w:val="00E76371"/>
    <w:rsid w:val="00E76C84"/>
    <w:rsid w:val="00E8002B"/>
    <w:rsid w:val="00E80883"/>
    <w:rsid w:val="00E80FD5"/>
    <w:rsid w:val="00E83C08"/>
    <w:rsid w:val="00E859A7"/>
    <w:rsid w:val="00E928B0"/>
    <w:rsid w:val="00E942B9"/>
    <w:rsid w:val="00EA2EB9"/>
    <w:rsid w:val="00EA6E56"/>
    <w:rsid w:val="00EA791F"/>
    <w:rsid w:val="00EB2B00"/>
    <w:rsid w:val="00EB3405"/>
    <w:rsid w:val="00EB5AE8"/>
    <w:rsid w:val="00EC04FD"/>
    <w:rsid w:val="00EC09B2"/>
    <w:rsid w:val="00EC31C0"/>
    <w:rsid w:val="00ED0E55"/>
    <w:rsid w:val="00ED40C7"/>
    <w:rsid w:val="00EE10A1"/>
    <w:rsid w:val="00EE33B4"/>
    <w:rsid w:val="00EE54F2"/>
    <w:rsid w:val="00EE741F"/>
    <w:rsid w:val="00EF1CED"/>
    <w:rsid w:val="00EF485B"/>
    <w:rsid w:val="00EF5611"/>
    <w:rsid w:val="00EF70F6"/>
    <w:rsid w:val="00F03016"/>
    <w:rsid w:val="00F045F9"/>
    <w:rsid w:val="00F06768"/>
    <w:rsid w:val="00F07FF3"/>
    <w:rsid w:val="00F12A58"/>
    <w:rsid w:val="00F16011"/>
    <w:rsid w:val="00F1696F"/>
    <w:rsid w:val="00F171E4"/>
    <w:rsid w:val="00F176FB"/>
    <w:rsid w:val="00F210EC"/>
    <w:rsid w:val="00F2351D"/>
    <w:rsid w:val="00F2413B"/>
    <w:rsid w:val="00F257B5"/>
    <w:rsid w:val="00F26181"/>
    <w:rsid w:val="00F33972"/>
    <w:rsid w:val="00F36BEB"/>
    <w:rsid w:val="00F3797B"/>
    <w:rsid w:val="00F4038A"/>
    <w:rsid w:val="00F45847"/>
    <w:rsid w:val="00F45B2B"/>
    <w:rsid w:val="00F474EE"/>
    <w:rsid w:val="00F51151"/>
    <w:rsid w:val="00F547F6"/>
    <w:rsid w:val="00F54AB7"/>
    <w:rsid w:val="00F55265"/>
    <w:rsid w:val="00F5549A"/>
    <w:rsid w:val="00F62DF0"/>
    <w:rsid w:val="00F75DFF"/>
    <w:rsid w:val="00F8022A"/>
    <w:rsid w:val="00F82B55"/>
    <w:rsid w:val="00F84EB0"/>
    <w:rsid w:val="00F85836"/>
    <w:rsid w:val="00F85AAF"/>
    <w:rsid w:val="00F941D9"/>
    <w:rsid w:val="00F950C7"/>
    <w:rsid w:val="00FA1577"/>
    <w:rsid w:val="00FA45B1"/>
    <w:rsid w:val="00FA688C"/>
    <w:rsid w:val="00FA721B"/>
    <w:rsid w:val="00FB1559"/>
    <w:rsid w:val="00FB16F5"/>
    <w:rsid w:val="00FC1FED"/>
    <w:rsid w:val="00FC4F3B"/>
    <w:rsid w:val="00FC7534"/>
    <w:rsid w:val="00FD13B6"/>
    <w:rsid w:val="00FD2E2A"/>
    <w:rsid w:val="00FD580D"/>
    <w:rsid w:val="00FE3118"/>
    <w:rsid w:val="00FE4B41"/>
    <w:rsid w:val="00FF0318"/>
    <w:rsid w:val="00FF0728"/>
    <w:rsid w:val="00FF0C91"/>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8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ED7F-1ED8-46B7-9577-1823E9F1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0</TotalTime>
  <Pages>13</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dc:title>
  <dc:creator>PBO@pbo.gov.au</dc:creator>
  <cp:lastModifiedBy>Pratley, Lauren (PBO)</cp:lastModifiedBy>
  <cp:revision>3</cp:revision>
  <cp:lastPrinted>2017-10-18T02:44:00Z</cp:lastPrinted>
  <dcterms:created xsi:type="dcterms:W3CDTF">2017-10-26T03:42:00Z</dcterms:created>
  <dcterms:modified xsi:type="dcterms:W3CDTF">2017-10-26T03:44:00Z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